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7.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8.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9.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0.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1.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2.xml" ContentType="application/vnd.openxmlformats-officedocument.drawingml.chart+xml"/>
  <Override PartName="/word/charts/style20.xml" ContentType="application/vnd.ms-office.chartstyle+xml"/>
  <Override PartName="/word/charts/colors2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DB2DF" w14:textId="77777777" w:rsidR="00501166" w:rsidRPr="00F07DEB" w:rsidRDefault="009674BE" w:rsidP="009674BE">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ab/>
      </w:r>
    </w:p>
    <w:p w14:paraId="04E859F2" w14:textId="77777777" w:rsidR="009674BE" w:rsidRPr="00F07DEB" w:rsidRDefault="00BF409B" w:rsidP="00501166">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UNIVERSITY OF OKLAHOMA</w:t>
      </w:r>
    </w:p>
    <w:p w14:paraId="60CF5A7A" w14:textId="77777777" w:rsidR="009674BE" w:rsidRPr="00F07DEB" w:rsidRDefault="009674BE" w:rsidP="009674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0DCED1B1" w14:textId="1FC1129A" w:rsidR="009674BE" w:rsidRPr="00F07DEB" w:rsidRDefault="009674BE" w:rsidP="009674BE">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ab/>
      </w:r>
      <w:r w:rsidR="00BF409B" w:rsidRPr="00F07DEB">
        <w:rPr>
          <w:rFonts w:ascii="Times New Roman" w:eastAsia="Times New Roman" w:hAnsi="Times New Roman" w:cs="Times New Roman"/>
          <w:sz w:val="24"/>
          <w:szCs w:val="24"/>
          <w:lang w:eastAsia="en-US"/>
        </w:rPr>
        <w:t>GRADUATE COLLEGE</w:t>
      </w:r>
    </w:p>
    <w:p w14:paraId="524F1ED5" w14:textId="77777777" w:rsidR="009674BE" w:rsidRPr="00F07DEB" w:rsidRDefault="009674BE" w:rsidP="009674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2DB84BB6" w14:textId="71233629" w:rsidR="00BF409B" w:rsidRPr="00F07DEB" w:rsidRDefault="00BF409B" w:rsidP="009674BE">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39400832" w14:textId="77777777" w:rsidR="00B33FD3" w:rsidRPr="00F07DEB" w:rsidRDefault="00B33FD3" w:rsidP="009674BE">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405EBFAC" w14:textId="75EBC64C" w:rsidR="009674BE" w:rsidRPr="00F07DEB" w:rsidRDefault="009674BE" w:rsidP="009674BE">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0DEC11B7" w14:textId="77777777" w:rsidR="009674BE" w:rsidRPr="00F07DEB" w:rsidRDefault="009674BE" w:rsidP="009674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23E1BDEB" w14:textId="77777777" w:rsidR="00B33FD3" w:rsidRPr="00F07DEB" w:rsidRDefault="00B33FD3" w:rsidP="009674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34703FFF" w14:textId="77777777" w:rsidR="009674BE" w:rsidRPr="00F07DEB" w:rsidRDefault="009674BE" w:rsidP="009674B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39D6061D" w14:textId="6EE1BA1A" w:rsidR="00BF409B" w:rsidRPr="00F07DEB" w:rsidRDefault="00BF409B" w:rsidP="009674BE">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68873BE1" w14:textId="77777777" w:rsidR="00B33FD3"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 xml:space="preserve">ASSESSING THE POTENTIAL FOR BENEFICIAL REUSE OF PASSIVELY-TREATED </w:t>
      </w:r>
    </w:p>
    <w:p w14:paraId="263FA814" w14:textId="77777777" w:rsidR="00B33FD3" w:rsidRPr="00F07DEB" w:rsidRDefault="00B33FD3"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5153DB0C" w14:textId="27111F26" w:rsidR="009674BE"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MINE WATERS FOR LIVESTOCK WATERING AND CROP IRRIGATION</w:t>
      </w:r>
    </w:p>
    <w:p w14:paraId="6395D32B" w14:textId="7D45FE67" w:rsidR="0032432F" w:rsidRPr="00F07DEB" w:rsidRDefault="0032432F"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0E9F54EF" w14:textId="77777777"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118A15A4" w14:textId="77777777"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796CEC9F" w14:textId="77777777"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62BE8ADE" w14:textId="77777777"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42E25146" w14:textId="77777777"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2E26F0C9" w14:textId="77777777" w:rsidR="00501166" w:rsidRPr="00F07DEB" w:rsidRDefault="00501166"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7F54B01C" w14:textId="77777777"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6EF51F86" w14:textId="77777777"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4CC75389" w14:textId="49E74988"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A THESIS</w:t>
      </w:r>
    </w:p>
    <w:p w14:paraId="15DC925A" w14:textId="77777777"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48FCC125" w14:textId="1383F808"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SUBMITTED TO THE GRADUATE FACULTY</w:t>
      </w:r>
    </w:p>
    <w:p w14:paraId="238A8102" w14:textId="77777777"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48CEF743" w14:textId="51E4079D"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roofErr w:type="gramStart"/>
      <w:r w:rsidRPr="00F07DEB">
        <w:rPr>
          <w:rFonts w:ascii="Times New Roman" w:eastAsia="Times New Roman" w:hAnsi="Times New Roman" w:cs="Times New Roman"/>
          <w:sz w:val="24"/>
          <w:szCs w:val="24"/>
          <w:lang w:eastAsia="en-US"/>
        </w:rPr>
        <w:t>in</w:t>
      </w:r>
      <w:proofErr w:type="gramEnd"/>
      <w:r w:rsidRPr="00F07DEB">
        <w:rPr>
          <w:rFonts w:ascii="Times New Roman" w:eastAsia="Times New Roman" w:hAnsi="Times New Roman" w:cs="Times New Roman"/>
          <w:sz w:val="24"/>
          <w:szCs w:val="24"/>
          <w:lang w:eastAsia="en-US"/>
        </w:rPr>
        <w:t xml:space="preserve"> partial fulfillment of the requirements for the</w:t>
      </w:r>
    </w:p>
    <w:p w14:paraId="60E525B2" w14:textId="77777777"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3404E5BB" w14:textId="596834B7"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Degree of</w:t>
      </w:r>
    </w:p>
    <w:p w14:paraId="5FBB0450" w14:textId="77777777"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24A1650E" w14:textId="6762197A" w:rsidR="00BF409B" w:rsidRPr="00F07DEB" w:rsidRDefault="00501166"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MASTER OF SCIENCE</w:t>
      </w:r>
      <w:r w:rsidR="005E17DE">
        <w:rPr>
          <w:rFonts w:ascii="Times New Roman" w:eastAsia="Times New Roman" w:hAnsi="Times New Roman" w:cs="Times New Roman"/>
          <w:sz w:val="24"/>
          <w:szCs w:val="24"/>
          <w:lang w:eastAsia="en-US"/>
        </w:rPr>
        <w:t xml:space="preserve"> IN ENVIRONMENTAL ENGINEERING</w:t>
      </w:r>
    </w:p>
    <w:p w14:paraId="3AEE0CA7" w14:textId="77777777" w:rsidR="00BF409B" w:rsidRPr="00F07DEB" w:rsidRDefault="00BF409B"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22400878" w14:textId="77777777" w:rsidR="00B33FD3" w:rsidRPr="00F07DEB" w:rsidRDefault="00B33FD3"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0D91B139" w14:textId="77777777" w:rsidR="00B33FD3" w:rsidRPr="00F07DEB" w:rsidRDefault="00B33FD3"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29489214" w14:textId="77777777" w:rsidR="00B33FD3" w:rsidRPr="00F07DEB" w:rsidRDefault="00B33FD3"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6018CFD9" w14:textId="77777777" w:rsidR="00B33FD3" w:rsidRPr="00F07DEB" w:rsidRDefault="00B33FD3"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32EA95B8" w14:textId="77777777" w:rsidR="00B33FD3" w:rsidRPr="00F07DEB" w:rsidRDefault="00B33FD3"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6C7E7E2C" w14:textId="77777777" w:rsidR="00B33FD3" w:rsidRPr="00F07DEB" w:rsidRDefault="00B33FD3"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4BBB3F04" w14:textId="77777777" w:rsidR="00B33FD3" w:rsidRPr="00F07DEB" w:rsidRDefault="00B33FD3"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696D5EFB" w14:textId="281185BC" w:rsidR="00B33FD3" w:rsidRPr="00F07DEB" w:rsidRDefault="00B33FD3"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By</w:t>
      </w:r>
    </w:p>
    <w:p w14:paraId="731FDA95" w14:textId="77777777" w:rsidR="00B33FD3" w:rsidRPr="00F07DEB" w:rsidRDefault="00B33FD3"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43443DA9" w14:textId="01AD0CB0" w:rsidR="00B33FD3" w:rsidRPr="00F07DEB" w:rsidRDefault="00B33FD3"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HARPER</w:t>
      </w:r>
      <w:r w:rsidR="00501166" w:rsidRPr="00F07DEB">
        <w:rPr>
          <w:rFonts w:ascii="Times New Roman" w:eastAsia="Times New Roman" w:hAnsi="Times New Roman" w:cs="Times New Roman"/>
          <w:sz w:val="24"/>
          <w:szCs w:val="24"/>
          <w:lang w:eastAsia="en-US"/>
        </w:rPr>
        <w:t xml:space="preserve"> T.</w:t>
      </w:r>
      <w:r w:rsidRPr="00F07DEB">
        <w:rPr>
          <w:rFonts w:ascii="Times New Roman" w:eastAsia="Times New Roman" w:hAnsi="Times New Roman" w:cs="Times New Roman"/>
          <w:sz w:val="24"/>
          <w:szCs w:val="24"/>
          <w:lang w:eastAsia="en-US"/>
        </w:rPr>
        <w:t xml:space="preserve"> STANFIELD</w:t>
      </w:r>
    </w:p>
    <w:p w14:paraId="0DBB265A" w14:textId="7A707DCF" w:rsidR="00BF409B" w:rsidRPr="00F07DEB" w:rsidRDefault="00B33FD3"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Norman, Oklahoma</w:t>
      </w:r>
    </w:p>
    <w:p w14:paraId="1F14C258" w14:textId="48977838" w:rsidR="00B33FD3" w:rsidRPr="00F07DEB" w:rsidRDefault="00B33FD3" w:rsidP="00BF409B">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2020</w:t>
      </w:r>
    </w:p>
    <w:p w14:paraId="76F00F8D" w14:textId="77777777" w:rsidR="00501166" w:rsidRPr="00F07DEB" w:rsidRDefault="00501166">
      <w:pPr>
        <w:rPr>
          <w:rFonts w:ascii="Times New Roman" w:eastAsia="Times New Roman" w:hAnsi="Times New Roman" w:cs="Times New Roman"/>
          <w:sz w:val="20"/>
          <w:szCs w:val="24"/>
          <w:lang w:eastAsia="en-US"/>
        </w:rPr>
      </w:pPr>
    </w:p>
    <w:p w14:paraId="19CBCDFA" w14:textId="77777777" w:rsidR="00FF5A7E" w:rsidRPr="00F07DEB" w:rsidRDefault="00FF5A7E" w:rsidP="00501166">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3AA9A0D3" w14:textId="77777777" w:rsidR="00FF5A7E" w:rsidRPr="00F07DEB" w:rsidRDefault="00FF5A7E" w:rsidP="00501166">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p>
    <w:p w14:paraId="3D353928" w14:textId="77777777" w:rsidR="00FF5A7E" w:rsidRPr="00F07DEB" w:rsidRDefault="00FF5A7E" w:rsidP="00273F87">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lang w:eastAsia="en-US"/>
        </w:rPr>
      </w:pPr>
    </w:p>
    <w:p w14:paraId="56510769" w14:textId="77777777" w:rsidR="00501166" w:rsidRPr="00F07DEB" w:rsidRDefault="00501166" w:rsidP="00501166">
      <w:pPr>
        <w:widowControl w:val="0"/>
        <w:tabs>
          <w:tab w:val="center" w:pos="468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 xml:space="preserve">ASSESSING THE POTENTIAL FOR BENEFICIAL REUSE OF PASSIVELY-TREATED </w:t>
      </w:r>
    </w:p>
    <w:p w14:paraId="5E50DD66" w14:textId="77777777" w:rsidR="00FF5A7E" w:rsidRPr="00F07DEB" w:rsidRDefault="00501166" w:rsidP="00FF5A7E">
      <w:pPr>
        <w:spacing w:line="240" w:lineRule="auto"/>
        <w:jc w:val="center"/>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t>MINE WATERS FOR LIVESTOCK WATERING AND CROP IRRIGATION</w:t>
      </w:r>
    </w:p>
    <w:p w14:paraId="4869FBB6" w14:textId="77777777" w:rsidR="00FF5A7E" w:rsidRDefault="00FF5A7E" w:rsidP="00FF5A7E">
      <w:pPr>
        <w:pStyle w:val="NoSpacing"/>
        <w:rPr>
          <w:rFonts w:ascii="Times New Roman" w:hAnsi="Times New Roman" w:cs="Times New Roman"/>
          <w:sz w:val="24"/>
          <w:szCs w:val="24"/>
          <w:lang w:eastAsia="en-US"/>
        </w:rPr>
      </w:pPr>
    </w:p>
    <w:p w14:paraId="6DCD96E8" w14:textId="77777777" w:rsidR="00F919EC" w:rsidRDefault="00F919EC" w:rsidP="00FF5A7E">
      <w:pPr>
        <w:pStyle w:val="NoSpacing"/>
        <w:rPr>
          <w:rFonts w:ascii="Times New Roman" w:hAnsi="Times New Roman" w:cs="Times New Roman"/>
          <w:sz w:val="24"/>
          <w:szCs w:val="24"/>
          <w:lang w:eastAsia="en-US"/>
        </w:rPr>
      </w:pPr>
    </w:p>
    <w:p w14:paraId="032324E4" w14:textId="77777777" w:rsidR="00F919EC" w:rsidRPr="00F07DEB" w:rsidRDefault="00F919EC" w:rsidP="00FF5A7E">
      <w:pPr>
        <w:pStyle w:val="NoSpacing"/>
        <w:rPr>
          <w:rFonts w:ascii="Times New Roman" w:hAnsi="Times New Roman" w:cs="Times New Roman"/>
          <w:sz w:val="24"/>
          <w:szCs w:val="24"/>
          <w:lang w:eastAsia="en-US"/>
        </w:rPr>
      </w:pPr>
    </w:p>
    <w:p w14:paraId="24EA5A6C" w14:textId="77777777" w:rsidR="00FF5A7E" w:rsidRPr="00F07DEB" w:rsidRDefault="00FF5A7E" w:rsidP="00FF5A7E">
      <w:pPr>
        <w:pStyle w:val="NoSpacing"/>
        <w:rPr>
          <w:rFonts w:ascii="Times New Roman" w:hAnsi="Times New Roman" w:cs="Times New Roman"/>
          <w:sz w:val="24"/>
          <w:szCs w:val="24"/>
          <w:lang w:eastAsia="en-US"/>
        </w:rPr>
      </w:pPr>
    </w:p>
    <w:p w14:paraId="4D9BAAE3" w14:textId="77777777" w:rsidR="00FF5A7E" w:rsidRPr="00F07DEB" w:rsidRDefault="00FF5A7E" w:rsidP="00FF5A7E">
      <w:pPr>
        <w:pStyle w:val="NoSpacing"/>
        <w:rPr>
          <w:rFonts w:ascii="Times New Roman" w:hAnsi="Times New Roman" w:cs="Times New Roman"/>
          <w:sz w:val="24"/>
          <w:szCs w:val="24"/>
          <w:lang w:eastAsia="en-US"/>
        </w:rPr>
      </w:pPr>
    </w:p>
    <w:p w14:paraId="24FB1D69" w14:textId="77777777" w:rsidR="00FF5A7E" w:rsidRPr="00F07DEB" w:rsidRDefault="00FF5A7E" w:rsidP="00FF5A7E">
      <w:pPr>
        <w:pStyle w:val="NoSpacing"/>
        <w:jc w:val="center"/>
        <w:rPr>
          <w:rFonts w:ascii="Times New Roman" w:hAnsi="Times New Roman" w:cs="Times New Roman"/>
          <w:sz w:val="24"/>
          <w:szCs w:val="24"/>
          <w:lang w:eastAsia="en-US"/>
        </w:rPr>
      </w:pPr>
      <w:r w:rsidRPr="00F07DEB">
        <w:rPr>
          <w:rFonts w:ascii="Times New Roman" w:hAnsi="Times New Roman" w:cs="Times New Roman"/>
          <w:sz w:val="24"/>
          <w:szCs w:val="24"/>
          <w:lang w:eastAsia="en-US"/>
        </w:rPr>
        <w:t>A THESIS APPROVED FOR THE</w:t>
      </w:r>
    </w:p>
    <w:p w14:paraId="778BA5CD" w14:textId="77777777" w:rsidR="00FF5A7E" w:rsidRPr="00F07DEB" w:rsidRDefault="00FF5A7E" w:rsidP="00FF5A7E">
      <w:pPr>
        <w:pStyle w:val="NoSpacing"/>
        <w:jc w:val="center"/>
        <w:rPr>
          <w:rFonts w:ascii="Times New Roman" w:hAnsi="Times New Roman" w:cs="Times New Roman"/>
          <w:sz w:val="24"/>
          <w:szCs w:val="24"/>
          <w:lang w:eastAsia="en-US"/>
        </w:rPr>
      </w:pPr>
      <w:r w:rsidRPr="00F07DEB">
        <w:rPr>
          <w:rFonts w:ascii="Times New Roman" w:hAnsi="Times New Roman" w:cs="Times New Roman"/>
          <w:sz w:val="24"/>
          <w:szCs w:val="24"/>
          <w:lang w:eastAsia="en-US"/>
        </w:rPr>
        <w:t>SCHOOL OF CIVIL ENGINEERING AND ENVIRONMENTAL SCIENCE</w:t>
      </w:r>
    </w:p>
    <w:p w14:paraId="05B77BA7" w14:textId="77777777" w:rsidR="00FF5A7E" w:rsidRPr="00F07DEB" w:rsidRDefault="00FF5A7E" w:rsidP="00FF5A7E">
      <w:pPr>
        <w:pStyle w:val="NoSpacing"/>
        <w:jc w:val="center"/>
        <w:rPr>
          <w:rFonts w:ascii="Times New Roman" w:hAnsi="Times New Roman" w:cs="Times New Roman"/>
          <w:sz w:val="24"/>
          <w:szCs w:val="24"/>
          <w:lang w:eastAsia="en-US"/>
        </w:rPr>
      </w:pPr>
    </w:p>
    <w:p w14:paraId="6B0F6EE9" w14:textId="77777777" w:rsidR="00FF5A7E" w:rsidRPr="00F07DEB" w:rsidRDefault="00FF5A7E" w:rsidP="00FF5A7E">
      <w:pPr>
        <w:pStyle w:val="NoSpacing"/>
        <w:jc w:val="center"/>
        <w:rPr>
          <w:rFonts w:ascii="Times New Roman" w:hAnsi="Times New Roman" w:cs="Times New Roman"/>
          <w:sz w:val="24"/>
          <w:szCs w:val="24"/>
          <w:lang w:eastAsia="en-US"/>
        </w:rPr>
      </w:pPr>
    </w:p>
    <w:p w14:paraId="4A1ED828" w14:textId="77777777" w:rsidR="00FF5A7E" w:rsidRPr="00F07DEB" w:rsidRDefault="00FF5A7E" w:rsidP="00FF5A7E">
      <w:pPr>
        <w:pStyle w:val="NoSpacing"/>
        <w:jc w:val="center"/>
        <w:rPr>
          <w:rFonts w:ascii="Times New Roman" w:hAnsi="Times New Roman" w:cs="Times New Roman"/>
          <w:sz w:val="24"/>
          <w:szCs w:val="24"/>
          <w:lang w:eastAsia="en-US"/>
        </w:rPr>
      </w:pPr>
    </w:p>
    <w:p w14:paraId="1C574595" w14:textId="77777777" w:rsidR="00FF5A7E" w:rsidRPr="00F07DEB" w:rsidRDefault="00FF5A7E" w:rsidP="00FF5A7E">
      <w:pPr>
        <w:pStyle w:val="NoSpacing"/>
        <w:jc w:val="center"/>
        <w:rPr>
          <w:rFonts w:ascii="Times New Roman" w:hAnsi="Times New Roman" w:cs="Times New Roman"/>
          <w:sz w:val="24"/>
          <w:szCs w:val="24"/>
          <w:lang w:eastAsia="en-US"/>
        </w:rPr>
      </w:pPr>
    </w:p>
    <w:p w14:paraId="5B1530CE" w14:textId="77777777" w:rsidR="00FF5A7E" w:rsidRPr="00F07DEB" w:rsidRDefault="00FF5A7E" w:rsidP="00FF5A7E">
      <w:pPr>
        <w:pStyle w:val="NoSpacing"/>
        <w:jc w:val="center"/>
        <w:rPr>
          <w:rFonts w:ascii="Times New Roman" w:hAnsi="Times New Roman" w:cs="Times New Roman"/>
          <w:sz w:val="24"/>
          <w:szCs w:val="24"/>
          <w:lang w:eastAsia="en-US"/>
        </w:rPr>
      </w:pPr>
    </w:p>
    <w:p w14:paraId="56FE3A35" w14:textId="77777777" w:rsidR="00FF5A7E" w:rsidRPr="00F07DEB" w:rsidRDefault="00FF5A7E" w:rsidP="00FF5A7E">
      <w:pPr>
        <w:pStyle w:val="NoSpacing"/>
        <w:jc w:val="center"/>
        <w:rPr>
          <w:rFonts w:ascii="Times New Roman" w:hAnsi="Times New Roman" w:cs="Times New Roman"/>
          <w:sz w:val="24"/>
          <w:szCs w:val="24"/>
          <w:lang w:eastAsia="en-US"/>
        </w:rPr>
      </w:pPr>
    </w:p>
    <w:p w14:paraId="720BE841" w14:textId="77777777" w:rsidR="00FF5A7E" w:rsidRPr="00F07DEB" w:rsidRDefault="00FF5A7E" w:rsidP="00FF5A7E">
      <w:pPr>
        <w:pStyle w:val="NoSpacing"/>
        <w:jc w:val="center"/>
        <w:rPr>
          <w:rFonts w:ascii="Times New Roman" w:hAnsi="Times New Roman" w:cs="Times New Roman"/>
          <w:sz w:val="24"/>
          <w:szCs w:val="24"/>
          <w:lang w:eastAsia="en-US"/>
        </w:rPr>
      </w:pPr>
    </w:p>
    <w:p w14:paraId="4DDA001F" w14:textId="77777777" w:rsidR="00FF5A7E" w:rsidRPr="00F07DEB" w:rsidRDefault="00FF5A7E" w:rsidP="00FF5A7E">
      <w:pPr>
        <w:pStyle w:val="NoSpacing"/>
        <w:jc w:val="center"/>
        <w:rPr>
          <w:rFonts w:ascii="Times New Roman" w:hAnsi="Times New Roman" w:cs="Times New Roman"/>
          <w:sz w:val="24"/>
          <w:szCs w:val="24"/>
          <w:lang w:eastAsia="en-US"/>
        </w:rPr>
      </w:pPr>
    </w:p>
    <w:p w14:paraId="3F437E80" w14:textId="77777777" w:rsidR="00FF5A7E" w:rsidRPr="00F07DEB" w:rsidRDefault="00FF5A7E" w:rsidP="00FF5A7E">
      <w:pPr>
        <w:pStyle w:val="NoSpacing"/>
        <w:jc w:val="center"/>
        <w:rPr>
          <w:rFonts w:ascii="Times New Roman" w:hAnsi="Times New Roman" w:cs="Times New Roman"/>
          <w:sz w:val="24"/>
          <w:szCs w:val="24"/>
          <w:lang w:eastAsia="en-US"/>
        </w:rPr>
      </w:pPr>
    </w:p>
    <w:p w14:paraId="1B58DB28" w14:textId="77777777" w:rsidR="00FF5A7E" w:rsidRPr="00F07DEB" w:rsidRDefault="00FF5A7E" w:rsidP="00FF5A7E">
      <w:pPr>
        <w:pStyle w:val="NoSpacing"/>
        <w:jc w:val="center"/>
        <w:rPr>
          <w:rFonts w:ascii="Times New Roman" w:hAnsi="Times New Roman" w:cs="Times New Roman"/>
          <w:sz w:val="24"/>
          <w:szCs w:val="24"/>
          <w:lang w:eastAsia="en-US"/>
        </w:rPr>
      </w:pPr>
    </w:p>
    <w:p w14:paraId="3ADC3B2A" w14:textId="77777777" w:rsidR="00FF5A7E" w:rsidRPr="00F07DEB" w:rsidRDefault="00FF5A7E" w:rsidP="00FF5A7E">
      <w:pPr>
        <w:pStyle w:val="NoSpacing"/>
        <w:jc w:val="center"/>
        <w:rPr>
          <w:rFonts w:ascii="Times New Roman" w:hAnsi="Times New Roman" w:cs="Times New Roman"/>
          <w:sz w:val="24"/>
          <w:szCs w:val="24"/>
          <w:lang w:eastAsia="en-US"/>
        </w:rPr>
      </w:pPr>
    </w:p>
    <w:p w14:paraId="3DDE7565" w14:textId="77777777" w:rsidR="00FF5A7E" w:rsidRPr="00F07DEB" w:rsidRDefault="00FF5A7E" w:rsidP="00FF5A7E">
      <w:pPr>
        <w:pStyle w:val="NoSpacing"/>
        <w:jc w:val="center"/>
        <w:rPr>
          <w:rFonts w:ascii="Times New Roman" w:hAnsi="Times New Roman" w:cs="Times New Roman"/>
          <w:sz w:val="24"/>
          <w:szCs w:val="24"/>
          <w:lang w:eastAsia="en-US"/>
        </w:rPr>
      </w:pPr>
      <w:r w:rsidRPr="00F07DEB">
        <w:rPr>
          <w:rFonts w:ascii="Times New Roman" w:hAnsi="Times New Roman" w:cs="Times New Roman"/>
          <w:sz w:val="24"/>
          <w:szCs w:val="24"/>
          <w:lang w:eastAsia="en-US"/>
        </w:rPr>
        <w:t>BY THE COMMITTEE CONSISTING OF</w:t>
      </w:r>
    </w:p>
    <w:p w14:paraId="34CD5274" w14:textId="77777777" w:rsidR="00FF5A7E" w:rsidRPr="00F07DEB" w:rsidRDefault="00FF5A7E" w:rsidP="00FF5A7E">
      <w:pPr>
        <w:pStyle w:val="NoSpacing"/>
        <w:jc w:val="center"/>
        <w:rPr>
          <w:rFonts w:ascii="Times New Roman" w:hAnsi="Times New Roman" w:cs="Times New Roman"/>
          <w:sz w:val="24"/>
          <w:szCs w:val="24"/>
          <w:lang w:eastAsia="en-US"/>
        </w:rPr>
      </w:pPr>
    </w:p>
    <w:p w14:paraId="43E0F592" w14:textId="77777777" w:rsidR="00FF5A7E" w:rsidRPr="00F07DEB" w:rsidRDefault="00FF5A7E" w:rsidP="00FF5A7E">
      <w:pPr>
        <w:pStyle w:val="NoSpacing"/>
        <w:jc w:val="center"/>
        <w:rPr>
          <w:rFonts w:ascii="Times New Roman" w:hAnsi="Times New Roman" w:cs="Times New Roman"/>
          <w:sz w:val="24"/>
          <w:szCs w:val="24"/>
          <w:lang w:eastAsia="en-US"/>
        </w:rPr>
      </w:pPr>
    </w:p>
    <w:p w14:paraId="2839BC2E" w14:textId="77777777" w:rsidR="00FF5A7E" w:rsidRPr="00F07DEB" w:rsidRDefault="00FF5A7E" w:rsidP="00FF5A7E">
      <w:pPr>
        <w:pStyle w:val="NoSpacing"/>
        <w:jc w:val="center"/>
        <w:rPr>
          <w:rFonts w:ascii="Times New Roman" w:hAnsi="Times New Roman" w:cs="Times New Roman"/>
          <w:sz w:val="24"/>
          <w:szCs w:val="24"/>
          <w:lang w:eastAsia="en-US"/>
        </w:rPr>
      </w:pPr>
    </w:p>
    <w:p w14:paraId="49F4F7E4" w14:textId="77777777" w:rsidR="00FF5A7E" w:rsidRPr="00F07DEB" w:rsidRDefault="00FF5A7E" w:rsidP="00FF5A7E">
      <w:pPr>
        <w:pStyle w:val="NoSpacing"/>
        <w:jc w:val="center"/>
        <w:rPr>
          <w:rFonts w:ascii="Times New Roman" w:hAnsi="Times New Roman" w:cs="Times New Roman"/>
          <w:sz w:val="24"/>
          <w:szCs w:val="24"/>
          <w:lang w:eastAsia="en-US"/>
        </w:rPr>
      </w:pPr>
    </w:p>
    <w:p w14:paraId="55D6D518" w14:textId="77777777" w:rsidR="00FF5A7E" w:rsidRPr="00F07DEB" w:rsidRDefault="00FF5A7E" w:rsidP="00FF5A7E">
      <w:pPr>
        <w:pStyle w:val="NoSpacing"/>
        <w:jc w:val="center"/>
        <w:rPr>
          <w:rFonts w:ascii="Times New Roman" w:hAnsi="Times New Roman" w:cs="Times New Roman"/>
          <w:sz w:val="24"/>
          <w:szCs w:val="24"/>
          <w:lang w:eastAsia="en-US"/>
        </w:rPr>
      </w:pPr>
    </w:p>
    <w:p w14:paraId="2DB9EFCF" w14:textId="77777777" w:rsidR="00FF5A7E" w:rsidRPr="00F07DEB" w:rsidRDefault="00FF5A7E" w:rsidP="00FF5A7E">
      <w:pPr>
        <w:pStyle w:val="NoSpacing"/>
        <w:jc w:val="center"/>
        <w:rPr>
          <w:rFonts w:ascii="Times New Roman" w:hAnsi="Times New Roman" w:cs="Times New Roman"/>
          <w:sz w:val="24"/>
          <w:szCs w:val="24"/>
          <w:lang w:eastAsia="en-US"/>
        </w:rPr>
      </w:pPr>
    </w:p>
    <w:p w14:paraId="011699AE" w14:textId="77777777" w:rsidR="00FF5A7E" w:rsidRPr="00F07DEB" w:rsidRDefault="00FF5A7E" w:rsidP="00FF5A7E">
      <w:pPr>
        <w:pStyle w:val="NoSpacing"/>
        <w:jc w:val="center"/>
        <w:rPr>
          <w:rFonts w:ascii="Times New Roman" w:hAnsi="Times New Roman" w:cs="Times New Roman"/>
          <w:sz w:val="24"/>
          <w:szCs w:val="24"/>
          <w:lang w:eastAsia="en-US"/>
        </w:rPr>
      </w:pPr>
    </w:p>
    <w:p w14:paraId="2BFD4555" w14:textId="6999C18D" w:rsidR="00FF5A7E" w:rsidRPr="00F07DEB" w:rsidRDefault="00FF5A7E" w:rsidP="00FF5A7E">
      <w:pPr>
        <w:pStyle w:val="NoSpacing"/>
        <w:jc w:val="right"/>
        <w:rPr>
          <w:rFonts w:ascii="Times New Roman" w:hAnsi="Times New Roman" w:cs="Times New Roman"/>
          <w:sz w:val="24"/>
          <w:szCs w:val="24"/>
          <w:lang w:eastAsia="en-US"/>
        </w:rPr>
      </w:pPr>
      <w:r w:rsidRPr="00F07DEB">
        <w:rPr>
          <w:rFonts w:ascii="Times New Roman" w:hAnsi="Times New Roman" w:cs="Times New Roman"/>
          <w:sz w:val="24"/>
          <w:szCs w:val="24"/>
          <w:lang w:eastAsia="en-US"/>
        </w:rPr>
        <w:t xml:space="preserve">Dr. Robert W. </w:t>
      </w:r>
      <w:proofErr w:type="spellStart"/>
      <w:r w:rsidRPr="00F07DEB">
        <w:rPr>
          <w:rFonts w:ascii="Times New Roman" w:hAnsi="Times New Roman" w:cs="Times New Roman"/>
          <w:sz w:val="24"/>
          <w:szCs w:val="24"/>
          <w:lang w:eastAsia="en-US"/>
        </w:rPr>
        <w:t>Nairn</w:t>
      </w:r>
      <w:proofErr w:type="spellEnd"/>
      <w:r w:rsidRPr="00F07DEB">
        <w:rPr>
          <w:rFonts w:ascii="Times New Roman" w:hAnsi="Times New Roman" w:cs="Times New Roman"/>
          <w:sz w:val="24"/>
          <w:szCs w:val="24"/>
          <w:lang w:eastAsia="en-US"/>
        </w:rPr>
        <w:t>, Chair</w:t>
      </w:r>
    </w:p>
    <w:p w14:paraId="3F8FBA82" w14:textId="77777777" w:rsidR="00FF5A7E" w:rsidRPr="00F07DEB" w:rsidRDefault="00FF5A7E" w:rsidP="00FF5A7E">
      <w:pPr>
        <w:pStyle w:val="NoSpacing"/>
        <w:jc w:val="right"/>
        <w:rPr>
          <w:rFonts w:ascii="Times New Roman" w:hAnsi="Times New Roman" w:cs="Times New Roman"/>
          <w:sz w:val="24"/>
          <w:szCs w:val="24"/>
          <w:lang w:eastAsia="en-US"/>
        </w:rPr>
      </w:pPr>
    </w:p>
    <w:p w14:paraId="6F8E1C15" w14:textId="77777777" w:rsidR="00FF5A7E" w:rsidRPr="00F07DEB" w:rsidRDefault="00FF5A7E" w:rsidP="00FF5A7E">
      <w:pPr>
        <w:pStyle w:val="NoSpacing"/>
        <w:jc w:val="right"/>
        <w:rPr>
          <w:rFonts w:ascii="Times New Roman" w:hAnsi="Times New Roman" w:cs="Times New Roman"/>
          <w:sz w:val="24"/>
          <w:szCs w:val="24"/>
          <w:lang w:eastAsia="en-US"/>
        </w:rPr>
      </w:pPr>
      <w:r w:rsidRPr="00F07DEB">
        <w:rPr>
          <w:rFonts w:ascii="Times New Roman" w:hAnsi="Times New Roman" w:cs="Times New Roman"/>
          <w:sz w:val="24"/>
          <w:szCs w:val="24"/>
          <w:lang w:eastAsia="en-US"/>
        </w:rPr>
        <w:t>Dr. Robert C. Knox</w:t>
      </w:r>
    </w:p>
    <w:p w14:paraId="3A103267" w14:textId="77777777" w:rsidR="00FF5A7E" w:rsidRPr="00F07DEB" w:rsidRDefault="00FF5A7E" w:rsidP="00FF5A7E">
      <w:pPr>
        <w:pStyle w:val="NoSpacing"/>
        <w:jc w:val="right"/>
        <w:rPr>
          <w:rFonts w:ascii="Times New Roman" w:hAnsi="Times New Roman" w:cs="Times New Roman"/>
          <w:sz w:val="24"/>
          <w:szCs w:val="24"/>
          <w:lang w:eastAsia="en-US"/>
        </w:rPr>
      </w:pPr>
    </w:p>
    <w:p w14:paraId="5B12492E" w14:textId="77777777" w:rsidR="00FF5A7E" w:rsidRPr="00F07DEB" w:rsidRDefault="00FF5A7E" w:rsidP="00FF5A7E">
      <w:pPr>
        <w:pStyle w:val="NoSpacing"/>
        <w:jc w:val="right"/>
        <w:rPr>
          <w:rFonts w:ascii="Times New Roman" w:hAnsi="Times New Roman" w:cs="Times New Roman"/>
          <w:sz w:val="24"/>
          <w:szCs w:val="24"/>
          <w:lang w:eastAsia="en-US"/>
        </w:rPr>
      </w:pPr>
      <w:r w:rsidRPr="00F07DEB">
        <w:rPr>
          <w:rFonts w:ascii="Times New Roman" w:hAnsi="Times New Roman" w:cs="Times New Roman"/>
          <w:sz w:val="24"/>
          <w:szCs w:val="24"/>
          <w:lang w:eastAsia="en-US"/>
        </w:rPr>
        <w:t xml:space="preserve">Dr. Keith A. </w:t>
      </w:r>
      <w:proofErr w:type="spellStart"/>
      <w:r w:rsidRPr="00F07DEB">
        <w:rPr>
          <w:rFonts w:ascii="Times New Roman" w:hAnsi="Times New Roman" w:cs="Times New Roman"/>
          <w:sz w:val="24"/>
          <w:szCs w:val="24"/>
          <w:lang w:eastAsia="en-US"/>
        </w:rPr>
        <w:t>Strevett</w:t>
      </w:r>
      <w:proofErr w:type="spellEnd"/>
    </w:p>
    <w:p w14:paraId="574F5A88" w14:textId="77777777" w:rsidR="00FF5A7E" w:rsidRPr="00F07DEB" w:rsidRDefault="00FF5A7E" w:rsidP="00FF5A7E">
      <w:pPr>
        <w:pStyle w:val="NoSpacing"/>
        <w:jc w:val="right"/>
        <w:rPr>
          <w:rFonts w:ascii="Times New Roman" w:hAnsi="Times New Roman" w:cs="Times New Roman"/>
          <w:sz w:val="24"/>
          <w:szCs w:val="24"/>
          <w:lang w:eastAsia="en-US"/>
        </w:rPr>
      </w:pPr>
    </w:p>
    <w:p w14:paraId="1A50F02C" w14:textId="77777777" w:rsidR="00FF5A7E" w:rsidRPr="00F07DEB" w:rsidRDefault="00FF5A7E" w:rsidP="00FF5A7E">
      <w:pPr>
        <w:pStyle w:val="NoSpacing"/>
        <w:jc w:val="right"/>
        <w:rPr>
          <w:rFonts w:ascii="Times New Roman" w:hAnsi="Times New Roman" w:cs="Times New Roman"/>
          <w:sz w:val="24"/>
          <w:szCs w:val="24"/>
          <w:lang w:eastAsia="en-US"/>
        </w:rPr>
      </w:pPr>
    </w:p>
    <w:p w14:paraId="2E1A7684" w14:textId="77777777" w:rsidR="00FF5A7E" w:rsidRPr="00F07DEB" w:rsidRDefault="00FF5A7E" w:rsidP="00FF5A7E">
      <w:pPr>
        <w:pStyle w:val="NoSpacing"/>
        <w:jc w:val="right"/>
        <w:rPr>
          <w:rFonts w:ascii="Times New Roman" w:hAnsi="Times New Roman" w:cs="Times New Roman"/>
          <w:sz w:val="24"/>
          <w:szCs w:val="24"/>
          <w:lang w:eastAsia="en-US"/>
        </w:rPr>
      </w:pPr>
    </w:p>
    <w:p w14:paraId="48417813" w14:textId="77777777" w:rsidR="00FF5A7E" w:rsidRPr="00F07DEB" w:rsidRDefault="00FF5A7E" w:rsidP="00FF5A7E">
      <w:pPr>
        <w:pStyle w:val="NoSpacing"/>
        <w:jc w:val="right"/>
        <w:rPr>
          <w:rFonts w:ascii="Times New Roman" w:hAnsi="Times New Roman" w:cs="Times New Roman"/>
          <w:sz w:val="24"/>
          <w:szCs w:val="24"/>
          <w:lang w:eastAsia="en-US"/>
        </w:rPr>
      </w:pPr>
    </w:p>
    <w:p w14:paraId="12A84DBE" w14:textId="77777777" w:rsidR="00FF5A7E" w:rsidRPr="00F07DEB" w:rsidRDefault="00FF5A7E" w:rsidP="00FF5A7E">
      <w:pPr>
        <w:pStyle w:val="NoSpacing"/>
        <w:jc w:val="right"/>
        <w:rPr>
          <w:rFonts w:ascii="Times New Roman" w:hAnsi="Times New Roman" w:cs="Times New Roman"/>
          <w:sz w:val="24"/>
          <w:szCs w:val="24"/>
          <w:lang w:eastAsia="en-US"/>
        </w:rPr>
      </w:pPr>
    </w:p>
    <w:p w14:paraId="5DBB2785" w14:textId="77777777" w:rsidR="00FF5A7E" w:rsidRPr="00F07DEB" w:rsidRDefault="00FF5A7E" w:rsidP="00FF5A7E">
      <w:pPr>
        <w:pStyle w:val="NoSpacing"/>
        <w:jc w:val="right"/>
        <w:rPr>
          <w:rFonts w:ascii="Times New Roman" w:hAnsi="Times New Roman" w:cs="Times New Roman"/>
          <w:sz w:val="24"/>
          <w:szCs w:val="24"/>
          <w:lang w:eastAsia="en-US"/>
        </w:rPr>
      </w:pPr>
    </w:p>
    <w:p w14:paraId="6FE80DAD" w14:textId="77777777" w:rsidR="00FF5A7E" w:rsidRPr="00F07DEB" w:rsidRDefault="00FF5A7E" w:rsidP="00FF5A7E">
      <w:pPr>
        <w:pStyle w:val="NoSpacing"/>
        <w:jc w:val="right"/>
        <w:rPr>
          <w:rFonts w:ascii="Times New Roman" w:hAnsi="Times New Roman" w:cs="Times New Roman"/>
          <w:sz w:val="24"/>
          <w:szCs w:val="24"/>
          <w:lang w:eastAsia="en-US"/>
        </w:rPr>
      </w:pPr>
    </w:p>
    <w:p w14:paraId="3461A96C" w14:textId="77777777" w:rsidR="00FF5A7E" w:rsidRPr="00F07DEB" w:rsidRDefault="00FF5A7E" w:rsidP="00FF5A7E">
      <w:pPr>
        <w:pStyle w:val="NoSpacing"/>
        <w:jc w:val="right"/>
        <w:rPr>
          <w:rFonts w:ascii="Times New Roman" w:hAnsi="Times New Roman" w:cs="Times New Roman"/>
          <w:sz w:val="24"/>
          <w:szCs w:val="24"/>
          <w:lang w:eastAsia="en-US"/>
        </w:rPr>
      </w:pPr>
    </w:p>
    <w:p w14:paraId="21AD6C94" w14:textId="77777777" w:rsidR="00FF5A7E" w:rsidRPr="00F07DEB" w:rsidRDefault="00FF5A7E" w:rsidP="00FF5A7E">
      <w:pPr>
        <w:pStyle w:val="NoSpacing"/>
        <w:jc w:val="right"/>
        <w:rPr>
          <w:rFonts w:ascii="Times New Roman" w:hAnsi="Times New Roman" w:cs="Times New Roman"/>
          <w:sz w:val="24"/>
          <w:szCs w:val="24"/>
          <w:lang w:eastAsia="en-US"/>
        </w:rPr>
      </w:pPr>
    </w:p>
    <w:p w14:paraId="152B232A" w14:textId="77777777" w:rsidR="00FF5A7E" w:rsidRPr="00F07DEB" w:rsidRDefault="00FF5A7E" w:rsidP="00FF5A7E">
      <w:pPr>
        <w:pStyle w:val="NoSpacing"/>
        <w:jc w:val="right"/>
        <w:rPr>
          <w:rFonts w:ascii="Times New Roman" w:hAnsi="Times New Roman" w:cs="Times New Roman"/>
          <w:sz w:val="24"/>
          <w:szCs w:val="24"/>
          <w:lang w:eastAsia="en-US"/>
        </w:rPr>
      </w:pPr>
    </w:p>
    <w:p w14:paraId="5841F5EA" w14:textId="77777777" w:rsidR="00FF5A7E" w:rsidRPr="00F07DEB" w:rsidRDefault="00FF5A7E" w:rsidP="00FF5A7E">
      <w:pPr>
        <w:pStyle w:val="NoSpacing"/>
        <w:jc w:val="right"/>
        <w:rPr>
          <w:rFonts w:ascii="Times New Roman" w:hAnsi="Times New Roman" w:cs="Times New Roman"/>
          <w:sz w:val="24"/>
          <w:szCs w:val="24"/>
          <w:lang w:eastAsia="en-US"/>
        </w:rPr>
      </w:pPr>
    </w:p>
    <w:p w14:paraId="7583FDD4" w14:textId="77777777" w:rsidR="00FF5A7E" w:rsidRPr="00F07DEB" w:rsidRDefault="00FF5A7E" w:rsidP="00FF5A7E">
      <w:pPr>
        <w:pStyle w:val="NoSpacing"/>
        <w:jc w:val="right"/>
        <w:rPr>
          <w:rFonts w:ascii="Times New Roman" w:hAnsi="Times New Roman" w:cs="Times New Roman"/>
          <w:sz w:val="24"/>
          <w:szCs w:val="24"/>
          <w:lang w:eastAsia="en-US"/>
        </w:rPr>
      </w:pPr>
    </w:p>
    <w:p w14:paraId="63AD9677" w14:textId="77777777" w:rsidR="00FF5A7E" w:rsidRPr="00F07DEB" w:rsidRDefault="00FF5A7E" w:rsidP="00FF5A7E">
      <w:pPr>
        <w:pStyle w:val="NoSpacing"/>
        <w:jc w:val="right"/>
        <w:rPr>
          <w:rFonts w:ascii="Times New Roman" w:hAnsi="Times New Roman" w:cs="Times New Roman"/>
          <w:sz w:val="24"/>
          <w:szCs w:val="24"/>
          <w:lang w:eastAsia="en-US"/>
        </w:rPr>
      </w:pPr>
    </w:p>
    <w:p w14:paraId="1572352A" w14:textId="77777777" w:rsidR="00FF5A7E" w:rsidRPr="00F07DEB" w:rsidRDefault="00FF5A7E" w:rsidP="00FF5A7E">
      <w:pPr>
        <w:pStyle w:val="NoSpacing"/>
        <w:jc w:val="right"/>
        <w:rPr>
          <w:rFonts w:ascii="Times New Roman" w:hAnsi="Times New Roman" w:cs="Times New Roman"/>
          <w:sz w:val="24"/>
          <w:szCs w:val="24"/>
          <w:lang w:eastAsia="en-US"/>
        </w:rPr>
      </w:pPr>
    </w:p>
    <w:p w14:paraId="596E4F3E" w14:textId="77777777" w:rsidR="00FF5A7E" w:rsidRPr="00F07DEB" w:rsidRDefault="00FF5A7E" w:rsidP="00FF5A7E">
      <w:pPr>
        <w:pStyle w:val="NoSpacing"/>
        <w:jc w:val="right"/>
        <w:rPr>
          <w:rFonts w:ascii="Times New Roman" w:hAnsi="Times New Roman" w:cs="Times New Roman"/>
          <w:sz w:val="24"/>
          <w:szCs w:val="24"/>
          <w:lang w:eastAsia="en-US"/>
        </w:rPr>
      </w:pPr>
    </w:p>
    <w:p w14:paraId="77E2E632" w14:textId="77777777" w:rsidR="00FF5A7E" w:rsidRPr="00F07DEB" w:rsidRDefault="00FF5A7E" w:rsidP="00FF5A7E">
      <w:pPr>
        <w:pStyle w:val="NoSpacing"/>
        <w:jc w:val="right"/>
        <w:rPr>
          <w:rFonts w:ascii="Times New Roman" w:hAnsi="Times New Roman" w:cs="Times New Roman"/>
          <w:sz w:val="24"/>
          <w:szCs w:val="24"/>
          <w:lang w:eastAsia="en-US"/>
        </w:rPr>
      </w:pPr>
    </w:p>
    <w:p w14:paraId="56A602D9" w14:textId="77777777" w:rsidR="00FF5A7E" w:rsidRPr="00F07DEB" w:rsidRDefault="00FF5A7E" w:rsidP="00FF5A7E">
      <w:pPr>
        <w:pStyle w:val="NoSpacing"/>
        <w:jc w:val="right"/>
        <w:rPr>
          <w:rFonts w:ascii="Times New Roman" w:hAnsi="Times New Roman" w:cs="Times New Roman"/>
          <w:sz w:val="24"/>
          <w:szCs w:val="24"/>
          <w:lang w:eastAsia="en-US"/>
        </w:rPr>
      </w:pPr>
    </w:p>
    <w:p w14:paraId="39C8343F" w14:textId="77777777" w:rsidR="00FF5A7E" w:rsidRPr="00F07DEB" w:rsidRDefault="00FF5A7E" w:rsidP="00FF5A7E">
      <w:pPr>
        <w:pStyle w:val="NoSpacing"/>
        <w:jc w:val="right"/>
        <w:rPr>
          <w:rFonts w:ascii="Times New Roman" w:hAnsi="Times New Roman" w:cs="Times New Roman"/>
          <w:sz w:val="24"/>
          <w:szCs w:val="24"/>
          <w:lang w:eastAsia="en-US"/>
        </w:rPr>
      </w:pPr>
    </w:p>
    <w:p w14:paraId="50892090" w14:textId="77777777" w:rsidR="00FF5A7E" w:rsidRPr="00F07DEB" w:rsidRDefault="00FF5A7E" w:rsidP="00FF5A7E">
      <w:pPr>
        <w:pStyle w:val="NoSpacing"/>
        <w:jc w:val="right"/>
        <w:rPr>
          <w:rFonts w:ascii="Times New Roman" w:hAnsi="Times New Roman" w:cs="Times New Roman"/>
          <w:sz w:val="24"/>
          <w:szCs w:val="24"/>
          <w:lang w:eastAsia="en-US"/>
        </w:rPr>
      </w:pPr>
    </w:p>
    <w:p w14:paraId="37B31FB0" w14:textId="77777777" w:rsidR="00FF5A7E" w:rsidRPr="00F07DEB" w:rsidRDefault="00FF5A7E" w:rsidP="00FF5A7E">
      <w:pPr>
        <w:pStyle w:val="NoSpacing"/>
        <w:jc w:val="right"/>
        <w:rPr>
          <w:rFonts w:ascii="Times New Roman" w:hAnsi="Times New Roman" w:cs="Times New Roman"/>
          <w:sz w:val="24"/>
          <w:szCs w:val="24"/>
          <w:lang w:eastAsia="en-US"/>
        </w:rPr>
      </w:pPr>
    </w:p>
    <w:p w14:paraId="6DD36193" w14:textId="77777777" w:rsidR="00FF5A7E" w:rsidRPr="00F07DEB" w:rsidRDefault="00FF5A7E" w:rsidP="00FF5A7E">
      <w:pPr>
        <w:pStyle w:val="NoSpacing"/>
        <w:jc w:val="right"/>
        <w:rPr>
          <w:rFonts w:ascii="Times New Roman" w:hAnsi="Times New Roman" w:cs="Times New Roman"/>
          <w:sz w:val="24"/>
          <w:szCs w:val="24"/>
          <w:lang w:eastAsia="en-US"/>
        </w:rPr>
      </w:pPr>
    </w:p>
    <w:p w14:paraId="61533EE9" w14:textId="77777777" w:rsidR="00FF5A7E" w:rsidRPr="00F07DEB" w:rsidRDefault="00FF5A7E" w:rsidP="00FF5A7E">
      <w:pPr>
        <w:pStyle w:val="NoSpacing"/>
        <w:jc w:val="right"/>
        <w:rPr>
          <w:rFonts w:ascii="Times New Roman" w:hAnsi="Times New Roman" w:cs="Times New Roman"/>
          <w:sz w:val="24"/>
          <w:szCs w:val="24"/>
          <w:lang w:eastAsia="en-US"/>
        </w:rPr>
      </w:pPr>
    </w:p>
    <w:p w14:paraId="51A149E2" w14:textId="77777777" w:rsidR="00FF5A7E" w:rsidRPr="00F07DEB" w:rsidRDefault="00FF5A7E" w:rsidP="00FF5A7E">
      <w:pPr>
        <w:pStyle w:val="NoSpacing"/>
        <w:jc w:val="right"/>
        <w:rPr>
          <w:rFonts w:ascii="Times New Roman" w:hAnsi="Times New Roman" w:cs="Times New Roman"/>
          <w:sz w:val="24"/>
          <w:szCs w:val="24"/>
          <w:lang w:eastAsia="en-US"/>
        </w:rPr>
      </w:pPr>
    </w:p>
    <w:p w14:paraId="339C49C1" w14:textId="77777777" w:rsidR="00FF5A7E" w:rsidRPr="00F07DEB" w:rsidRDefault="00FF5A7E" w:rsidP="00FF5A7E">
      <w:pPr>
        <w:pStyle w:val="NoSpacing"/>
        <w:jc w:val="right"/>
        <w:rPr>
          <w:rFonts w:ascii="Times New Roman" w:hAnsi="Times New Roman" w:cs="Times New Roman"/>
          <w:sz w:val="24"/>
          <w:szCs w:val="24"/>
          <w:lang w:eastAsia="en-US"/>
        </w:rPr>
      </w:pPr>
    </w:p>
    <w:p w14:paraId="0DC6451C" w14:textId="77777777" w:rsidR="00FF5A7E" w:rsidRPr="00F07DEB" w:rsidRDefault="00FF5A7E" w:rsidP="00FF5A7E">
      <w:pPr>
        <w:pStyle w:val="NoSpacing"/>
        <w:jc w:val="right"/>
        <w:rPr>
          <w:rFonts w:ascii="Times New Roman" w:hAnsi="Times New Roman" w:cs="Times New Roman"/>
          <w:sz w:val="24"/>
          <w:szCs w:val="24"/>
          <w:lang w:eastAsia="en-US"/>
        </w:rPr>
      </w:pPr>
    </w:p>
    <w:p w14:paraId="0A560E67" w14:textId="77777777" w:rsidR="00FF5A7E" w:rsidRPr="00F07DEB" w:rsidRDefault="00FF5A7E" w:rsidP="00FF5A7E">
      <w:pPr>
        <w:pStyle w:val="NoSpacing"/>
        <w:jc w:val="right"/>
        <w:rPr>
          <w:rFonts w:ascii="Times New Roman" w:hAnsi="Times New Roman" w:cs="Times New Roman"/>
          <w:sz w:val="24"/>
          <w:szCs w:val="24"/>
          <w:lang w:eastAsia="en-US"/>
        </w:rPr>
      </w:pPr>
    </w:p>
    <w:p w14:paraId="227346FB" w14:textId="77777777" w:rsidR="00FF5A7E" w:rsidRPr="00F07DEB" w:rsidRDefault="00FF5A7E" w:rsidP="00FF5A7E">
      <w:pPr>
        <w:pStyle w:val="NoSpacing"/>
        <w:jc w:val="right"/>
        <w:rPr>
          <w:rFonts w:ascii="Times New Roman" w:hAnsi="Times New Roman" w:cs="Times New Roman"/>
          <w:sz w:val="24"/>
          <w:szCs w:val="24"/>
          <w:lang w:eastAsia="en-US"/>
        </w:rPr>
      </w:pPr>
    </w:p>
    <w:p w14:paraId="3B76E28D" w14:textId="77777777" w:rsidR="00FF5A7E" w:rsidRPr="00F07DEB" w:rsidRDefault="00FF5A7E" w:rsidP="00FF5A7E">
      <w:pPr>
        <w:pStyle w:val="NoSpacing"/>
        <w:jc w:val="right"/>
        <w:rPr>
          <w:rFonts w:ascii="Times New Roman" w:hAnsi="Times New Roman" w:cs="Times New Roman"/>
          <w:sz w:val="24"/>
          <w:szCs w:val="24"/>
          <w:lang w:eastAsia="en-US"/>
        </w:rPr>
      </w:pPr>
    </w:p>
    <w:p w14:paraId="5ADE0D1E" w14:textId="77777777" w:rsidR="00FF5A7E" w:rsidRPr="00F07DEB" w:rsidRDefault="00FF5A7E" w:rsidP="00FF5A7E">
      <w:pPr>
        <w:pStyle w:val="NoSpacing"/>
        <w:jc w:val="right"/>
        <w:rPr>
          <w:rFonts w:ascii="Times New Roman" w:hAnsi="Times New Roman" w:cs="Times New Roman"/>
          <w:sz w:val="24"/>
          <w:szCs w:val="24"/>
          <w:lang w:eastAsia="en-US"/>
        </w:rPr>
      </w:pPr>
    </w:p>
    <w:p w14:paraId="13AA2632" w14:textId="77777777" w:rsidR="00FF5A7E" w:rsidRPr="00F07DEB" w:rsidRDefault="00FF5A7E" w:rsidP="00FF5A7E">
      <w:pPr>
        <w:pStyle w:val="NoSpacing"/>
        <w:jc w:val="right"/>
        <w:rPr>
          <w:rFonts w:ascii="Times New Roman" w:hAnsi="Times New Roman" w:cs="Times New Roman"/>
          <w:sz w:val="24"/>
          <w:szCs w:val="24"/>
          <w:lang w:eastAsia="en-US"/>
        </w:rPr>
      </w:pPr>
    </w:p>
    <w:p w14:paraId="01880E08" w14:textId="77777777" w:rsidR="00FF5A7E" w:rsidRPr="00F07DEB" w:rsidRDefault="00FF5A7E" w:rsidP="00FF5A7E">
      <w:pPr>
        <w:pStyle w:val="NoSpacing"/>
        <w:jc w:val="right"/>
        <w:rPr>
          <w:rFonts w:ascii="Times New Roman" w:hAnsi="Times New Roman" w:cs="Times New Roman"/>
          <w:sz w:val="24"/>
          <w:szCs w:val="24"/>
          <w:lang w:eastAsia="en-US"/>
        </w:rPr>
      </w:pPr>
    </w:p>
    <w:p w14:paraId="5B8EEF6B" w14:textId="77777777" w:rsidR="00FF5A7E" w:rsidRPr="00F07DEB" w:rsidRDefault="00FF5A7E" w:rsidP="00FF5A7E">
      <w:pPr>
        <w:pStyle w:val="NoSpacing"/>
        <w:jc w:val="right"/>
        <w:rPr>
          <w:rFonts w:ascii="Times New Roman" w:hAnsi="Times New Roman" w:cs="Times New Roman"/>
          <w:sz w:val="24"/>
          <w:szCs w:val="24"/>
          <w:lang w:eastAsia="en-US"/>
        </w:rPr>
      </w:pPr>
    </w:p>
    <w:p w14:paraId="1583C3A7" w14:textId="77777777" w:rsidR="00FF5A7E" w:rsidRPr="00F07DEB" w:rsidRDefault="00FF5A7E" w:rsidP="00FF5A7E">
      <w:pPr>
        <w:pStyle w:val="NoSpacing"/>
        <w:jc w:val="right"/>
        <w:rPr>
          <w:rFonts w:ascii="Times New Roman" w:hAnsi="Times New Roman" w:cs="Times New Roman"/>
          <w:sz w:val="24"/>
          <w:szCs w:val="24"/>
          <w:lang w:eastAsia="en-US"/>
        </w:rPr>
      </w:pPr>
    </w:p>
    <w:p w14:paraId="7AF58C32" w14:textId="77777777" w:rsidR="00FF5A7E" w:rsidRPr="00F07DEB" w:rsidRDefault="00FF5A7E" w:rsidP="00FF5A7E">
      <w:pPr>
        <w:pStyle w:val="NoSpacing"/>
        <w:jc w:val="right"/>
        <w:rPr>
          <w:rFonts w:ascii="Times New Roman" w:hAnsi="Times New Roman" w:cs="Times New Roman"/>
          <w:sz w:val="24"/>
          <w:szCs w:val="24"/>
          <w:lang w:eastAsia="en-US"/>
        </w:rPr>
      </w:pPr>
    </w:p>
    <w:p w14:paraId="391052A6" w14:textId="77777777" w:rsidR="00FF5A7E" w:rsidRPr="00F07DEB" w:rsidRDefault="00FF5A7E" w:rsidP="00FF5A7E">
      <w:pPr>
        <w:pStyle w:val="NoSpacing"/>
        <w:jc w:val="right"/>
        <w:rPr>
          <w:rFonts w:ascii="Times New Roman" w:hAnsi="Times New Roman" w:cs="Times New Roman"/>
          <w:sz w:val="24"/>
          <w:szCs w:val="24"/>
          <w:lang w:eastAsia="en-US"/>
        </w:rPr>
      </w:pPr>
    </w:p>
    <w:p w14:paraId="423F8724" w14:textId="77777777" w:rsidR="00FF5A7E" w:rsidRPr="00F07DEB" w:rsidRDefault="00FF5A7E" w:rsidP="00FF5A7E">
      <w:pPr>
        <w:pStyle w:val="NoSpacing"/>
        <w:jc w:val="right"/>
        <w:rPr>
          <w:rFonts w:ascii="Times New Roman" w:hAnsi="Times New Roman" w:cs="Times New Roman"/>
          <w:sz w:val="24"/>
          <w:szCs w:val="24"/>
          <w:lang w:eastAsia="en-US"/>
        </w:rPr>
      </w:pPr>
    </w:p>
    <w:p w14:paraId="1A304BF1" w14:textId="77777777" w:rsidR="00FF5A7E" w:rsidRPr="00F07DEB" w:rsidRDefault="00FF5A7E" w:rsidP="00FF5A7E">
      <w:pPr>
        <w:pStyle w:val="NoSpacing"/>
        <w:jc w:val="right"/>
        <w:rPr>
          <w:rFonts w:ascii="Times New Roman" w:hAnsi="Times New Roman" w:cs="Times New Roman"/>
          <w:sz w:val="24"/>
          <w:szCs w:val="24"/>
          <w:lang w:eastAsia="en-US"/>
        </w:rPr>
      </w:pPr>
    </w:p>
    <w:p w14:paraId="49DE2A8D" w14:textId="77777777" w:rsidR="00FF5A7E" w:rsidRPr="00F07DEB" w:rsidRDefault="00FF5A7E" w:rsidP="00FF5A7E">
      <w:pPr>
        <w:pStyle w:val="NoSpacing"/>
        <w:jc w:val="right"/>
        <w:rPr>
          <w:rFonts w:ascii="Times New Roman" w:hAnsi="Times New Roman" w:cs="Times New Roman"/>
          <w:sz w:val="24"/>
          <w:szCs w:val="24"/>
          <w:lang w:eastAsia="en-US"/>
        </w:rPr>
      </w:pPr>
    </w:p>
    <w:p w14:paraId="6B13406E" w14:textId="77777777" w:rsidR="00FF5A7E" w:rsidRPr="00F07DEB" w:rsidRDefault="00FF5A7E" w:rsidP="00FF5A7E">
      <w:pPr>
        <w:pStyle w:val="NoSpacing"/>
        <w:jc w:val="right"/>
        <w:rPr>
          <w:rFonts w:ascii="Times New Roman" w:hAnsi="Times New Roman" w:cs="Times New Roman"/>
          <w:sz w:val="24"/>
          <w:szCs w:val="24"/>
          <w:lang w:eastAsia="en-US"/>
        </w:rPr>
      </w:pPr>
    </w:p>
    <w:p w14:paraId="5C9BBAAA" w14:textId="77777777" w:rsidR="00FF5A7E" w:rsidRPr="00F07DEB" w:rsidRDefault="00FF5A7E" w:rsidP="00FF5A7E">
      <w:pPr>
        <w:pStyle w:val="NoSpacing"/>
        <w:jc w:val="right"/>
        <w:rPr>
          <w:rFonts w:ascii="Times New Roman" w:hAnsi="Times New Roman" w:cs="Times New Roman"/>
          <w:sz w:val="24"/>
          <w:szCs w:val="24"/>
          <w:lang w:eastAsia="en-US"/>
        </w:rPr>
      </w:pPr>
    </w:p>
    <w:p w14:paraId="5D54EB97" w14:textId="77777777" w:rsidR="00FF5A7E" w:rsidRPr="00F07DEB" w:rsidRDefault="00FF5A7E" w:rsidP="00FF5A7E">
      <w:pPr>
        <w:pStyle w:val="NoSpacing"/>
        <w:jc w:val="right"/>
        <w:rPr>
          <w:rFonts w:ascii="Times New Roman" w:hAnsi="Times New Roman" w:cs="Times New Roman"/>
          <w:sz w:val="24"/>
          <w:szCs w:val="24"/>
          <w:lang w:eastAsia="en-US"/>
        </w:rPr>
      </w:pPr>
    </w:p>
    <w:p w14:paraId="1DDEE5E9" w14:textId="77777777" w:rsidR="00FF5A7E" w:rsidRPr="00F07DEB" w:rsidRDefault="00FF5A7E" w:rsidP="00FF5A7E">
      <w:pPr>
        <w:pStyle w:val="NoSpacing"/>
        <w:jc w:val="right"/>
        <w:rPr>
          <w:rFonts w:ascii="Times New Roman" w:hAnsi="Times New Roman" w:cs="Times New Roman"/>
          <w:sz w:val="24"/>
          <w:szCs w:val="24"/>
          <w:lang w:eastAsia="en-US"/>
        </w:rPr>
      </w:pPr>
    </w:p>
    <w:p w14:paraId="0B26DE42" w14:textId="77777777" w:rsidR="00FF5A7E" w:rsidRPr="00F07DEB" w:rsidRDefault="00FF5A7E" w:rsidP="00FF5A7E">
      <w:pPr>
        <w:pStyle w:val="NoSpacing"/>
        <w:jc w:val="right"/>
        <w:rPr>
          <w:rFonts w:ascii="Times New Roman" w:hAnsi="Times New Roman" w:cs="Times New Roman"/>
          <w:sz w:val="24"/>
          <w:szCs w:val="24"/>
          <w:lang w:eastAsia="en-US"/>
        </w:rPr>
      </w:pPr>
    </w:p>
    <w:p w14:paraId="6D294FCF" w14:textId="77777777" w:rsidR="00FF5A7E" w:rsidRPr="00F07DEB" w:rsidRDefault="00FF5A7E" w:rsidP="00FF5A7E">
      <w:pPr>
        <w:pStyle w:val="NoSpacing"/>
        <w:jc w:val="right"/>
        <w:rPr>
          <w:rFonts w:ascii="Times New Roman" w:hAnsi="Times New Roman" w:cs="Times New Roman"/>
          <w:sz w:val="24"/>
          <w:szCs w:val="24"/>
          <w:lang w:eastAsia="en-US"/>
        </w:rPr>
      </w:pPr>
    </w:p>
    <w:p w14:paraId="64E79D20" w14:textId="77777777" w:rsidR="00FF5A7E" w:rsidRPr="00F07DEB" w:rsidRDefault="00FF5A7E" w:rsidP="00FF5A7E">
      <w:pPr>
        <w:pStyle w:val="NoSpacing"/>
        <w:jc w:val="right"/>
        <w:rPr>
          <w:rFonts w:ascii="Times New Roman" w:hAnsi="Times New Roman" w:cs="Times New Roman"/>
          <w:sz w:val="24"/>
          <w:szCs w:val="24"/>
          <w:lang w:eastAsia="en-US"/>
        </w:rPr>
      </w:pPr>
    </w:p>
    <w:p w14:paraId="2483C83E" w14:textId="77777777" w:rsidR="00FF5A7E" w:rsidRPr="00F07DEB" w:rsidRDefault="00FF5A7E" w:rsidP="00FF5A7E">
      <w:pPr>
        <w:pStyle w:val="NoSpacing"/>
        <w:jc w:val="right"/>
        <w:rPr>
          <w:rFonts w:ascii="Times New Roman" w:hAnsi="Times New Roman" w:cs="Times New Roman"/>
          <w:sz w:val="24"/>
          <w:szCs w:val="24"/>
          <w:lang w:eastAsia="en-US"/>
        </w:rPr>
      </w:pPr>
    </w:p>
    <w:p w14:paraId="6EA5B069" w14:textId="77777777" w:rsidR="00FF5A7E" w:rsidRPr="00F07DEB" w:rsidRDefault="00FF5A7E" w:rsidP="00FF5A7E">
      <w:pPr>
        <w:pStyle w:val="NoSpacing"/>
        <w:jc w:val="right"/>
        <w:rPr>
          <w:rFonts w:ascii="Times New Roman" w:hAnsi="Times New Roman" w:cs="Times New Roman"/>
          <w:sz w:val="24"/>
          <w:szCs w:val="24"/>
          <w:lang w:eastAsia="en-US"/>
        </w:rPr>
      </w:pPr>
    </w:p>
    <w:p w14:paraId="656DADB2" w14:textId="77777777" w:rsidR="00FF5A7E" w:rsidRPr="00F07DEB" w:rsidRDefault="00FF5A7E" w:rsidP="00FF5A7E">
      <w:pPr>
        <w:pStyle w:val="NoSpacing"/>
        <w:jc w:val="right"/>
        <w:rPr>
          <w:rFonts w:ascii="Times New Roman" w:hAnsi="Times New Roman" w:cs="Times New Roman"/>
          <w:sz w:val="24"/>
          <w:szCs w:val="24"/>
          <w:lang w:eastAsia="en-US"/>
        </w:rPr>
      </w:pPr>
    </w:p>
    <w:p w14:paraId="3BAD61C0" w14:textId="77777777" w:rsidR="00FF5A7E" w:rsidRPr="00F07DEB" w:rsidRDefault="00FF5A7E" w:rsidP="00FF5A7E">
      <w:pPr>
        <w:pStyle w:val="NoSpacing"/>
        <w:jc w:val="right"/>
        <w:rPr>
          <w:rFonts w:ascii="Times New Roman" w:hAnsi="Times New Roman" w:cs="Times New Roman"/>
          <w:sz w:val="24"/>
          <w:szCs w:val="24"/>
          <w:lang w:eastAsia="en-US"/>
        </w:rPr>
      </w:pPr>
    </w:p>
    <w:p w14:paraId="19D31CE1" w14:textId="77777777" w:rsidR="00FF5A7E" w:rsidRPr="00F07DEB" w:rsidRDefault="00FF5A7E" w:rsidP="00FF5A7E">
      <w:pPr>
        <w:pStyle w:val="NoSpacing"/>
        <w:jc w:val="right"/>
        <w:rPr>
          <w:rFonts w:ascii="Times New Roman" w:hAnsi="Times New Roman" w:cs="Times New Roman"/>
          <w:lang w:eastAsia="en-US"/>
        </w:rPr>
      </w:pPr>
    </w:p>
    <w:p w14:paraId="5307B14A" w14:textId="77777777" w:rsidR="00FF5A7E" w:rsidRPr="00F07DEB" w:rsidRDefault="00FF5A7E" w:rsidP="00FF5A7E">
      <w:pPr>
        <w:pStyle w:val="NoSpacing"/>
        <w:jc w:val="right"/>
        <w:rPr>
          <w:rFonts w:ascii="Times New Roman" w:hAnsi="Times New Roman" w:cs="Times New Roman"/>
          <w:lang w:eastAsia="en-US"/>
        </w:rPr>
      </w:pPr>
    </w:p>
    <w:p w14:paraId="69293DA5" w14:textId="77777777" w:rsidR="00FF5A7E" w:rsidRPr="00F07DEB" w:rsidRDefault="00FF5A7E" w:rsidP="00FF5A7E">
      <w:pPr>
        <w:pStyle w:val="NoSpacing"/>
        <w:jc w:val="right"/>
        <w:rPr>
          <w:rFonts w:ascii="Times New Roman" w:hAnsi="Times New Roman" w:cs="Times New Roman"/>
          <w:lang w:eastAsia="en-US"/>
        </w:rPr>
      </w:pPr>
    </w:p>
    <w:p w14:paraId="6E2ED401" w14:textId="77777777" w:rsidR="00FF5A7E" w:rsidRPr="00F07DEB" w:rsidRDefault="00FF5A7E" w:rsidP="00FF5A7E">
      <w:pPr>
        <w:pStyle w:val="NoSpacing"/>
        <w:jc w:val="right"/>
        <w:rPr>
          <w:rFonts w:ascii="Times New Roman" w:hAnsi="Times New Roman" w:cs="Times New Roman"/>
          <w:lang w:eastAsia="en-US"/>
        </w:rPr>
      </w:pPr>
    </w:p>
    <w:p w14:paraId="15882E3D" w14:textId="77777777" w:rsidR="00FF5A7E" w:rsidRPr="00F07DEB" w:rsidRDefault="00FF5A7E" w:rsidP="00FF5A7E">
      <w:pPr>
        <w:pStyle w:val="NoSpacing"/>
        <w:jc w:val="right"/>
        <w:rPr>
          <w:rFonts w:ascii="Times New Roman" w:hAnsi="Times New Roman" w:cs="Times New Roman"/>
          <w:lang w:eastAsia="en-US"/>
        </w:rPr>
      </w:pPr>
    </w:p>
    <w:p w14:paraId="2462A803" w14:textId="3A549BAE" w:rsidR="00FF5A7E" w:rsidRPr="00F07DEB" w:rsidRDefault="00FF5A7E" w:rsidP="00FF5A7E">
      <w:pPr>
        <w:pStyle w:val="NoSpacing"/>
        <w:jc w:val="center"/>
        <w:rPr>
          <w:rFonts w:ascii="Times New Roman" w:hAnsi="Times New Roman" w:cs="Times New Roman"/>
          <w:sz w:val="24"/>
          <w:szCs w:val="24"/>
          <w:lang w:eastAsia="en-US"/>
        </w:rPr>
      </w:pPr>
      <w:r w:rsidRPr="00F07DEB">
        <w:rPr>
          <w:rFonts w:ascii="Times New Roman" w:hAnsi="Times New Roman" w:cs="Times New Roman"/>
          <w:sz w:val="24"/>
          <w:szCs w:val="24"/>
          <w:lang w:eastAsia="en-US"/>
        </w:rPr>
        <w:t>© Copyright by HARPER T. STANFIELD 2020</w:t>
      </w:r>
    </w:p>
    <w:p w14:paraId="72A11163" w14:textId="780D58B6" w:rsidR="00041CAF" w:rsidRDefault="00FF5A7E" w:rsidP="00041CAF">
      <w:pPr>
        <w:pStyle w:val="NoSpacing"/>
        <w:jc w:val="center"/>
        <w:rPr>
          <w:rFonts w:ascii="Times New Roman" w:hAnsi="Times New Roman" w:cs="Times New Roman"/>
          <w:sz w:val="24"/>
          <w:szCs w:val="24"/>
          <w:lang w:eastAsia="en-US"/>
        </w:rPr>
      </w:pPr>
      <w:r w:rsidRPr="00F07DEB">
        <w:rPr>
          <w:rFonts w:ascii="Times New Roman" w:hAnsi="Times New Roman" w:cs="Times New Roman"/>
          <w:sz w:val="24"/>
          <w:szCs w:val="24"/>
          <w:lang w:eastAsia="en-US"/>
        </w:rPr>
        <w:t>All Rights Reserved.</w:t>
      </w:r>
    </w:p>
    <w:p w14:paraId="49DDCB26" w14:textId="77777777" w:rsidR="005E17DE" w:rsidRDefault="005E17DE">
      <w:pPr>
        <w:rPr>
          <w:rFonts w:ascii="Times New Roman" w:hAnsi="Times New Roman" w:cs="Times New Roman"/>
          <w:sz w:val="24"/>
          <w:szCs w:val="24"/>
          <w:lang w:eastAsia="en-US"/>
        </w:rPr>
        <w:sectPr w:rsidR="005E17DE" w:rsidSect="009674BE">
          <w:footerReference w:type="even" r:id="rId11"/>
          <w:footerReference w:type="first" r:id="rId12"/>
          <w:pgSz w:w="12240" w:h="15840"/>
          <w:pgMar w:top="1440" w:right="1440" w:bottom="1440" w:left="1440" w:header="720" w:footer="720" w:gutter="0"/>
          <w:pgNumType w:fmt="lowerRoman"/>
          <w:cols w:space="720"/>
          <w:titlePg/>
          <w:docGrid w:linePitch="360"/>
        </w:sectPr>
      </w:pPr>
    </w:p>
    <w:p w14:paraId="2F518652" w14:textId="10167D9E" w:rsidR="00041CAF" w:rsidRDefault="00041CAF">
      <w:pPr>
        <w:rPr>
          <w:rFonts w:ascii="Times New Roman" w:hAnsi="Times New Roman" w:cs="Times New Roman"/>
          <w:sz w:val="24"/>
          <w:szCs w:val="24"/>
          <w:lang w:eastAsia="en-US"/>
        </w:rPr>
      </w:pPr>
    </w:p>
    <w:p w14:paraId="659AB60D" w14:textId="25DA0308" w:rsidR="00041CAF" w:rsidRPr="00557EB9" w:rsidRDefault="00557EB9" w:rsidP="00557EB9">
      <w:pPr>
        <w:widowControl w:val="0"/>
        <w:autoSpaceDE w:val="0"/>
        <w:autoSpaceDN w:val="0"/>
        <w:adjustRightInd w:val="0"/>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Acknowledgements</w:t>
      </w:r>
    </w:p>
    <w:p w14:paraId="1DE04AFF" w14:textId="77777777" w:rsidR="00557EB9" w:rsidRDefault="00557EB9" w:rsidP="00557EB9">
      <w:pPr>
        <w:rPr>
          <w:rFonts w:cstheme="minorHAnsi"/>
        </w:rPr>
      </w:pPr>
    </w:p>
    <w:p w14:paraId="69A1419E" w14:textId="252C38E0" w:rsidR="000D69ED" w:rsidRDefault="00286779" w:rsidP="000D69ED">
      <w:pPr>
        <w:spacing w:line="480" w:lineRule="auto"/>
        <w:ind w:firstLine="720"/>
        <w:rPr>
          <w:rFonts w:ascii="Times New Roman" w:hAnsi="Times New Roman" w:cs="Times New Roman"/>
          <w:sz w:val="24"/>
          <w:szCs w:val="24"/>
        </w:rPr>
      </w:pPr>
      <w:r>
        <w:rPr>
          <w:rFonts w:ascii="Times New Roman" w:hAnsi="Times New Roman" w:cs="Times New Roman"/>
          <w:sz w:val="24"/>
          <w:szCs w:val="24"/>
        </w:rPr>
        <w:t>First, thank you</w:t>
      </w:r>
      <w:r w:rsidR="00E179CA">
        <w:rPr>
          <w:rFonts w:ascii="Times New Roman" w:hAnsi="Times New Roman" w:cs="Times New Roman"/>
          <w:sz w:val="24"/>
          <w:szCs w:val="24"/>
        </w:rPr>
        <w:t>,</w:t>
      </w:r>
      <w:r>
        <w:rPr>
          <w:rFonts w:ascii="Times New Roman" w:hAnsi="Times New Roman" w:cs="Times New Roman"/>
          <w:sz w:val="24"/>
          <w:szCs w:val="24"/>
        </w:rPr>
        <w:t xml:space="preserve"> Dr. </w:t>
      </w:r>
      <w:proofErr w:type="spellStart"/>
      <w:r>
        <w:rPr>
          <w:rFonts w:ascii="Times New Roman" w:hAnsi="Times New Roman" w:cs="Times New Roman"/>
          <w:sz w:val="24"/>
          <w:szCs w:val="24"/>
        </w:rPr>
        <w:t>Nairn</w:t>
      </w:r>
      <w:proofErr w:type="spellEnd"/>
      <w:r w:rsidR="00E179CA">
        <w:rPr>
          <w:rFonts w:ascii="Times New Roman" w:hAnsi="Times New Roman" w:cs="Times New Roman"/>
          <w:sz w:val="24"/>
          <w:szCs w:val="24"/>
        </w:rPr>
        <w:t>,</w:t>
      </w:r>
      <w:r>
        <w:rPr>
          <w:rFonts w:ascii="Times New Roman" w:hAnsi="Times New Roman" w:cs="Times New Roman"/>
          <w:sz w:val="24"/>
          <w:szCs w:val="24"/>
        </w:rPr>
        <w:t xml:space="preserve"> for mentoring me and remaining </w:t>
      </w:r>
      <w:r w:rsidR="002964A3">
        <w:rPr>
          <w:rFonts w:ascii="Times New Roman" w:hAnsi="Times New Roman" w:cs="Times New Roman"/>
          <w:sz w:val="24"/>
          <w:szCs w:val="24"/>
        </w:rPr>
        <w:t xml:space="preserve">supportive and available </w:t>
      </w:r>
      <w:r>
        <w:rPr>
          <w:rFonts w:ascii="Times New Roman" w:hAnsi="Times New Roman" w:cs="Times New Roman"/>
          <w:sz w:val="24"/>
          <w:szCs w:val="24"/>
        </w:rPr>
        <w:t xml:space="preserve">during a pandemic. </w:t>
      </w:r>
      <w:r w:rsidR="002964A3">
        <w:rPr>
          <w:rFonts w:ascii="Times New Roman" w:hAnsi="Times New Roman" w:cs="Times New Roman"/>
          <w:sz w:val="24"/>
          <w:szCs w:val="24"/>
        </w:rPr>
        <w:t xml:space="preserve">Your </w:t>
      </w:r>
      <w:r w:rsidR="00E34FAF">
        <w:rPr>
          <w:rFonts w:ascii="Times New Roman" w:hAnsi="Times New Roman" w:cs="Times New Roman"/>
          <w:sz w:val="24"/>
          <w:szCs w:val="24"/>
        </w:rPr>
        <w:t xml:space="preserve">careful </w:t>
      </w:r>
      <w:r w:rsidR="002964A3">
        <w:rPr>
          <w:rFonts w:ascii="Times New Roman" w:hAnsi="Times New Roman" w:cs="Times New Roman"/>
          <w:sz w:val="24"/>
          <w:szCs w:val="24"/>
        </w:rPr>
        <w:t xml:space="preserve">attention </w:t>
      </w:r>
      <w:r w:rsidR="00E34FAF">
        <w:rPr>
          <w:rFonts w:ascii="Times New Roman" w:hAnsi="Times New Roman" w:cs="Times New Roman"/>
          <w:sz w:val="24"/>
          <w:szCs w:val="24"/>
        </w:rPr>
        <w:t>shines throughout this document, and I hope to emulate the</w:t>
      </w:r>
      <w:r w:rsidR="00897841">
        <w:rPr>
          <w:rFonts w:ascii="Times New Roman" w:hAnsi="Times New Roman" w:cs="Times New Roman"/>
          <w:sz w:val="24"/>
          <w:szCs w:val="24"/>
        </w:rPr>
        <w:t xml:space="preserve"> patient</w:t>
      </w:r>
      <w:r w:rsidR="00E34FAF">
        <w:rPr>
          <w:rFonts w:ascii="Times New Roman" w:hAnsi="Times New Roman" w:cs="Times New Roman"/>
          <w:sz w:val="24"/>
          <w:szCs w:val="24"/>
        </w:rPr>
        <w:t xml:space="preserve"> </w:t>
      </w:r>
      <w:r w:rsidR="00897841">
        <w:rPr>
          <w:rFonts w:ascii="Times New Roman" w:hAnsi="Times New Roman" w:cs="Times New Roman"/>
          <w:sz w:val="24"/>
          <w:szCs w:val="24"/>
        </w:rPr>
        <w:t>guidance</w:t>
      </w:r>
      <w:r w:rsidR="00E34FAF">
        <w:rPr>
          <w:rFonts w:ascii="Times New Roman" w:hAnsi="Times New Roman" w:cs="Times New Roman"/>
          <w:sz w:val="24"/>
          <w:szCs w:val="24"/>
        </w:rPr>
        <w:t xml:space="preserve"> you’ve shown me and the steadfast zeal for learning you’ve shared with all of us. Dr. Knox, thank you for </w:t>
      </w:r>
      <w:r w:rsidR="003251B5">
        <w:rPr>
          <w:rFonts w:ascii="Times New Roman" w:hAnsi="Times New Roman" w:cs="Times New Roman"/>
          <w:sz w:val="24"/>
          <w:szCs w:val="24"/>
        </w:rPr>
        <w:t xml:space="preserve">affirming my work while simultaneously identifying the details I’ve overlooked and the ways I can improve. Dr. </w:t>
      </w:r>
      <w:proofErr w:type="spellStart"/>
      <w:r w:rsidR="003251B5">
        <w:rPr>
          <w:rFonts w:ascii="Times New Roman" w:hAnsi="Times New Roman" w:cs="Times New Roman"/>
          <w:sz w:val="24"/>
          <w:szCs w:val="24"/>
        </w:rPr>
        <w:t>Strevett</w:t>
      </w:r>
      <w:proofErr w:type="spellEnd"/>
      <w:r w:rsidR="003251B5">
        <w:rPr>
          <w:rFonts w:ascii="Times New Roman" w:hAnsi="Times New Roman" w:cs="Times New Roman"/>
          <w:sz w:val="24"/>
          <w:szCs w:val="24"/>
        </w:rPr>
        <w:t xml:space="preserve">, thank you for asking difficult questions and coaching me through the answers. </w:t>
      </w:r>
    </w:p>
    <w:p w14:paraId="6A0E543C" w14:textId="660E2BF2" w:rsidR="00487F5C" w:rsidRDefault="003251B5" w:rsidP="0089784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am grateful for the assistance of George Martin and Dr. Caryn Vaughn, who coordinated my access to the ARF, answered many questions, and graciously helped me continue my research during uncertain times. I am also thankful for the fertilizer and pest-management recommendations of Courtney DeKalb-Meyers and Bradley </w:t>
      </w:r>
      <w:proofErr w:type="spellStart"/>
      <w:r>
        <w:rPr>
          <w:rFonts w:ascii="Times New Roman" w:hAnsi="Times New Roman" w:cs="Times New Roman"/>
          <w:sz w:val="24"/>
          <w:szCs w:val="24"/>
        </w:rPr>
        <w:t>Secraw</w:t>
      </w:r>
      <w:proofErr w:type="spellEnd"/>
      <w:r>
        <w:rPr>
          <w:rFonts w:ascii="Times New Roman" w:hAnsi="Times New Roman" w:cs="Times New Roman"/>
          <w:sz w:val="24"/>
          <w:szCs w:val="24"/>
        </w:rPr>
        <w:t xml:space="preserve"> at the Cleveland County Extension Office</w:t>
      </w:r>
      <w:r w:rsidR="00487F5C">
        <w:rPr>
          <w:rFonts w:ascii="Times New Roman" w:hAnsi="Times New Roman" w:cs="Times New Roman"/>
          <w:sz w:val="24"/>
          <w:szCs w:val="24"/>
        </w:rPr>
        <w:t xml:space="preserve">. I owe many thanks to all of my CREW colleagues for their assistance in the lab, field, and elsewhere. Brandon, Nick, </w:t>
      </w:r>
      <w:proofErr w:type="spellStart"/>
      <w:r w:rsidR="00487F5C">
        <w:rPr>
          <w:rFonts w:ascii="Times New Roman" w:hAnsi="Times New Roman" w:cs="Times New Roman"/>
          <w:sz w:val="24"/>
          <w:szCs w:val="24"/>
        </w:rPr>
        <w:t>M’Kenzie</w:t>
      </w:r>
      <w:proofErr w:type="spellEnd"/>
      <w:r w:rsidR="00487F5C">
        <w:rPr>
          <w:rFonts w:ascii="Times New Roman" w:hAnsi="Times New Roman" w:cs="Times New Roman"/>
          <w:sz w:val="24"/>
          <w:szCs w:val="24"/>
        </w:rPr>
        <w:t xml:space="preserve">, Carlton, Justine, JD, Maggie, Juan, David, </w:t>
      </w:r>
      <w:proofErr w:type="spellStart"/>
      <w:r w:rsidR="00487F5C">
        <w:rPr>
          <w:rFonts w:ascii="Times New Roman" w:hAnsi="Times New Roman" w:cs="Times New Roman"/>
          <w:sz w:val="24"/>
          <w:szCs w:val="24"/>
        </w:rPr>
        <w:t>Nikhila</w:t>
      </w:r>
      <w:proofErr w:type="spellEnd"/>
      <w:r w:rsidR="00487F5C">
        <w:rPr>
          <w:rFonts w:ascii="Times New Roman" w:hAnsi="Times New Roman" w:cs="Times New Roman"/>
          <w:sz w:val="24"/>
          <w:szCs w:val="24"/>
        </w:rPr>
        <w:t>, Duncan, and Dillon – it was a privilege to work with you, my friends.</w:t>
      </w:r>
      <w:r w:rsidR="00FA16A2">
        <w:rPr>
          <w:rFonts w:ascii="Times New Roman" w:hAnsi="Times New Roman" w:cs="Times New Roman"/>
          <w:sz w:val="24"/>
          <w:szCs w:val="24"/>
        </w:rPr>
        <w:t xml:space="preserve"> Tram, thank you for joining me in this endeavor </w:t>
      </w:r>
      <w:bookmarkStart w:id="0" w:name="_GoBack"/>
      <w:bookmarkEnd w:id="0"/>
      <w:r w:rsidR="00FA16A2">
        <w:rPr>
          <w:rFonts w:ascii="Times New Roman" w:hAnsi="Times New Roman" w:cs="Times New Roman"/>
          <w:sz w:val="24"/>
          <w:szCs w:val="24"/>
        </w:rPr>
        <w:t>and sharing the load.</w:t>
      </w:r>
    </w:p>
    <w:p w14:paraId="6175D663" w14:textId="77777777" w:rsidR="005E17DE" w:rsidRDefault="00897841" w:rsidP="000D69ED">
      <w:pPr>
        <w:spacing w:line="480" w:lineRule="auto"/>
        <w:ind w:firstLine="720"/>
        <w:rPr>
          <w:rFonts w:ascii="Times New Roman" w:hAnsi="Times New Roman" w:cs="Times New Roman"/>
          <w:sz w:val="24"/>
          <w:szCs w:val="24"/>
        </w:rPr>
      </w:pPr>
      <w:r>
        <w:rPr>
          <w:rFonts w:ascii="Times New Roman" w:hAnsi="Times New Roman" w:cs="Times New Roman"/>
          <w:sz w:val="24"/>
          <w:szCs w:val="24"/>
        </w:rPr>
        <w:t>I did not get here alone. Thank you</w:t>
      </w:r>
      <w:r w:rsidR="00E179CA">
        <w:rPr>
          <w:rFonts w:ascii="Times New Roman" w:hAnsi="Times New Roman" w:cs="Times New Roman"/>
          <w:sz w:val="24"/>
          <w:szCs w:val="24"/>
        </w:rPr>
        <w:t>,</w:t>
      </w:r>
      <w:r>
        <w:rPr>
          <w:rFonts w:ascii="Times New Roman" w:hAnsi="Times New Roman" w:cs="Times New Roman"/>
          <w:sz w:val="24"/>
          <w:szCs w:val="24"/>
        </w:rPr>
        <w:t xml:space="preserve"> Mom, Dad, John, </w:t>
      </w:r>
      <w:proofErr w:type="spellStart"/>
      <w:r>
        <w:rPr>
          <w:rFonts w:ascii="Times New Roman" w:hAnsi="Times New Roman" w:cs="Times New Roman"/>
          <w:sz w:val="24"/>
          <w:szCs w:val="24"/>
        </w:rPr>
        <w:t>Gib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Ree</w:t>
      </w:r>
      <w:proofErr w:type="spellEnd"/>
      <w:r>
        <w:rPr>
          <w:rFonts w:ascii="Times New Roman" w:hAnsi="Times New Roman" w:cs="Times New Roman"/>
          <w:sz w:val="24"/>
          <w:szCs w:val="24"/>
        </w:rPr>
        <w:t xml:space="preserve">, Big Harp, Granny, and Papa, for pointing me in the right direction and matching my every step. </w:t>
      </w:r>
      <w:r w:rsidR="000D69ED">
        <w:rPr>
          <w:rFonts w:ascii="Times New Roman" w:hAnsi="Times New Roman" w:cs="Times New Roman"/>
          <w:sz w:val="24"/>
          <w:szCs w:val="24"/>
        </w:rPr>
        <w:t>I began this journey atop an accumulation of love and encouragement, and I continue with so much more in tow.</w:t>
      </w:r>
      <w:r w:rsidR="00557EB9" w:rsidRPr="00C03CAE">
        <w:rPr>
          <w:rFonts w:ascii="Times New Roman" w:hAnsi="Times New Roman" w:cs="Times New Roman"/>
          <w:sz w:val="24"/>
          <w:szCs w:val="24"/>
        </w:rPr>
        <w:t xml:space="preserve"> </w:t>
      </w:r>
    </w:p>
    <w:p w14:paraId="19C4A1C9" w14:textId="77777777" w:rsidR="005E17DE" w:rsidRDefault="00041CAF" w:rsidP="00AE6C37">
      <w:pPr>
        <w:pStyle w:val="TOCHeading"/>
        <w:spacing w:line="240" w:lineRule="auto"/>
        <w:rPr>
          <w:rFonts w:ascii="Times New Roman" w:hAnsi="Times New Roman" w:cs="Times New Roman"/>
          <w:sz w:val="24"/>
          <w:szCs w:val="24"/>
        </w:rPr>
      </w:pPr>
      <w:r>
        <w:rPr>
          <w:rFonts w:ascii="Times New Roman" w:hAnsi="Times New Roman" w:cs="Times New Roman"/>
          <w:sz w:val="24"/>
          <w:szCs w:val="24"/>
        </w:rPr>
        <w:br w:type="page"/>
      </w:r>
    </w:p>
    <w:sdt>
      <w:sdtPr>
        <w:rPr>
          <w:rFonts w:ascii="Times New Roman" w:hAnsi="Times New Roman" w:cs="Times New Roman"/>
        </w:rPr>
        <w:id w:val="-1912228569"/>
        <w:docPartObj>
          <w:docPartGallery w:val="Table of Contents"/>
          <w:docPartUnique/>
        </w:docPartObj>
      </w:sdtPr>
      <w:sdtEndPr>
        <w:rPr>
          <w:b/>
          <w:bCs/>
          <w:noProof/>
          <w:sz w:val="24"/>
          <w:szCs w:val="24"/>
        </w:rPr>
      </w:sdtEndPr>
      <w:sdtContent>
        <w:p w14:paraId="703F76C8" w14:textId="0E6026FE" w:rsidR="00FA5321" w:rsidRPr="00F07DEB" w:rsidRDefault="0037673C" w:rsidP="005E17DE">
          <w:pPr>
            <w:spacing w:line="480" w:lineRule="auto"/>
            <w:ind w:firstLine="720"/>
            <w:rPr>
              <w:rFonts w:ascii="Times New Roman" w:hAnsi="Times New Roman" w:cs="Times New Roman"/>
              <w:b/>
              <w:sz w:val="20"/>
              <w:szCs w:val="20"/>
            </w:rPr>
          </w:pPr>
          <w:r w:rsidRPr="00F07DEB">
            <w:rPr>
              <w:rFonts w:ascii="Times New Roman" w:hAnsi="Times New Roman" w:cs="Times New Roman"/>
              <w:b/>
              <w:sz w:val="20"/>
              <w:szCs w:val="20"/>
            </w:rPr>
            <w:t>Table of C</w:t>
          </w:r>
          <w:r w:rsidR="00FA5321" w:rsidRPr="00F07DEB">
            <w:rPr>
              <w:rFonts w:ascii="Times New Roman" w:hAnsi="Times New Roman" w:cs="Times New Roman"/>
              <w:b/>
              <w:sz w:val="20"/>
              <w:szCs w:val="20"/>
            </w:rPr>
            <w:t>ontents</w:t>
          </w:r>
        </w:p>
        <w:p w14:paraId="0615B50D" w14:textId="77777777" w:rsidR="009C74A3" w:rsidRPr="009C74A3" w:rsidRDefault="00FA5321">
          <w:pPr>
            <w:pStyle w:val="TOC1"/>
            <w:rPr>
              <w:rFonts w:ascii="Times New Roman" w:hAnsi="Times New Roman" w:cs="Times New Roman"/>
              <w:noProof/>
              <w:sz w:val="20"/>
              <w:szCs w:val="20"/>
              <w:lang w:eastAsia="en-US"/>
            </w:rPr>
          </w:pPr>
          <w:r w:rsidRPr="009C74A3">
            <w:rPr>
              <w:rFonts w:ascii="Times New Roman" w:hAnsi="Times New Roman" w:cs="Times New Roman"/>
              <w:b/>
              <w:bCs/>
              <w:noProof/>
              <w:sz w:val="20"/>
              <w:szCs w:val="20"/>
            </w:rPr>
            <w:fldChar w:fldCharType="begin"/>
          </w:r>
          <w:r w:rsidRPr="009C74A3">
            <w:rPr>
              <w:rFonts w:ascii="Times New Roman" w:hAnsi="Times New Roman" w:cs="Times New Roman"/>
              <w:b/>
              <w:bCs/>
              <w:noProof/>
              <w:sz w:val="20"/>
              <w:szCs w:val="20"/>
            </w:rPr>
            <w:instrText xml:space="preserve"> TOC \o "1-3" \h \z \u </w:instrText>
          </w:r>
          <w:r w:rsidRPr="009C74A3">
            <w:rPr>
              <w:rFonts w:ascii="Times New Roman" w:hAnsi="Times New Roman" w:cs="Times New Roman"/>
              <w:b/>
              <w:bCs/>
              <w:noProof/>
              <w:sz w:val="20"/>
              <w:szCs w:val="20"/>
            </w:rPr>
            <w:fldChar w:fldCharType="separate"/>
          </w:r>
          <w:hyperlink w:anchor="_Toc58975147" w:history="1">
            <w:r w:rsidR="009C74A3" w:rsidRPr="009C74A3">
              <w:rPr>
                <w:rStyle w:val="Hyperlink"/>
                <w:rFonts w:ascii="Times New Roman" w:hAnsi="Times New Roman" w:cs="Times New Roman"/>
                <w:noProof/>
                <w:sz w:val="20"/>
                <w:szCs w:val="20"/>
              </w:rPr>
              <w:t>I.</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Introduction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_Toc58975147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w:t>
            </w:r>
            <w:r w:rsidR="009C74A3" w:rsidRPr="009C74A3">
              <w:rPr>
                <w:rFonts w:ascii="Times New Roman" w:hAnsi="Times New Roman" w:cs="Times New Roman"/>
                <w:noProof/>
                <w:webHidden/>
                <w:sz w:val="20"/>
                <w:szCs w:val="20"/>
              </w:rPr>
              <w:fldChar w:fldCharType="end"/>
            </w:r>
          </w:hyperlink>
        </w:p>
        <w:p w14:paraId="09CF6853" w14:textId="77777777" w:rsidR="009C74A3" w:rsidRPr="009C74A3" w:rsidRDefault="005A0289">
          <w:pPr>
            <w:pStyle w:val="TOC1"/>
            <w:rPr>
              <w:rFonts w:ascii="Times New Roman" w:hAnsi="Times New Roman" w:cs="Times New Roman"/>
              <w:noProof/>
              <w:sz w:val="20"/>
              <w:szCs w:val="20"/>
              <w:lang w:eastAsia="en-US"/>
            </w:rPr>
          </w:pPr>
          <w:hyperlink w:anchor="_Toc58975148" w:history="1">
            <w:r w:rsidR="009C74A3" w:rsidRPr="009C74A3">
              <w:rPr>
                <w:rStyle w:val="Hyperlink"/>
                <w:rFonts w:ascii="Times New Roman" w:hAnsi="Times New Roman" w:cs="Times New Roman"/>
                <w:noProof/>
                <w:sz w:val="20"/>
                <w:szCs w:val="20"/>
              </w:rPr>
              <w:t>II.</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Literature Review</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_Toc58975148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4</w:t>
            </w:r>
            <w:r w:rsidR="009C74A3" w:rsidRPr="009C74A3">
              <w:rPr>
                <w:rFonts w:ascii="Times New Roman" w:hAnsi="Times New Roman" w:cs="Times New Roman"/>
                <w:noProof/>
                <w:webHidden/>
                <w:sz w:val="20"/>
                <w:szCs w:val="20"/>
              </w:rPr>
              <w:fldChar w:fldCharType="end"/>
            </w:r>
          </w:hyperlink>
        </w:p>
        <w:p w14:paraId="74E1FF42"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49" w:history="1">
            <w:r w:rsidR="009C74A3" w:rsidRPr="009C74A3">
              <w:rPr>
                <w:rStyle w:val="Hyperlink"/>
                <w:rFonts w:ascii="Times New Roman" w:hAnsi="Times New Roman" w:cs="Times New Roman"/>
                <w:noProof/>
                <w:sz w:val="20"/>
                <w:szCs w:val="20"/>
              </w:rPr>
              <w:t>a.</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Passive Treatment of Mine Drainage in the TSMD</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_Toc58975149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4</w:t>
            </w:r>
            <w:r w:rsidR="009C74A3" w:rsidRPr="009C74A3">
              <w:rPr>
                <w:rFonts w:ascii="Times New Roman" w:hAnsi="Times New Roman" w:cs="Times New Roman"/>
                <w:noProof/>
                <w:webHidden/>
                <w:sz w:val="20"/>
                <w:szCs w:val="20"/>
              </w:rPr>
              <w:fldChar w:fldCharType="end"/>
            </w:r>
          </w:hyperlink>
        </w:p>
        <w:p w14:paraId="1D0A6F47"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50" w:history="1">
            <w:r w:rsidR="009C74A3" w:rsidRPr="009C74A3">
              <w:rPr>
                <w:rStyle w:val="Hyperlink"/>
                <w:rFonts w:ascii="Times New Roman" w:hAnsi="Times New Roman" w:cs="Times New Roman"/>
                <w:noProof/>
                <w:sz w:val="20"/>
                <w:szCs w:val="20"/>
              </w:rPr>
              <w:t>b.</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Reuse of Treated Wastewaters for Animal Consumption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_Toc58975150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7</w:t>
            </w:r>
            <w:r w:rsidR="009C74A3" w:rsidRPr="009C74A3">
              <w:rPr>
                <w:rFonts w:ascii="Times New Roman" w:hAnsi="Times New Roman" w:cs="Times New Roman"/>
                <w:noProof/>
                <w:webHidden/>
                <w:sz w:val="20"/>
                <w:szCs w:val="20"/>
              </w:rPr>
              <w:fldChar w:fldCharType="end"/>
            </w:r>
          </w:hyperlink>
        </w:p>
        <w:p w14:paraId="345BCAA4"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51" w:history="1">
            <w:r w:rsidR="009C74A3" w:rsidRPr="009C74A3">
              <w:rPr>
                <w:rStyle w:val="Hyperlink"/>
                <w:rFonts w:ascii="Times New Roman" w:hAnsi="Times New Roman" w:cs="Times New Roman"/>
                <w:noProof/>
                <w:sz w:val="20"/>
                <w:szCs w:val="20"/>
              </w:rPr>
              <w:t>c.</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Reuse of Treated Wastewaters for Crop Irrigation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_Toc58975151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12</w:t>
            </w:r>
            <w:r w:rsidR="009C74A3" w:rsidRPr="009C74A3">
              <w:rPr>
                <w:rFonts w:ascii="Times New Roman" w:hAnsi="Times New Roman" w:cs="Times New Roman"/>
                <w:noProof/>
                <w:webHidden/>
                <w:sz w:val="20"/>
                <w:szCs w:val="20"/>
              </w:rPr>
              <w:fldChar w:fldCharType="end"/>
            </w:r>
          </w:hyperlink>
        </w:p>
        <w:p w14:paraId="4079B2DF"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52" w:history="1">
            <w:r w:rsidR="009C74A3" w:rsidRPr="009C74A3">
              <w:rPr>
                <w:rStyle w:val="Hyperlink"/>
                <w:rFonts w:ascii="Times New Roman" w:hAnsi="Times New Roman" w:cs="Times New Roman"/>
                <w:noProof/>
                <w:sz w:val="20"/>
                <w:szCs w:val="20"/>
              </w:rPr>
              <w:t>d.</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Plant Growth and Development</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_Toc58975152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24</w:t>
            </w:r>
            <w:r w:rsidR="009C74A3" w:rsidRPr="009C74A3">
              <w:rPr>
                <w:rFonts w:ascii="Times New Roman" w:hAnsi="Times New Roman" w:cs="Times New Roman"/>
                <w:noProof/>
                <w:webHidden/>
                <w:sz w:val="20"/>
                <w:szCs w:val="20"/>
              </w:rPr>
              <w:fldChar w:fldCharType="end"/>
            </w:r>
          </w:hyperlink>
        </w:p>
        <w:p w14:paraId="17CFDED2" w14:textId="77777777" w:rsidR="009C74A3" w:rsidRPr="009C74A3" w:rsidRDefault="005A0289">
          <w:pPr>
            <w:pStyle w:val="TOC1"/>
            <w:rPr>
              <w:rFonts w:ascii="Times New Roman" w:hAnsi="Times New Roman" w:cs="Times New Roman"/>
              <w:noProof/>
              <w:sz w:val="20"/>
              <w:szCs w:val="20"/>
              <w:lang w:eastAsia="en-US"/>
            </w:rPr>
          </w:pPr>
          <w:hyperlink w:anchor="_Toc58975153" w:history="1">
            <w:r w:rsidR="009C74A3" w:rsidRPr="009C74A3">
              <w:rPr>
                <w:rStyle w:val="Hyperlink"/>
                <w:rFonts w:ascii="Times New Roman" w:hAnsi="Times New Roman" w:cs="Times New Roman"/>
                <w:noProof/>
                <w:sz w:val="20"/>
                <w:szCs w:val="20"/>
              </w:rPr>
              <w:t>III.</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Hypotheses, Objectives, and Goals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_Toc58975153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28</w:t>
            </w:r>
            <w:r w:rsidR="009C74A3" w:rsidRPr="009C74A3">
              <w:rPr>
                <w:rFonts w:ascii="Times New Roman" w:hAnsi="Times New Roman" w:cs="Times New Roman"/>
                <w:noProof/>
                <w:webHidden/>
                <w:sz w:val="20"/>
                <w:szCs w:val="20"/>
              </w:rPr>
              <w:fldChar w:fldCharType="end"/>
            </w:r>
          </w:hyperlink>
        </w:p>
        <w:p w14:paraId="1CA3CE8C" w14:textId="77777777" w:rsidR="009C74A3" w:rsidRPr="009C74A3" w:rsidRDefault="005A0289">
          <w:pPr>
            <w:pStyle w:val="TOC1"/>
            <w:rPr>
              <w:rFonts w:ascii="Times New Roman" w:hAnsi="Times New Roman" w:cs="Times New Roman"/>
              <w:noProof/>
              <w:sz w:val="20"/>
              <w:szCs w:val="20"/>
              <w:lang w:eastAsia="en-US"/>
            </w:rPr>
          </w:pPr>
          <w:hyperlink w:anchor="_Toc58975154" w:history="1">
            <w:r w:rsidR="009C74A3" w:rsidRPr="009C74A3">
              <w:rPr>
                <w:rStyle w:val="Hyperlink"/>
                <w:rFonts w:ascii="Times New Roman" w:hAnsi="Times New Roman" w:cs="Times New Roman"/>
                <w:noProof/>
                <w:sz w:val="20"/>
                <w:szCs w:val="20"/>
              </w:rPr>
              <w:t>IV.</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Approach and Methods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_Toc58975154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29</w:t>
            </w:r>
            <w:r w:rsidR="009C74A3" w:rsidRPr="009C74A3">
              <w:rPr>
                <w:rFonts w:ascii="Times New Roman" w:hAnsi="Times New Roman" w:cs="Times New Roman"/>
                <w:noProof/>
                <w:webHidden/>
                <w:sz w:val="20"/>
                <w:szCs w:val="20"/>
              </w:rPr>
              <w:fldChar w:fldCharType="end"/>
            </w:r>
          </w:hyperlink>
        </w:p>
        <w:p w14:paraId="5337836F"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55" w:history="1">
            <w:r w:rsidR="009C74A3" w:rsidRPr="009C74A3">
              <w:rPr>
                <w:rStyle w:val="Hyperlink"/>
                <w:rFonts w:ascii="Times New Roman" w:hAnsi="Times New Roman" w:cs="Times New Roman"/>
                <w:noProof/>
                <w:sz w:val="20"/>
                <w:szCs w:val="20"/>
              </w:rPr>
              <w:t>a.</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Approach</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_Toc58975155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29</w:t>
            </w:r>
            <w:r w:rsidR="009C74A3" w:rsidRPr="009C74A3">
              <w:rPr>
                <w:rFonts w:ascii="Times New Roman" w:hAnsi="Times New Roman" w:cs="Times New Roman"/>
                <w:noProof/>
                <w:webHidden/>
                <w:sz w:val="20"/>
                <w:szCs w:val="20"/>
              </w:rPr>
              <w:fldChar w:fldCharType="end"/>
            </w:r>
          </w:hyperlink>
        </w:p>
        <w:p w14:paraId="13BA2A78"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56" w:history="1">
            <w:r w:rsidR="009C74A3" w:rsidRPr="009C74A3">
              <w:rPr>
                <w:rStyle w:val="Hyperlink"/>
                <w:rFonts w:ascii="Times New Roman" w:hAnsi="Times New Roman" w:cs="Times New Roman"/>
                <w:noProof/>
                <w:sz w:val="20"/>
                <w:szCs w:val="20"/>
              </w:rPr>
              <w:t>b.</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Modeling of Reuse for Livestock Watering</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_Toc58975156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29</w:t>
            </w:r>
            <w:r w:rsidR="009C74A3" w:rsidRPr="009C74A3">
              <w:rPr>
                <w:rFonts w:ascii="Times New Roman" w:hAnsi="Times New Roman" w:cs="Times New Roman"/>
                <w:noProof/>
                <w:webHidden/>
                <w:sz w:val="20"/>
                <w:szCs w:val="20"/>
              </w:rPr>
              <w:fldChar w:fldCharType="end"/>
            </w:r>
          </w:hyperlink>
        </w:p>
        <w:p w14:paraId="67FBFBB5"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57" w:history="1">
            <w:r w:rsidR="009C74A3" w:rsidRPr="009C74A3">
              <w:rPr>
                <w:rStyle w:val="Hyperlink"/>
                <w:rFonts w:ascii="Times New Roman" w:hAnsi="Times New Roman" w:cs="Times New Roman"/>
                <w:noProof/>
                <w:sz w:val="20"/>
                <w:szCs w:val="20"/>
              </w:rPr>
              <w:t>c.</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Crop Irrigation Proof-of-Concept Experimental Setup</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_Toc58975157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30</w:t>
            </w:r>
            <w:r w:rsidR="009C74A3" w:rsidRPr="009C74A3">
              <w:rPr>
                <w:rFonts w:ascii="Times New Roman" w:hAnsi="Times New Roman" w:cs="Times New Roman"/>
                <w:noProof/>
                <w:webHidden/>
                <w:sz w:val="20"/>
                <w:szCs w:val="20"/>
              </w:rPr>
              <w:fldChar w:fldCharType="end"/>
            </w:r>
          </w:hyperlink>
        </w:p>
        <w:p w14:paraId="48F43ED9"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58" w:history="1">
            <w:r w:rsidR="009C74A3" w:rsidRPr="009C74A3">
              <w:rPr>
                <w:rStyle w:val="Hyperlink"/>
                <w:rFonts w:ascii="Times New Roman" w:hAnsi="Times New Roman" w:cs="Times New Roman"/>
                <w:noProof/>
                <w:sz w:val="20"/>
                <w:szCs w:val="20"/>
              </w:rPr>
              <w:t>d.</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Proof-of-Concept Planting, Irrigation, and Data Collection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_Toc58975158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31</w:t>
            </w:r>
            <w:r w:rsidR="009C74A3" w:rsidRPr="009C74A3">
              <w:rPr>
                <w:rFonts w:ascii="Times New Roman" w:hAnsi="Times New Roman" w:cs="Times New Roman"/>
                <w:noProof/>
                <w:webHidden/>
                <w:sz w:val="20"/>
                <w:szCs w:val="20"/>
              </w:rPr>
              <w:fldChar w:fldCharType="end"/>
            </w:r>
          </w:hyperlink>
        </w:p>
        <w:p w14:paraId="5D1BDA7B"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59" w:history="1">
            <w:r w:rsidR="009C74A3" w:rsidRPr="009C74A3">
              <w:rPr>
                <w:rStyle w:val="Hyperlink"/>
                <w:rFonts w:ascii="Times New Roman" w:hAnsi="Times New Roman" w:cs="Times New Roman"/>
                <w:noProof/>
                <w:sz w:val="20"/>
                <w:szCs w:val="20"/>
              </w:rPr>
              <w:t>e.</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Assessment of Grass Germination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_Toc58975159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32</w:t>
            </w:r>
            <w:r w:rsidR="009C74A3" w:rsidRPr="009C74A3">
              <w:rPr>
                <w:rFonts w:ascii="Times New Roman" w:hAnsi="Times New Roman" w:cs="Times New Roman"/>
                <w:noProof/>
                <w:webHidden/>
                <w:sz w:val="20"/>
                <w:szCs w:val="20"/>
              </w:rPr>
              <w:fldChar w:fldCharType="end"/>
            </w:r>
          </w:hyperlink>
        </w:p>
        <w:p w14:paraId="10997DBF"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60" w:history="1">
            <w:r w:rsidR="009C74A3" w:rsidRPr="009C74A3">
              <w:rPr>
                <w:rStyle w:val="Hyperlink"/>
                <w:rFonts w:ascii="Times New Roman" w:hAnsi="Times New Roman" w:cs="Times New Roman"/>
                <w:noProof/>
                <w:sz w:val="20"/>
                <w:szCs w:val="20"/>
              </w:rPr>
              <w:t>f.</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Crop Irrigation Full-Scale Experimental Setup</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_Toc58975160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32</w:t>
            </w:r>
            <w:r w:rsidR="009C74A3" w:rsidRPr="009C74A3">
              <w:rPr>
                <w:rFonts w:ascii="Times New Roman" w:hAnsi="Times New Roman" w:cs="Times New Roman"/>
                <w:noProof/>
                <w:webHidden/>
                <w:sz w:val="20"/>
                <w:szCs w:val="20"/>
              </w:rPr>
              <w:fldChar w:fldCharType="end"/>
            </w:r>
          </w:hyperlink>
        </w:p>
        <w:p w14:paraId="6B79D2CA"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61" w:history="1">
            <w:r w:rsidR="009C74A3" w:rsidRPr="009C74A3">
              <w:rPr>
                <w:rStyle w:val="Hyperlink"/>
                <w:rFonts w:ascii="Times New Roman" w:hAnsi="Times New Roman" w:cs="Times New Roman"/>
                <w:noProof/>
                <w:sz w:val="20"/>
                <w:szCs w:val="20"/>
              </w:rPr>
              <w:t>g.</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Full-Scale Planting, Irrigation, and Data Collection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_Toc58975161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33</w:t>
            </w:r>
            <w:r w:rsidR="009C74A3" w:rsidRPr="009C74A3">
              <w:rPr>
                <w:rFonts w:ascii="Times New Roman" w:hAnsi="Times New Roman" w:cs="Times New Roman"/>
                <w:noProof/>
                <w:webHidden/>
                <w:sz w:val="20"/>
                <w:szCs w:val="20"/>
              </w:rPr>
              <w:fldChar w:fldCharType="end"/>
            </w:r>
          </w:hyperlink>
        </w:p>
        <w:p w14:paraId="3B987762" w14:textId="77777777" w:rsidR="009C74A3" w:rsidRPr="009C74A3" w:rsidRDefault="005A0289">
          <w:pPr>
            <w:pStyle w:val="TOC1"/>
            <w:rPr>
              <w:rFonts w:ascii="Times New Roman" w:hAnsi="Times New Roman" w:cs="Times New Roman"/>
              <w:noProof/>
              <w:sz w:val="20"/>
              <w:szCs w:val="20"/>
              <w:lang w:eastAsia="en-US"/>
            </w:rPr>
          </w:pPr>
          <w:hyperlink w:anchor="_Toc58975162" w:history="1">
            <w:r w:rsidR="009C74A3" w:rsidRPr="009C74A3">
              <w:rPr>
                <w:rStyle w:val="Hyperlink"/>
                <w:rFonts w:ascii="Times New Roman" w:hAnsi="Times New Roman" w:cs="Times New Roman"/>
                <w:noProof/>
                <w:sz w:val="20"/>
                <w:szCs w:val="20"/>
              </w:rPr>
              <w:t>V.</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Results and Discussion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_Toc58975162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38</w:t>
            </w:r>
            <w:r w:rsidR="009C74A3" w:rsidRPr="009C74A3">
              <w:rPr>
                <w:rFonts w:ascii="Times New Roman" w:hAnsi="Times New Roman" w:cs="Times New Roman"/>
                <w:noProof/>
                <w:webHidden/>
                <w:sz w:val="20"/>
                <w:szCs w:val="20"/>
              </w:rPr>
              <w:fldChar w:fldCharType="end"/>
            </w:r>
          </w:hyperlink>
        </w:p>
        <w:p w14:paraId="6328C8EF"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63" w:history="1">
            <w:r w:rsidR="009C74A3" w:rsidRPr="009C74A3">
              <w:rPr>
                <w:rStyle w:val="Hyperlink"/>
                <w:rFonts w:ascii="Times New Roman" w:hAnsi="Times New Roman" w:cs="Times New Roman"/>
                <w:noProof/>
                <w:sz w:val="20"/>
                <w:szCs w:val="20"/>
              </w:rPr>
              <w:t>a.</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Livestock Watering</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_Toc58975163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38</w:t>
            </w:r>
            <w:r w:rsidR="009C74A3" w:rsidRPr="009C74A3">
              <w:rPr>
                <w:rFonts w:ascii="Times New Roman" w:hAnsi="Times New Roman" w:cs="Times New Roman"/>
                <w:noProof/>
                <w:webHidden/>
                <w:sz w:val="20"/>
                <w:szCs w:val="20"/>
              </w:rPr>
              <w:fldChar w:fldCharType="end"/>
            </w:r>
          </w:hyperlink>
        </w:p>
        <w:p w14:paraId="2EB16CF7"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64" w:history="1">
            <w:r w:rsidR="009C74A3" w:rsidRPr="009C74A3">
              <w:rPr>
                <w:rStyle w:val="Hyperlink"/>
                <w:rFonts w:ascii="Times New Roman" w:hAnsi="Times New Roman" w:cs="Times New Roman"/>
                <w:noProof/>
                <w:sz w:val="20"/>
                <w:szCs w:val="20"/>
              </w:rPr>
              <w:t>b.</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Proof-of-Concept Experiment</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_Toc58975164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44</w:t>
            </w:r>
            <w:r w:rsidR="009C74A3" w:rsidRPr="009C74A3">
              <w:rPr>
                <w:rFonts w:ascii="Times New Roman" w:hAnsi="Times New Roman" w:cs="Times New Roman"/>
                <w:noProof/>
                <w:webHidden/>
                <w:sz w:val="20"/>
                <w:szCs w:val="20"/>
              </w:rPr>
              <w:fldChar w:fldCharType="end"/>
            </w:r>
          </w:hyperlink>
        </w:p>
        <w:p w14:paraId="67AE0809" w14:textId="77777777" w:rsidR="009C74A3" w:rsidRPr="009C74A3" w:rsidRDefault="005A0289">
          <w:pPr>
            <w:pStyle w:val="TOC3"/>
            <w:tabs>
              <w:tab w:val="left" w:pos="880"/>
              <w:tab w:val="right" w:leader="dot" w:pos="9350"/>
            </w:tabs>
            <w:rPr>
              <w:rFonts w:ascii="Times New Roman" w:hAnsi="Times New Roman" w:cs="Times New Roman"/>
              <w:noProof/>
              <w:sz w:val="20"/>
              <w:szCs w:val="20"/>
              <w:lang w:eastAsia="en-US"/>
            </w:rPr>
          </w:pPr>
          <w:hyperlink w:anchor="_Toc58975165" w:history="1">
            <w:r w:rsidR="009C74A3" w:rsidRPr="009C74A3">
              <w:rPr>
                <w:rStyle w:val="Hyperlink"/>
                <w:rFonts w:ascii="Times New Roman" w:hAnsi="Times New Roman" w:cs="Times New Roman"/>
                <w:noProof/>
                <w:sz w:val="20"/>
                <w:szCs w:val="20"/>
              </w:rPr>
              <w:t>i.</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Seedling Emergence</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_Toc58975165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44</w:t>
            </w:r>
            <w:r w:rsidR="009C74A3" w:rsidRPr="009C74A3">
              <w:rPr>
                <w:rFonts w:ascii="Times New Roman" w:hAnsi="Times New Roman" w:cs="Times New Roman"/>
                <w:noProof/>
                <w:webHidden/>
                <w:sz w:val="20"/>
                <w:szCs w:val="20"/>
              </w:rPr>
              <w:fldChar w:fldCharType="end"/>
            </w:r>
          </w:hyperlink>
        </w:p>
        <w:p w14:paraId="1A7725FA" w14:textId="77777777" w:rsidR="009C74A3" w:rsidRPr="009C74A3" w:rsidRDefault="005A0289">
          <w:pPr>
            <w:pStyle w:val="TOC3"/>
            <w:tabs>
              <w:tab w:val="left" w:pos="880"/>
              <w:tab w:val="right" w:leader="dot" w:pos="9350"/>
            </w:tabs>
            <w:rPr>
              <w:rFonts w:ascii="Times New Roman" w:hAnsi="Times New Roman" w:cs="Times New Roman"/>
              <w:noProof/>
              <w:sz w:val="20"/>
              <w:szCs w:val="20"/>
              <w:lang w:eastAsia="en-US"/>
            </w:rPr>
          </w:pPr>
          <w:hyperlink w:anchor="_Toc58975166" w:history="1">
            <w:r w:rsidR="009C74A3" w:rsidRPr="009C74A3">
              <w:rPr>
                <w:rStyle w:val="Hyperlink"/>
                <w:rFonts w:ascii="Times New Roman" w:hAnsi="Times New Roman" w:cs="Times New Roman"/>
                <w:noProof/>
                <w:sz w:val="20"/>
                <w:szCs w:val="20"/>
              </w:rPr>
              <w:t>ii.</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Assessment of Grass Germination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_Toc58975166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50</w:t>
            </w:r>
            <w:r w:rsidR="009C74A3" w:rsidRPr="009C74A3">
              <w:rPr>
                <w:rFonts w:ascii="Times New Roman" w:hAnsi="Times New Roman" w:cs="Times New Roman"/>
                <w:noProof/>
                <w:webHidden/>
                <w:sz w:val="20"/>
                <w:szCs w:val="20"/>
              </w:rPr>
              <w:fldChar w:fldCharType="end"/>
            </w:r>
          </w:hyperlink>
        </w:p>
        <w:p w14:paraId="67F8A017"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67" w:history="1">
            <w:r w:rsidR="009C74A3" w:rsidRPr="009C74A3">
              <w:rPr>
                <w:rStyle w:val="Hyperlink"/>
                <w:rFonts w:ascii="Times New Roman" w:hAnsi="Times New Roman" w:cs="Times New Roman"/>
                <w:noProof/>
                <w:sz w:val="20"/>
                <w:szCs w:val="20"/>
              </w:rPr>
              <w:t>c.</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Full-scale Plant Growth Experiment</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_Toc58975167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52</w:t>
            </w:r>
            <w:r w:rsidR="009C74A3" w:rsidRPr="009C74A3">
              <w:rPr>
                <w:rFonts w:ascii="Times New Roman" w:hAnsi="Times New Roman" w:cs="Times New Roman"/>
                <w:noProof/>
                <w:webHidden/>
                <w:sz w:val="20"/>
                <w:szCs w:val="20"/>
              </w:rPr>
              <w:fldChar w:fldCharType="end"/>
            </w:r>
          </w:hyperlink>
        </w:p>
        <w:p w14:paraId="48227C01" w14:textId="77777777" w:rsidR="009C74A3" w:rsidRPr="009C74A3" w:rsidRDefault="005A0289">
          <w:pPr>
            <w:pStyle w:val="TOC3"/>
            <w:tabs>
              <w:tab w:val="left" w:pos="880"/>
              <w:tab w:val="right" w:leader="dot" w:pos="9350"/>
            </w:tabs>
            <w:rPr>
              <w:rFonts w:ascii="Times New Roman" w:hAnsi="Times New Roman" w:cs="Times New Roman"/>
              <w:noProof/>
              <w:sz w:val="20"/>
              <w:szCs w:val="20"/>
              <w:lang w:eastAsia="en-US"/>
            </w:rPr>
          </w:pPr>
          <w:hyperlink w:anchor="_Toc58975168" w:history="1">
            <w:r w:rsidR="009C74A3" w:rsidRPr="009C74A3">
              <w:rPr>
                <w:rStyle w:val="Hyperlink"/>
                <w:rFonts w:ascii="Times New Roman" w:hAnsi="Times New Roman" w:cs="Times New Roman"/>
                <w:noProof/>
                <w:sz w:val="20"/>
                <w:szCs w:val="20"/>
              </w:rPr>
              <w:t>i.</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Daily Light Integral (DLI)</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_Toc58975168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52</w:t>
            </w:r>
            <w:r w:rsidR="009C74A3" w:rsidRPr="009C74A3">
              <w:rPr>
                <w:rFonts w:ascii="Times New Roman" w:hAnsi="Times New Roman" w:cs="Times New Roman"/>
                <w:noProof/>
                <w:webHidden/>
                <w:sz w:val="20"/>
                <w:szCs w:val="20"/>
              </w:rPr>
              <w:fldChar w:fldCharType="end"/>
            </w:r>
          </w:hyperlink>
        </w:p>
        <w:p w14:paraId="6DFC108C" w14:textId="77777777" w:rsidR="009C74A3" w:rsidRPr="009C74A3" w:rsidRDefault="005A0289">
          <w:pPr>
            <w:pStyle w:val="TOC3"/>
            <w:tabs>
              <w:tab w:val="left" w:pos="880"/>
              <w:tab w:val="right" w:leader="dot" w:pos="9350"/>
            </w:tabs>
            <w:rPr>
              <w:rFonts w:ascii="Times New Roman" w:hAnsi="Times New Roman" w:cs="Times New Roman"/>
              <w:noProof/>
              <w:sz w:val="20"/>
              <w:szCs w:val="20"/>
              <w:lang w:eastAsia="en-US"/>
            </w:rPr>
          </w:pPr>
          <w:hyperlink w:anchor="_Toc58975169" w:history="1">
            <w:r w:rsidR="009C74A3" w:rsidRPr="009C74A3">
              <w:rPr>
                <w:rStyle w:val="Hyperlink"/>
                <w:rFonts w:ascii="Times New Roman" w:hAnsi="Times New Roman" w:cs="Times New Roman"/>
                <w:noProof/>
                <w:sz w:val="20"/>
                <w:szCs w:val="20"/>
              </w:rPr>
              <w:t>ii.</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Temperature and Growing Degree Units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_Toc58975169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54</w:t>
            </w:r>
            <w:r w:rsidR="009C74A3" w:rsidRPr="009C74A3">
              <w:rPr>
                <w:rFonts w:ascii="Times New Roman" w:hAnsi="Times New Roman" w:cs="Times New Roman"/>
                <w:noProof/>
                <w:webHidden/>
                <w:sz w:val="20"/>
                <w:szCs w:val="20"/>
              </w:rPr>
              <w:fldChar w:fldCharType="end"/>
            </w:r>
          </w:hyperlink>
        </w:p>
        <w:p w14:paraId="7A13B10F" w14:textId="77777777" w:rsidR="009C74A3" w:rsidRPr="009C74A3" w:rsidRDefault="005A0289">
          <w:pPr>
            <w:pStyle w:val="TOC3"/>
            <w:tabs>
              <w:tab w:val="left" w:pos="880"/>
              <w:tab w:val="right" w:leader="dot" w:pos="9350"/>
            </w:tabs>
            <w:rPr>
              <w:rFonts w:ascii="Times New Roman" w:hAnsi="Times New Roman" w:cs="Times New Roman"/>
              <w:noProof/>
              <w:sz w:val="20"/>
              <w:szCs w:val="20"/>
              <w:lang w:eastAsia="en-US"/>
            </w:rPr>
          </w:pPr>
          <w:hyperlink w:anchor="_Toc58975170" w:history="1">
            <w:r w:rsidR="009C74A3" w:rsidRPr="009C74A3">
              <w:rPr>
                <w:rStyle w:val="Hyperlink"/>
                <w:rFonts w:ascii="Times New Roman" w:hAnsi="Times New Roman" w:cs="Times New Roman"/>
                <w:noProof/>
                <w:sz w:val="20"/>
                <w:szCs w:val="20"/>
              </w:rPr>
              <w:t>iii.</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Irrigation and Precipitation Quantities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_Toc58975170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56</w:t>
            </w:r>
            <w:r w:rsidR="009C74A3" w:rsidRPr="009C74A3">
              <w:rPr>
                <w:rFonts w:ascii="Times New Roman" w:hAnsi="Times New Roman" w:cs="Times New Roman"/>
                <w:noProof/>
                <w:webHidden/>
                <w:sz w:val="20"/>
                <w:szCs w:val="20"/>
              </w:rPr>
              <w:fldChar w:fldCharType="end"/>
            </w:r>
          </w:hyperlink>
        </w:p>
        <w:p w14:paraId="607C835C" w14:textId="77777777" w:rsidR="009C74A3" w:rsidRPr="009C74A3" w:rsidRDefault="005A0289">
          <w:pPr>
            <w:pStyle w:val="TOC3"/>
            <w:tabs>
              <w:tab w:val="left" w:pos="880"/>
              <w:tab w:val="right" w:leader="dot" w:pos="9350"/>
            </w:tabs>
            <w:rPr>
              <w:rFonts w:ascii="Times New Roman" w:hAnsi="Times New Roman" w:cs="Times New Roman"/>
              <w:noProof/>
              <w:sz w:val="20"/>
              <w:szCs w:val="20"/>
              <w:lang w:eastAsia="en-US"/>
            </w:rPr>
          </w:pPr>
          <w:hyperlink w:anchor="_Toc58975171" w:history="1">
            <w:r w:rsidR="009C74A3" w:rsidRPr="009C74A3">
              <w:rPr>
                <w:rStyle w:val="Hyperlink"/>
                <w:rFonts w:ascii="Times New Roman" w:hAnsi="Times New Roman" w:cs="Times New Roman"/>
                <w:noProof/>
                <w:sz w:val="20"/>
                <w:szCs w:val="20"/>
              </w:rPr>
              <w:t>iv.</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Fertilizer</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_Toc58975171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58</w:t>
            </w:r>
            <w:r w:rsidR="009C74A3" w:rsidRPr="009C74A3">
              <w:rPr>
                <w:rFonts w:ascii="Times New Roman" w:hAnsi="Times New Roman" w:cs="Times New Roman"/>
                <w:noProof/>
                <w:webHidden/>
                <w:sz w:val="20"/>
                <w:szCs w:val="20"/>
              </w:rPr>
              <w:fldChar w:fldCharType="end"/>
            </w:r>
          </w:hyperlink>
        </w:p>
        <w:p w14:paraId="23C84474" w14:textId="77777777" w:rsidR="009C74A3" w:rsidRPr="009C74A3" w:rsidRDefault="005A0289">
          <w:pPr>
            <w:pStyle w:val="TOC3"/>
            <w:tabs>
              <w:tab w:val="left" w:pos="880"/>
              <w:tab w:val="right" w:leader="dot" w:pos="9350"/>
            </w:tabs>
            <w:rPr>
              <w:rFonts w:ascii="Times New Roman" w:hAnsi="Times New Roman" w:cs="Times New Roman"/>
              <w:noProof/>
              <w:sz w:val="20"/>
              <w:szCs w:val="20"/>
              <w:lang w:eastAsia="en-US"/>
            </w:rPr>
          </w:pPr>
          <w:hyperlink w:anchor="_Toc58975172" w:history="1">
            <w:r w:rsidR="009C74A3" w:rsidRPr="009C74A3">
              <w:rPr>
                <w:rStyle w:val="Hyperlink"/>
                <w:rFonts w:ascii="Times New Roman" w:hAnsi="Times New Roman" w:cs="Times New Roman"/>
                <w:noProof/>
                <w:sz w:val="20"/>
                <w:szCs w:val="20"/>
              </w:rPr>
              <w:t>v.</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Irrigation Water Quality</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_Toc58975172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60</w:t>
            </w:r>
            <w:r w:rsidR="009C74A3" w:rsidRPr="009C74A3">
              <w:rPr>
                <w:rFonts w:ascii="Times New Roman" w:hAnsi="Times New Roman" w:cs="Times New Roman"/>
                <w:noProof/>
                <w:webHidden/>
                <w:sz w:val="20"/>
                <w:szCs w:val="20"/>
              </w:rPr>
              <w:fldChar w:fldCharType="end"/>
            </w:r>
          </w:hyperlink>
        </w:p>
        <w:p w14:paraId="54F6DC6C" w14:textId="77777777" w:rsidR="009C74A3" w:rsidRPr="009C74A3" w:rsidRDefault="005A0289">
          <w:pPr>
            <w:pStyle w:val="TOC3"/>
            <w:tabs>
              <w:tab w:val="left" w:pos="880"/>
              <w:tab w:val="right" w:leader="dot" w:pos="9350"/>
            </w:tabs>
            <w:rPr>
              <w:rFonts w:ascii="Times New Roman" w:hAnsi="Times New Roman" w:cs="Times New Roman"/>
              <w:noProof/>
              <w:sz w:val="20"/>
              <w:szCs w:val="20"/>
              <w:lang w:eastAsia="en-US"/>
            </w:rPr>
          </w:pPr>
          <w:hyperlink w:anchor="_Toc58975173" w:history="1">
            <w:r w:rsidR="009C74A3" w:rsidRPr="009C74A3">
              <w:rPr>
                <w:rStyle w:val="Hyperlink"/>
                <w:rFonts w:ascii="Times New Roman" w:hAnsi="Times New Roman" w:cs="Times New Roman"/>
                <w:noProof/>
                <w:sz w:val="20"/>
                <w:szCs w:val="20"/>
              </w:rPr>
              <w:t>vi.</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Seedling Emergence</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_Toc58975173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64</w:t>
            </w:r>
            <w:r w:rsidR="009C74A3" w:rsidRPr="009C74A3">
              <w:rPr>
                <w:rFonts w:ascii="Times New Roman" w:hAnsi="Times New Roman" w:cs="Times New Roman"/>
                <w:noProof/>
                <w:webHidden/>
                <w:sz w:val="20"/>
                <w:szCs w:val="20"/>
              </w:rPr>
              <w:fldChar w:fldCharType="end"/>
            </w:r>
          </w:hyperlink>
        </w:p>
        <w:p w14:paraId="1D73039D" w14:textId="77777777" w:rsidR="009C74A3" w:rsidRPr="009C74A3" w:rsidRDefault="005A0289">
          <w:pPr>
            <w:pStyle w:val="TOC3"/>
            <w:tabs>
              <w:tab w:val="left" w:pos="1100"/>
              <w:tab w:val="right" w:leader="dot" w:pos="9350"/>
            </w:tabs>
            <w:rPr>
              <w:rFonts w:ascii="Times New Roman" w:hAnsi="Times New Roman" w:cs="Times New Roman"/>
              <w:noProof/>
              <w:sz w:val="20"/>
              <w:szCs w:val="20"/>
              <w:lang w:eastAsia="en-US"/>
            </w:rPr>
          </w:pPr>
          <w:hyperlink w:anchor="_Toc58975174" w:history="1">
            <w:r w:rsidR="009C74A3" w:rsidRPr="009C74A3">
              <w:rPr>
                <w:rStyle w:val="Hyperlink"/>
                <w:rFonts w:ascii="Times New Roman" w:hAnsi="Times New Roman" w:cs="Times New Roman"/>
                <w:noProof/>
                <w:sz w:val="20"/>
                <w:szCs w:val="20"/>
              </w:rPr>
              <w:t>vii.</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Plant Growth</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_Toc58975174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68</w:t>
            </w:r>
            <w:r w:rsidR="009C74A3" w:rsidRPr="009C74A3">
              <w:rPr>
                <w:rFonts w:ascii="Times New Roman" w:hAnsi="Times New Roman" w:cs="Times New Roman"/>
                <w:noProof/>
                <w:webHidden/>
                <w:sz w:val="20"/>
                <w:szCs w:val="20"/>
              </w:rPr>
              <w:fldChar w:fldCharType="end"/>
            </w:r>
          </w:hyperlink>
        </w:p>
        <w:p w14:paraId="605E527C" w14:textId="77777777" w:rsidR="009C74A3" w:rsidRPr="009C74A3" w:rsidRDefault="005A0289">
          <w:pPr>
            <w:pStyle w:val="TOC3"/>
            <w:tabs>
              <w:tab w:val="left" w:pos="1100"/>
              <w:tab w:val="right" w:leader="dot" w:pos="9350"/>
            </w:tabs>
            <w:rPr>
              <w:rFonts w:ascii="Times New Roman" w:hAnsi="Times New Roman" w:cs="Times New Roman"/>
              <w:noProof/>
              <w:sz w:val="20"/>
              <w:szCs w:val="20"/>
              <w:lang w:eastAsia="en-US"/>
            </w:rPr>
          </w:pPr>
          <w:hyperlink w:anchor="_Toc58975175" w:history="1">
            <w:r w:rsidR="009C74A3" w:rsidRPr="009C74A3">
              <w:rPr>
                <w:rStyle w:val="Hyperlink"/>
                <w:rFonts w:ascii="Times New Roman" w:hAnsi="Times New Roman" w:cs="Times New Roman"/>
                <w:noProof/>
                <w:sz w:val="20"/>
                <w:szCs w:val="20"/>
              </w:rPr>
              <w:t>viii.</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Plant Biomass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_Toc58975175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73</w:t>
            </w:r>
            <w:r w:rsidR="009C74A3" w:rsidRPr="009C74A3">
              <w:rPr>
                <w:rFonts w:ascii="Times New Roman" w:hAnsi="Times New Roman" w:cs="Times New Roman"/>
                <w:noProof/>
                <w:webHidden/>
                <w:sz w:val="20"/>
                <w:szCs w:val="20"/>
              </w:rPr>
              <w:fldChar w:fldCharType="end"/>
            </w:r>
          </w:hyperlink>
        </w:p>
        <w:p w14:paraId="1D8F3E95" w14:textId="77777777" w:rsidR="009C74A3" w:rsidRPr="009C74A3" w:rsidRDefault="005A0289">
          <w:pPr>
            <w:pStyle w:val="TOC3"/>
            <w:tabs>
              <w:tab w:val="left" w:pos="880"/>
              <w:tab w:val="right" w:leader="dot" w:pos="9350"/>
            </w:tabs>
            <w:rPr>
              <w:rFonts w:ascii="Times New Roman" w:hAnsi="Times New Roman" w:cs="Times New Roman"/>
              <w:noProof/>
              <w:sz w:val="20"/>
              <w:szCs w:val="20"/>
              <w:lang w:eastAsia="en-US"/>
            </w:rPr>
          </w:pPr>
          <w:hyperlink w:anchor="_Toc58975176" w:history="1">
            <w:r w:rsidR="009C74A3" w:rsidRPr="009C74A3">
              <w:rPr>
                <w:rStyle w:val="Hyperlink"/>
                <w:rFonts w:ascii="Times New Roman" w:hAnsi="Times New Roman" w:cs="Times New Roman"/>
                <w:noProof/>
                <w:sz w:val="20"/>
                <w:szCs w:val="20"/>
              </w:rPr>
              <w:t>ix.</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Plant Metal Uptake</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_Toc58975176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79</w:t>
            </w:r>
            <w:r w:rsidR="009C74A3" w:rsidRPr="009C74A3">
              <w:rPr>
                <w:rFonts w:ascii="Times New Roman" w:hAnsi="Times New Roman" w:cs="Times New Roman"/>
                <w:noProof/>
                <w:webHidden/>
                <w:sz w:val="20"/>
                <w:szCs w:val="20"/>
              </w:rPr>
              <w:fldChar w:fldCharType="end"/>
            </w:r>
          </w:hyperlink>
        </w:p>
        <w:p w14:paraId="1B60A44F" w14:textId="77777777" w:rsidR="009C74A3" w:rsidRPr="009C74A3" w:rsidRDefault="005A0289">
          <w:pPr>
            <w:pStyle w:val="TOC3"/>
            <w:tabs>
              <w:tab w:val="left" w:pos="880"/>
              <w:tab w:val="right" w:leader="dot" w:pos="9350"/>
            </w:tabs>
            <w:rPr>
              <w:rFonts w:ascii="Times New Roman" w:hAnsi="Times New Roman" w:cs="Times New Roman"/>
              <w:noProof/>
              <w:sz w:val="20"/>
              <w:szCs w:val="20"/>
              <w:lang w:eastAsia="en-US"/>
            </w:rPr>
          </w:pPr>
          <w:hyperlink w:anchor="_Toc58975177" w:history="1">
            <w:r w:rsidR="009C74A3" w:rsidRPr="009C74A3">
              <w:rPr>
                <w:rStyle w:val="Hyperlink"/>
                <w:rFonts w:ascii="Times New Roman" w:hAnsi="Times New Roman" w:cs="Times New Roman"/>
                <w:noProof/>
                <w:sz w:val="20"/>
                <w:szCs w:val="20"/>
              </w:rPr>
              <w:t>x.</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Substrate pH and Metal Concentrations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_Toc58975177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104</w:t>
            </w:r>
            <w:r w:rsidR="009C74A3" w:rsidRPr="009C74A3">
              <w:rPr>
                <w:rFonts w:ascii="Times New Roman" w:hAnsi="Times New Roman" w:cs="Times New Roman"/>
                <w:noProof/>
                <w:webHidden/>
                <w:sz w:val="20"/>
                <w:szCs w:val="20"/>
              </w:rPr>
              <w:fldChar w:fldCharType="end"/>
            </w:r>
          </w:hyperlink>
        </w:p>
        <w:p w14:paraId="658C3DCB" w14:textId="77777777" w:rsidR="009C74A3" w:rsidRPr="009C74A3" w:rsidRDefault="005A0289">
          <w:pPr>
            <w:pStyle w:val="TOC1"/>
            <w:rPr>
              <w:rFonts w:ascii="Times New Roman" w:hAnsi="Times New Roman" w:cs="Times New Roman"/>
              <w:noProof/>
              <w:sz w:val="20"/>
              <w:szCs w:val="20"/>
              <w:lang w:eastAsia="en-US"/>
            </w:rPr>
          </w:pPr>
          <w:hyperlink w:anchor="_Toc58975178" w:history="1">
            <w:r w:rsidR="009C74A3" w:rsidRPr="009C74A3">
              <w:rPr>
                <w:rStyle w:val="Hyperlink"/>
                <w:rFonts w:ascii="Times New Roman" w:hAnsi="Times New Roman" w:cs="Times New Roman"/>
                <w:noProof/>
                <w:sz w:val="20"/>
                <w:szCs w:val="20"/>
              </w:rPr>
              <w:t>VI.</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Conclusions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_Toc58975178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108</w:t>
            </w:r>
            <w:r w:rsidR="009C74A3" w:rsidRPr="009C74A3">
              <w:rPr>
                <w:rFonts w:ascii="Times New Roman" w:hAnsi="Times New Roman" w:cs="Times New Roman"/>
                <w:noProof/>
                <w:webHidden/>
                <w:sz w:val="20"/>
                <w:szCs w:val="20"/>
              </w:rPr>
              <w:fldChar w:fldCharType="end"/>
            </w:r>
          </w:hyperlink>
        </w:p>
        <w:p w14:paraId="502B7F71" w14:textId="77777777" w:rsidR="009C74A3" w:rsidRPr="009C74A3" w:rsidRDefault="005A0289">
          <w:pPr>
            <w:pStyle w:val="TOC1"/>
            <w:rPr>
              <w:rFonts w:ascii="Times New Roman" w:hAnsi="Times New Roman" w:cs="Times New Roman"/>
              <w:noProof/>
              <w:sz w:val="20"/>
              <w:szCs w:val="20"/>
              <w:lang w:eastAsia="en-US"/>
            </w:rPr>
          </w:pPr>
          <w:hyperlink w:anchor="_Toc58975179" w:history="1">
            <w:r w:rsidR="009C74A3" w:rsidRPr="009C74A3">
              <w:rPr>
                <w:rStyle w:val="Hyperlink"/>
                <w:rFonts w:ascii="Times New Roman" w:hAnsi="Times New Roman" w:cs="Times New Roman"/>
                <w:noProof/>
                <w:sz w:val="20"/>
                <w:szCs w:val="20"/>
              </w:rPr>
              <w:t>VII.</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Literature Cited</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_Toc58975179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112</w:t>
            </w:r>
            <w:r w:rsidR="009C74A3" w:rsidRPr="009C74A3">
              <w:rPr>
                <w:rFonts w:ascii="Times New Roman" w:hAnsi="Times New Roman" w:cs="Times New Roman"/>
                <w:noProof/>
                <w:webHidden/>
                <w:sz w:val="20"/>
                <w:szCs w:val="20"/>
              </w:rPr>
              <w:fldChar w:fldCharType="end"/>
            </w:r>
          </w:hyperlink>
        </w:p>
        <w:p w14:paraId="2FC50511" w14:textId="77777777" w:rsidR="009C74A3" w:rsidRPr="009C74A3" w:rsidRDefault="005A0289">
          <w:pPr>
            <w:pStyle w:val="TOC1"/>
            <w:rPr>
              <w:rFonts w:ascii="Times New Roman" w:hAnsi="Times New Roman" w:cs="Times New Roman"/>
              <w:noProof/>
              <w:sz w:val="20"/>
              <w:szCs w:val="20"/>
              <w:lang w:eastAsia="en-US"/>
            </w:rPr>
          </w:pPr>
          <w:hyperlink w:anchor="_Toc58975180" w:history="1">
            <w:r w:rsidR="009C74A3" w:rsidRPr="009C74A3">
              <w:rPr>
                <w:rStyle w:val="Hyperlink"/>
                <w:rFonts w:ascii="Times New Roman" w:hAnsi="Times New Roman" w:cs="Times New Roman"/>
                <w:noProof/>
                <w:sz w:val="20"/>
                <w:szCs w:val="20"/>
              </w:rPr>
              <w:t>VIII.</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Appendices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_Toc58975180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126</w:t>
            </w:r>
            <w:r w:rsidR="009C74A3" w:rsidRPr="009C74A3">
              <w:rPr>
                <w:rFonts w:ascii="Times New Roman" w:hAnsi="Times New Roman" w:cs="Times New Roman"/>
                <w:noProof/>
                <w:webHidden/>
                <w:sz w:val="20"/>
                <w:szCs w:val="20"/>
              </w:rPr>
              <w:fldChar w:fldCharType="end"/>
            </w:r>
          </w:hyperlink>
        </w:p>
        <w:p w14:paraId="3460300C"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81" w:history="1">
            <w:r w:rsidR="009C74A3" w:rsidRPr="009C74A3">
              <w:rPr>
                <w:rStyle w:val="Hyperlink"/>
                <w:rFonts w:ascii="Times New Roman" w:hAnsi="Times New Roman" w:cs="Times New Roman"/>
                <w:noProof/>
                <w:sz w:val="20"/>
                <w:szCs w:val="20"/>
              </w:rPr>
              <w:t>a.</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Appendix A: Irrigation Water Quality</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_Toc58975181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126</w:t>
            </w:r>
            <w:r w:rsidR="009C74A3" w:rsidRPr="009C74A3">
              <w:rPr>
                <w:rFonts w:ascii="Times New Roman" w:hAnsi="Times New Roman" w:cs="Times New Roman"/>
                <w:noProof/>
                <w:webHidden/>
                <w:sz w:val="20"/>
                <w:szCs w:val="20"/>
              </w:rPr>
              <w:fldChar w:fldCharType="end"/>
            </w:r>
          </w:hyperlink>
        </w:p>
        <w:p w14:paraId="69201226"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82" w:history="1">
            <w:r w:rsidR="009C74A3" w:rsidRPr="009C74A3">
              <w:rPr>
                <w:rStyle w:val="Hyperlink"/>
                <w:rFonts w:ascii="Times New Roman" w:hAnsi="Times New Roman" w:cs="Times New Roman"/>
                <w:noProof/>
                <w:sz w:val="20"/>
                <w:szCs w:val="20"/>
              </w:rPr>
              <w:t>b.</w:t>
            </w:r>
            <w:r w:rsidR="009C74A3" w:rsidRPr="009C74A3">
              <w:rPr>
                <w:rFonts w:ascii="Times New Roman" w:hAnsi="Times New Roman" w:cs="Times New Roman"/>
                <w:noProof/>
                <w:sz w:val="20"/>
                <w:szCs w:val="20"/>
                <w:lang w:eastAsia="en-US"/>
              </w:rPr>
              <w:tab/>
            </w:r>
            <w:r w:rsidR="009C74A3" w:rsidRPr="009C0DE7">
              <w:rPr>
                <w:rStyle w:val="Hyperlink"/>
                <w:rFonts w:ascii="Times New Roman" w:hAnsi="Times New Roman" w:cs="Times New Roman"/>
                <w:noProof/>
                <w:sz w:val="20"/>
                <w:szCs w:val="20"/>
              </w:rPr>
              <w:t>Appendix B</w:t>
            </w:r>
            <w:r w:rsidR="009C74A3" w:rsidRPr="009C74A3">
              <w:rPr>
                <w:rStyle w:val="Hyperlink"/>
                <w:rFonts w:ascii="Times New Roman" w:hAnsi="Times New Roman" w:cs="Times New Roman"/>
                <w:noProof/>
                <w:sz w:val="20"/>
                <w:szCs w:val="20"/>
              </w:rPr>
              <w:t>: Plant Height and Biomass Production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_Toc58975182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126</w:t>
            </w:r>
            <w:r w:rsidR="009C74A3" w:rsidRPr="009C74A3">
              <w:rPr>
                <w:rFonts w:ascii="Times New Roman" w:hAnsi="Times New Roman" w:cs="Times New Roman"/>
                <w:noProof/>
                <w:webHidden/>
                <w:sz w:val="20"/>
                <w:szCs w:val="20"/>
              </w:rPr>
              <w:fldChar w:fldCharType="end"/>
            </w:r>
          </w:hyperlink>
        </w:p>
        <w:p w14:paraId="0E653B30" w14:textId="77777777"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83" w:history="1">
            <w:r w:rsidR="009C74A3" w:rsidRPr="009C74A3">
              <w:rPr>
                <w:rStyle w:val="Hyperlink"/>
                <w:rFonts w:ascii="Times New Roman" w:hAnsi="Times New Roman" w:cs="Times New Roman"/>
                <w:noProof/>
                <w:sz w:val="20"/>
                <w:szCs w:val="20"/>
              </w:rPr>
              <w:t>c.</w:t>
            </w:r>
            <w:r w:rsidR="009C74A3" w:rsidRPr="009C74A3">
              <w:rPr>
                <w:rFonts w:ascii="Times New Roman" w:hAnsi="Times New Roman" w:cs="Times New Roman"/>
                <w:noProof/>
                <w:sz w:val="20"/>
                <w:szCs w:val="20"/>
                <w:lang w:eastAsia="en-US"/>
              </w:rPr>
              <w:tab/>
            </w:r>
            <w:r w:rsidR="009C74A3" w:rsidRPr="009C74A3">
              <w:rPr>
                <w:rStyle w:val="Hyperlink"/>
                <w:rFonts w:ascii="Times New Roman" w:hAnsi="Times New Roman" w:cs="Times New Roman"/>
                <w:noProof/>
                <w:sz w:val="20"/>
                <w:szCs w:val="20"/>
              </w:rPr>
              <w:t>Appendix C: Metals Concentrations in Plants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_Toc58975183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135</w:t>
            </w:r>
            <w:r w:rsidR="009C74A3" w:rsidRPr="009C74A3">
              <w:rPr>
                <w:rFonts w:ascii="Times New Roman" w:hAnsi="Times New Roman" w:cs="Times New Roman"/>
                <w:noProof/>
                <w:webHidden/>
                <w:sz w:val="20"/>
                <w:szCs w:val="20"/>
              </w:rPr>
              <w:fldChar w:fldCharType="end"/>
            </w:r>
          </w:hyperlink>
        </w:p>
        <w:p w14:paraId="5C9C4BD2" w14:textId="735DC13B" w:rsidR="009C74A3" w:rsidRPr="009C74A3" w:rsidRDefault="005A0289">
          <w:pPr>
            <w:pStyle w:val="TOC2"/>
            <w:tabs>
              <w:tab w:val="left" w:pos="660"/>
              <w:tab w:val="right" w:leader="dot" w:pos="9350"/>
            </w:tabs>
            <w:rPr>
              <w:rFonts w:ascii="Times New Roman" w:hAnsi="Times New Roman" w:cs="Times New Roman"/>
              <w:noProof/>
              <w:sz w:val="20"/>
              <w:szCs w:val="20"/>
              <w:lang w:eastAsia="en-US"/>
            </w:rPr>
          </w:pPr>
          <w:hyperlink w:anchor="_Toc58975184" w:history="1">
            <w:r w:rsidR="009C74A3" w:rsidRPr="009C74A3">
              <w:rPr>
                <w:rStyle w:val="Hyperlink"/>
                <w:rFonts w:ascii="Times New Roman" w:hAnsi="Times New Roman" w:cs="Times New Roman"/>
                <w:noProof/>
                <w:sz w:val="20"/>
                <w:szCs w:val="20"/>
              </w:rPr>
              <w:t>d.</w:t>
            </w:r>
            <w:r w:rsidR="009C74A3" w:rsidRPr="009C74A3">
              <w:rPr>
                <w:rFonts w:ascii="Times New Roman" w:hAnsi="Times New Roman" w:cs="Times New Roman"/>
                <w:noProof/>
                <w:sz w:val="20"/>
                <w:szCs w:val="20"/>
                <w:lang w:eastAsia="en-US"/>
              </w:rPr>
              <w:tab/>
            </w:r>
            <w:r w:rsidR="00565FDD">
              <w:rPr>
                <w:rStyle w:val="Hyperlink"/>
                <w:rFonts w:ascii="Times New Roman" w:hAnsi="Times New Roman" w:cs="Times New Roman"/>
                <w:noProof/>
                <w:sz w:val="20"/>
                <w:szCs w:val="20"/>
              </w:rPr>
              <w:t>Appendix D: Metals Concentrations</w:t>
            </w:r>
            <w:r w:rsidR="009C74A3" w:rsidRPr="009C74A3">
              <w:rPr>
                <w:rStyle w:val="Hyperlink"/>
                <w:rFonts w:ascii="Times New Roman" w:hAnsi="Times New Roman" w:cs="Times New Roman"/>
                <w:noProof/>
                <w:sz w:val="20"/>
                <w:szCs w:val="20"/>
              </w:rPr>
              <w:t xml:space="preserve"> in Substrate</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_Toc58975184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171</w:t>
            </w:r>
            <w:r w:rsidR="009C74A3" w:rsidRPr="009C74A3">
              <w:rPr>
                <w:rFonts w:ascii="Times New Roman" w:hAnsi="Times New Roman" w:cs="Times New Roman"/>
                <w:noProof/>
                <w:webHidden/>
                <w:sz w:val="20"/>
                <w:szCs w:val="20"/>
              </w:rPr>
              <w:fldChar w:fldCharType="end"/>
            </w:r>
          </w:hyperlink>
        </w:p>
        <w:p w14:paraId="4DBCC5B3" w14:textId="04917E11" w:rsidR="00FA5321" w:rsidRPr="00F07DEB" w:rsidRDefault="00FA5321" w:rsidP="00AE6C37">
          <w:pPr>
            <w:spacing w:line="240" w:lineRule="auto"/>
            <w:rPr>
              <w:rFonts w:ascii="Times New Roman" w:hAnsi="Times New Roman" w:cs="Times New Roman"/>
              <w:sz w:val="24"/>
              <w:szCs w:val="24"/>
            </w:rPr>
          </w:pPr>
          <w:r w:rsidRPr="009C74A3">
            <w:rPr>
              <w:rFonts w:ascii="Times New Roman" w:hAnsi="Times New Roman" w:cs="Times New Roman"/>
              <w:b/>
              <w:bCs/>
              <w:noProof/>
              <w:sz w:val="20"/>
              <w:szCs w:val="20"/>
            </w:rPr>
            <w:fldChar w:fldCharType="end"/>
          </w:r>
        </w:p>
      </w:sdtContent>
    </w:sdt>
    <w:p w14:paraId="07A9C328" w14:textId="111257AF" w:rsidR="0037673C" w:rsidRPr="00F07DEB" w:rsidRDefault="00630EF0" w:rsidP="00AE6C37">
      <w:pPr>
        <w:pStyle w:val="TableofFigures"/>
        <w:tabs>
          <w:tab w:val="right" w:leader="dot" w:pos="9350"/>
        </w:tabs>
        <w:spacing w:line="360" w:lineRule="auto"/>
        <w:rPr>
          <w:rFonts w:ascii="Times New Roman" w:eastAsia="Times New Roman" w:hAnsi="Times New Roman" w:cs="Times New Roman"/>
          <w:b/>
          <w:sz w:val="24"/>
          <w:szCs w:val="24"/>
          <w:lang w:eastAsia="en-US"/>
        </w:rPr>
      </w:pPr>
      <w:r w:rsidRPr="00F07DEB">
        <w:rPr>
          <w:rFonts w:ascii="Times New Roman" w:eastAsia="Times New Roman" w:hAnsi="Times New Roman" w:cs="Times New Roman"/>
          <w:b/>
          <w:sz w:val="24"/>
          <w:szCs w:val="24"/>
          <w:lang w:eastAsia="en-US"/>
        </w:rPr>
        <w:t>List</w:t>
      </w:r>
      <w:r w:rsidR="0037673C" w:rsidRPr="00F07DEB">
        <w:rPr>
          <w:rFonts w:ascii="Times New Roman" w:eastAsia="Times New Roman" w:hAnsi="Times New Roman" w:cs="Times New Roman"/>
          <w:b/>
          <w:sz w:val="24"/>
          <w:szCs w:val="24"/>
          <w:lang w:eastAsia="en-US"/>
        </w:rPr>
        <w:t xml:space="preserve"> of Tables</w:t>
      </w:r>
    </w:p>
    <w:p w14:paraId="39AB20CB" w14:textId="77777777" w:rsidR="009C74A3" w:rsidRPr="009C74A3" w:rsidRDefault="0037673C">
      <w:pPr>
        <w:pStyle w:val="TableofFigures"/>
        <w:tabs>
          <w:tab w:val="right" w:leader="dot" w:pos="9350"/>
        </w:tabs>
        <w:rPr>
          <w:rFonts w:ascii="Times New Roman" w:hAnsi="Times New Roman" w:cs="Times New Roman"/>
          <w:noProof/>
          <w:sz w:val="20"/>
          <w:szCs w:val="20"/>
          <w:lang w:eastAsia="en-US"/>
        </w:rPr>
      </w:pPr>
      <w:r w:rsidRPr="00F07DEB">
        <w:rPr>
          <w:rFonts w:ascii="Times New Roman" w:eastAsia="Times New Roman" w:hAnsi="Times New Roman" w:cs="Times New Roman"/>
          <w:sz w:val="24"/>
          <w:szCs w:val="24"/>
          <w:lang w:eastAsia="en-US"/>
        </w:rPr>
        <w:fldChar w:fldCharType="begin"/>
      </w:r>
      <w:r w:rsidRPr="00F07DEB">
        <w:rPr>
          <w:rFonts w:ascii="Times New Roman" w:eastAsia="Times New Roman" w:hAnsi="Times New Roman" w:cs="Times New Roman"/>
          <w:sz w:val="24"/>
          <w:szCs w:val="24"/>
          <w:lang w:eastAsia="en-US"/>
        </w:rPr>
        <w:instrText xml:space="preserve"> TOC \h \z \c "Table" </w:instrText>
      </w:r>
      <w:r w:rsidRPr="00F07DEB">
        <w:rPr>
          <w:rFonts w:ascii="Times New Roman" w:eastAsia="Times New Roman" w:hAnsi="Times New Roman" w:cs="Times New Roman"/>
          <w:sz w:val="24"/>
          <w:szCs w:val="24"/>
          <w:lang w:eastAsia="en-US"/>
        </w:rPr>
        <w:fldChar w:fldCharType="separate"/>
      </w:r>
      <w:hyperlink w:anchor="_Toc58975187" w:history="1">
        <w:r w:rsidR="009C74A3" w:rsidRPr="009C74A3">
          <w:rPr>
            <w:rStyle w:val="Hyperlink"/>
            <w:rFonts w:ascii="Times New Roman" w:hAnsi="Times New Roman" w:cs="Times New Roman"/>
            <w:noProof/>
            <w:sz w:val="20"/>
            <w:szCs w:val="20"/>
          </w:rPr>
          <w:t>Table 1: MRPTS water quality</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_Toc58975187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6</w:t>
        </w:r>
        <w:r w:rsidR="009C74A3" w:rsidRPr="009C74A3">
          <w:rPr>
            <w:rFonts w:ascii="Times New Roman" w:hAnsi="Times New Roman" w:cs="Times New Roman"/>
            <w:noProof/>
            <w:webHidden/>
            <w:sz w:val="20"/>
            <w:szCs w:val="20"/>
          </w:rPr>
          <w:fldChar w:fldCharType="end"/>
        </w:r>
      </w:hyperlink>
    </w:p>
    <w:p w14:paraId="7515D2B3"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188" w:history="1">
        <w:r w:rsidR="009C74A3" w:rsidRPr="009C74A3">
          <w:rPr>
            <w:rStyle w:val="Hyperlink"/>
            <w:rFonts w:ascii="Times New Roman" w:hAnsi="Times New Roman" w:cs="Times New Roman"/>
            <w:noProof/>
            <w:sz w:val="20"/>
            <w:szCs w:val="20"/>
          </w:rPr>
          <w:t>Table 2: MRPTS water quality and cattle drinking water MCLs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_Toc58975188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9</w:t>
        </w:r>
        <w:r w:rsidR="009C74A3" w:rsidRPr="009C74A3">
          <w:rPr>
            <w:rFonts w:ascii="Times New Roman" w:hAnsi="Times New Roman" w:cs="Times New Roman"/>
            <w:noProof/>
            <w:webHidden/>
            <w:sz w:val="20"/>
            <w:szCs w:val="20"/>
          </w:rPr>
          <w:fldChar w:fldCharType="end"/>
        </w:r>
      </w:hyperlink>
    </w:p>
    <w:p w14:paraId="61411DC1"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189" w:history="1">
        <w:r w:rsidR="009C74A3" w:rsidRPr="009C74A3">
          <w:rPr>
            <w:rStyle w:val="Hyperlink"/>
            <w:rFonts w:ascii="Times New Roman" w:hAnsi="Times New Roman" w:cs="Times New Roman"/>
            <w:noProof/>
            <w:sz w:val="20"/>
            <w:szCs w:val="20"/>
          </w:rPr>
          <w:t>Table 3: MRPTS water quality and irrigation water criteria</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_Toc58975189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21</w:t>
        </w:r>
        <w:r w:rsidR="009C74A3" w:rsidRPr="009C74A3">
          <w:rPr>
            <w:rFonts w:ascii="Times New Roman" w:hAnsi="Times New Roman" w:cs="Times New Roman"/>
            <w:noProof/>
            <w:webHidden/>
            <w:sz w:val="20"/>
            <w:szCs w:val="20"/>
          </w:rPr>
          <w:fldChar w:fldCharType="end"/>
        </w:r>
      </w:hyperlink>
    </w:p>
    <w:p w14:paraId="1A1F515A"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190" w:history="1">
        <w:r w:rsidR="009C74A3" w:rsidRPr="009C74A3">
          <w:rPr>
            <w:rStyle w:val="Hyperlink"/>
            <w:rFonts w:ascii="Times New Roman" w:hAnsi="Times New Roman" w:cs="Times New Roman"/>
            <w:noProof/>
            <w:sz w:val="20"/>
            <w:szCs w:val="20"/>
          </w:rPr>
          <w:t>Table 4: Guidelines for interpretations of water quality for irrigation (Ayers and Westcot, 1985a)</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_Toc58975190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23</w:t>
        </w:r>
        <w:r w:rsidR="009C74A3" w:rsidRPr="009C74A3">
          <w:rPr>
            <w:rFonts w:ascii="Times New Roman" w:hAnsi="Times New Roman" w:cs="Times New Roman"/>
            <w:noProof/>
            <w:webHidden/>
            <w:sz w:val="20"/>
            <w:szCs w:val="20"/>
          </w:rPr>
          <w:fldChar w:fldCharType="end"/>
        </w:r>
      </w:hyperlink>
    </w:p>
    <w:p w14:paraId="3E80B42D"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191" w:history="1">
        <w:r w:rsidR="009C74A3" w:rsidRPr="009C74A3">
          <w:rPr>
            <w:rStyle w:val="Hyperlink"/>
            <w:rFonts w:ascii="Times New Roman" w:hAnsi="Times New Roman" w:cs="Times New Roman"/>
            <w:noProof/>
            <w:sz w:val="20"/>
            <w:szCs w:val="20"/>
          </w:rPr>
          <w:t>Table 5: Vegetative and reproductive corn growth stages, partially adapted from (Australian OGTR, 2008)</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_Toc58975191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25</w:t>
        </w:r>
        <w:r w:rsidR="009C74A3" w:rsidRPr="009C74A3">
          <w:rPr>
            <w:rFonts w:ascii="Times New Roman" w:hAnsi="Times New Roman" w:cs="Times New Roman"/>
            <w:noProof/>
            <w:webHidden/>
            <w:sz w:val="20"/>
            <w:szCs w:val="20"/>
          </w:rPr>
          <w:fldChar w:fldCharType="end"/>
        </w:r>
      </w:hyperlink>
    </w:p>
    <w:p w14:paraId="6A8CEAF3"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192" w:history="1">
        <w:r w:rsidR="009C74A3" w:rsidRPr="009C74A3">
          <w:rPr>
            <w:rStyle w:val="Hyperlink"/>
            <w:rFonts w:ascii="Times New Roman" w:hAnsi="Times New Roman" w:cs="Times New Roman"/>
            <w:noProof/>
            <w:sz w:val="20"/>
            <w:szCs w:val="20"/>
          </w:rPr>
          <w:t>Table 6: Sorghum growth stages, partially adapted from (Vanderlip and Reeves, 1972)</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_Toc58975192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26</w:t>
        </w:r>
        <w:r w:rsidR="009C74A3" w:rsidRPr="009C74A3">
          <w:rPr>
            <w:rFonts w:ascii="Times New Roman" w:hAnsi="Times New Roman" w:cs="Times New Roman"/>
            <w:noProof/>
            <w:webHidden/>
            <w:sz w:val="20"/>
            <w:szCs w:val="20"/>
          </w:rPr>
          <w:fldChar w:fldCharType="end"/>
        </w:r>
      </w:hyperlink>
    </w:p>
    <w:p w14:paraId="3B1E6CDB"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193" w:history="1">
        <w:r w:rsidR="009C74A3" w:rsidRPr="009C74A3">
          <w:rPr>
            <w:rStyle w:val="Hyperlink"/>
            <w:rFonts w:ascii="Times New Roman" w:hAnsi="Times New Roman" w:cs="Times New Roman"/>
            <w:noProof/>
            <w:sz w:val="20"/>
            <w:szCs w:val="20"/>
          </w:rPr>
          <w:t>Table 7: Cumulative GDUs and associated growth stages for average grain corn and grain sorghum varieties in addition to accumulated GDUs for successful Bermuda grass establishment, adapted from (Duncan et al., 2007; Gerik et al., 2003; Schiavon et al., 2012)</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_Toc58975193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27</w:t>
        </w:r>
        <w:r w:rsidR="009C74A3" w:rsidRPr="009C74A3">
          <w:rPr>
            <w:rFonts w:ascii="Times New Roman" w:hAnsi="Times New Roman" w:cs="Times New Roman"/>
            <w:noProof/>
            <w:webHidden/>
            <w:sz w:val="20"/>
            <w:szCs w:val="20"/>
          </w:rPr>
          <w:fldChar w:fldCharType="end"/>
        </w:r>
      </w:hyperlink>
    </w:p>
    <w:p w14:paraId="1942DBB6"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194" w:history="1">
        <w:r w:rsidR="009C74A3" w:rsidRPr="009C74A3">
          <w:rPr>
            <w:rStyle w:val="Hyperlink"/>
            <w:rFonts w:ascii="Times New Roman" w:hAnsi="Times New Roman" w:cs="Times New Roman"/>
            <w:noProof/>
            <w:sz w:val="20"/>
            <w:szCs w:val="20"/>
          </w:rPr>
          <w:t>Table 8: Data Collection Matrix</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_Toc58975194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37</w:t>
        </w:r>
        <w:r w:rsidR="009C74A3" w:rsidRPr="009C74A3">
          <w:rPr>
            <w:rFonts w:ascii="Times New Roman" w:hAnsi="Times New Roman" w:cs="Times New Roman"/>
            <w:noProof/>
            <w:webHidden/>
            <w:sz w:val="20"/>
            <w:szCs w:val="20"/>
          </w:rPr>
          <w:fldChar w:fldCharType="end"/>
        </w:r>
      </w:hyperlink>
    </w:p>
    <w:p w14:paraId="34F399E7"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195" w:history="1">
        <w:r w:rsidR="009C74A3" w:rsidRPr="009C74A3">
          <w:rPr>
            <w:rStyle w:val="Hyperlink"/>
            <w:rFonts w:ascii="Times New Roman" w:hAnsi="Times New Roman" w:cs="Times New Roman"/>
            <w:noProof/>
            <w:sz w:val="20"/>
            <w:szCs w:val="20"/>
          </w:rPr>
          <w:t>Table 9: Ottawa County cattle population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_Toc58975195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41</w:t>
        </w:r>
        <w:r w:rsidR="009C74A3" w:rsidRPr="009C74A3">
          <w:rPr>
            <w:rFonts w:ascii="Times New Roman" w:hAnsi="Times New Roman" w:cs="Times New Roman"/>
            <w:noProof/>
            <w:webHidden/>
            <w:sz w:val="20"/>
            <w:szCs w:val="20"/>
          </w:rPr>
          <w:fldChar w:fldCharType="end"/>
        </w:r>
      </w:hyperlink>
    </w:p>
    <w:p w14:paraId="00640305"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196" w:history="1">
        <w:r w:rsidR="009C74A3" w:rsidRPr="009C74A3">
          <w:rPr>
            <w:rStyle w:val="Hyperlink"/>
            <w:rFonts w:ascii="Times New Roman" w:hAnsi="Times New Roman" w:cs="Times New Roman"/>
            <w:noProof/>
            <w:sz w:val="20"/>
            <w:szCs w:val="20"/>
          </w:rPr>
          <w:t>Table 10: Environmental parameters and water intake calculations for Ottawa County cattle</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_Toc58975196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43</w:t>
        </w:r>
        <w:r w:rsidR="009C74A3" w:rsidRPr="009C74A3">
          <w:rPr>
            <w:rFonts w:ascii="Times New Roman" w:hAnsi="Times New Roman" w:cs="Times New Roman"/>
            <w:noProof/>
            <w:webHidden/>
            <w:sz w:val="20"/>
            <w:szCs w:val="20"/>
          </w:rPr>
          <w:fldChar w:fldCharType="end"/>
        </w:r>
      </w:hyperlink>
    </w:p>
    <w:p w14:paraId="17D490F7"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197" w:history="1">
        <w:r w:rsidR="009C74A3" w:rsidRPr="009C74A3">
          <w:rPr>
            <w:rStyle w:val="Hyperlink"/>
            <w:rFonts w:ascii="Times New Roman" w:hAnsi="Times New Roman" w:cs="Times New Roman"/>
            <w:noProof/>
            <w:sz w:val="20"/>
            <w:szCs w:val="20"/>
          </w:rPr>
          <w:t>Table 11: Descriptive statistics for average daily air temperature and GDU</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_Toc58975197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56</w:t>
        </w:r>
        <w:r w:rsidR="009C74A3" w:rsidRPr="009C74A3">
          <w:rPr>
            <w:rFonts w:ascii="Times New Roman" w:hAnsi="Times New Roman" w:cs="Times New Roman"/>
            <w:noProof/>
            <w:webHidden/>
            <w:sz w:val="20"/>
            <w:szCs w:val="20"/>
          </w:rPr>
          <w:fldChar w:fldCharType="end"/>
        </w:r>
      </w:hyperlink>
    </w:p>
    <w:p w14:paraId="50CA0569"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198" w:history="1">
        <w:r w:rsidR="009C74A3" w:rsidRPr="009C74A3">
          <w:rPr>
            <w:rStyle w:val="Hyperlink"/>
            <w:rFonts w:ascii="Times New Roman" w:hAnsi="Times New Roman" w:cs="Times New Roman"/>
            <w:noProof/>
            <w:sz w:val="20"/>
            <w:szCs w:val="20"/>
          </w:rPr>
          <w:t>Table 12: Estimated irrigation and precipitation quantities per pot</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_Toc58975198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58</w:t>
        </w:r>
        <w:r w:rsidR="009C74A3" w:rsidRPr="009C74A3">
          <w:rPr>
            <w:rFonts w:ascii="Times New Roman" w:hAnsi="Times New Roman" w:cs="Times New Roman"/>
            <w:noProof/>
            <w:webHidden/>
            <w:sz w:val="20"/>
            <w:szCs w:val="20"/>
          </w:rPr>
          <w:fldChar w:fldCharType="end"/>
        </w:r>
      </w:hyperlink>
    </w:p>
    <w:p w14:paraId="713E5F65"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199" w:history="1">
        <w:r w:rsidR="009C74A3" w:rsidRPr="009C74A3">
          <w:rPr>
            <w:rStyle w:val="Hyperlink"/>
            <w:rFonts w:ascii="Times New Roman" w:hAnsi="Times New Roman" w:cs="Times New Roman"/>
            <w:noProof/>
            <w:sz w:val="20"/>
            <w:szCs w:val="20"/>
          </w:rPr>
          <w:t>Table 13: Miracle-Gro Water Soluble All Purpose Plant Food 24-8-16 estimated mass loadings per pot</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_Toc58975199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60</w:t>
        </w:r>
        <w:r w:rsidR="009C74A3" w:rsidRPr="009C74A3">
          <w:rPr>
            <w:rFonts w:ascii="Times New Roman" w:hAnsi="Times New Roman" w:cs="Times New Roman"/>
            <w:noProof/>
            <w:webHidden/>
            <w:sz w:val="20"/>
            <w:szCs w:val="20"/>
          </w:rPr>
          <w:fldChar w:fldCharType="end"/>
        </w:r>
      </w:hyperlink>
    </w:p>
    <w:p w14:paraId="00DE9856"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00" w:history="1">
        <w:r w:rsidR="009C74A3" w:rsidRPr="009C74A3">
          <w:rPr>
            <w:rStyle w:val="Hyperlink"/>
            <w:rFonts w:ascii="Times New Roman" w:hAnsi="Times New Roman" w:cs="Times New Roman"/>
            <w:noProof/>
            <w:sz w:val="20"/>
            <w:szCs w:val="20"/>
          </w:rPr>
          <w:t>Table 14: Dissolved metals, anions, and physicochemical parameters measured in the irrigation waters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_Toc58975200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63</w:t>
        </w:r>
        <w:r w:rsidR="009C74A3" w:rsidRPr="009C74A3">
          <w:rPr>
            <w:rFonts w:ascii="Times New Roman" w:hAnsi="Times New Roman" w:cs="Times New Roman"/>
            <w:noProof/>
            <w:webHidden/>
            <w:sz w:val="20"/>
            <w:szCs w:val="20"/>
          </w:rPr>
          <w:fldChar w:fldCharType="end"/>
        </w:r>
      </w:hyperlink>
    </w:p>
    <w:p w14:paraId="7686CB6B"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01" w:history="1">
        <w:r w:rsidR="009C74A3" w:rsidRPr="009C74A3">
          <w:rPr>
            <w:rStyle w:val="Hyperlink"/>
            <w:rFonts w:ascii="Times New Roman" w:hAnsi="Times New Roman" w:cs="Times New Roman"/>
            <w:noProof/>
            <w:sz w:val="20"/>
            <w:szCs w:val="20"/>
          </w:rPr>
          <w:t>Table 15: Mean dry biomass generation in each plant structure under groundwater or mine water irrigation, measured in g</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_Toc58975201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79</w:t>
        </w:r>
        <w:r w:rsidR="009C74A3" w:rsidRPr="009C74A3">
          <w:rPr>
            <w:rFonts w:ascii="Times New Roman" w:hAnsi="Times New Roman" w:cs="Times New Roman"/>
            <w:noProof/>
            <w:webHidden/>
            <w:sz w:val="20"/>
            <w:szCs w:val="20"/>
          </w:rPr>
          <w:fldChar w:fldCharType="end"/>
        </w:r>
      </w:hyperlink>
    </w:p>
    <w:p w14:paraId="2C36C035"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02" w:history="1">
        <w:r w:rsidR="009C74A3" w:rsidRPr="009C74A3">
          <w:rPr>
            <w:rStyle w:val="Hyperlink"/>
            <w:rFonts w:ascii="Times New Roman" w:hAnsi="Times New Roman" w:cs="Times New Roman"/>
            <w:noProof/>
            <w:sz w:val="20"/>
            <w:szCs w:val="20"/>
          </w:rPr>
          <w:t>Table 16: Mixed ANOVA main effects and interaction effects of treatment and plant structure on corn metal uptake</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_Toc58975202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91</w:t>
        </w:r>
        <w:r w:rsidR="009C74A3" w:rsidRPr="009C74A3">
          <w:rPr>
            <w:rFonts w:ascii="Times New Roman" w:hAnsi="Times New Roman" w:cs="Times New Roman"/>
            <w:noProof/>
            <w:webHidden/>
            <w:sz w:val="20"/>
            <w:szCs w:val="20"/>
          </w:rPr>
          <w:fldChar w:fldCharType="end"/>
        </w:r>
      </w:hyperlink>
    </w:p>
    <w:p w14:paraId="4B788BB1"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03" w:history="1">
        <w:r w:rsidR="009C74A3" w:rsidRPr="009C74A3">
          <w:rPr>
            <w:rStyle w:val="Hyperlink"/>
            <w:rFonts w:ascii="Times New Roman" w:hAnsi="Times New Roman" w:cs="Times New Roman"/>
            <w:noProof/>
            <w:sz w:val="20"/>
            <w:szCs w:val="20"/>
          </w:rPr>
          <w:t>Table 17: Mixed ANOVA main effects and interaction effects of treatment and plant structure on sorghum metal uptake</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_Toc58975203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91</w:t>
        </w:r>
        <w:r w:rsidR="009C74A3" w:rsidRPr="009C74A3">
          <w:rPr>
            <w:rFonts w:ascii="Times New Roman" w:hAnsi="Times New Roman" w:cs="Times New Roman"/>
            <w:noProof/>
            <w:webHidden/>
            <w:sz w:val="20"/>
            <w:szCs w:val="20"/>
          </w:rPr>
          <w:fldChar w:fldCharType="end"/>
        </w:r>
      </w:hyperlink>
    </w:p>
    <w:p w14:paraId="6A93E85B"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04" w:history="1">
        <w:r w:rsidR="009C74A3" w:rsidRPr="009C74A3">
          <w:rPr>
            <w:rStyle w:val="Hyperlink"/>
            <w:rFonts w:ascii="Times New Roman" w:hAnsi="Times New Roman" w:cs="Times New Roman"/>
            <w:noProof/>
            <w:sz w:val="20"/>
            <w:szCs w:val="20"/>
          </w:rPr>
          <w:t>Table 18: Mixed ANOVA main effects and interaction effects of treatment and plant structure on Bermuda grass metal uptake</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_Toc58975204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92</w:t>
        </w:r>
        <w:r w:rsidR="009C74A3" w:rsidRPr="009C74A3">
          <w:rPr>
            <w:rFonts w:ascii="Times New Roman" w:hAnsi="Times New Roman" w:cs="Times New Roman"/>
            <w:noProof/>
            <w:webHidden/>
            <w:sz w:val="20"/>
            <w:szCs w:val="20"/>
          </w:rPr>
          <w:fldChar w:fldCharType="end"/>
        </w:r>
      </w:hyperlink>
    </w:p>
    <w:p w14:paraId="4745C9D8"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05" w:history="1">
        <w:r w:rsidR="009C74A3" w:rsidRPr="009C74A3">
          <w:rPr>
            <w:rStyle w:val="Hyperlink"/>
            <w:rFonts w:ascii="Times New Roman" w:hAnsi="Times New Roman" w:cs="Times New Roman"/>
            <w:noProof/>
            <w:sz w:val="20"/>
            <w:szCs w:val="20"/>
          </w:rPr>
          <w:t>Table 19: Means, standard deviations of plant Ca concentrations in mg/kg compared via mixed ANOVA</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_Toc58975205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94</w:t>
        </w:r>
        <w:r w:rsidR="009C74A3" w:rsidRPr="009C74A3">
          <w:rPr>
            <w:rFonts w:ascii="Times New Roman" w:hAnsi="Times New Roman" w:cs="Times New Roman"/>
            <w:noProof/>
            <w:webHidden/>
            <w:sz w:val="20"/>
            <w:szCs w:val="20"/>
          </w:rPr>
          <w:fldChar w:fldCharType="end"/>
        </w:r>
      </w:hyperlink>
    </w:p>
    <w:p w14:paraId="5B5D34B1"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06" w:history="1">
        <w:r w:rsidR="009C74A3" w:rsidRPr="009C74A3">
          <w:rPr>
            <w:rStyle w:val="Hyperlink"/>
            <w:rFonts w:ascii="Times New Roman" w:hAnsi="Times New Roman" w:cs="Times New Roman"/>
            <w:noProof/>
            <w:sz w:val="20"/>
            <w:szCs w:val="20"/>
          </w:rPr>
          <w:t>Table 20: Means, standard deviations of plant Cd concentrations in mg/kg compared via mixed ANOVA</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_Toc58975206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96</w:t>
        </w:r>
        <w:r w:rsidR="009C74A3" w:rsidRPr="009C74A3">
          <w:rPr>
            <w:rFonts w:ascii="Times New Roman" w:hAnsi="Times New Roman" w:cs="Times New Roman"/>
            <w:noProof/>
            <w:webHidden/>
            <w:sz w:val="20"/>
            <w:szCs w:val="20"/>
          </w:rPr>
          <w:fldChar w:fldCharType="end"/>
        </w:r>
      </w:hyperlink>
    </w:p>
    <w:p w14:paraId="21BB403F"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07" w:history="1">
        <w:r w:rsidR="009C74A3" w:rsidRPr="009C74A3">
          <w:rPr>
            <w:rStyle w:val="Hyperlink"/>
            <w:rFonts w:ascii="Times New Roman" w:hAnsi="Times New Roman" w:cs="Times New Roman"/>
            <w:noProof/>
            <w:sz w:val="20"/>
            <w:szCs w:val="20"/>
          </w:rPr>
          <w:t>Table 21: Means, standard deviations of plant Mg concentrations in mg/kg compared via mixed ANOVA</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_Toc58975207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98</w:t>
        </w:r>
        <w:r w:rsidR="009C74A3" w:rsidRPr="009C74A3">
          <w:rPr>
            <w:rFonts w:ascii="Times New Roman" w:hAnsi="Times New Roman" w:cs="Times New Roman"/>
            <w:noProof/>
            <w:webHidden/>
            <w:sz w:val="20"/>
            <w:szCs w:val="20"/>
          </w:rPr>
          <w:fldChar w:fldCharType="end"/>
        </w:r>
      </w:hyperlink>
    </w:p>
    <w:p w14:paraId="279C717A"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08" w:history="1">
        <w:r w:rsidR="009C74A3" w:rsidRPr="009C74A3">
          <w:rPr>
            <w:rStyle w:val="Hyperlink"/>
            <w:rFonts w:ascii="Times New Roman" w:hAnsi="Times New Roman" w:cs="Times New Roman"/>
            <w:noProof/>
            <w:sz w:val="20"/>
            <w:szCs w:val="20"/>
          </w:rPr>
          <w:t>Table 22: Means, standard deviations of plant Na concentrations in mg/kg compared via mixed ANOVA</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_Toc58975208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101</w:t>
        </w:r>
        <w:r w:rsidR="009C74A3" w:rsidRPr="009C74A3">
          <w:rPr>
            <w:rFonts w:ascii="Times New Roman" w:hAnsi="Times New Roman" w:cs="Times New Roman"/>
            <w:noProof/>
            <w:webHidden/>
            <w:sz w:val="20"/>
            <w:szCs w:val="20"/>
          </w:rPr>
          <w:fldChar w:fldCharType="end"/>
        </w:r>
      </w:hyperlink>
    </w:p>
    <w:p w14:paraId="37BA1ED3"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09" w:history="1">
        <w:r w:rsidR="009C74A3" w:rsidRPr="009C74A3">
          <w:rPr>
            <w:rStyle w:val="Hyperlink"/>
            <w:rFonts w:ascii="Times New Roman" w:hAnsi="Times New Roman" w:cs="Times New Roman"/>
            <w:noProof/>
            <w:sz w:val="20"/>
            <w:szCs w:val="20"/>
          </w:rPr>
          <w:t>Table 23: Means, standard deviations of plant S concentrations in mg/kg compared via mixed ANOVA</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_Toc58975209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103</w:t>
        </w:r>
        <w:r w:rsidR="009C74A3" w:rsidRPr="009C74A3">
          <w:rPr>
            <w:rFonts w:ascii="Times New Roman" w:hAnsi="Times New Roman" w:cs="Times New Roman"/>
            <w:noProof/>
            <w:webHidden/>
            <w:sz w:val="20"/>
            <w:szCs w:val="20"/>
          </w:rPr>
          <w:fldChar w:fldCharType="end"/>
        </w:r>
      </w:hyperlink>
    </w:p>
    <w:p w14:paraId="7A3D65C2" w14:textId="77777777" w:rsidR="009C74A3" w:rsidRDefault="005A0289">
      <w:pPr>
        <w:pStyle w:val="TableofFigures"/>
        <w:tabs>
          <w:tab w:val="right" w:leader="dot" w:pos="9350"/>
        </w:tabs>
        <w:rPr>
          <w:noProof/>
          <w:lang w:eastAsia="en-US"/>
        </w:rPr>
      </w:pPr>
      <w:hyperlink w:anchor="_Toc58975210" w:history="1">
        <w:r w:rsidR="009C74A3" w:rsidRPr="009C74A3">
          <w:rPr>
            <w:rStyle w:val="Hyperlink"/>
            <w:rFonts w:ascii="Times New Roman" w:hAnsi="Times New Roman" w:cs="Times New Roman"/>
            <w:noProof/>
            <w:sz w:val="20"/>
            <w:szCs w:val="20"/>
          </w:rPr>
          <w:t>Table 24: Median subtrate metal concentrations (mg/kg) from groundwater- and mine water-irrigated pots pre- and post-experiment</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_Toc58975210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105</w:t>
        </w:r>
        <w:r w:rsidR="009C74A3" w:rsidRPr="009C74A3">
          <w:rPr>
            <w:rFonts w:ascii="Times New Roman" w:hAnsi="Times New Roman" w:cs="Times New Roman"/>
            <w:noProof/>
            <w:webHidden/>
            <w:sz w:val="20"/>
            <w:szCs w:val="20"/>
          </w:rPr>
          <w:fldChar w:fldCharType="end"/>
        </w:r>
      </w:hyperlink>
    </w:p>
    <w:p w14:paraId="05D2FE87" w14:textId="6668E5A8" w:rsidR="009674BE" w:rsidRPr="00F07DEB" w:rsidRDefault="0037673C" w:rsidP="003B6E47">
      <w:pPr>
        <w:widowControl w:val="0"/>
        <w:autoSpaceDE w:val="0"/>
        <w:autoSpaceDN w:val="0"/>
        <w:adjustRightInd w:val="0"/>
        <w:spacing w:after="0" w:line="360" w:lineRule="auto"/>
        <w:rPr>
          <w:rFonts w:ascii="Times New Roman" w:eastAsia="Times New Roman" w:hAnsi="Times New Roman" w:cs="Times New Roman"/>
          <w:sz w:val="24"/>
          <w:szCs w:val="24"/>
          <w:lang w:eastAsia="en-US"/>
        </w:rPr>
      </w:pPr>
      <w:r w:rsidRPr="00F07DEB">
        <w:rPr>
          <w:rFonts w:ascii="Times New Roman" w:eastAsia="Times New Roman" w:hAnsi="Times New Roman" w:cs="Times New Roman"/>
          <w:sz w:val="24"/>
          <w:szCs w:val="24"/>
          <w:lang w:eastAsia="en-US"/>
        </w:rPr>
        <w:fldChar w:fldCharType="end"/>
      </w:r>
    </w:p>
    <w:p w14:paraId="25A37016" w14:textId="1CBCACF9" w:rsidR="00A216CD" w:rsidRPr="00F07DEB" w:rsidRDefault="00630EF0" w:rsidP="00AE6C37">
      <w:pPr>
        <w:widowControl w:val="0"/>
        <w:autoSpaceDE w:val="0"/>
        <w:autoSpaceDN w:val="0"/>
        <w:adjustRightInd w:val="0"/>
        <w:spacing w:after="0" w:line="360" w:lineRule="auto"/>
        <w:rPr>
          <w:rFonts w:ascii="Times New Roman" w:eastAsia="Times New Roman" w:hAnsi="Times New Roman" w:cs="Times New Roman"/>
          <w:b/>
          <w:sz w:val="24"/>
          <w:szCs w:val="24"/>
          <w:lang w:eastAsia="en-US"/>
        </w:rPr>
      </w:pPr>
      <w:r w:rsidRPr="00F07DEB">
        <w:rPr>
          <w:rFonts w:ascii="Times New Roman" w:eastAsia="Times New Roman" w:hAnsi="Times New Roman" w:cs="Times New Roman"/>
          <w:b/>
          <w:sz w:val="24"/>
          <w:szCs w:val="24"/>
          <w:lang w:eastAsia="en-US"/>
        </w:rPr>
        <w:t>List</w:t>
      </w:r>
      <w:r w:rsidR="00A216CD" w:rsidRPr="00F07DEB">
        <w:rPr>
          <w:rFonts w:ascii="Times New Roman" w:eastAsia="Times New Roman" w:hAnsi="Times New Roman" w:cs="Times New Roman"/>
          <w:b/>
          <w:sz w:val="24"/>
          <w:szCs w:val="24"/>
          <w:lang w:eastAsia="en-US"/>
        </w:rPr>
        <w:t xml:space="preserve"> of Figures</w:t>
      </w:r>
    </w:p>
    <w:p w14:paraId="6D7D804C" w14:textId="77777777" w:rsidR="009C74A3" w:rsidRPr="009C74A3" w:rsidRDefault="00A216CD">
      <w:pPr>
        <w:pStyle w:val="TableofFigures"/>
        <w:tabs>
          <w:tab w:val="right" w:leader="dot" w:pos="9350"/>
        </w:tabs>
        <w:rPr>
          <w:rFonts w:ascii="Times New Roman" w:hAnsi="Times New Roman" w:cs="Times New Roman"/>
          <w:noProof/>
          <w:sz w:val="20"/>
          <w:szCs w:val="20"/>
          <w:lang w:eastAsia="en-US"/>
        </w:rPr>
      </w:pPr>
      <w:r w:rsidRPr="00252822">
        <w:rPr>
          <w:rFonts w:ascii="Times New Roman" w:eastAsia="Times New Roman" w:hAnsi="Times New Roman" w:cs="Times New Roman"/>
          <w:sz w:val="20"/>
          <w:szCs w:val="20"/>
          <w:lang w:eastAsia="en-US"/>
        </w:rPr>
        <w:fldChar w:fldCharType="begin"/>
      </w:r>
      <w:r w:rsidRPr="00252822">
        <w:rPr>
          <w:rFonts w:ascii="Times New Roman" w:eastAsia="Times New Roman" w:hAnsi="Times New Roman" w:cs="Times New Roman"/>
          <w:sz w:val="20"/>
          <w:szCs w:val="20"/>
          <w:lang w:eastAsia="en-US"/>
        </w:rPr>
        <w:instrText xml:space="preserve"> TOC \h \z \c "Figure" </w:instrText>
      </w:r>
      <w:r w:rsidRPr="00252822">
        <w:rPr>
          <w:rFonts w:ascii="Times New Roman" w:eastAsia="Times New Roman" w:hAnsi="Times New Roman" w:cs="Times New Roman"/>
          <w:sz w:val="20"/>
          <w:szCs w:val="20"/>
          <w:lang w:eastAsia="en-US"/>
        </w:rPr>
        <w:fldChar w:fldCharType="separate"/>
      </w:r>
      <w:hyperlink w:anchor="_Toc58975211" w:history="1">
        <w:r w:rsidR="009C74A3" w:rsidRPr="009C74A3">
          <w:rPr>
            <w:rStyle w:val="Hyperlink"/>
            <w:rFonts w:ascii="Times New Roman" w:hAnsi="Times New Roman" w:cs="Times New Roman"/>
            <w:noProof/>
            <w:sz w:val="20"/>
            <w:szCs w:val="20"/>
          </w:rPr>
          <w:t>Figure 1: Map of mined areas in the Tri-State Mining District (Spruill, 1987)</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_Toc58975211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3</w:t>
        </w:r>
        <w:r w:rsidR="009C74A3" w:rsidRPr="009C74A3">
          <w:rPr>
            <w:rFonts w:ascii="Times New Roman" w:hAnsi="Times New Roman" w:cs="Times New Roman"/>
            <w:noProof/>
            <w:webHidden/>
            <w:sz w:val="20"/>
            <w:szCs w:val="20"/>
          </w:rPr>
          <w:fldChar w:fldCharType="end"/>
        </w:r>
      </w:hyperlink>
    </w:p>
    <w:p w14:paraId="02AFDD39"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12" w:history="1">
        <w:r w:rsidR="009C74A3" w:rsidRPr="009C74A3">
          <w:rPr>
            <w:rStyle w:val="Hyperlink"/>
            <w:rFonts w:ascii="Times New Roman" w:hAnsi="Times New Roman" w:cs="Times New Roman"/>
            <w:noProof/>
            <w:sz w:val="20"/>
            <w:szCs w:val="20"/>
          </w:rPr>
          <w:t>Figure 2: Aerial images of MRPTS and SECPTS (Nairn, 2019)</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_Toc58975212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w:t>
        </w:r>
        <w:r w:rsidR="009C74A3" w:rsidRPr="009C74A3">
          <w:rPr>
            <w:rFonts w:ascii="Times New Roman" w:hAnsi="Times New Roman" w:cs="Times New Roman"/>
            <w:noProof/>
            <w:webHidden/>
            <w:sz w:val="20"/>
            <w:szCs w:val="20"/>
          </w:rPr>
          <w:fldChar w:fldCharType="end"/>
        </w:r>
      </w:hyperlink>
    </w:p>
    <w:p w14:paraId="2FC67FB1"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13" w:history="1">
        <w:r w:rsidR="009C74A3" w:rsidRPr="009C74A3">
          <w:rPr>
            <w:rStyle w:val="Hyperlink"/>
            <w:rFonts w:ascii="Times New Roman" w:hAnsi="Times New Roman" w:cs="Times New Roman"/>
            <w:noProof/>
            <w:sz w:val="20"/>
            <w:szCs w:val="20"/>
          </w:rPr>
          <w:t>Figure 3: Species-specific livestock water consumption for Oklahoma (Nairn and Strevett, 2009)</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_Toc58975213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12</w:t>
        </w:r>
        <w:r w:rsidR="009C74A3" w:rsidRPr="009C74A3">
          <w:rPr>
            <w:rFonts w:ascii="Times New Roman" w:hAnsi="Times New Roman" w:cs="Times New Roman"/>
            <w:noProof/>
            <w:webHidden/>
            <w:sz w:val="20"/>
            <w:szCs w:val="20"/>
          </w:rPr>
          <w:fldChar w:fldCharType="end"/>
        </w:r>
      </w:hyperlink>
    </w:p>
    <w:p w14:paraId="6D1D74AE"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14" w:history="1">
        <w:r w:rsidR="009C74A3" w:rsidRPr="009C74A3">
          <w:rPr>
            <w:rStyle w:val="Hyperlink"/>
            <w:rFonts w:ascii="Times New Roman" w:hAnsi="Times New Roman" w:cs="Times New Roman"/>
            <w:noProof/>
            <w:sz w:val="20"/>
            <w:szCs w:val="20"/>
          </w:rPr>
          <w:t>Figure 4: Pot setup and surroundings during full-scale experiment</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_Toc58975214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33</w:t>
        </w:r>
        <w:r w:rsidR="009C74A3" w:rsidRPr="009C74A3">
          <w:rPr>
            <w:rFonts w:ascii="Times New Roman" w:hAnsi="Times New Roman" w:cs="Times New Roman"/>
            <w:noProof/>
            <w:webHidden/>
            <w:sz w:val="20"/>
            <w:szCs w:val="20"/>
          </w:rPr>
          <w:fldChar w:fldCharType="end"/>
        </w:r>
      </w:hyperlink>
    </w:p>
    <w:p w14:paraId="1E121DB7"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15" w:history="1">
        <w:r w:rsidR="009C74A3" w:rsidRPr="009C74A3">
          <w:rPr>
            <w:rStyle w:val="Hyperlink"/>
            <w:rFonts w:ascii="Times New Roman" w:hAnsi="Times New Roman" w:cs="Times New Roman"/>
            <w:noProof/>
            <w:sz w:val="20"/>
            <w:szCs w:val="20"/>
          </w:rPr>
          <w:t>Figure 5: Proof-of-concept seedling emergence by species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_Toc58975215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44</w:t>
        </w:r>
        <w:r w:rsidR="009C74A3" w:rsidRPr="009C74A3">
          <w:rPr>
            <w:rFonts w:ascii="Times New Roman" w:hAnsi="Times New Roman" w:cs="Times New Roman"/>
            <w:noProof/>
            <w:webHidden/>
            <w:sz w:val="20"/>
            <w:szCs w:val="20"/>
          </w:rPr>
          <w:fldChar w:fldCharType="end"/>
        </w:r>
      </w:hyperlink>
    </w:p>
    <w:p w14:paraId="380ABB8A"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16" w:history="1">
        <w:r w:rsidR="009C74A3" w:rsidRPr="009C74A3">
          <w:rPr>
            <w:rStyle w:val="Hyperlink"/>
            <w:rFonts w:ascii="Times New Roman" w:hAnsi="Times New Roman" w:cs="Times New Roman"/>
            <w:noProof/>
            <w:sz w:val="20"/>
            <w:szCs w:val="20"/>
          </w:rPr>
          <w:t>Figure 6: The greenhouse proof-of-concept experiment on (a) day 0, (b) day 8, and (c) day 13</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_Toc58975216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45</w:t>
        </w:r>
        <w:r w:rsidR="009C74A3" w:rsidRPr="009C74A3">
          <w:rPr>
            <w:rFonts w:ascii="Times New Roman" w:hAnsi="Times New Roman" w:cs="Times New Roman"/>
            <w:noProof/>
            <w:webHidden/>
            <w:sz w:val="20"/>
            <w:szCs w:val="20"/>
          </w:rPr>
          <w:fldChar w:fldCharType="end"/>
        </w:r>
      </w:hyperlink>
    </w:p>
    <w:p w14:paraId="0EC9709B"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17" w:history="1">
        <w:r w:rsidR="009C74A3" w:rsidRPr="009C74A3">
          <w:rPr>
            <w:rStyle w:val="Hyperlink"/>
            <w:rFonts w:ascii="Times New Roman" w:hAnsi="Times New Roman" w:cs="Times New Roman"/>
            <w:noProof/>
            <w:sz w:val="20"/>
            <w:szCs w:val="20"/>
          </w:rPr>
          <w:t>Figure 7: Cumulative corn emergence during groundwater and mine water irrigation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_Toc58975217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46</w:t>
        </w:r>
        <w:r w:rsidR="009C74A3" w:rsidRPr="009C74A3">
          <w:rPr>
            <w:rFonts w:ascii="Times New Roman" w:hAnsi="Times New Roman" w:cs="Times New Roman"/>
            <w:noProof/>
            <w:webHidden/>
            <w:sz w:val="20"/>
            <w:szCs w:val="20"/>
          </w:rPr>
          <w:fldChar w:fldCharType="end"/>
        </w:r>
      </w:hyperlink>
    </w:p>
    <w:p w14:paraId="60F1AB1F"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18" w:history="1">
        <w:r w:rsidR="009C74A3" w:rsidRPr="009C74A3">
          <w:rPr>
            <w:rStyle w:val="Hyperlink"/>
            <w:rFonts w:ascii="Times New Roman" w:hAnsi="Times New Roman" w:cs="Times New Roman"/>
            <w:noProof/>
            <w:sz w:val="20"/>
            <w:szCs w:val="20"/>
          </w:rPr>
          <w:t>Figure 8: Cumulative sorghum emergence during groundwater and mine water irrigation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_Toc58975218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47</w:t>
        </w:r>
        <w:r w:rsidR="009C74A3" w:rsidRPr="009C74A3">
          <w:rPr>
            <w:rFonts w:ascii="Times New Roman" w:hAnsi="Times New Roman" w:cs="Times New Roman"/>
            <w:noProof/>
            <w:webHidden/>
            <w:sz w:val="20"/>
            <w:szCs w:val="20"/>
          </w:rPr>
          <w:fldChar w:fldCharType="end"/>
        </w:r>
      </w:hyperlink>
    </w:p>
    <w:p w14:paraId="323EA2AC"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19" w:history="1">
        <w:r w:rsidR="009C74A3" w:rsidRPr="009C74A3">
          <w:rPr>
            <w:rStyle w:val="Hyperlink"/>
            <w:rFonts w:ascii="Times New Roman" w:hAnsi="Times New Roman" w:cs="Times New Roman"/>
            <w:noProof/>
            <w:sz w:val="20"/>
            <w:szCs w:val="20"/>
          </w:rPr>
          <w:t>Figure 9: Cumulative corn and sorghum emergence in amended and non-amended soil</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_Toc58975219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47</w:t>
        </w:r>
        <w:r w:rsidR="009C74A3" w:rsidRPr="009C74A3">
          <w:rPr>
            <w:rFonts w:ascii="Times New Roman" w:hAnsi="Times New Roman" w:cs="Times New Roman"/>
            <w:noProof/>
            <w:webHidden/>
            <w:sz w:val="20"/>
            <w:szCs w:val="20"/>
          </w:rPr>
          <w:fldChar w:fldCharType="end"/>
        </w:r>
      </w:hyperlink>
    </w:p>
    <w:p w14:paraId="27F3753B"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20" w:history="1">
        <w:r w:rsidR="009C74A3" w:rsidRPr="009C74A3">
          <w:rPr>
            <w:rStyle w:val="Hyperlink"/>
            <w:rFonts w:ascii="Times New Roman" w:hAnsi="Times New Roman" w:cs="Times New Roman"/>
            <w:noProof/>
            <w:sz w:val="20"/>
            <w:szCs w:val="20"/>
          </w:rPr>
          <w:t>Figure 10: Corn survival curves during groundwater and mine water irrigation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_Toc58975220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49</w:t>
        </w:r>
        <w:r w:rsidR="009C74A3" w:rsidRPr="009C74A3">
          <w:rPr>
            <w:rFonts w:ascii="Times New Roman" w:hAnsi="Times New Roman" w:cs="Times New Roman"/>
            <w:noProof/>
            <w:webHidden/>
            <w:sz w:val="20"/>
            <w:szCs w:val="20"/>
          </w:rPr>
          <w:fldChar w:fldCharType="end"/>
        </w:r>
      </w:hyperlink>
    </w:p>
    <w:p w14:paraId="41E51C9E"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21" w:history="1">
        <w:r w:rsidR="009C74A3" w:rsidRPr="009C74A3">
          <w:rPr>
            <w:rStyle w:val="Hyperlink"/>
            <w:rFonts w:ascii="Times New Roman" w:hAnsi="Times New Roman" w:cs="Times New Roman"/>
            <w:noProof/>
            <w:sz w:val="20"/>
            <w:szCs w:val="20"/>
          </w:rPr>
          <w:t>Figure 11: Sorghum survival curves during groundwater and mine water irrigation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_Toc58975221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50</w:t>
        </w:r>
        <w:r w:rsidR="009C74A3" w:rsidRPr="009C74A3">
          <w:rPr>
            <w:rFonts w:ascii="Times New Roman" w:hAnsi="Times New Roman" w:cs="Times New Roman"/>
            <w:noProof/>
            <w:webHidden/>
            <w:sz w:val="20"/>
            <w:szCs w:val="20"/>
          </w:rPr>
          <w:fldChar w:fldCharType="end"/>
        </w:r>
      </w:hyperlink>
    </w:p>
    <w:p w14:paraId="0D87BE7B"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22" w:history="1">
        <w:r w:rsidR="009C74A3" w:rsidRPr="009C74A3">
          <w:rPr>
            <w:rStyle w:val="Hyperlink"/>
            <w:rFonts w:ascii="Times New Roman" w:hAnsi="Times New Roman" w:cs="Times New Roman"/>
            <w:noProof/>
            <w:sz w:val="20"/>
            <w:szCs w:val="20"/>
          </w:rPr>
          <w:t>Figure 12: Corn and sorghum survival curves in amended and non-amended substrate</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_Toc58975222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50</w:t>
        </w:r>
        <w:r w:rsidR="009C74A3" w:rsidRPr="009C74A3">
          <w:rPr>
            <w:rFonts w:ascii="Times New Roman" w:hAnsi="Times New Roman" w:cs="Times New Roman"/>
            <w:noProof/>
            <w:webHidden/>
            <w:sz w:val="20"/>
            <w:szCs w:val="20"/>
          </w:rPr>
          <w:fldChar w:fldCharType="end"/>
        </w:r>
      </w:hyperlink>
    </w:p>
    <w:p w14:paraId="2BA3296F"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23" w:history="1">
        <w:r w:rsidR="009C74A3" w:rsidRPr="009C74A3">
          <w:rPr>
            <w:rStyle w:val="Hyperlink"/>
            <w:rFonts w:ascii="Times New Roman" w:hAnsi="Times New Roman" w:cs="Times New Roman"/>
            <w:noProof/>
            <w:sz w:val="20"/>
            <w:szCs w:val="20"/>
          </w:rPr>
          <w:t>Figure 13: Indiangrass and Bermuda grass ten days after planting</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_Toc58975223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51</w:t>
        </w:r>
        <w:r w:rsidR="009C74A3" w:rsidRPr="009C74A3">
          <w:rPr>
            <w:rFonts w:ascii="Times New Roman" w:hAnsi="Times New Roman" w:cs="Times New Roman"/>
            <w:noProof/>
            <w:webHidden/>
            <w:sz w:val="20"/>
            <w:szCs w:val="20"/>
          </w:rPr>
          <w:fldChar w:fldCharType="end"/>
        </w:r>
      </w:hyperlink>
    </w:p>
    <w:p w14:paraId="2D795C5F"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24" w:history="1">
        <w:r w:rsidR="009C74A3" w:rsidRPr="009C74A3">
          <w:rPr>
            <w:rStyle w:val="Hyperlink"/>
            <w:rFonts w:ascii="Times New Roman" w:hAnsi="Times New Roman" w:cs="Times New Roman"/>
            <w:noProof/>
            <w:sz w:val="20"/>
            <w:szCs w:val="20"/>
          </w:rPr>
          <w:t>Figure 14: Daily light integrals of photosynthetically active radiation during the full-scale experiment</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_Toc58975224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52</w:t>
        </w:r>
        <w:r w:rsidR="009C74A3" w:rsidRPr="009C74A3">
          <w:rPr>
            <w:rFonts w:ascii="Times New Roman" w:hAnsi="Times New Roman" w:cs="Times New Roman"/>
            <w:noProof/>
            <w:webHidden/>
            <w:sz w:val="20"/>
            <w:szCs w:val="20"/>
          </w:rPr>
          <w:fldChar w:fldCharType="end"/>
        </w:r>
      </w:hyperlink>
    </w:p>
    <w:p w14:paraId="23D96235"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25" w:history="1">
        <w:r w:rsidR="009C74A3" w:rsidRPr="009C74A3">
          <w:rPr>
            <w:rStyle w:val="Hyperlink"/>
            <w:rFonts w:ascii="Times New Roman" w:hAnsi="Times New Roman" w:cs="Times New Roman"/>
            <w:noProof/>
            <w:sz w:val="20"/>
            <w:szCs w:val="20"/>
          </w:rPr>
          <w:t>Figure 15: Rolling corn leaves were an indicator of drought stress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_Toc58975225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55</w:t>
        </w:r>
        <w:r w:rsidR="009C74A3" w:rsidRPr="009C74A3">
          <w:rPr>
            <w:rFonts w:ascii="Times New Roman" w:hAnsi="Times New Roman" w:cs="Times New Roman"/>
            <w:noProof/>
            <w:webHidden/>
            <w:sz w:val="20"/>
            <w:szCs w:val="20"/>
          </w:rPr>
          <w:fldChar w:fldCharType="end"/>
        </w:r>
      </w:hyperlink>
    </w:p>
    <w:p w14:paraId="65995FD9"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26" w:history="1">
        <w:r w:rsidR="009C74A3" w:rsidRPr="009C74A3">
          <w:rPr>
            <w:rStyle w:val="Hyperlink"/>
            <w:rFonts w:ascii="Times New Roman" w:hAnsi="Times New Roman" w:cs="Times New Roman"/>
            <w:noProof/>
            <w:sz w:val="20"/>
            <w:szCs w:val="20"/>
          </w:rPr>
          <w:t>Figure 16: Daily temperature extremes and GDUs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_Toc58975226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56</w:t>
        </w:r>
        <w:r w:rsidR="009C74A3" w:rsidRPr="009C74A3">
          <w:rPr>
            <w:rFonts w:ascii="Times New Roman" w:hAnsi="Times New Roman" w:cs="Times New Roman"/>
            <w:noProof/>
            <w:webHidden/>
            <w:sz w:val="20"/>
            <w:szCs w:val="20"/>
          </w:rPr>
          <w:fldChar w:fldCharType="end"/>
        </w:r>
      </w:hyperlink>
    </w:p>
    <w:p w14:paraId="47FEE471"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27" w:history="1">
        <w:r w:rsidR="009C74A3" w:rsidRPr="009C74A3">
          <w:rPr>
            <w:rStyle w:val="Hyperlink"/>
            <w:rFonts w:ascii="Times New Roman" w:hAnsi="Times New Roman" w:cs="Times New Roman"/>
            <w:noProof/>
            <w:sz w:val="20"/>
            <w:szCs w:val="20"/>
          </w:rPr>
          <w:t>Figure 17: Inverted v-shaped yellowing of lower corn leaf indicative of nitrogen deficiency</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_Toc58975227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59</w:t>
        </w:r>
        <w:r w:rsidR="009C74A3" w:rsidRPr="009C74A3">
          <w:rPr>
            <w:rFonts w:ascii="Times New Roman" w:hAnsi="Times New Roman" w:cs="Times New Roman"/>
            <w:noProof/>
            <w:webHidden/>
            <w:sz w:val="20"/>
            <w:szCs w:val="20"/>
          </w:rPr>
          <w:fldChar w:fldCharType="end"/>
        </w:r>
      </w:hyperlink>
    </w:p>
    <w:p w14:paraId="188EB060"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28" w:history="1">
        <w:r w:rsidR="009C74A3" w:rsidRPr="009C74A3">
          <w:rPr>
            <w:rStyle w:val="Hyperlink"/>
            <w:rFonts w:ascii="Times New Roman" w:hAnsi="Times New Roman" w:cs="Times New Roman"/>
            <w:noProof/>
            <w:sz w:val="20"/>
            <w:szCs w:val="20"/>
          </w:rPr>
          <w:t>Figure 18: Full-scale field experiment seedling emergence by species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_Toc58975228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65</w:t>
        </w:r>
        <w:r w:rsidR="009C74A3" w:rsidRPr="009C74A3">
          <w:rPr>
            <w:rFonts w:ascii="Times New Roman" w:hAnsi="Times New Roman" w:cs="Times New Roman"/>
            <w:noProof/>
            <w:webHidden/>
            <w:sz w:val="20"/>
            <w:szCs w:val="20"/>
          </w:rPr>
          <w:fldChar w:fldCharType="end"/>
        </w:r>
      </w:hyperlink>
    </w:p>
    <w:p w14:paraId="351106E0"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29" w:history="1">
        <w:r w:rsidR="009C74A3" w:rsidRPr="009C74A3">
          <w:rPr>
            <w:rStyle w:val="Hyperlink"/>
            <w:rFonts w:ascii="Times New Roman" w:hAnsi="Times New Roman" w:cs="Times New Roman"/>
            <w:noProof/>
            <w:sz w:val="20"/>
            <w:szCs w:val="20"/>
          </w:rPr>
          <w:t>Figure 19: The full-scale field experiment on (a) day 0 and (b) day 12</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_Toc58975229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65</w:t>
        </w:r>
        <w:r w:rsidR="009C74A3" w:rsidRPr="009C74A3">
          <w:rPr>
            <w:rFonts w:ascii="Times New Roman" w:hAnsi="Times New Roman" w:cs="Times New Roman"/>
            <w:noProof/>
            <w:webHidden/>
            <w:sz w:val="20"/>
            <w:szCs w:val="20"/>
          </w:rPr>
          <w:fldChar w:fldCharType="end"/>
        </w:r>
      </w:hyperlink>
    </w:p>
    <w:p w14:paraId="69419B76"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30" w:history="1">
        <w:r w:rsidR="009C74A3" w:rsidRPr="009C74A3">
          <w:rPr>
            <w:rStyle w:val="Hyperlink"/>
            <w:rFonts w:ascii="Times New Roman" w:hAnsi="Times New Roman" w:cs="Times New Roman"/>
            <w:noProof/>
            <w:sz w:val="20"/>
            <w:szCs w:val="20"/>
          </w:rPr>
          <w:t>Figure 20: Cumulative corn emergence during groundwater and mine water irrigation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_Toc58975230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66</w:t>
        </w:r>
        <w:r w:rsidR="009C74A3" w:rsidRPr="009C74A3">
          <w:rPr>
            <w:rFonts w:ascii="Times New Roman" w:hAnsi="Times New Roman" w:cs="Times New Roman"/>
            <w:noProof/>
            <w:webHidden/>
            <w:sz w:val="20"/>
            <w:szCs w:val="20"/>
          </w:rPr>
          <w:fldChar w:fldCharType="end"/>
        </w:r>
      </w:hyperlink>
    </w:p>
    <w:p w14:paraId="14F5E0C7"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31" w:history="1">
        <w:r w:rsidR="009C74A3" w:rsidRPr="009C74A3">
          <w:rPr>
            <w:rStyle w:val="Hyperlink"/>
            <w:rFonts w:ascii="Times New Roman" w:hAnsi="Times New Roman" w:cs="Times New Roman"/>
            <w:noProof/>
            <w:sz w:val="20"/>
            <w:szCs w:val="20"/>
          </w:rPr>
          <w:t>Figure 21: Cumulative sorghum emergence during groundwater and mine water irrigation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_Toc58975231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67</w:t>
        </w:r>
        <w:r w:rsidR="009C74A3" w:rsidRPr="009C74A3">
          <w:rPr>
            <w:rFonts w:ascii="Times New Roman" w:hAnsi="Times New Roman" w:cs="Times New Roman"/>
            <w:noProof/>
            <w:webHidden/>
            <w:sz w:val="20"/>
            <w:szCs w:val="20"/>
          </w:rPr>
          <w:fldChar w:fldCharType="end"/>
        </w:r>
      </w:hyperlink>
    </w:p>
    <w:p w14:paraId="37BCDCC7"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32" w:history="1">
        <w:r w:rsidR="009C74A3" w:rsidRPr="009C74A3">
          <w:rPr>
            <w:rStyle w:val="Hyperlink"/>
            <w:rFonts w:ascii="Times New Roman" w:hAnsi="Times New Roman" w:cs="Times New Roman"/>
            <w:noProof/>
            <w:sz w:val="20"/>
            <w:szCs w:val="20"/>
          </w:rPr>
          <w:t>Figure 22: Corn survival curves during groundwater and mine water irrigation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_Toc58975232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67</w:t>
        </w:r>
        <w:r w:rsidR="009C74A3" w:rsidRPr="009C74A3">
          <w:rPr>
            <w:rFonts w:ascii="Times New Roman" w:hAnsi="Times New Roman" w:cs="Times New Roman"/>
            <w:noProof/>
            <w:webHidden/>
            <w:sz w:val="20"/>
            <w:szCs w:val="20"/>
          </w:rPr>
          <w:fldChar w:fldCharType="end"/>
        </w:r>
      </w:hyperlink>
    </w:p>
    <w:p w14:paraId="636E97C1"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33" w:history="1">
        <w:r w:rsidR="009C74A3" w:rsidRPr="009C74A3">
          <w:rPr>
            <w:rStyle w:val="Hyperlink"/>
            <w:rFonts w:ascii="Times New Roman" w:hAnsi="Times New Roman" w:cs="Times New Roman"/>
            <w:noProof/>
            <w:sz w:val="20"/>
            <w:szCs w:val="20"/>
          </w:rPr>
          <w:t>Figure 23: Sorghum survival curves during groundwater and mine water irrigation</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_Toc58975233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68</w:t>
        </w:r>
        <w:r w:rsidR="009C74A3" w:rsidRPr="009C74A3">
          <w:rPr>
            <w:rFonts w:ascii="Times New Roman" w:hAnsi="Times New Roman" w:cs="Times New Roman"/>
            <w:noProof/>
            <w:webHidden/>
            <w:sz w:val="20"/>
            <w:szCs w:val="20"/>
          </w:rPr>
          <w:fldChar w:fldCharType="end"/>
        </w:r>
      </w:hyperlink>
    </w:p>
    <w:p w14:paraId="24C0C2AC"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34" w:history="1">
        <w:r w:rsidR="009C74A3" w:rsidRPr="009C74A3">
          <w:rPr>
            <w:rStyle w:val="Hyperlink"/>
            <w:rFonts w:ascii="Times New Roman" w:hAnsi="Times New Roman" w:cs="Times New Roman"/>
            <w:noProof/>
            <w:sz w:val="20"/>
            <w:szCs w:val="20"/>
          </w:rPr>
          <w:t>Figure 24: Mean apex leaf height of corn plants during groundwater and mine water irrigation (bars represent standard deviation; each point represents n=6)</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_Toc58975234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70</w:t>
        </w:r>
        <w:r w:rsidR="009C74A3" w:rsidRPr="009C74A3">
          <w:rPr>
            <w:rFonts w:ascii="Times New Roman" w:hAnsi="Times New Roman" w:cs="Times New Roman"/>
            <w:noProof/>
            <w:webHidden/>
            <w:sz w:val="20"/>
            <w:szCs w:val="20"/>
          </w:rPr>
          <w:fldChar w:fldCharType="end"/>
        </w:r>
      </w:hyperlink>
    </w:p>
    <w:p w14:paraId="11F9081E"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35" w:history="1">
        <w:r w:rsidR="009C74A3" w:rsidRPr="009C74A3">
          <w:rPr>
            <w:rStyle w:val="Hyperlink"/>
            <w:rFonts w:ascii="Times New Roman" w:hAnsi="Times New Roman" w:cs="Times New Roman"/>
            <w:noProof/>
            <w:sz w:val="20"/>
            <w:szCs w:val="20"/>
          </w:rPr>
          <w:t>Figure 25: Mean apex leaf height of sorghum plants during groundwater and mine water irrigation (bars represent standard deviation; each point represents n=6)</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_Toc58975235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72</w:t>
        </w:r>
        <w:r w:rsidR="009C74A3" w:rsidRPr="009C74A3">
          <w:rPr>
            <w:rFonts w:ascii="Times New Roman" w:hAnsi="Times New Roman" w:cs="Times New Roman"/>
            <w:noProof/>
            <w:webHidden/>
            <w:sz w:val="20"/>
            <w:szCs w:val="20"/>
          </w:rPr>
          <w:fldChar w:fldCharType="end"/>
        </w:r>
      </w:hyperlink>
    </w:p>
    <w:p w14:paraId="19B93341"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36" w:history="1">
        <w:r w:rsidR="009C74A3" w:rsidRPr="009C74A3">
          <w:rPr>
            <w:rStyle w:val="Hyperlink"/>
            <w:rFonts w:ascii="Times New Roman" w:hAnsi="Times New Roman" w:cs="Times New Roman"/>
            <w:noProof/>
            <w:sz w:val="20"/>
            <w:szCs w:val="20"/>
          </w:rPr>
          <w:t>Figure 26: Mean percent coverage of Bermuda grass pots during groundwater and mine water irrigation (bars represent standard deviation; each point represents n=6)</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_Toc58975236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73</w:t>
        </w:r>
        <w:r w:rsidR="009C74A3" w:rsidRPr="009C74A3">
          <w:rPr>
            <w:rFonts w:ascii="Times New Roman" w:hAnsi="Times New Roman" w:cs="Times New Roman"/>
            <w:noProof/>
            <w:webHidden/>
            <w:sz w:val="20"/>
            <w:szCs w:val="20"/>
          </w:rPr>
          <w:fldChar w:fldCharType="end"/>
        </w:r>
      </w:hyperlink>
    </w:p>
    <w:p w14:paraId="70EFFB9C"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37" w:history="1">
        <w:r w:rsidR="009C74A3" w:rsidRPr="009C74A3">
          <w:rPr>
            <w:rStyle w:val="Hyperlink"/>
            <w:rFonts w:ascii="Times New Roman" w:hAnsi="Times New Roman" w:cs="Times New Roman"/>
            <w:noProof/>
            <w:sz w:val="20"/>
            <w:szCs w:val="20"/>
          </w:rPr>
          <w:t>Figure 27: Mean total biomass of each species-treatment group (bars represent standard deviation; n=6)</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_Toc58975237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74</w:t>
        </w:r>
        <w:r w:rsidR="009C74A3" w:rsidRPr="009C74A3">
          <w:rPr>
            <w:rFonts w:ascii="Times New Roman" w:hAnsi="Times New Roman" w:cs="Times New Roman"/>
            <w:noProof/>
            <w:webHidden/>
            <w:sz w:val="20"/>
            <w:szCs w:val="20"/>
          </w:rPr>
          <w:fldChar w:fldCharType="end"/>
        </w:r>
      </w:hyperlink>
    </w:p>
    <w:p w14:paraId="419475F3"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38" w:history="1">
        <w:r w:rsidR="009C74A3" w:rsidRPr="009C74A3">
          <w:rPr>
            <w:rStyle w:val="Hyperlink"/>
            <w:rFonts w:ascii="Times New Roman" w:hAnsi="Times New Roman" w:cs="Times New Roman"/>
            <w:noProof/>
            <w:sz w:val="20"/>
            <w:szCs w:val="20"/>
          </w:rPr>
          <w:t>Figure 28: Corn, sorghum, and Bermuda grass three weeks prior to harvest (plants were consolidated for pictures and during high winds)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_Toc58975238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75</w:t>
        </w:r>
        <w:r w:rsidR="009C74A3" w:rsidRPr="009C74A3">
          <w:rPr>
            <w:rFonts w:ascii="Times New Roman" w:hAnsi="Times New Roman" w:cs="Times New Roman"/>
            <w:noProof/>
            <w:webHidden/>
            <w:sz w:val="20"/>
            <w:szCs w:val="20"/>
          </w:rPr>
          <w:fldChar w:fldCharType="end"/>
        </w:r>
      </w:hyperlink>
    </w:p>
    <w:p w14:paraId="777DC2DE"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39" w:history="1">
        <w:r w:rsidR="009C74A3" w:rsidRPr="009C74A3">
          <w:rPr>
            <w:rStyle w:val="Hyperlink"/>
            <w:rFonts w:ascii="Times New Roman" w:hAnsi="Times New Roman" w:cs="Times New Roman"/>
            <w:noProof/>
            <w:sz w:val="20"/>
            <w:szCs w:val="20"/>
          </w:rPr>
          <w:t>Figure 29: Total dry biomass of all corn plants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_Toc58975239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77</w:t>
        </w:r>
        <w:r w:rsidR="009C74A3" w:rsidRPr="009C74A3">
          <w:rPr>
            <w:rFonts w:ascii="Times New Roman" w:hAnsi="Times New Roman" w:cs="Times New Roman"/>
            <w:noProof/>
            <w:webHidden/>
            <w:sz w:val="20"/>
            <w:szCs w:val="20"/>
          </w:rPr>
          <w:fldChar w:fldCharType="end"/>
        </w:r>
      </w:hyperlink>
    </w:p>
    <w:p w14:paraId="2EA9A574"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40" w:history="1">
        <w:r w:rsidR="009C74A3" w:rsidRPr="009C74A3">
          <w:rPr>
            <w:rStyle w:val="Hyperlink"/>
            <w:rFonts w:ascii="Times New Roman" w:hAnsi="Times New Roman" w:cs="Times New Roman"/>
            <w:noProof/>
            <w:sz w:val="20"/>
            <w:szCs w:val="20"/>
          </w:rPr>
          <w:t>Figure 30: Total dry biomass of all sorghum plants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_Toc58975240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78</w:t>
        </w:r>
        <w:r w:rsidR="009C74A3" w:rsidRPr="009C74A3">
          <w:rPr>
            <w:rFonts w:ascii="Times New Roman" w:hAnsi="Times New Roman" w:cs="Times New Roman"/>
            <w:noProof/>
            <w:webHidden/>
            <w:sz w:val="20"/>
            <w:szCs w:val="20"/>
          </w:rPr>
          <w:fldChar w:fldCharType="end"/>
        </w:r>
      </w:hyperlink>
    </w:p>
    <w:p w14:paraId="3D3D0EB6"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41" w:history="1">
        <w:r w:rsidR="009C74A3" w:rsidRPr="009C74A3">
          <w:rPr>
            <w:rStyle w:val="Hyperlink"/>
            <w:rFonts w:ascii="Times New Roman" w:hAnsi="Times New Roman" w:cs="Times New Roman"/>
            <w:noProof/>
            <w:sz w:val="20"/>
            <w:szCs w:val="20"/>
          </w:rPr>
          <w:t>Figure 31: Box plots of Fe concentrations in each plant and structure in mg/kg</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_Toc58975241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83</w:t>
        </w:r>
        <w:r w:rsidR="009C74A3" w:rsidRPr="009C74A3">
          <w:rPr>
            <w:rFonts w:ascii="Times New Roman" w:hAnsi="Times New Roman" w:cs="Times New Roman"/>
            <w:noProof/>
            <w:webHidden/>
            <w:sz w:val="20"/>
            <w:szCs w:val="20"/>
          </w:rPr>
          <w:fldChar w:fldCharType="end"/>
        </w:r>
      </w:hyperlink>
    </w:p>
    <w:p w14:paraId="6A6A1F1A"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42" w:history="1">
        <w:r w:rsidR="009C74A3" w:rsidRPr="009C74A3">
          <w:rPr>
            <w:rStyle w:val="Hyperlink"/>
            <w:rFonts w:ascii="Times New Roman" w:hAnsi="Times New Roman" w:cs="Times New Roman"/>
            <w:noProof/>
            <w:sz w:val="20"/>
            <w:szCs w:val="20"/>
          </w:rPr>
          <w:t>Figure 32: Box plots of Ni concentrations in each plant and structure in mg/kg</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_Toc58975242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85</w:t>
        </w:r>
        <w:r w:rsidR="009C74A3" w:rsidRPr="009C74A3">
          <w:rPr>
            <w:rFonts w:ascii="Times New Roman" w:hAnsi="Times New Roman" w:cs="Times New Roman"/>
            <w:noProof/>
            <w:webHidden/>
            <w:sz w:val="20"/>
            <w:szCs w:val="20"/>
          </w:rPr>
          <w:fldChar w:fldCharType="end"/>
        </w:r>
      </w:hyperlink>
    </w:p>
    <w:p w14:paraId="04381120"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43" w:history="1">
        <w:r w:rsidR="009C74A3" w:rsidRPr="009C74A3">
          <w:rPr>
            <w:rStyle w:val="Hyperlink"/>
            <w:rFonts w:ascii="Times New Roman" w:hAnsi="Times New Roman" w:cs="Times New Roman"/>
            <w:noProof/>
            <w:sz w:val="20"/>
            <w:szCs w:val="20"/>
          </w:rPr>
          <w:t>Figure 33: Box plots of Pb concentrations in each plant and structure in mg/kg</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_Toc58975243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86</w:t>
        </w:r>
        <w:r w:rsidR="009C74A3" w:rsidRPr="009C74A3">
          <w:rPr>
            <w:rFonts w:ascii="Times New Roman" w:hAnsi="Times New Roman" w:cs="Times New Roman"/>
            <w:noProof/>
            <w:webHidden/>
            <w:sz w:val="20"/>
            <w:szCs w:val="20"/>
          </w:rPr>
          <w:fldChar w:fldCharType="end"/>
        </w:r>
      </w:hyperlink>
    </w:p>
    <w:p w14:paraId="75F5A295"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44" w:history="1">
        <w:r w:rsidR="009C74A3" w:rsidRPr="009C74A3">
          <w:rPr>
            <w:rStyle w:val="Hyperlink"/>
            <w:rFonts w:ascii="Times New Roman" w:hAnsi="Times New Roman" w:cs="Times New Roman"/>
            <w:noProof/>
            <w:sz w:val="20"/>
            <w:szCs w:val="20"/>
          </w:rPr>
          <w:t>Figure 34: Box plots of Zn concentrations in each plant and structure in mg/kg</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_Toc58975244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87</w:t>
        </w:r>
        <w:r w:rsidR="009C74A3" w:rsidRPr="009C74A3">
          <w:rPr>
            <w:rFonts w:ascii="Times New Roman" w:hAnsi="Times New Roman" w:cs="Times New Roman"/>
            <w:noProof/>
            <w:webHidden/>
            <w:sz w:val="20"/>
            <w:szCs w:val="20"/>
          </w:rPr>
          <w:fldChar w:fldCharType="end"/>
        </w:r>
      </w:hyperlink>
    </w:p>
    <w:p w14:paraId="6B6B238A"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45" w:history="1">
        <w:r w:rsidR="009C74A3" w:rsidRPr="009C74A3">
          <w:rPr>
            <w:rStyle w:val="Hyperlink"/>
            <w:rFonts w:ascii="Times New Roman" w:hAnsi="Times New Roman" w:cs="Times New Roman"/>
            <w:noProof/>
            <w:sz w:val="20"/>
            <w:szCs w:val="20"/>
          </w:rPr>
          <w:t>Figure 35: Box plots of Ca concentrations in each plant and structure in mg/kg</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_Toc58975245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95</w:t>
        </w:r>
        <w:r w:rsidR="009C74A3" w:rsidRPr="009C74A3">
          <w:rPr>
            <w:rFonts w:ascii="Times New Roman" w:hAnsi="Times New Roman" w:cs="Times New Roman"/>
            <w:noProof/>
            <w:webHidden/>
            <w:sz w:val="20"/>
            <w:szCs w:val="20"/>
          </w:rPr>
          <w:fldChar w:fldCharType="end"/>
        </w:r>
      </w:hyperlink>
    </w:p>
    <w:p w14:paraId="083F5741"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46" w:history="1">
        <w:r w:rsidR="009C74A3" w:rsidRPr="009C74A3">
          <w:rPr>
            <w:rStyle w:val="Hyperlink"/>
            <w:rFonts w:ascii="Times New Roman" w:hAnsi="Times New Roman" w:cs="Times New Roman"/>
            <w:noProof/>
            <w:sz w:val="20"/>
            <w:szCs w:val="20"/>
          </w:rPr>
          <w:t>Figure 36: Box plots of Cd concentrations in each plant and structure in mg/kg</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_Toc58975246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97</w:t>
        </w:r>
        <w:r w:rsidR="009C74A3" w:rsidRPr="009C74A3">
          <w:rPr>
            <w:rFonts w:ascii="Times New Roman" w:hAnsi="Times New Roman" w:cs="Times New Roman"/>
            <w:noProof/>
            <w:webHidden/>
            <w:sz w:val="20"/>
            <w:szCs w:val="20"/>
          </w:rPr>
          <w:fldChar w:fldCharType="end"/>
        </w:r>
      </w:hyperlink>
    </w:p>
    <w:p w14:paraId="0102FE4E"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47" w:history="1">
        <w:r w:rsidR="009C74A3" w:rsidRPr="009C74A3">
          <w:rPr>
            <w:rStyle w:val="Hyperlink"/>
            <w:rFonts w:ascii="Times New Roman" w:hAnsi="Times New Roman" w:cs="Times New Roman"/>
            <w:noProof/>
            <w:sz w:val="20"/>
            <w:szCs w:val="20"/>
          </w:rPr>
          <w:t>Figure 37: Box plots of Mg concentrations in each plant and structure in mg/kg</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_Toc58975247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99</w:t>
        </w:r>
        <w:r w:rsidR="009C74A3" w:rsidRPr="009C74A3">
          <w:rPr>
            <w:rFonts w:ascii="Times New Roman" w:hAnsi="Times New Roman" w:cs="Times New Roman"/>
            <w:noProof/>
            <w:webHidden/>
            <w:sz w:val="20"/>
            <w:szCs w:val="20"/>
          </w:rPr>
          <w:fldChar w:fldCharType="end"/>
        </w:r>
      </w:hyperlink>
    </w:p>
    <w:p w14:paraId="6AE2B7D2"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48" w:history="1">
        <w:r w:rsidR="009C74A3" w:rsidRPr="009C74A3">
          <w:rPr>
            <w:rStyle w:val="Hyperlink"/>
            <w:rFonts w:ascii="Times New Roman" w:hAnsi="Times New Roman" w:cs="Times New Roman"/>
            <w:noProof/>
            <w:sz w:val="20"/>
            <w:szCs w:val="20"/>
          </w:rPr>
          <w:t>Figure 38: Box plots of Na concentrations in each plant and structure in mg/kg</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_Toc58975248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102</w:t>
        </w:r>
        <w:r w:rsidR="009C74A3" w:rsidRPr="009C74A3">
          <w:rPr>
            <w:rFonts w:ascii="Times New Roman" w:hAnsi="Times New Roman" w:cs="Times New Roman"/>
            <w:noProof/>
            <w:webHidden/>
            <w:sz w:val="20"/>
            <w:szCs w:val="20"/>
          </w:rPr>
          <w:fldChar w:fldCharType="end"/>
        </w:r>
      </w:hyperlink>
    </w:p>
    <w:p w14:paraId="16B2EA0E" w14:textId="77777777" w:rsidR="009C74A3" w:rsidRPr="009C74A3" w:rsidRDefault="005A0289">
      <w:pPr>
        <w:pStyle w:val="TableofFigures"/>
        <w:tabs>
          <w:tab w:val="right" w:leader="dot" w:pos="9350"/>
        </w:tabs>
        <w:rPr>
          <w:rFonts w:ascii="Times New Roman" w:hAnsi="Times New Roman" w:cs="Times New Roman"/>
          <w:noProof/>
          <w:sz w:val="20"/>
          <w:szCs w:val="20"/>
          <w:lang w:eastAsia="en-US"/>
        </w:rPr>
      </w:pPr>
      <w:hyperlink w:anchor="_Toc58975249" w:history="1">
        <w:r w:rsidR="009C74A3" w:rsidRPr="009C74A3">
          <w:rPr>
            <w:rStyle w:val="Hyperlink"/>
            <w:rFonts w:ascii="Times New Roman" w:hAnsi="Times New Roman" w:cs="Times New Roman"/>
            <w:noProof/>
            <w:sz w:val="20"/>
            <w:szCs w:val="20"/>
          </w:rPr>
          <w:t>Figure 39: Box plots of S concentrations in each plant and structure in mg/kg</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_Toc58975249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104</w:t>
        </w:r>
        <w:r w:rsidR="009C74A3" w:rsidRPr="009C74A3">
          <w:rPr>
            <w:rFonts w:ascii="Times New Roman" w:hAnsi="Times New Roman" w:cs="Times New Roman"/>
            <w:noProof/>
            <w:webHidden/>
            <w:sz w:val="20"/>
            <w:szCs w:val="20"/>
          </w:rPr>
          <w:fldChar w:fldCharType="end"/>
        </w:r>
      </w:hyperlink>
    </w:p>
    <w:p w14:paraId="68C9D65A" w14:textId="77777777" w:rsidR="009C74A3" w:rsidRDefault="005A0289">
      <w:pPr>
        <w:pStyle w:val="TableofFigures"/>
        <w:tabs>
          <w:tab w:val="right" w:leader="dot" w:pos="9350"/>
        </w:tabs>
        <w:rPr>
          <w:noProof/>
          <w:lang w:eastAsia="en-US"/>
        </w:rPr>
      </w:pPr>
      <w:hyperlink w:anchor="_Toc58975250" w:history="1">
        <w:r w:rsidR="009C74A3" w:rsidRPr="009C74A3">
          <w:rPr>
            <w:rStyle w:val="Hyperlink"/>
            <w:rFonts w:ascii="Times New Roman" w:hAnsi="Times New Roman" w:cs="Times New Roman"/>
            <w:noProof/>
            <w:sz w:val="20"/>
            <w:szCs w:val="20"/>
          </w:rPr>
          <w:t>Figure 40: Changes in soil Cd concentrations under groundwater and mine water irrigation before and after a single growing season, visualized with a combination of scatter plots, box plots, connected means with standard error bars, and smoothed histograms</w:t>
        </w:r>
        <w:r w:rsidR="009C74A3" w:rsidRPr="009C74A3">
          <w:rPr>
            <w:rFonts w:ascii="Times New Roman" w:hAnsi="Times New Roman" w:cs="Times New Roman"/>
            <w:noProof/>
            <w:webHidden/>
            <w:sz w:val="20"/>
            <w:szCs w:val="20"/>
          </w:rPr>
          <w:tab/>
        </w:r>
        <w:r w:rsidR="009C74A3" w:rsidRPr="009C74A3">
          <w:rPr>
            <w:rFonts w:ascii="Times New Roman" w:hAnsi="Times New Roman" w:cs="Times New Roman"/>
            <w:noProof/>
            <w:webHidden/>
            <w:sz w:val="20"/>
            <w:szCs w:val="20"/>
          </w:rPr>
          <w:fldChar w:fldCharType="begin"/>
        </w:r>
        <w:r w:rsidR="009C74A3" w:rsidRPr="009C74A3">
          <w:rPr>
            <w:rFonts w:ascii="Times New Roman" w:hAnsi="Times New Roman" w:cs="Times New Roman"/>
            <w:noProof/>
            <w:webHidden/>
            <w:sz w:val="20"/>
            <w:szCs w:val="20"/>
          </w:rPr>
          <w:instrText xml:space="preserve"> PAGEREF _Toc58975250 \h </w:instrText>
        </w:r>
        <w:r w:rsidR="009C74A3" w:rsidRPr="009C74A3">
          <w:rPr>
            <w:rFonts w:ascii="Times New Roman" w:hAnsi="Times New Roman" w:cs="Times New Roman"/>
            <w:noProof/>
            <w:webHidden/>
            <w:sz w:val="20"/>
            <w:szCs w:val="20"/>
          </w:rPr>
        </w:r>
        <w:r w:rsidR="009C74A3" w:rsidRPr="009C74A3">
          <w:rPr>
            <w:rFonts w:ascii="Times New Roman" w:hAnsi="Times New Roman" w:cs="Times New Roman"/>
            <w:noProof/>
            <w:webHidden/>
            <w:sz w:val="20"/>
            <w:szCs w:val="20"/>
          </w:rPr>
          <w:fldChar w:fldCharType="separate"/>
        </w:r>
        <w:r w:rsidR="008834FB">
          <w:rPr>
            <w:rFonts w:ascii="Times New Roman" w:hAnsi="Times New Roman" w:cs="Times New Roman"/>
            <w:noProof/>
            <w:webHidden/>
            <w:sz w:val="20"/>
            <w:szCs w:val="20"/>
          </w:rPr>
          <w:t>107</w:t>
        </w:r>
        <w:r w:rsidR="009C74A3" w:rsidRPr="009C74A3">
          <w:rPr>
            <w:rFonts w:ascii="Times New Roman" w:hAnsi="Times New Roman" w:cs="Times New Roman"/>
            <w:noProof/>
            <w:webHidden/>
            <w:sz w:val="20"/>
            <w:szCs w:val="20"/>
          </w:rPr>
          <w:fldChar w:fldCharType="end"/>
        </w:r>
      </w:hyperlink>
    </w:p>
    <w:p w14:paraId="0A7B35B9" w14:textId="77777777" w:rsidR="009674BE" w:rsidRPr="00F07DEB" w:rsidRDefault="00A216CD" w:rsidP="00AE6C37">
      <w:pPr>
        <w:widowControl w:val="0"/>
        <w:autoSpaceDE w:val="0"/>
        <w:autoSpaceDN w:val="0"/>
        <w:adjustRightInd w:val="0"/>
        <w:spacing w:after="0" w:line="360" w:lineRule="auto"/>
        <w:rPr>
          <w:rFonts w:ascii="Times New Roman" w:eastAsia="Times New Roman" w:hAnsi="Times New Roman" w:cs="Times New Roman"/>
          <w:sz w:val="24"/>
          <w:szCs w:val="24"/>
          <w:lang w:eastAsia="en-US"/>
        </w:rPr>
      </w:pPr>
      <w:r w:rsidRPr="00252822">
        <w:rPr>
          <w:rFonts w:ascii="Times New Roman" w:eastAsia="Times New Roman" w:hAnsi="Times New Roman" w:cs="Times New Roman"/>
          <w:sz w:val="20"/>
          <w:szCs w:val="20"/>
          <w:lang w:eastAsia="en-US"/>
        </w:rPr>
        <w:fldChar w:fldCharType="end"/>
      </w:r>
    </w:p>
    <w:p w14:paraId="40F687A2" w14:textId="1E3018AA" w:rsidR="00C97B6D" w:rsidRPr="00F07DEB" w:rsidRDefault="00C97B6D" w:rsidP="00AE6C37">
      <w:pPr>
        <w:widowControl w:val="0"/>
        <w:autoSpaceDE w:val="0"/>
        <w:autoSpaceDN w:val="0"/>
        <w:adjustRightInd w:val="0"/>
        <w:spacing w:after="0" w:line="360" w:lineRule="auto"/>
        <w:rPr>
          <w:rFonts w:ascii="Times New Roman" w:eastAsia="Times New Roman" w:hAnsi="Times New Roman" w:cs="Times New Roman"/>
          <w:b/>
          <w:sz w:val="24"/>
          <w:szCs w:val="24"/>
          <w:lang w:eastAsia="en-US"/>
        </w:rPr>
      </w:pPr>
      <w:r w:rsidRPr="00F07DEB">
        <w:rPr>
          <w:rFonts w:ascii="Times New Roman" w:eastAsia="Times New Roman" w:hAnsi="Times New Roman" w:cs="Times New Roman"/>
          <w:b/>
          <w:sz w:val="24"/>
          <w:szCs w:val="24"/>
          <w:lang w:eastAsia="en-US"/>
        </w:rPr>
        <w:t>List of Equations</w:t>
      </w:r>
    </w:p>
    <w:p w14:paraId="284847B9" w14:textId="6BBC76A1" w:rsidR="00C97B6D" w:rsidRPr="00F07DEB" w:rsidRDefault="00C97B6D" w:rsidP="00252822">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r w:rsidRPr="00F07DEB">
        <w:rPr>
          <w:rFonts w:ascii="Times New Roman" w:eastAsia="Times New Roman" w:hAnsi="Times New Roman" w:cs="Times New Roman"/>
          <w:sz w:val="20"/>
          <w:szCs w:val="20"/>
          <w:lang w:eastAsia="en-US"/>
        </w:rPr>
        <w:t xml:space="preserve">Equation 1: </w:t>
      </w:r>
      <w:r w:rsidR="000C3519" w:rsidRPr="00F07DEB">
        <w:rPr>
          <w:rFonts w:ascii="Times New Roman" w:eastAsia="Times New Roman" w:hAnsi="Times New Roman" w:cs="Times New Roman"/>
          <w:sz w:val="20"/>
          <w:szCs w:val="20"/>
          <w:lang w:eastAsia="en-US"/>
        </w:rPr>
        <w:t xml:space="preserve">Adjusted </w:t>
      </w:r>
      <w:r w:rsidR="009678A2">
        <w:rPr>
          <w:rFonts w:ascii="Times New Roman" w:eastAsia="Times New Roman" w:hAnsi="Times New Roman" w:cs="Times New Roman"/>
          <w:sz w:val="20"/>
          <w:szCs w:val="20"/>
          <w:lang w:eastAsia="en-US"/>
        </w:rPr>
        <w:t>Na</w:t>
      </w:r>
      <w:r w:rsidRPr="00F07DEB">
        <w:rPr>
          <w:rFonts w:ascii="Times New Roman" w:eastAsia="Times New Roman" w:hAnsi="Times New Roman" w:cs="Times New Roman"/>
          <w:sz w:val="20"/>
          <w:szCs w:val="20"/>
          <w:lang w:eastAsia="en-US"/>
        </w:rPr>
        <w:t xml:space="preserve"> Adsorption Ratio</w:t>
      </w:r>
      <w:proofErr w:type="gramStart"/>
      <w:r w:rsidRPr="00F07DEB">
        <w:rPr>
          <w:rFonts w:ascii="Times New Roman" w:eastAsia="Times New Roman" w:hAnsi="Times New Roman" w:cs="Times New Roman"/>
          <w:sz w:val="20"/>
          <w:szCs w:val="20"/>
          <w:lang w:eastAsia="en-US"/>
        </w:rPr>
        <w:t>…………………………………………………</w:t>
      </w:r>
      <w:r w:rsidR="000C3519" w:rsidRPr="00F07DEB">
        <w:rPr>
          <w:rFonts w:ascii="Times New Roman" w:eastAsia="Times New Roman" w:hAnsi="Times New Roman" w:cs="Times New Roman"/>
          <w:sz w:val="20"/>
          <w:szCs w:val="20"/>
          <w:lang w:eastAsia="en-US"/>
        </w:rPr>
        <w:t>………..……</w:t>
      </w:r>
      <w:r w:rsidR="00252822">
        <w:rPr>
          <w:rFonts w:ascii="Times New Roman" w:eastAsia="Times New Roman" w:hAnsi="Times New Roman" w:cs="Times New Roman"/>
          <w:sz w:val="20"/>
          <w:szCs w:val="20"/>
          <w:lang w:eastAsia="en-US"/>
        </w:rPr>
        <w:t>…</w:t>
      </w:r>
      <w:r w:rsidR="009C74A3">
        <w:rPr>
          <w:rFonts w:ascii="Times New Roman" w:eastAsia="Times New Roman" w:hAnsi="Times New Roman" w:cs="Times New Roman"/>
          <w:sz w:val="20"/>
          <w:szCs w:val="20"/>
          <w:lang w:eastAsia="en-US"/>
        </w:rPr>
        <w:t>……...</w:t>
      </w:r>
      <w:proofErr w:type="gramEnd"/>
      <w:r w:rsidR="009C74A3">
        <w:rPr>
          <w:rFonts w:ascii="Times New Roman" w:eastAsia="Times New Roman" w:hAnsi="Times New Roman" w:cs="Times New Roman"/>
          <w:sz w:val="20"/>
          <w:szCs w:val="20"/>
          <w:lang w:eastAsia="en-US"/>
        </w:rPr>
        <w:t>22</w:t>
      </w:r>
    </w:p>
    <w:p w14:paraId="0C0636D2" w14:textId="5233E1DE" w:rsidR="000C3519" w:rsidRDefault="000C3519" w:rsidP="00252822">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r w:rsidRPr="00F07DEB">
        <w:rPr>
          <w:rFonts w:ascii="Times New Roman" w:eastAsia="Times New Roman" w:hAnsi="Times New Roman" w:cs="Times New Roman"/>
          <w:sz w:val="20"/>
          <w:szCs w:val="20"/>
          <w:lang w:eastAsia="en-US"/>
        </w:rPr>
        <w:t>Equation 2: Growing Degree Units</w:t>
      </w:r>
      <w:proofErr w:type="gramStart"/>
      <w:r w:rsidRPr="00F07DEB">
        <w:rPr>
          <w:rFonts w:ascii="Times New Roman" w:eastAsia="Times New Roman" w:hAnsi="Times New Roman" w:cs="Times New Roman"/>
          <w:sz w:val="20"/>
          <w:szCs w:val="20"/>
          <w:lang w:eastAsia="en-US"/>
        </w:rPr>
        <w:t>……………</w:t>
      </w:r>
      <w:r w:rsidR="009C74A3">
        <w:rPr>
          <w:rFonts w:ascii="Times New Roman" w:eastAsia="Times New Roman" w:hAnsi="Times New Roman" w:cs="Times New Roman"/>
          <w:sz w:val="20"/>
          <w:szCs w:val="20"/>
          <w:lang w:eastAsia="en-US"/>
        </w:rPr>
        <w:t>…………………………………………………………..………...</w:t>
      </w:r>
      <w:proofErr w:type="gramEnd"/>
      <w:r w:rsidR="009C74A3">
        <w:rPr>
          <w:rFonts w:ascii="Times New Roman" w:eastAsia="Times New Roman" w:hAnsi="Times New Roman" w:cs="Times New Roman"/>
          <w:sz w:val="20"/>
          <w:szCs w:val="20"/>
          <w:lang w:eastAsia="en-US"/>
        </w:rPr>
        <w:t>27</w:t>
      </w:r>
    </w:p>
    <w:p w14:paraId="61B63EF7" w14:textId="3D9A9BC4" w:rsidR="00252822" w:rsidRDefault="00252822" w:rsidP="00252822">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Equation 3: Current Effective Temperature In</w:t>
      </w:r>
      <w:r w:rsidR="008834FB">
        <w:rPr>
          <w:rFonts w:ascii="Times New Roman" w:eastAsia="Times New Roman" w:hAnsi="Times New Roman" w:cs="Times New Roman"/>
          <w:sz w:val="20"/>
          <w:szCs w:val="20"/>
          <w:lang w:eastAsia="en-US"/>
        </w:rPr>
        <w:t>dex…………………………………………………………………..43</w:t>
      </w:r>
    </w:p>
    <w:p w14:paraId="5B18CE7C" w14:textId="63E1F45C" w:rsidR="00252822" w:rsidRPr="00F07DEB" w:rsidRDefault="00252822" w:rsidP="00252822">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Equation 4: NASEM Cattle Water Intake………………………………………</w:t>
      </w:r>
      <w:r w:rsidR="008834FB">
        <w:rPr>
          <w:rFonts w:ascii="Times New Roman" w:eastAsia="Times New Roman" w:hAnsi="Times New Roman" w:cs="Times New Roman"/>
          <w:sz w:val="20"/>
          <w:szCs w:val="20"/>
          <w:lang w:eastAsia="en-US"/>
        </w:rPr>
        <w:t>…………………………………...43</w:t>
      </w:r>
    </w:p>
    <w:p w14:paraId="6571D454" w14:textId="328B1B1D" w:rsidR="000C3519" w:rsidRDefault="000C3519" w:rsidP="00204C13">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r w:rsidRPr="00F07DEB">
        <w:rPr>
          <w:rFonts w:ascii="Times New Roman" w:eastAsia="Times New Roman" w:hAnsi="Times New Roman" w:cs="Times New Roman"/>
          <w:sz w:val="20"/>
          <w:szCs w:val="20"/>
          <w:lang w:eastAsia="en-US"/>
        </w:rPr>
        <w:t xml:space="preserve">Equation </w:t>
      </w:r>
      <w:r w:rsidR="00252822">
        <w:rPr>
          <w:rFonts w:ascii="Times New Roman" w:eastAsia="Times New Roman" w:hAnsi="Times New Roman" w:cs="Times New Roman"/>
          <w:sz w:val="20"/>
          <w:szCs w:val="20"/>
          <w:lang w:eastAsia="en-US"/>
        </w:rPr>
        <w:t>5</w:t>
      </w:r>
      <w:r w:rsidRPr="00F07DEB">
        <w:rPr>
          <w:rFonts w:ascii="Times New Roman" w:eastAsia="Times New Roman" w:hAnsi="Times New Roman" w:cs="Times New Roman"/>
          <w:sz w:val="20"/>
          <w:szCs w:val="20"/>
          <w:lang w:eastAsia="en-US"/>
        </w:rPr>
        <w:t xml:space="preserve">: Kaplan </w:t>
      </w:r>
      <w:r w:rsidR="00B8239B">
        <w:rPr>
          <w:rFonts w:ascii="Times New Roman" w:eastAsia="Times New Roman" w:hAnsi="Times New Roman" w:cs="Times New Roman"/>
          <w:sz w:val="20"/>
          <w:szCs w:val="20"/>
          <w:lang w:eastAsia="en-US"/>
        </w:rPr>
        <w:t>Meier Survivor Function Estimation….</w:t>
      </w:r>
      <w:proofErr w:type="gramStart"/>
      <w:r w:rsidR="008834FB">
        <w:rPr>
          <w:rFonts w:ascii="Times New Roman" w:eastAsia="Times New Roman" w:hAnsi="Times New Roman" w:cs="Times New Roman"/>
          <w:sz w:val="20"/>
          <w:szCs w:val="20"/>
          <w:lang w:eastAsia="en-US"/>
        </w:rPr>
        <w:t>……………………………………………..………...</w:t>
      </w:r>
      <w:proofErr w:type="gramEnd"/>
      <w:r w:rsidR="008834FB">
        <w:rPr>
          <w:rFonts w:ascii="Times New Roman" w:eastAsia="Times New Roman" w:hAnsi="Times New Roman" w:cs="Times New Roman"/>
          <w:sz w:val="20"/>
          <w:szCs w:val="20"/>
          <w:lang w:eastAsia="en-US"/>
        </w:rPr>
        <w:t>48</w:t>
      </w:r>
    </w:p>
    <w:p w14:paraId="3C7F81B8" w14:textId="77777777" w:rsidR="00204C13" w:rsidRPr="00F07DEB" w:rsidRDefault="00204C13" w:rsidP="00204C13">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p>
    <w:p w14:paraId="33C8A1EC" w14:textId="67830AD7" w:rsidR="009674BE" w:rsidRDefault="00C03CAE" w:rsidP="00AE6C37">
      <w:pPr>
        <w:widowControl w:val="0"/>
        <w:autoSpaceDE w:val="0"/>
        <w:autoSpaceDN w:val="0"/>
        <w:adjustRightInd w:val="0"/>
        <w:spacing w:after="0" w:line="240" w:lineRule="auto"/>
        <w:rPr>
          <w:rFonts w:ascii="Times New Roman" w:eastAsia="Times New Roman" w:hAnsi="Times New Roman" w:cs="Times New Roman"/>
          <w:b/>
          <w:sz w:val="24"/>
          <w:szCs w:val="24"/>
          <w:lang w:eastAsia="en-US"/>
        </w:rPr>
      </w:pPr>
      <w:r w:rsidRPr="00C03CAE">
        <w:rPr>
          <w:rFonts w:ascii="Times New Roman" w:eastAsia="Times New Roman" w:hAnsi="Times New Roman" w:cs="Times New Roman"/>
          <w:b/>
          <w:sz w:val="24"/>
          <w:szCs w:val="24"/>
          <w:lang w:eastAsia="en-US"/>
        </w:rPr>
        <w:lastRenderedPageBreak/>
        <w:t>Abstract</w:t>
      </w:r>
    </w:p>
    <w:p w14:paraId="172F8C9A" w14:textId="77777777" w:rsidR="00C03CAE" w:rsidRDefault="00C03CAE" w:rsidP="00C03CAE">
      <w:pPr>
        <w:rPr>
          <w:rFonts w:cstheme="minorHAnsi"/>
        </w:rPr>
      </w:pPr>
    </w:p>
    <w:p w14:paraId="0AAEED40" w14:textId="77777777" w:rsidR="00557EB9" w:rsidRDefault="00C03CAE" w:rsidP="00557EB9">
      <w:pPr>
        <w:spacing w:line="360" w:lineRule="auto"/>
        <w:ind w:firstLine="720"/>
        <w:rPr>
          <w:rFonts w:ascii="Times New Roman" w:hAnsi="Times New Roman" w:cs="Times New Roman"/>
          <w:sz w:val="24"/>
          <w:szCs w:val="24"/>
        </w:rPr>
      </w:pPr>
      <w:r w:rsidRPr="00C03CAE">
        <w:rPr>
          <w:rFonts w:ascii="Times New Roman" w:hAnsi="Times New Roman" w:cs="Times New Roman"/>
          <w:sz w:val="24"/>
          <w:szCs w:val="24"/>
        </w:rPr>
        <w:t xml:space="preserve">Passive treatment of mine drainage provides demonstrated water quality improvements and substantial removal of </w:t>
      </w:r>
      <w:proofErr w:type="spellStart"/>
      <w:r w:rsidRPr="00C03CAE">
        <w:rPr>
          <w:rFonts w:ascii="Times New Roman" w:hAnsi="Times New Roman" w:cs="Times New Roman"/>
          <w:sz w:val="24"/>
          <w:szCs w:val="24"/>
        </w:rPr>
        <w:t>ecotoxic</w:t>
      </w:r>
      <w:proofErr w:type="spellEnd"/>
      <w:r w:rsidRPr="00C03CAE">
        <w:rPr>
          <w:rFonts w:ascii="Times New Roman" w:hAnsi="Times New Roman" w:cs="Times New Roman"/>
          <w:sz w:val="24"/>
          <w:szCs w:val="24"/>
        </w:rPr>
        <w:t xml:space="preserve"> metals via biogeochemical, microbiological, and physical mechanisms. When mine drainage is treated to a quality that satisfies the pertinent ambient water quality criteria, it is often discharged into a receiving water body. If sufficiently treated mine water could be safely reused in agricultural application</w:t>
      </w:r>
      <w:r w:rsidR="00B8239B">
        <w:rPr>
          <w:rFonts w:ascii="Times New Roman" w:hAnsi="Times New Roman" w:cs="Times New Roman"/>
          <w:sz w:val="24"/>
          <w:szCs w:val="24"/>
        </w:rPr>
        <w:t>s – crop irrigation or livestock watering –</w:t>
      </w:r>
      <w:r w:rsidRPr="00C03CAE">
        <w:rPr>
          <w:rFonts w:ascii="Times New Roman" w:hAnsi="Times New Roman" w:cs="Times New Roman"/>
          <w:sz w:val="24"/>
          <w:szCs w:val="24"/>
        </w:rPr>
        <w:t xml:space="preserve">available surface and groundwater reserves could be freed up for other beneficial uses. </w:t>
      </w:r>
      <w:r>
        <w:rPr>
          <w:rFonts w:ascii="Times New Roman" w:hAnsi="Times New Roman" w:cs="Times New Roman"/>
          <w:sz w:val="24"/>
          <w:szCs w:val="24"/>
        </w:rPr>
        <w:t>T</w:t>
      </w:r>
      <w:r w:rsidRPr="00C03CAE">
        <w:rPr>
          <w:rFonts w:ascii="Times New Roman" w:hAnsi="Times New Roman" w:cs="Times New Roman"/>
          <w:sz w:val="24"/>
          <w:szCs w:val="24"/>
        </w:rPr>
        <w:t xml:space="preserve">hree common </w:t>
      </w:r>
      <w:r>
        <w:rPr>
          <w:rFonts w:ascii="Times New Roman" w:hAnsi="Times New Roman" w:cs="Times New Roman"/>
          <w:sz w:val="24"/>
          <w:szCs w:val="24"/>
        </w:rPr>
        <w:t>Oklahoma crops –</w:t>
      </w:r>
      <w:r w:rsidRPr="00C03CAE">
        <w:rPr>
          <w:rFonts w:ascii="Times New Roman" w:hAnsi="Times New Roman" w:cs="Times New Roman"/>
          <w:sz w:val="24"/>
          <w:szCs w:val="24"/>
        </w:rPr>
        <w:t xml:space="preserve"> field corn (</w:t>
      </w:r>
      <w:proofErr w:type="spellStart"/>
      <w:r w:rsidRPr="00C03CAE">
        <w:rPr>
          <w:rFonts w:ascii="Times New Roman" w:hAnsi="Times New Roman" w:cs="Times New Roman"/>
          <w:i/>
          <w:iCs/>
          <w:sz w:val="24"/>
          <w:szCs w:val="24"/>
        </w:rPr>
        <w:t>Zea</w:t>
      </w:r>
      <w:proofErr w:type="spellEnd"/>
      <w:r w:rsidRPr="00C03CAE">
        <w:rPr>
          <w:rFonts w:ascii="Times New Roman" w:hAnsi="Times New Roman" w:cs="Times New Roman"/>
          <w:i/>
          <w:iCs/>
          <w:sz w:val="24"/>
          <w:szCs w:val="24"/>
        </w:rPr>
        <w:t xml:space="preserve"> mays</w:t>
      </w:r>
      <w:r w:rsidR="00B8239B">
        <w:rPr>
          <w:rFonts w:ascii="Times New Roman" w:hAnsi="Times New Roman" w:cs="Times New Roman"/>
          <w:i/>
          <w:iCs/>
          <w:sz w:val="24"/>
          <w:szCs w:val="24"/>
        </w:rPr>
        <w:t xml:space="preserve"> </w:t>
      </w:r>
      <w:r w:rsidR="001507AE" w:rsidRPr="00273F87">
        <w:rPr>
          <w:rFonts w:ascii="Times New Roman" w:hAnsi="Times New Roman" w:cs="Times New Roman"/>
          <w:sz w:val="24"/>
          <w:szCs w:val="24"/>
        </w:rPr>
        <w:t>var.</w:t>
      </w:r>
      <w:r w:rsidR="001507AE">
        <w:rPr>
          <w:rFonts w:ascii="Times New Roman" w:hAnsi="Times New Roman" w:cs="Times New Roman"/>
          <w:i/>
          <w:iCs/>
          <w:sz w:val="24"/>
          <w:szCs w:val="24"/>
        </w:rPr>
        <w:t xml:space="preserve"> </w:t>
      </w:r>
      <w:proofErr w:type="spellStart"/>
      <w:r w:rsidR="00B8239B">
        <w:rPr>
          <w:rFonts w:ascii="Times New Roman" w:hAnsi="Times New Roman" w:cs="Times New Roman"/>
          <w:i/>
          <w:iCs/>
          <w:sz w:val="24"/>
          <w:szCs w:val="24"/>
        </w:rPr>
        <w:t>indentata</w:t>
      </w:r>
      <w:proofErr w:type="spellEnd"/>
      <w:r w:rsidRPr="00C03CAE">
        <w:rPr>
          <w:rFonts w:ascii="Times New Roman" w:hAnsi="Times New Roman" w:cs="Times New Roman"/>
          <w:sz w:val="24"/>
          <w:szCs w:val="24"/>
        </w:rPr>
        <w:t>), sorghum (</w:t>
      </w:r>
      <w:r w:rsidRPr="00C03CAE">
        <w:rPr>
          <w:rFonts w:ascii="Times New Roman" w:hAnsi="Times New Roman" w:cs="Times New Roman"/>
          <w:i/>
          <w:iCs/>
          <w:sz w:val="24"/>
          <w:szCs w:val="24"/>
        </w:rPr>
        <w:t>Sorghum bicolor</w:t>
      </w:r>
      <w:r w:rsidRPr="00C03CAE">
        <w:rPr>
          <w:rFonts w:ascii="Times New Roman" w:hAnsi="Times New Roman" w:cs="Times New Roman"/>
          <w:sz w:val="24"/>
          <w:szCs w:val="24"/>
        </w:rPr>
        <w:t>), and Bermuda grass (</w:t>
      </w:r>
      <w:proofErr w:type="spellStart"/>
      <w:r w:rsidRPr="00C03CAE">
        <w:rPr>
          <w:rFonts w:ascii="Times New Roman" w:hAnsi="Times New Roman" w:cs="Times New Roman"/>
          <w:i/>
          <w:iCs/>
          <w:sz w:val="24"/>
          <w:szCs w:val="24"/>
        </w:rPr>
        <w:t>Cynodon</w:t>
      </w:r>
      <w:proofErr w:type="spellEnd"/>
      <w:r w:rsidRPr="00C03CAE">
        <w:rPr>
          <w:rFonts w:ascii="Times New Roman" w:hAnsi="Times New Roman" w:cs="Times New Roman"/>
          <w:i/>
          <w:iCs/>
          <w:sz w:val="24"/>
          <w:szCs w:val="24"/>
        </w:rPr>
        <w:t xml:space="preserve"> </w:t>
      </w:r>
      <w:proofErr w:type="spellStart"/>
      <w:r w:rsidRPr="00C03CAE">
        <w:rPr>
          <w:rFonts w:ascii="Times New Roman" w:hAnsi="Times New Roman" w:cs="Times New Roman"/>
          <w:i/>
          <w:iCs/>
          <w:sz w:val="24"/>
          <w:szCs w:val="24"/>
        </w:rPr>
        <w:t>dactylon</w:t>
      </w:r>
      <w:proofErr w:type="spellEnd"/>
      <w:r w:rsidRPr="00C03CAE">
        <w:rPr>
          <w:rFonts w:ascii="Times New Roman" w:hAnsi="Times New Roman" w:cs="Times New Roman"/>
          <w:sz w:val="24"/>
          <w:szCs w:val="24"/>
        </w:rPr>
        <w:t xml:space="preserve">) – </w:t>
      </w:r>
      <w:r>
        <w:rPr>
          <w:rFonts w:ascii="Times New Roman" w:hAnsi="Times New Roman" w:cs="Times New Roman"/>
          <w:sz w:val="24"/>
          <w:szCs w:val="24"/>
        </w:rPr>
        <w:t>were</w:t>
      </w:r>
      <w:r w:rsidRPr="00C03CAE">
        <w:rPr>
          <w:rFonts w:ascii="Times New Roman" w:hAnsi="Times New Roman" w:cs="Times New Roman"/>
          <w:sz w:val="24"/>
          <w:szCs w:val="24"/>
        </w:rPr>
        <w:t xml:space="preserve"> irrigated </w:t>
      </w:r>
      <w:r w:rsidR="00B841A5">
        <w:rPr>
          <w:rFonts w:ascii="Times New Roman" w:hAnsi="Times New Roman" w:cs="Times New Roman"/>
          <w:sz w:val="24"/>
          <w:szCs w:val="24"/>
        </w:rPr>
        <w:t xml:space="preserve">in potting mix </w:t>
      </w:r>
      <w:r w:rsidRPr="00C03CAE">
        <w:rPr>
          <w:rFonts w:ascii="Times New Roman" w:hAnsi="Times New Roman" w:cs="Times New Roman"/>
          <w:sz w:val="24"/>
          <w:szCs w:val="24"/>
        </w:rPr>
        <w:t xml:space="preserve">from seed with either groundwater from </w:t>
      </w:r>
      <w:r w:rsidR="009C74A3">
        <w:rPr>
          <w:rFonts w:ascii="Times New Roman" w:hAnsi="Times New Roman" w:cs="Times New Roman"/>
          <w:sz w:val="24"/>
          <w:szCs w:val="24"/>
        </w:rPr>
        <w:t>Canadian River alluvium</w:t>
      </w:r>
      <w:r w:rsidRPr="00C03CAE">
        <w:rPr>
          <w:rFonts w:ascii="Times New Roman" w:hAnsi="Times New Roman" w:cs="Times New Roman"/>
          <w:sz w:val="24"/>
          <w:szCs w:val="24"/>
        </w:rPr>
        <w:t xml:space="preserve"> or treated lead-</w:t>
      </w:r>
      <w:r w:rsidR="00557EB9">
        <w:rPr>
          <w:rFonts w:ascii="Times New Roman" w:hAnsi="Times New Roman" w:cs="Times New Roman"/>
          <w:sz w:val="24"/>
          <w:szCs w:val="24"/>
        </w:rPr>
        <w:t>zinc</w:t>
      </w:r>
      <w:r w:rsidRPr="00C03CAE">
        <w:rPr>
          <w:rFonts w:ascii="Times New Roman" w:hAnsi="Times New Roman" w:cs="Times New Roman"/>
          <w:sz w:val="24"/>
          <w:szCs w:val="24"/>
        </w:rPr>
        <w:t xml:space="preserve"> mine water from the effluent of the Mayer Ranch Passive Treatment System (Tar Creek Superfund Site, Commerce, OK). </w:t>
      </w:r>
      <w:r>
        <w:rPr>
          <w:rFonts w:ascii="Times New Roman" w:hAnsi="Times New Roman" w:cs="Times New Roman"/>
          <w:sz w:val="24"/>
          <w:szCs w:val="24"/>
        </w:rPr>
        <w:t>Crop growth and chemical composition</w:t>
      </w:r>
      <w:r w:rsidRPr="00C03CAE">
        <w:rPr>
          <w:rFonts w:ascii="Times New Roman" w:hAnsi="Times New Roman" w:cs="Times New Roman"/>
          <w:sz w:val="24"/>
          <w:szCs w:val="24"/>
        </w:rPr>
        <w:t xml:space="preserve"> </w:t>
      </w:r>
      <w:r>
        <w:rPr>
          <w:rFonts w:ascii="Times New Roman" w:hAnsi="Times New Roman" w:cs="Times New Roman"/>
          <w:sz w:val="24"/>
          <w:szCs w:val="24"/>
        </w:rPr>
        <w:t>were</w:t>
      </w:r>
      <w:r w:rsidRPr="00C03CAE">
        <w:rPr>
          <w:rFonts w:ascii="Times New Roman" w:hAnsi="Times New Roman" w:cs="Times New Roman"/>
          <w:sz w:val="24"/>
          <w:szCs w:val="24"/>
        </w:rPr>
        <w:t xml:space="preserve"> monitored through regular measurements of above-ground height and growth stage as well as </w:t>
      </w:r>
      <w:r>
        <w:rPr>
          <w:rFonts w:ascii="Times New Roman" w:hAnsi="Times New Roman" w:cs="Times New Roman"/>
          <w:sz w:val="24"/>
          <w:szCs w:val="24"/>
        </w:rPr>
        <w:t>final determinations of biomass production and</w:t>
      </w:r>
      <w:r w:rsidRPr="00C03CAE">
        <w:rPr>
          <w:rFonts w:ascii="Times New Roman" w:hAnsi="Times New Roman" w:cs="Times New Roman"/>
          <w:sz w:val="24"/>
          <w:szCs w:val="24"/>
        </w:rPr>
        <w:t xml:space="preserve"> trace metals concentrations. </w:t>
      </w:r>
    </w:p>
    <w:p w14:paraId="292F507D" w14:textId="36A91943" w:rsidR="00C03CAE" w:rsidRPr="00C03CAE" w:rsidRDefault="00C03CAE" w:rsidP="00557EB9">
      <w:pPr>
        <w:spacing w:line="360" w:lineRule="auto"/>
        <w:ind w:firstLine="720"/>
        <w:rPr>
          <w:rFonts w:ascii="Times New Roman" w:hAnsi="Times New Roman" w:cs="Times New Roman"/>
          <w:sz w:val="24"/>
          <w:szCs w:val="24"/>
        </w:rPr>
      </w:pPr>
      <w:r w:rsidRPr="00F07DEB">
        <w:rPr>
          <w:rFonts w:ascii="Times New Roman" w:hAnsi="Times New Roman" w:cs="Times New Roman"/>
          <w:sz w:val="24"/>
          <w:szCs w:val="24"/>
        </w:rPr>
        <w:t>Mine water irrigation did not have a significant effect on seedling emergence, plant growth, or biomass production for corn or Bermuda gra</w:t>
      </w:r>
      <w:r w:rsidR="00B841A5">
        <w:rPr>
          <w:rFonts w:ascii="Times New Roman" w:hAnsi="Times New Roman" w:cs="Times New Roman"/>
          <w:sz w:val="24"/>
          <w:szCs w:val="24"/>
        </w:rPr>
        <w:t>ss, whereas s</w:t>
      </w:r>
      <w:r w:rsidRPr="00F07DEB">
        <w:rPr>
          <w:rFonts w:ascii="Times New Roman" w:hAnsi="Times New Roman" w:cs="Times New Roman"/>
          <w:sz w:val="24"/>
          <w:szCs w:val="24"/>
        </w:rPr>
        <w:t>orghum exhibited a temporary reduction in growth and a decrease in biomass production under mine water irrigation.</w:t>
      </w:r>
      <w:r>
        <w:rPr>
          <w:rFonts w:ascii="Times New Roman" w:hAnsi="Times New Roman" w:cs="Times New Roman"/>
          <w:sz w:val="24"/>
          <w:szCs w:val="24"/>
        </w:rPr>
        <w:t xml:space="preserve"> </w:t>
      </w:r>
      <w:r w:rsidRPr="00F07DEB">
        <w:rPr>
          <w:rFonts w:ascii="Times New Roman" w:hAnsi="Times New Roman" w:cs="Times New Roman"/>
          <w:sz w:val="24"/>
          <w:szCs w:val="24"/>
        </w:rPr>
        <w:t>The crops were exposed to metals in irrigation waters</w:t>
      </w:r>
      <w:r>
        <w:rPr>
          <w:rFonts w:ascii="Times New Roman" w:hAnsi="Times New Roman" w:cs="Times New Roman"/>
          <w:sz w:val="24"/>
          <w:szCs w:val="24"/>
        </w:rPr>
        <w:t xml:space="preserve">, fertilizer, and </w:t>
      </w:r>
      <w:r w:rsidR="003D3211">
        <w:rPr>
          <w:rFonts w:ascii="Times New Roman" w:hAnsi="Times New Roman" w:cs="Times New Roman"/>
          <w:sz w:val="24"/>
          <w:szCs w:val="24"/>
        </w:rPr>
        <w:t xml:space="preserve">commercial </w:t>
      </w:r>
      <w:r>
        <w:rPr>
          <w:rFonts w:ascii="Times New Roman" w:hAnsi="Times New Roman" w:cs="Times New Roman"/>
          <w:sz w:val="24"/>
          <w:szCs w:val="24"/>
        </w:rPr>
        <w:t xml:space="preserve">potting </w:t>
      </w:r>
      <w:r w:rsidR="003D3211">
        <w:rPr>
          <w:rFonts w:ascii="Times New Roman" w:hAnsi="Times New Roman" w:cs="Times New Roman"/>
          <w:sz w:val="24"/>
          <w:szCs w:val="24"/>
        </w:rPr>
        <w:t>mix</w:t>
      </w:r>
      <w:r>
        <w:rPr>
          <w:rFonts w:ascii="Times New Roman" w:hAnsi="Times New Roman" w:cs="Times New Roman"/>
          <w:sz w:val="24"/>
          <w:szCs w:val="24"/>
        </w:rPr>
        <w:t xml:space="preserve">; </w:t>
      </w:r>
      <w:r w:rsidRPr="00F07DEB">
        <w:rPr>
          <w:rFonts w:ascii="Times New Roman" w:hAnsi="Times New Roman" w:cs="Times New Roman"/>
          <w:sz w:val="24"/>
          <w:szCs w:val="24"/>
        </w:rPr>
        <w:t xml:space="preserve">irrigation was the smallest </w:t>
      </w:r>
      <w:r w:rsidR="00273F87">
        <w:rPr>
          <w:rFonts w:ascii="Times New Roman" w:hAnsi="Times New Roman" w:cs="Times New Roman"/>
          <w:sz w:val="24"/>
          <w:szCs w:val="24"/>
        </w:rPr>
        <w:t>contributor of</w:t>
      </w:r>
      <w:r w:rsidRPr="00F07DEB">
        <w:rPr>
          <w:rFonts w:ascii="Times New Roman" w:hAnsi="Times New Roman" w:cs="Times New Roman"/>
          <w:sz w:val="24"/>
          <w:szCs w:val="24"/>
        </w:rPr>
        <w:t xml:space="preserve"> many of the metal species.</w:t>
      </w:r>
      <w:r>
        <w:rPr>
          <w:rFonts w:ascii="Times New Roman" w:hAnsi="Times New Roman" w:cs="Times New Roman"/>
          <w:sz w:val="24"/>
          <w:szCs w:val="24"/>
        </w:rPr>
        <w:t xml:space="preserve"> </w:t>
      </w:r>
      <w:r w:rsidR="003D3211" w:rsidRPr="00F07DEB">
        <w:rPr>
          <w:rFonts w:ascii="Times New Roman" w:hAnsi="Times New Roman" w:cs="Times New Roman"/>
          <w:sz w:val="24"/>
          <w:szCs w:val="24"/>
        </w:rPr>
        <w:t xml:space="preserve">Cd, Na, and S </w:t>
      </w:r>
      <w:r w:rsidR="003D3211">
        <w:rPr>
          <w:rFonts w:ascii="Times New Roman" w:hAnsi="Times New Roman" w:cs="Times New Roman"/>
          <w:sz w:val="24"/>
          <w:szCs w:val="24"/>
        </w:rPr>
        <w:t>accumulated in m</w:t>
      </w:r>
      <w:r w:rsidR="003D3211" w:rsidRPr="00F07DEB">
        <w:rPr>
          <w:rFonts w:ascii="Times New Roman" w:hAnsi="Times New Roman" w:cs="Times New Roman"/>
          <w:sz w:val="24"/>
          <w:szCs w:val="24"/>
        </w:rPr>
        <w:t>ine water-irrigated sub</w:t>
      </w:r>
      <w:r w:rsidR="003D3211">
        <w:rPr>
          <w:rFonts w:ascii="Times New Roman" w:hAnsi="Times New Roman" w:cs="Times New Roman"/>
          <w:sz w:val="24"/>
          <w:szCs w:val="24"/>
        </w:rPr>
        <w:t>strate</w:t>
      </w:r>
      <w:r w:rsidR="003D3211">
        <w:rPr>
          <w:rFonts w:ascii="Times New Roman" w:eastAsia="Times New Roman" w:hAnsi="Times New Roman" w:cs="Times New Roman"/>
          <w:color w:val="000000"/>
          <w:sz w:val="24"/>
          <w:szCs w:val="24"/>
          <w:lang w:eastAsia="en-US"/>
        </w:rPr>
        <w:t xml:space="preserve">. </w:t>
      </w:r>
      <w:r w:rsidR="00B841A5" w:rsidRPr="00F07DEB">
        <w:rPr>
          <w:rFonts w:ascii="Times New Roman" w:eastAsia="Times New Roman" w:hAnsi="Times New Roman" w:cs="Times New Roman"/>
          <w:color w:val="000000"/>
          <w:sz w:val="24"/>
          <w:szCs w:val="24"/>
          <w:lang w:eastAsia="en-US"/>
        </w:rPr>
        <w:t xml:space="preserve">Mine water irrigation did not significantly increase concentrations of Fe, </w:t>
      </w:r>
      <w:proofErr w:type="spellStart"/>
      <w:r w:rsidR="00B841A5" w:rsidRPr="00F07DEB">
        <w:rPr>
          <w:rFonts w:ascii="Times New Roman" w:eastAsia="Times New Roman" w:hAnsi="Times New Roman" w:cs="Times New Roman"/>
          <w:color w:val="000000"/>
          <w:sz w:val="24"/>
          <w:szCs w:val="24"/>
          <w:lang w:eastAsia="en-US"/>
        </w:rPr>
        <w:t>Mn</w:t>
      </w:r>
      <w:proofErr w:type="spellEnd"/>
      <w:r w:rsidR="00B841A5" w:rsidRPr="00F07DEB">
        <w:rPr>
          <w:rFonts w:ascii="Times New Roman" w:eastAsia="Times New Roman" w:hAnsi="Times New Roman" w:cs="Times New Roman"/>
          <w:color w:val="000000"/>
          <w:sz w:val="24"/>
          <w:szCs w:val="24"/>
          <w:lang w:eastAsia="en-US"/>
        </w:rPr>
        <w:t xml:space="preserve">, Zn, K, Ni, or </w:t>
      </w:r>
      <w:proofErr w:type="spellStart"/>
      <w:r w:rsidR="00B841A5" w:rsidRPr="00F07DEB">
        <w:rPr>
          <w:rFonts w:ascii="Times New Roman" w:eastAsia="Times New Roman" w:hAnsi="Times New Roman" w:cs="Times New Roman"/>
          <w:color w:val="000000"/>
          <w:sz w:val="24"/>
          <w:szCs w:val="24"/>
          <w:lang w:eastAsia="en-US"/>
        </w:rPr>
        <w:t>Pb</w:t>
      </w:r>
      <w:proofErr w:type="spellEnd"/>
      <w:r w:rsidR="00B841A5" w:rsidRPr="00F07DEB">
        <w:rPr>
          <w:rFonts w:ascii="Times New Roman" w:eastAsia="Times New Roman" w:hAnsi="Times New Roman" w:cs="Times New Roman"/>
          <w:color w:val="000000"/>
          <w:sz w:val="24"/>
          <w:szCs w:val="24"/>
          <w:lang w:eastAsia="en-US"/>
        </w:rPr>
        <w:t xml:space="preserve"> in any of the three species</w:t>
      </w:r>
      <w:r w:rsidR="00B841A5">
        <w:rPr>
          <w:rFonts w:ascii="Times New Roman" w:hAnsi="Times New Roman" w:cs="Times New Roman"/>
          <w:sz w:val="24"/>
          <w:szCs w:val="24"/>
        </w:rPr>
        <w:t>,</w:t>
      </w:r>
      <w:r w:rsidR="00B841A5" w:rsidRPr="00F07DEB">
        <w:rPr>
          <w:rFonts w:ascii="Times New Roman" w:hAnsi="Times New Roman" w:cs="Times New Roman"/>
          <w:sz w:val="24"/>
          <w:szCs w:val="24"/>
        </w:rPr>
        <w:t xml:space="preserve"> had mixed effects on Ca concentrations, and increased concentrations of Cd in roots and Mg in belowground and abovegro</w:t>
      </w:r>
      <w:r w:rsidR="003D3211">
        <w:rPr>
          <w:rFonts w:ascii="Times New Roman" w:hAnsi="Times New Roman" w:cs="Times New Roman"/>
          <w:sz w:val="24"/>
          <w:szCs w:val="24"/>
        </w:rPr>
        <w:t xml:space="preserve">und biomass of some structures. </w:t>
      </w:r>
      <w:r w:rsidR="00B841A5" w:rsidRPr="00F07DEB">
        <w:rPr>
          <w:rFonts w:ascii="Times New Roman" w:hAnsi="Times New Roman" w:cs="Times New Roman"/>
          <w:sz w:val="24"/>
          <w:szCs w:val="24"/>
        </w:rPr>
        <w:t xml:space="preserve">Na and S concentrations in some corn and sorghum root structures and in all Bermuda </w:t>
      </w:r>
      <w:r w:rsidR="003D3211">
        <w:rPr>
          <w:rFonts w:ascii="Times New Roman" w:hAnsi="Times New Roman" w:cs="Times New Roman"/>
          <w:sz w:val="24"/>
          <w:szCs w:val="24"/>
        </w:rPr>
        <w:t xml:space="preserve">grass </w:t>
      </w:r>
      <w:r w:rsidR="00B841A5" w:rsidRPr="00F07DEB">
        <w:rPr>
          <w:rFonts w:ascii="Times New Roman" w:hAnsi="Times New Roman" w:cs="Times New Roman"/>
          <w:sz w:val="24"/>
          <w:szCs w:val="24"/>
        </w:rPr>
        <w:t>biomass</w:t>
      </w:r>
      <w:r w:rsidR="003D3211">
        <w:rPr>
          <w:rFonts w:ascii="Times New Roman" w:hAnsi="Times New Roman" w:cs="Times New Roman"/>
          <w:sz w:val="24"/>
          <w:szCs w:val="24"/>
        </w:rPr>
        <w:t xml:space="preserve"> </w:t>
      </w:r>
      <w:r w:rsidR="003D3211" w:rsidRPr="00F07DEB">
        <w:rPr>
          <w:rFonts w:ascii="Times New Roman" w:hAnsi="Times New Roman" w:cs="Times New Roman"/>
          <w:sz w:val="24"/>
          <w:szCs w:val="24"/>
        </w:rPr>
        <w:t>were elevated</w:t>
      </w:r>
      <w:r w:rsidR="003D3211">
        <w:rPr>
          <w:rFonts w:ascii="Times New Roman" w:hAnsi="Times New Roman" w:cs="Times New Roman"/>
          <w:sz w:val="24"/>
          <w:szCs w:val="24"/>
        </w:rPr>
        <w:t xml:space="preserve"> by mine water irrigation</w:t>
      </w:r>
      <w:r w:rsidR="00B841A5" w:rsidRPr="00F07DEB">
        <w:rPr>
          <w:rFonts w:ascii="Times New Roman" w:hAnsi="Times New Roman" w:cs="Times New Roman"/>
          <w:sz w:val="24"/>
          <w:szCs w:val="24"/>
        </w:rPr>
        <w:t>.</w:t>
      </w:r>
      <w:r w:rsidR="00B841A5">
        <w:rPr>
          <w:rFonts w:ascii="Times New Roman" w:hAnsi="Times New Roman" w:cs="Times New Roman"/>
          <w:sz w:val="24"/>
          <w:szCs w:val="24"/>
        </w:rPr>
        <w:t xml:space="preserve"> </w:t>
      </w:r>
      <w:r w:rsidR="00B8239B">
        <w:rPr>
          <w:rFonts w:ascii="Times New Roman" w:hAnsi="Times New Roman" w:cs="Times New Roman"/>
          <w:sz w:val="24"/>
          <w:szCs w:val="24"/>
        </w:rPr>
        <w:t>Hard-rock, net-</w:t>
      </w:r>
      <w:r w:rsidR="003D3211" w:rsidRPr="00F07DEB">
        <w:rPr>
          <w:rFonts w:ascii="Times New Roman" w:hAnsi="Times New Roman" w:cs="Times New Roman"/>
          <w:sz w:val="24"/>
          <w:szCs w:val="24"/>
        </w:rPr>
        <w:t>alkaline mine drainage can be treated in ecologically-engineered systems and reused for the irrigation of some plant species without detriment to emergence patterns, growth, or biomass production</w:t>
      </w:r>
      <w:r w:rsidR="00B8239B">
        <w:rPr>
          <w:rFonts w:ascii="Times New Roman" w:hAnsi="Times New Roman" w:cs="Times New Roman"/>
          <w:sz w:val="24"/>
          <w:szCs w:val="24"/>
        </w:rPr>
        <w:t>. Conversely,</w:t>
      </w:r>
      <w:r w:rsidR="003D3211">
        <w:rPr>
          <w:rFonts w:ascii="Times New Roman" w:hAnsi="Times New Roman" w:cs="Times New Roman"/>
          <w:sz w:val="24"/>
          <w:szCs w:val="24"/>
        </w:rPr>
        <w:t xml:space="preserve"> </w:t>
      </w:r>
      <w:r w:rsidR="00557EB9">
        <w:rPr>
          <w:rFonts w:ascii="Times New Roman" w:hAnsi="Times New Roman" w:cs="Times New Roman"/>
          <w:sz w:val="24"/>
          <w:szCs w:val="24"/>
        </w:rPr>
        <w:t>passively-treated mine water</w:t>
      </w:r>
      <w:r w:rsidR="00B8239B">
        <w:rPr>
          <w:rFonts w:ascii="Times New Roman" w:hAnsi="Times New Roman" w:cs="Times New Roman"/>
          <w:sz w:val="24"/>
          <w:szCs w:val="24"/>
        </w:rPr>
        <w:t xml:space="preserve"> reuse for livestock </w:t>
      </w:r>
      <w:r w:rsidR="00557EB9">
        <w:rPr>
          <w:rFonts w:ascii="Times New Roman" w:hAnsi="Times New Roman" w:cs="Times New Roman"/>
          <w:sz w:val="24"/>
          <w:szCs w:val="24"/>
        </w:rPr>
        <w:t>watering</w:t>
      </w:r>
      <w:r w:rsidR="00B8239B">
        <w:rPr>
          <w:rFonts w:ascii="Times New Roman" w:hAnsi="Times New Roman" w:cs="Times New Roman"/>
          <w:sz w:val="24"/>
          <w:szCs w:val="24"/>
        </w:rPr>
        <w:t xml:space="preserve"> would be limited by high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Pr>
          <w:rFonts w:ascii="Times New Roman" w:hAnsi="Times New Roman" w:cs="Times New Roman"/>
          <w:sz w:val="24"/>
          <w:szCs w:val="24"/>
          <w:vertAlign w:val="superscript"/>
        </w:rPr>
        <w:t xml:space="preserve"> </w:t>
      </w:r>
      <w:r w:rsidR="003D3211">
        <w:rPr>
          <w:rFonts w:ascii="Times New Roman" w:hAnsi="Times New Roman" w:cs="Times New Roman"/>
          <w:sz w:val="24"/>
          <w:szCs w:val="24"/>
        </w:rPr>
        <w:t>levels</w:t>
      </w:r>
      <w:r w:rsidR="009C74A3">
        <w:rPr>
          <w:rFonts w:ascii="Times New Roman" w:hAnsi="Times New Roman" w:cs="Times New Roman"/>
          <w:sz w:val="24"/>
          <w:szCs w:val="24"/>
        </w:rPr>
        <w:t xml:space="preserve"> and transportation costs</w:t>
      </w:r>
      <w:r w:rsidR="00B8239B">
        <w:rPr>
          <w:rFonts w:ascii="Times New Roman" w:hAnsi="Times New Roman" w:cs="Times New Roman"/>
          <w:sz w:val="24"/>
          <w:szCs w:val="24"/>
        </w:rPr>
        <w:t>.</w:t>
      </w:r>
    </w:p>
    <w:p w14:paraId="2943CD7F" w14:textId="77777777" w:rsidR="00C03CAE" w:rsidRPr="00C03CAE" w:rsidRDefault="00C03CAE" w:rsidP="00AE6C37">
      <w:pPr>
        <w:widowControl w:val="0"/>
        <w:autoSpaceDE w:val="0"/>
        <w:autoSpaceDN w:val="0"/>
        <w:adjustRightInd w:val="0"/>
        <w:spacing w:after="0" w:line="240" w:lineRule="auto"/>
        <w:rPr>
          <w:rFonts w:ascii="Times New Roman" w:eastAsia="Times New Roman" w:hAnsi="Times New Roman" w:cs="Times New Roman"/>
          <w:b/>
          <w:sz w:val="24"/>
          <w:szCs w:val="24"/>
          <w:lang w:eastAsia="en-US"/>
        </w:rPr>
      </w:pPr>
    </w:p>
    <w:p w14:paraId="06012D72" w14:textId="77777777" w:rsidR="009674BE" w:rsidRPr="00F07DEB" w:rsidRDefault="009674BE" w:rsidP="00AE6C37">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p>
    <w:p w14:paraId="42EC3BDB" w14:textId="77777777" w:rsidR="009674BE" w:rsidRPr="00F07DEB" w:rsidRDefault="009674BE" w:rsidP="00AE6C37">
      <w:pPr>
        <w:widowControl w:val="0"/>
        <w:autoSpaceDE w:val="0"/>
        <w:autoSpaceDN w:val="0"/>
        <w:adjustRightInd w:val="0"/>
        <w:spacing w:after="0" w:line="240" w:lineRule="auto"/>
        <w:rPr>
          <w:rFonts w:ascii="Times New Roman" w:eastAsia="Times New Roman" w:hAnsi="Times New Roman" w:cs="Times New Roman"/>
          <w:sz w:val="20"/>
          <w:szCs w:val="20"/>
          <w:lang w:eastAsia="en-US"/>
        </w:rPr>
        <w:sectPr w:rsidR="009674BE" w:rsidRPr="00F07DEB" w:rsidSect="00FF5A7E">
          <w:footerReference w:type="default" r:id="rId13"/>
          <w:type w:val="continuous"/>
          <w:pgSz w:w="12240" w:h="15840"/>
          <w:pgMar w:top="1440" w:right="1440" w:bottom="1440" w:left="1440" w:header="720" w:footer="720" w:gutter="0"/>
          <w:pgNumType w:fmt="lowerRoman"/>
          <w:cols w:space="720"/>
          <w:titlePg/>
          <w:docGrid w:linePitch="360"/>
        </w:sectPr>
      </w:pPr>
    </w:p>
    <w:p w14:paraId="62C9523F" w14:textId="62656B43" w:rsidR="006243A9" w:rsidRPr="00F07DEB" w:rsidRDefault="00AC2B36" w:rsidP="004F5610">
      <w:pPr>
        <w:pStyle w:val="Heading1"/>
        <w:spacing w:line="480" w:lineRule="auto"/>
        <w:contextualSpacing w:val="0"/>
      </w:pPr>
      <w:bookmarkStart w:id="1" w:name="_Toc58975147"/>
      <w:r w:rsidRPr="00F07DEB">
        <w:lastRenderedPageBreak/>
        <w:t>Introduction</w:t>
      </w:r>
      <w:bookmarkEnd w:id="1"/>
    </w:p>
    <w:p w14:paraId="4C5C4692" w14:textId="349454E2" w:rsidR="00255C6C" w:rsidRPr="00F07DEB" w:rsidRDefault="00255C6C" w:rsidP="00255C6C">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The proliferation of farmland represents one of humanity’s most impactful legacies. Agriculture facilitated the transition from nomadic hunting and gathering to permanent settlements, enabled explosive population growth, and reshaped the surface of the Earth </w:t>
      </w:r>
      <w:r w:rsidRPr="00F07DEB">
        <w:rPr>
          <w:rFonts w:ascii="Times New Roman" w:hAnsi="Times New Roman" w:cs="Times New Roman"/>
          <w:sz w:val="24"/>
          <w:szCs w:val="24"/>
        </w:rPr>
        <w:fldChar w:fldCharType="begin"/>
      </w:r>
      <w:r w:rsidRPr="00F07DEB">
        <w:rPr>
          <w:rFonts w:ascii="Times New Roman" w:hAnsi="Times New Roman" w:cs="Times New Roman"/>
          <w:sz w:val="24"/>
          <w:szCs w:val="24"/>
        </w:rPr>
        <w:instrText xml:space="preserve"> ADDIN ZOTERO_ITEM CSL_CITATION {"citationID":"0cBtrZJL","properties":{"formattedCitation":"(Harari, 2015)","plainCitation":"(Harari, 2015)","noteIndex":0},"citationItems":[{"id":295,"uris":["http://zotero.org/users/5446453/items/8RAP4D6R"],"uri":["http://zotero.org/users/5446453/items/8RAP4D6R"],"itemData":{"id":295,"type":"book","abstract":"New York Times BestsellerA Summer Reading Pick for President Barack Obama, Bill Gates, and Mark Zuckerberg From a renowned historian comes a groundbreaking narrative of humanity’s creation and evolution—a #1 international bestseller—that explores the ways in which biology and history have defined us and enhanced our understanding of what it means to be “human.”One hundred thousand years ago, at least six different species of humans inhabited Earth. Yet today there is only one—homo sapiens. What happened to the others? And what may happen to us?Most books about the history of humanity pursue either a historical or a biological approach, but Dr. Yuval Noah Harari breaks the mold with this highly original book that begins about 70,000 years ago with the appearance of modern cognition. From examining the role evolving humans have played in the global ecosystem to charting the rise of empires, Sapiens integrates history and science to reconsider accepted narratives, connect past developments with contemporary concerns, and examine specific events within the context of larger ideas.Dr. Harari also compels us to look ahead, because over the last few decades humans have begun to bend laws of natural selection that have governed life for the past four billion years. We are acquiring the ability to design not only the world around us, but also ourselves. Where is this leading us, and what do we want to become?Featuring 27 photographs, 6 maps, and 25 illustrations/diagrams, this provocative and insightful work is sure to spark debate and is essential reading for aficionados of Jared Diamond, James Gleick, Matt Ridley, Robert Wright, and Sharon Moalem.","ISBN":"978-0-06-231610-3","language":"en","note":"Google-Books-ID: FmyBAwAAQBAJ","number-of-pages":"638","publisher":"Harper Collins","source":"Google Books","title":"Sapiens: A Brief History of Humankind","title-short":"Sapiens","author":[{"family":"Harari","given":"Yuval Noah"}],"issued":{"date-parts":[["2015",2,10]]}}}],"schema":"https://github.com/citation-style-language/schema/raw/master/csl-citation.json"} </w:instrText>
      </w:r>
      <w:r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(Harari, 2015)</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Pasture and cropland account for 37% of terrestrial land use and the greatest freshwater consumption, soil erosion, nutrient runoff, and greenhouse gas emission of any human activity </w:t>
      </w:r>
      <w:r w:rsidRPr="00F07DEB">
        <w:rPr>
          <w:rFonts w:ascii="Times New Roman" w:hAnsi="Times New Roman" w:cs="Times New Roman"/>
          <w:sz w:val="24"/>
          <w:szCs w:val="24"/>
        </w:rPr>
        <w:fldChar w:fldCharType="begin"/>
      </w:r>
      <w:r w:rsidRPr="00F07DEB">
        <w:rPr>
          <w:rFonts w:ascii="Times New Roman" w:hAnsi="Times New Roman" w:cs="Times New Roman"/>
          <w:sz w:val="24"/>
          <w:szCs w:val="24"/>
        </w:rPr>
        <w:instrText xml:space="preserve"> ADDIN ZOTERO_ITEM CSL_CITATION {"citationID":"5mvmTZAx","properties":{"formattedCitation":"(Carpenter et al., 2011)","plainCitation":"(Carpenter et al., 2011)","noteIndex":0},"citationItems":[{"id":299,"uris":["http://zotero.org/users/5446453/items/4Z9ZMZ8B"],"uri":["http://zotero.org/users/5446453/items/4Z9ZMZ8B"],"itemData":{"id":299,"type":"article-journal","abstract":"Surface freshwaters—lakes, reservoirs, and rivers—are among the most extensively altered ecosystems on Earth. Transformations include changes in the morphology of rivers and lakes, hydrology, biogeochemistry of nutrients and toxic substances, ecosystem metabolism and the storage of carbon (C), loss of native species, expansion of invasive species, and disease emergence. Drivers are climate change, hydrologic ﬂow modiﬁcation, land-use change, chemical inputs, aquatic invasive species, and harvest. Drivers and responses interact, and their relationships must be disentangled to understand the causes and consequences of change as well as the correctives for adverse change in any given watershed. Beyond its importance in terms of drinking water, freshwater supports human well-being in many ways related to food and ﬁber production, hydration of other ecosystems used by humans, dilution and degradation of pollutants, and cultural values. A natural capital framework can be used to assess freshwater ecosystem services, competing uses for freshwaters, and the processes that underpin the long-term maintenance of freshwaters. Upper limits for human consumption of freshwaters have been proposed, and consumptive use may approach these limits by the mid-century.","container-title":"Annual Review of Environment and Resources","DOI":"10.1146/annurev-environ-021810-094524","ISSN":"1543-5938, 1545-2050","issue":"1","journalAbbreviation":"Annu. Rev. Environ. Resour.","language":"en","page":"75-99","source":"DOI.org (Crossref)","title":"State of the World's Freshwater Ecosystems: Physical, Chemical, and Biological Changes","title-short":"State of the World's Freshwater Ecosystems","volume":"36","author":[{"family":"Carpenter","given":"Stephen R."},{"family":"Stanley","given":"Emily H."},{"family":"Vander Zanden","given":"M. Jake"}],"issued":{"date-parts":[["2011",11,21]]}}}],"schema":"https://github.com/citation-style-language/schema/raw/master/csl-citation.json"} </w:instrText>
      </w:r>
      <w:r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(Carpenter et al., 2011)</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Because 40% of the planet’s food is grown by irrigated farming operations, which must feed more people around the world with every passing day, optimizing efficiency in irrigation and water use should be a critical goal of farmers, scientists, and policymakers </w:t>
      </w:r>
      <w:r w:rsidRPr="00F07DEB">
        <w:rPr>
          <w:rFonts w:ascii="Times New Roman" w:hAnsi="Times New Roman" w:cs="Times New Roman"/>
          <w:sz w:val="24"/>
          <w:szCs w:val="24"/>
        </w:rPr>
        <w:fldChar w:fldCharType="begin"/>
      </w:r>
      <w:r w:rsidRPr="00F07DEB">
        <w:rPr>
          <w:rFonts w:ascii="Times New Roman" w:hAnsi="Times New Roman" w:cs="Times New Roman"/>
          <w:sz w:val="24"/>
          <w:szCs w:val="24"/>
        </w:rPr>
        <w:instrText xml:space="preserve"> ADDIN ZOTERO_ITEM CSL_CITATION {"citationID":"lYy6JX4w","properties":{"formattedCitation":"(Pimentel et al., 2004)","plainCitation":"(Pimentel et al., 2004)","noteIndex":0},"citationItems":[{"id":302,"uris":["http://zotero.org/users/5446453/items/FM3APW5Z"],"uri":["http://zotero.org/users/5446453/items/FM3APW5Z"],"itemData":{"id":302,"type":"article-journal","abstract":"Abstract.  The increasing demands placed on the global water supply threaten biodiversity and the supply of water for food production and other vital human need","container-title":"BioScience","DOI":"10.1641/0006-3568(2004)054[0909:WRAAEI]2.0.CO;2","ISSN":"0006-3568","issue":"10","journalAbbreviation":"BioScience","language":"en","note":"publisher: Oxford Academic","page":"909-918","source":"academic.oup.com","title":"Water Resources: Agricultural and Environmental Issues","title-short":"Water Resources","volume":"54","author":[{"family":"Pimentel","given":"David"},{"family":"Berger","given":"Bonnie"},{"family":"Filiberto","given":"David"},{"family":"Newton","given":"Michelle"},{"family":"Wolfe","given":"Benjamin"},{"family":"Karabinakis","given":"Elizabeth"},{"family":"Clark","given":"Steven"},{"family":"Poon","given":"Elaine"},{"family":"Abbett","given":"Elizabeth"},{"family":"Nandagopal","given":"Sudha"}],"issued":{"date-parts":[["2004",10,1]]}}}],"schema":"https://github.com/citation-style-language/schema/raw/master/csl-citation.json"} </w:instrText>
      </w:r>
      <w:r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(Pimentel et al., 2004)</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A 70% increase in global food production is anticipated between 2009 and 2050; irrigated farmland will be responsible for supplying a substantial portion of this demand </w:t>
      </w:r>
      <w:r w:rsidRPr="00F07DEB">
        <w:rPr>
          <w:rFonts w:ascii="Times New Roman" w:hAnsi="Times New Roman" w:cs="Times New Roman"/>
          <w:sz w:val="24"/>
          <w:szCs w:val="24"/>
        </w:rPr>
        <w:fldChar w:fldCharType="begin"/>
      </w:r>
      <w:r w:rsidRPr="00F07DEB">
        <w:rPr>
          <w:rFonts w:ascii="Times New Roman" w:hAnsi="Times New Roman" w:cs="Times New Roman"/>
          <w:sz w:val="24"/>
          <w:szCs w:val="24"/>
        </w:rPr>
        <w:instrText xml:space="preserve"> ADDIN ZOTERO_ITEM CSL_CITATION {"citationID":"hlbGoKCD","properties":{"formattedCitation":"(USEPA, 2012)","plainCitation":"(USEPA, 2012)","noteIndex":0},"citationItems":[{"id":410,"uris":["http://zotero.org/users/5446453/items/6AD5KZJC"],"uri":["http://zotero.org/users/5446453/items/6AD5KZJC"],"itemData":{"id":410,"type":"report","event-place":"Washington, D.C.","language":"en","number":"EPA/600/R-12/618","page":"643","publisher":"U.S. Environmental Protection Agency Office of Wastewater Management","publisher-place":"Washington, D.C.","source":"Zotero","title":"2012 Guidelines for Water Reuse","URL":"https://www3.epa.gov/region1/npdes/merrimackstation/pdfs/ar/AR-1530.pdf","author":[{"literal":"USEPA"}],"issued":{"date-parts":[["2012",9]]}}}],"schema":"https://github.com/citation-style-language/schema/raw/master/csl-citation.json"} </w:instrText>
      </w:r>
      <w:r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(USEPA, 2012)</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In addition to new conservation practices, technologies, and government interventio</w:t>
      </w:r>
      <w:r w:rsidR="00DB4AF5">
        <w:rPr>
          <w:rFonts w:ascii="Times New Roman" w:hAnsi="Times New Roman" w:cs="Times New Roman"/>
          <w:sz w:val="24"/>
          <w:szCs w:val="24"/>
        </w:rPr>
        <w:t xml:space="preserve">ns, water reuse in agriculture </w:t>
      </w:r>
      <w:r w:rsidRPr="00F07DEB">
        <w:rPr>
          <w:rFonts w:ascii="Times New Roman" w:hAnsi="Times New Roman" w:cs="Times New Roman"/>
          <w:sz w:val="24"/>
          <w:szCs w:val="24"/>
        </w:rPr>
        <w:t xml:space="preserve">has been identified by many as a necessary innovation for a sustainable future </w:t>
      </w:r>
      <w:r w:rsidRPr="00F07DEB">
        <w:rPr>
          <w:rFonts w:ascii="Times New Roman" w:hAnsi="Times New Roman" w:cs="Times New Roman"/>
          <w:sz w:val="24"/>
          <w:szCs w:val="24"/>
        </w:rPr>
        <w:fldChar w:fldCharType="begin"/>
      </w:r>
      <w:r w:rsidR="00FF5DF8">
        <w:rPr>
          <w:rFonts w:ascii="Times New Roman" w:hAnsi="Times New Roman" w:cs="Times New Roman"/>
          <w:sz w:val="24"/>
          <w:szCs w:val="24"/>
        </w:rPr>
        <w:instrText xml:space="preserve"> ADDIN ZOTERO_ITEM CSL_CITATION {"citationID":"a2iid1s6ril","properties":{"formattedCitation":"(Grant et al., 2012; Grewar, 2019; OWRB, 2020; Pettygrove, 2018; Pimentel et al., 2004)","plainCitation":"(Grant et al., 2012; Grewar, 2019; OWRB, 2020; Pettygrove, 2018; Pimentel et al., 2004)","noteIndex":0},"citationItems":[{"id":306,"uris":["http://zotero.org/users/5446453/items/N85CG3ML"],"uri":["http://zotero.org/users/5446453/items/N85CG3ML"],"itemData":{"id":306,"type":"article-journal","container-title":"Science","DOI":"10.1126/science.1216852","ISSN":"0036-8075, 1095-9203","issue":"6095","journalAbbreviation":"Science","language":"en","page":"681-686","source":"DOI.org (Crossref)","title":"Taking the \"Waste\" Out of \"Wastewater\" for Human Water Security and Ecosystem Sustainability","volume":"337","author":[{"family":"Grant","given":"S. B."},{"family":"Saphores","given":"J.-D."},{"family":"Feldman","given":"D. L."},{"family":"Hamilton","given":"A. J."},{"family":"Fletcher","given":"T. D."},{"family":"Cook","given":"P. L. M."},{"family":"Stewardson","given":"M."},{"family":"Sanders","given":"B. F."},{"family":"Levin","given":"L. A."},{"family":"Ambrose","given":"R. F."},{"family":"Deletic","given":"A."},{"family":"Brown","given":"R."},{"family":"Jiang","given":"S. C."},{"family":"Rosso","given":"D."},{"family":"Cooper","given":"W. J."},{"family":"Marusic","given":"I."}],"issued":{"date-parts":[["2012",8,10]]}}},{"id":310,"uris":["http://zotero.org/users/5446453/items/AR3FD4XG"],"uri":["http://zotero.org/users/5446453/items/AR3FD4XG"],"itemData":{"id":310,"type":"article-journal","container-title":"Journal of the Southern African Institute of Mining and Metallurgy","DOI":"10.17159/2411-9717/2019/v119n3a12","ISSN":"22256253, 24119717","issue":"3","journalAbbreviation":"J. S. Afr. Inst. Min. Metall.","language":"en","page":"321-331","source":"DOI.org (Crossref)","title":"South Africa’s options for mineimpacted water re-use: A review","title-short":"South Africa’s options for mineimpacted water re-use","volume":"119","author":[{"family":"Grewar","given":"T."}],"issued":{"date-parts":[["2019",3]]}}},{"id":740,"uris":["http://zotero.org/users/5446453/items/B48SZTL4"],"uri":["http://zotero.org/users/5446453/items/B48SZTL4"],"itemData":{"id":740,"type":"webpage","container-title":"Oklahoma Water Resources Board","title":"Water for 2060: Water Reuse","URL":"https://www.owrb.ok.gov/2060/pdf/Reuse.pdf","author":[{"literal":"OWRB"}],"accessed":{"date-parts":[["2020",8,5]]},"issued":{"date-parts":[["2020"]]}}},{"id":307,"uris":["http://zotero.org/users/5446453/items/LNRPZJH5"],"uri":["http://zotero.org/users/5446453/items/LNRPZJH5"],"itemData":{"id":307,"type":"book","abstract":"Irrigation with Reclaimed Municipal Wastewater - A Guidance Manual is for use in the planning, design, and operation of agricultural and landscape irrigation systems using reclaimed municipal wastewater. It is written for civil and sanitary engineers, agricultural engineers, and agricultural extension workers and consultants. The manual is also useful as a reference for public works officials, municipal wastewater treatment plant operators, and students at colleges and universities. The text emphasizes irrigation for the purpose of optimizing crop production; therefore, it includes detailed instruction in the calculation of crop water requirements. Furthermore, the benefits and limitations of using reclaimed municipal wastewater for agricultural and landscape irrigation are discussed, as are other topics of special interest, including water management for salinity and sodicity control, and economic and legal aspects of reclaimed wastewater irrigation.","ISBN":"978-1-351-09080-3","language":"en","note":"Google-Books-ID: HLxHDwAAQBAJ","number-of-pages":"503","publisher":"CRC Press","source":"Google Books","title":"Irrigation With Reclaimed Municipal Wastewater - A Guidance Manual","author":[{"family":"Pettygrove","given":"G. Stuart"}],"issued":{"date-parts":[["2018",1,18]]}}},{"id":302,"uris":["http://zotero.org/users/5446453/items/FM3APW5Z"],"uri":["http://zotero.org/users/5446453/items/FM3APW5Z"],"itemData":{"id":302,"type":"article-journal","abstract":"Abstract.  The increasing demands placed on the global water supply threaten biodiversity and the supply of water for food production and other vital human need","container-title":"BioScience","DOI":"10.1641/0006-3568(2004)054[0909:WRAAEI]2.0.CO;2","ISSN":"0006-3568","issue":"10","journalAbbreviation":"BioScience","language":"en","note":"publisher: Oxford Academic","page":"909-918","source":"academic.oup.com","title":"Water Resources: Agricultural and Environmental Issues","title-short":"Water Resources","volume":"54","author":[{"family":"Pimentel","given":"David"},{"family":"Berger","given":"Bonnie"},{"family":"Filiberto","given":"David"},{"family":"Newton","given":"Michelle"},{"family":"Wolfe","given":"Benjamin"},{"family":"Karabinakis","given":"Elizabeth"},{"family":"Clark","given":"Steven"},{"family":"Poon","given":"Elaine"},{"family":"Abbett","given":"Elizabeth"},{"family":"Nandagopal","given":"Sudha"}],"issued":{"date-parts":[["2004",10,1]]}}}],"schema":"https://github.com/citation-style-language/schema/raw/master/csl-citation.json"} </w:instrText>
      </w:r>
      <w:r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(Grant et al., 2012; Grewar, 2019; OWRB, 2020; Pettygrove, 2018; Pimentel et al., 2004)</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w:t>
      </w:r>
    </w:p>
    <w:p w14:paraId="4764F847" w14:textId="41E1971F" w:rsidR="00F47A47" w:rsidRPr="00F07DEB" w:rsidRDefault="00010F4F" w:rsidP="006243A9">
      <w:pPr>
        <w:pStyle w:val="Bibliography"/>
        <w:ind w:left="0" w:firstLine="720"/>
        <w:rPr>
          <w:rFonts w:ascii="Times New Roman" w:hAnsi="Times New Roman" w:cs="Times New Roman"/>
          <w:sz w:val="24"/>
          <w:szCs w:val="24"/>
        </w:rPr>
      </w:pPr>
      <w:r w:rsidRPr="00F07DEB">
        <w:rPr>
          <w:rFonts w:ascii="Times New Roman" w:hAnsi="Times New Roman" w:cs="Times New Roman"/>
          <w:sz w:val="24"/>
          <w:szCs w:val="24"/>
        </w:rPr>
        <w:t xml:space="preserve">The Mayer Ranch Passive Treatment System (MRPTS) and Southeast Commerce Passive Treatment System (SECPTS) capture and treat artesian discharges of </w:t>
      </w:r>
      <w:r w:rsidR="00B30CDC" w:rsidRPr="00F07DEB">
        <w:rPr>
          <w:rFonts w:ascii="Times New Roman" w:hAnsi="Times New Roman" w:cs="Times New Roman"/>
          <w:sz w:val="24"/>
          <w:szCs w:val="24"/>
        </w:rPr>
        <w:t>lead-</w:t>
      </w:r>
      <w:r w:rsidR="009678A2">
        <w:rPr>
          <w:rFonts w:ascii="Times New Roman" w:hAnsi="Times New Roman" w:cs="Times New Roman"/>
          <w:sz w:val="24"/>
          <w:szCs w:val="24"/>
        </w:rPr>
        <w:t>Zn</w:t>
      </w:r>
      <w:r w:rsidR="00B30CDC" w:rsidRPr="00F07DEB">
        <w:rPr>
          <w:rFonts w:ascii="Times New Roman" w:hAnsi="Times New Roman" w:cs="Times New Roman"/>
          <w:sz w:val="24"/>
          <w:szCs w:val="24"/>
        </w:rPr>
        <w:t xml:space="preserve"> </w:t>
      </w:r>
      <w:r w:rsidRPr="00F07DEB">
        <w:rPr>
          <w:rFonts w:ascii="Times New Roman" w:hAnsi="Times New Roman" w:cs="Times New Roman"/>
          <w:sz w:val="24"/>
          <w:szCs w:val="24"/>
        </w:rPr>
        <w:t>mine water in the Tar Creek Superfund Site.</w:t>
      </w:r>
      <w:r w:rsidR="00DA39A8" w:rsidRPr="00F07DEB">
        <w:rPr>
          <w:rFonts w:ascii="Times New Roman" w:hAnsi="Times New Roman" w:cs="Times New Roman"/>
          <w:sz w:val="24"/>
          <w:szCs w:val="24"/>
        </w:rPr>
        <w:t xml:space="preserve"> During the first half of the twentieth century, this historic mining area fueled vigorous economic growth in </w:t>
      </w:r>
      <w:r w:rsidR="00F47A47" w:rsidRPr="00F07DEB">
        <w:rPr>
          <w:rFonts w:ascii="Times New Roman" w:hAnsi="Times New Roman" w:cs="Times New Roman"/>
          <w:sz w:val="24"/>
          <w:szCs w:val="24"/>
        </w:rPr>
        <w:t xml:space="preserve">northeastern </w:t>
      </w:r>
      <w:r w:rsidR="00DA39A8" w:rsidRPr="00F07DEB">
        <w:rPr>
          <w:rFonts w:ascii="Times New Roman" w:hAnsi="Times New Roman" w:cs="Times New Roman"/>
          <w:sz w:val="24"/>
          <w:szCs w:val="24"/>
        </w:rPr>
        <w:t>Oklahoma’s Ottawa County alongside similar operations in southeast</w:t>
      </w:r>
      <w:r w:rsidR="00F47A47" w:rsidRPr="00F07DEB">
        <w:rPr>
          <w:rFonts w:ascii="Times New Roman" w:hAnsi="Times New Roman" w:cs="Times New Roman"/>
          <w:sz w:val="24"/>
          <w:szCs w:val="24"/>
        </w:rPr>
        <w:t>ern</w:t>
      </w:r>
      <w:r w:rsidR="00DA39A8" w:rsidRPr="00F07DEB">
        <w:rPr>
          <w:rFonts w:ascii="Times New Roman" w:hAnsi="Times New Roman" w:cs="Times New Roman"/>
          <w:sz w:val="24"/>
          <w:szCs w:val="24"/>
        </w:rPr>
        <w:t xml:space="preserve"> Kansas and southwest</w:t>
      </w:r>
      <w:r w:rsidR="00F47A47" w:rsidRPr="00F07DEB">
        <w:rPr>
          <w:rFonts w:ascii="Times New Roman" w:hAnsi="Times New Roman" w:cs="Times New Roman"/>
          <w:sz w:val="24"/>
          <w:szCs w:val="24"/>
        </w:rPr>
        <w:t>ern</w:t>
      </w:r>
      <w:r w:rsidR="00DA39A8" w:rsidRPr="00F07DEB">
        <w:rPr>
          <w:rFonts w:ascii="Times New Roman" w:hAnsi="Times New Roman" w:cs="Times New Roman"/>
          <w:sz w:val="24"/>
          <w:szCs w:val="24"/>
        </w:rPr>
        <w:t xml:space="preserve"> Missouri, the other </w:t>
      </w:r>
      <w:r w:rsidR="00B30CDC" w:rsidRPr="00F07DEB">
        <w:rPr>
          <w:rFonts w:ascii="Times New Roman" w:hAnsi="Times New Roman" w:cs="Times New Roman"/>
          <w:sz w:val="24"/>
          <w:szCs w:val="24"/>
        </w:rPr>
        <w:t xml:space="preserve">portions </w:t>
      </w:r>
      <w:r w:rsidR="00F47A47" w:rsidRPr="00F07DEB">
        <w:rPr>
          <w:rFonts w:ascii="Times New Roman" w:hAnsi="Times New Roman" w:cs="Times New Roman"/>
          <w:sz w:val="24"/>
          <w:szCs w:val="24"/>
        </w:rPr>
        <w:t>of the aptly-named Tri-State Mining D</w:t>
      </w:r>
      <w:r w:rsidR="00DA39A8" w:rsidRPr="00F07DEB">
        <w:rPr>
          <w:rFonts w:ascii="Times New Roman" w:hAnsi="Times New Roman" w:cs="Times New Roman"/>
          <w:sz w:val="24"/>
          <w:szCs w:val="24"/>
        </w:rPr>
        <w:t xml:space="preserve">istrict </w:t>
      </w:r>
      <w:r w:rsidR="00F47A47" w:rsidRPr="00F07DEB">
        <w:rPr>
          <w:rFonts w:ascii="Times New Roman" w:hAnsi="Times New Roman" w:cs="Times New Roman"/>
          <w:sz w:val="24"/>
          <w:szCs w:val="24"/>
        </w:rPr>
        <w:t xml:space="preserve">(TSMD) </w:t>
      </w:r>
      <w:r w:rsidR="00AC4343" w:rsidRPr="00F07DEB">
        <w:rPr>
          <w:rFonts w:ascii="Times New Roman" w:hAnsi="Times New Roman" w:cs="Times New Roman"/>
          <w:sz w:val="24"/>
          <w:szCs w:val="24"/>
        </w:rPr>
        <w:fldChar w:fldCharType="begin"/>
      </w:r>
      <w:r w:rsidR="00A66444" w:rsidRPr="00F07DEB">
        <w:rPr>
          <w:rFonts w:ascii="Times New Roman" w:hAnsi="Times New Roman" w:cs="Times New Roman"/>
          <w:sz w:val="24"/>
          <w:szCs w:val="24"/>
        </w:rPr>
        <w:instrText xml:space="preserve"> ADDIN ZOTERO_ITEM CSL_CITATION {"citationID":"AaPSC2ht","properties":{"formattedCitation":"(USEPA, 1994a)","plainCitation":"(USEPA, 1994a)","noteIndex":0},"citationItems":[{"id":213,"uris":["http://zotero.org/users/5446453/items/DKAW9YE4"],"uri":["http://zotero.org/users/5446453/items/DKAW9YE4"],"itemData":{"id":213,"type":"report","page":"164","publisher":"U.S. Environmental Protection Agency Region 6","title":"Five Year Review: Tar Creek Superfund Site, Ottawa County, Oklahoma","URL":"https://semspub.epa.gov/work/06/1005834.pdf","author":[{"literal":"USEPA"}],"accessed":{"date-parts":[["2020",4,6]]},"issued":{"date-parts":[["1994",4]]}}}],"schema":"https://github.com/citation-style-language/schema/raw/master/csl-citation.json"} </w:instrText>
      </w:r>
      <w:r w:rsidR="00AC4343"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(USEPA, 1994a)</w:t>
      </w:r>
      <w:r w:rsidR="00AC4343" w:rsidRPr="00F07DEB">
        <w:rPr>
          <w:rFonts w:ascii="Times New Roman" w:hAnsi="Times New Roman" w:cs="Times New Roman"/>
          <w:sz w:val="24"/>
          <w:szCs w:val="24"/>
        </w:rPr>
        <w:fldChar w:fldCharType="end"/>
      </w:r>
      <w:r w:rsidR="00AC4343" w:rsidRPr="00F07DEB">
        <w:rPr>
          <w:rFonts w:ascii="Times New Roman" w:hAnsi="Times New Roman" w:cs="Times New Roman"/>
          <w:sz w:val="24"/>
          <w:szCs w:val="24"/>
        </w:rPr>
        <w:t>.</w:t>
      </w:r>
      <w:r w:rsidR="00DA39A8" w:rsidRPr="00F07DEB">
        <w:rPr>
          <w:rFonts w:ascii="Times New Roman" w:hAnsi="Times New Roman" w:cs="Times New Roman"/>
          <w:sz w:val="24"/>
          <w:szCs w:val="24"/>
        </w:rPr>
        <w:t xml:space="preserve"> </w:t>
      </w:r>
      <w:r w:rsidR="002C2662" w:rsidRPr="00F07DEB">
        <w:rPr>
          <w:rFonts w:ascii="Times New Roman" w:hAnsi="Times New Roman" w:cs="Times New Roman"/>
          <w:sz w:val="24"/>
          <w:szCs w:val="24"/>
        </w:rPr>
        <w:t xml:space="preserve">A map of </w:t>
      </w:r>
      <w:r w:rsidR="00E84501">
        <w:rPr>
          <w:rFonts w:ascii="Times New Roman" w:hAnsi="Times New Roman" w:cs="Times New Roman"/>
          <w:sz w:val="24"/>
          <w:szCs w:val="24"/>
        </w:rPr>
        <w:t xml:space="preserve">mined areas within </w:t>
      </w:r>
      <w:r w:rsidR="002C2662" w:rsidRPr="00F07DEB">
        <w:rPr>
          <w:rFonts w:ascii="Times New Roman" w:hAnsi="Times New Roman" w:cs="Times New Roman"/>
          <w:sz w:val="24"/>
          <w:szCs w:val="24"/>
        </w:rPr>
        <w:t xml:space="preserve">the TSMD is provided in Figure 1. </w:t>
      </w:r>
      <w:r w:rsidR="00D56631" w:rsidRPr="00F07DEB">
        <w:rPr>
          <w:rFonts w:ascii="Times New Roman" w:hAnsi="Times New Roman" w:cs="Times New Roman"/>
          <w:sz w:val="24"/>
          <w:szCs w:val="24"/>
        </w:rPr>
        <w:t xml:space="preserve">The Tar Creek Superfund Site contains Oklahoma’s section of the Picher </w:t>
      </w:r>
      <w:r w:rsidR="005C1804" w:rsidRPr="00F07DEB">
        <w:rPr>
          <w:rFonts w:ascii="Times New Roman" w:hAnsi="Times New Roman" w:cs="Times New Roman"/>
          <w:sz w:val="24"/>
          <w:szCs w:val="24"/>
        </w:rPr>
        <w:t xml:space="preserve">Mining </w:t>
      </w:r>
      <w:r w:rsidR="00D56631" w:rsidRPr="00F07DEB">
        <w:rPr>
          <w:rFonts w:ascii="Times New Roman" w:hAnsi="Times New Roman" w:cs="Times New Roman"/>
          <w:sz w:val="24"/>
          <w:szCs w:val="24"/>
        </w:rPr>
        <w:t xml:space="preserve">Field and a productive segment of the Boone Formation, the primary ore </w:t>
      </w:r>
      <w:r w:rsidR="00D56631" w:rsidRPr="00F07DEB">
        <w:rPr>
          <w:rFonts w:ascii="Times New Roman" w:hAnsi="Times New Roman" w:cs="Times New Roman"/>
          <w:sz w:val="24"/>
          <w:szCs w:val="24"/>
        </w:rPr>
        <w:lastRenderedPageBreak/>
        <w:t xml:space="preserve">source. </w:t>
      </w:r>
      <w:r w:rsidR="008B5A77" w:rsidRPr="00F07DEB">
        <w:rPr>
          <w:rFonts w:ascii="Times New Roman" w:hAnsi="Times New Roman" w:cs="Times New Roman"/>
          <w:sz w:val="24"/>
          <w:szCs w:val="24"/>
        </w:rPr>
        <w:t xml:space="preserve">Mining the Boone Formation, which </w:t>
      </w:r>
      <w:r w:rsidR="00B30CDC" w:rsidRPr="00F07DEB">
        <w:rPr>
          <w:rFonts w:ascii="Times New Roman" w:hAnsi="Times New Roman" w:cs="Times New Roman"/>
          <w:sz w:val="24"/>
          <w:szCs w:val="24"/>
        </w:rPr>
        <w:t xml:space="preserve">is </w:t>
      </w:r>
      <w:r w:rsidR="008B5A77" w:rsidRPr="00F07DEB">
        <w:rPr>
          <w:rFonts w:ascii="Times New Roman" w:hAnsi="Times New Roman" w:cs="Times New Roman"/>
          <w:sz w:val="24"/>
          <w:szCs w:val="24"/>
        </w:rPr>
        <w:t>also a</w:t>
      </w:r>
      <w:r w:rsidR="00522C56" w:rsidRPr="00F07DEB">
        <w:rPr>
          <w:rFonts w:ascii="Times New Roman" w:hAnsi="Times New Roman" w:cs="Times New Roman"/>
          <w:sz w:val="24"/>
          <w:szCs w:val="24"/>
        </w:rPr>
        <w:t xml:space="preserve"> groundwater</w:t>
      </w:r>
      <w:r w:rsidR="008B5A77" w:rsidRPr="00F07DEB">
        <w:rPr>
          <w:rFonts w:ascii="Times New Roman" w:hAnsi="Times New Roman" w:cs="Times New Roman"/>
          <w:sz w:val="24"/>
          <w:szCs w:val="24"/>
        </w:rPr>
        <w:t xml:space="preserve"> aquifer, required o</w:t>
      </w:r>
      <w:r w:rsidR="00650765" w:rsidRPr="00F07DEB">
        <w:rPr>
          <w:rFonts w:ascii="Times New Roman" w:hAnsi="Times New Roman" w:cs="Times New Roman"/>
          <w:sz w:val="24"/>
          <w:szCs w:val="24"/>
        </w:rPr>
        <w:t xml:space="preserve">perators to continuously pump groundwater </w:t>
      </w:r>
      <w:r w:rsidR="001A1F6F" w:rsidRPr="00F07DEB">
        <w:rPr>
          <w:rFonts w:ascii="Times New Roman" w:hAnsi="Times New Roman" w:cs="Times New Roman"/>
          <w:sz w:val="24"/>
          <w:szCs w:val="24"/>
        </w:rPr>
        <w:t xml:space="preserve">as they chipped away at the rock, revealing and oxidizing </w:t>
      </w:r>
      <w:r w:rsidR="00280612" w:rsidRPr="00F07DEB">
        <w:rPr>
          <w:rFonts w:ascii="Times New Roman" w:hAnsi="Times New Roman" w:cs="Times New Roman"/>
          <w:sz w:val="24"/>
          <w:szCs w:val="24"/>
        </w:rPr>
        <w:t xml:space="preserve">metal </w:t>
      </w:r>
      <w:r w:rsidR="001A1F6F" w:rsidRPr="00F07DEB">
        <w:rPr>
          <w:rFonts w:ascii="Times New Roman" w:hAnsi="Times New Roman" w:cs="Times New Roman"/>
          <w:sz w:val="24"/>
          <w:szCs w:val="24"/>
        </w:rPr>
        <w:t xml:space="preserve">sulfide minerals that would later introduce acidity </w:t>
      </w:r>
      <w:r w:rsidR="00DB4AF5">
        <w:rPr>
          <w:rFonts w:ascii="Times New Roman" w:hAnsi="Times New Roman" w:cs="Times New Roman"/>
          <w:sz w:val="24"/>
          <w:szCs w:val="24"/>
        </w:rPr>
        <w:t xml:space="preserve">and trace metals </w:t>
      </w:r>
      <w:r w:rsidR="001A1F6F" w:rsidRPr="00F07DEB">
        <w:rPr>
          <w:rFonts w:ascii="Times New Roman" w:hAnsi="Times New Roman" w:cs="Times New Roman"/>
          <w:sz w:val="24"/>
          <w:szCs w:val="24"/>
        </w:rPr>
        <w:t xml:space="preserve">into </w:t>
      </w:r>
      <w:r w:rsidR="00F45479" w:rsidRPr="00F07DEB">
        <w:rPr>
          <w:rFonts w:ascii="Times New Roman" w:hAnsi="Times New Roman" w:cs="Times New Roman"/>
          <w:sz w:val="24"/>
          <w:szCs w:val="24"/>
        </w:rPr>
        <w:t xml:space="preserve">the </w:t>
      </w:r>
      <w:r w:rsidR="00B30CDC" w:rsidRPr="00F07DEB">
        <w:rPr>
          <w:rFonts w:ascii="Times New Roman" w:hAnsi="Times New Roman" w:cs="Times New Roman"/>
          <w:sz w:val="24"/>
          <w:szCs w:val="24"/>
        </w:rPr>
        <w:t xml:space="preserve">resulting mine pool </w:t>
      </w:r>
      <w:r w:rsidR="00650765" w:rsidRPr="00F07DEB">
        <w:rPr>
          <w:rFonts w:ascii="Times New Roman" w:hAnsi="Times New Roman" w:cs="Times New Roman"/>
          <w:sz w:val="24"/>
          <w:szCs w:val="24"/>
        </w:rPr>
        <w:fldChar w:fldCharType="begin"/>
      </w:r>
      <w:r w:rsidR="00A66444" w:rsidRPr="00F07DEB">
        <w:rPr>
          <w:rFonts w:ascii="Times New Roman" w:hAnsi="Times New Roman" w:cs="Times New Roman"/>
          <w:sz w:val="24"/>
          <w:szCs w:val="24"/>
        </w:rPr>
        <w:instrText xml:space="preserve"> ADDIN ZOTERO_ITEM CSL_CITATION {"citationID":"956wIclA","properties":{"formattedCitation":"(USEPA, 1994a)","plainCitation":"(USEPA, 1994a)","noteIndex":0},"citationItems":[{"id":213,"uris":["http://zotero.org/users/5446453/items/DKAW9YE4"],"uri":["http://zotero.org/users/5446453/items/DKAW9YE4"],"itemData":{"id":213,"type":"report","page":"164","publisher":"U.S. Environmental Protection Agency Region 6","title":"Five Year Review: Tar Creek Superfund Site, Ottawa County, Oklahoma","URL":"https://semspub.epa.gov/work/06/1005834.pdf","author":[{"literal":"USEPA"}],"accessed":{"date-parts":[["2020",4,6]]},"issued":{"date-parts":[["1994",4]]}}}],"schema":"https://github.com/citation-style-language/schema/raw/master/csl-citation.json"} </w:instrText>
      </w:r>
      <w:r w:rsidR="00650765"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(USEPA, 1994a)</w:t>
      </w:r>
      <w:r w:rsidR="00650765" w:rsidRPr="00F07DEB">
        <w:rPr>
          <w:rFonts w:ascii="Times New Roman" w:hAnsi="Times New Roman" w:cs="Times New Roman"/>
          <w:sz w:val="24"/>
          <w:szCs w:val="24"/>
        </w:rPr>
        <w:fldChar w:fldCharType="end"/>
      </w:r>
      <w:r w:rsidR="00650765" w:rsidRPr="00F07DEB">
        <w:rPr>
          <w:rFonts w:ascii="Times New Roman" w:hAnsi="Times New Roman" w:cs="Times New Roman"/>
          <w:sz w:val="24"/>
          <w:szCs w:val="24"/>
        </w:rPr>
        <w:t xml:space="preserve">. </w:t>
      </w:r>
      <w:r w:rsidR="00B30CDC" w:rsidRPr="00F07DEB">
        <w:rPr>
          <w:rFonts w:ascii="Times New Roman" w:hAnsi="Times New Roman" w:cs="Times New Roman"/>
          <w:sz w:val="24"/>
          <w:szCs w:val="24"/>
        </w:rPr>
        <w:t xml:space="preserve">A decade after </w:t>
      </w:r>
      <w:r w:rsidR="00650765" w:rsidRPr="00F07DEB">
        <w:rPr>
          <w:rFonts w:ascii="Times New Roman" w:hAnsi="Times New Roman" w:cs="Times New Roman"/>
          <w:sz w:val="24"/>
          <w:szCs w:val="24"/>
        </w:rPr>
        <w:t>the</w:t>
      </w:r>
      <w:r w:rsidR="00273F87">
        <w:rPr>
          <w:rFonts w:ascii="Times New Roman" w:hAnsi="Times New Roman" w:cs="Times New Roman"/>
          <w:sz w:val="24"/>
          <w:szCs w:val="24"/>
        </w:rPr>
        <w:t xml:space="preserve"> final</w:t>
      </w:r>
      <w:r w:rsidR="00650765" w:rsidRPr="00F07DEB">
        <w:rPr>
          <w:rFonts w:ascii="Times New Roman" w:hAnsi="Times New Roman" w:cs="Times New Roman"/>
          <w:sz w:val="24"/>
          <w:szCs w:val="24"/>
        </w:rPr>
        <w:t xml:space="preserve"> lead and </w:t>
      </w:r>
      <w:r w:rsidR="009678A2">
        <w:rPr>
          <w:rFonts w:ascii="Times New Roman" w:hAnsi="Times New Roman" w:cs="Times New Roman"/>
          <w:sz w:val="24"/>
          <w:szCs w:val="24"/>
        </w:rPr>
        <w:t>Zn</w:t>
      </w:r>
      <w:r w:rsidR="00650765" w:rsidRPr="00F07DEB">
        <w:rPr>
          <w:rFonts w:ascii="Times New Roman" w:hAnsi="Times New Roman" w:cs="Times New Roman"/>
          <w:sz w:val="24"/>
          <w:szCs w:val="24"/>
        </w:rPr>
        <w:t xml:space="preserve"> mines were shut down, so were the </w:t>
      </w:r>
      <w:r w:rsidR="00273F87">
        <w:rPr>
          <w:rFonts w:ascii="Times New Roman" w:hAnsi="Times New Roman" w:cs="Times New Roman"/>
          <w:sz w:val="24"/>
          <w:szCs w:val="24"/>
        </w:rPr>
        <w:t xml:space="preserve">remaining </w:t>
      </w:r>
      <w:r w:rsidR="00522C56" w:rsidRPr="00F07DEB">
        <w:rPr>
          <w:rFonts w:ascii="Times New Roman" w:hAnsi="Times New Roman" w:cs="Times New Roman"/>
          <w:sz w:val="24"/>
          <w:szCs w:val="24"/>
        </w:rPr>
        <w:t xml:space="preserve">groundwater </w:t>
      </w:r>
      <w:r w:rsidR="00650765" w:rsidRPr="00F07DEB">
        <w:rPr>
          <w:rFonts w:ascii="Times New Roman" w:hAnsi="Times New Roman" w:cs="Times New Roman"/>
          <w:sz w:val="24"/>
          <w:szCs w:val="24"/>
        </w:rPr>
        <w:t xml:space="preserve">pumps. </w:t>
      </w:r>
      <w:r w:rsidR="00D07CB1" w:rsidRPr="00F07DEB">
        <w:rPr>
          <w:rFonts w:ascii="Times New Roman" w:hAnsi="Times New Roman" w:cs="Times New Roman"/>
          <w:sz w:val="24"/>
          <w:szCs w:val="24"/>
        </w:rPr>
        <w:t>By 1979,</w:t>
      </w:r>
      <w:r w:rsidR="0051170B" w:rsidRPr="00F07DEB">
        <w:rPr>
          <w:rFonts w:ascii="Times New Roman" w:hAnsi="Times New Roman" w:cs="Times New Roman"/>
          <w:sz w:val="24"/>
          <w:szCs w:val="24"/>
        </w:rPr>
        <w:t xml:space="preserve"> the mine pool </w:t>
      </w:r>
      <w:r w:rsidR="00D07CB1" w:rsidRPr="00F07DEB">
        <w:rPr>
          <w:rFonts w:ascii="Times New Roman" w:hAnsi="Times New Roman" w:cs="Times New Roman"/>
          <w:sz w:val="24"/>
          <w:szCs w:val="24"/>
        </w:rPr>
        <w:t xml:space="preserve">had </w:t>
      </w:r>
      <w:r w:rsidR="0051170B" w:rsidRPr="00F07DEB">
        <w:rPr>
          <w:rFonts w:ascii="Times New Roman" w:hAnsi="Times New Roman" w:cs="Times New Roman"/>
          <w:sz w:val="24"/>
          <w:szCs w:val="24"/>
        </w:rPr>
        <w:t xml:space="preserve">reached its </w:t>
      </w:r>
      <w:r w:rsidR="00DB4AF5">
        <w:rPr>
          <w:rFonts w:ascii="Times New Roman" w:hAnsi="Times New Roman" w:cs="Times New Roman"/>
          <w:sz w:val="24"/>
          <w:szCs w:val="24"/>
        </w:rPr>
        <w:t xml:space="preserve">approximately </w:t>
      </w:r>
      <w:r w:rsidR="0051170B" w:rsidRPr="00F07DEB">
        <w:rPr>
          <w:rFonts w:ascii="Times New Roman" w:hAnsi="Times New Roman" w:cs="Times New Roman"/>
          <w:sz w:val="24"/>
          <w:szCs w:val="24"/>
        </w:rPr>
        <w:t xml:space="preserve">94 million cubic meter capacity, </w:t>
      </w:r>
      <w:r w:rsidR="00D07CB1" w:rsidRPr="00F07DEB">
        <w:rPr>
          <w:rFonts w:ascii="Times New Roman" w:hAnsi="Times New Roman" w:cs="Times New Roman"/>
          <w:sz w:val="24"/>
          <w:szCs w:val="24"/>
        </w:rPr>
        <w:t xml:space="preserve">and </w:t>
      </w:r>
      <w:r w:rsidR="0051170B" w:rsidRPr="00F07DEB">
        <w:rPr>
          <w:rFonts w:ascii="Times New Roman" w:hAnsi="Times New Roman" w:cs="Times New Roman"/>
          <w:sz w:val="24"/>
          <w:szCs w:val="24"/>
        </w:rPr>
        <w:t>the mine water</w:t>
      </w:r>
      <w:r w:rsidR="00D07CB1" w:rsidRPr="00F07DEB">
        <w:rPr>
          <w:rFonts w:ascii="Times New Roman" w:hAnsi="Times New Roman" w:cs="Times New Roman"/>
          <w:sz w:val="24"/>
          <w:szCs w:val="24"/>
        </w:rPr>
        <w:t>s chose path</w:t>
      </w:r>
      <w:r w:rsidR="00522C56" w:rsidRPr="00F07DEB">
        <w:rPr>
          <w:rFonts w:ascii="Times New Roman" w:hAnsi="Times New Roman" w:cs="Times New Roman"/>
          <w:sz w:val="24"/>
          <w:szCs w:val="24"/>
        </w:rPr>
        <w:t>s</w:t>
      </w:r>
      <w:r w:rsidR="00D07CB1" w:rsidRPr="00F07DEB">
        <w:rPr>
          <w:rFonts w:ascii="Times New Roman" w:hAnsi="Times New Roman" w:cs="Times New Roman"/>
          <w:sz w:val="24"/>
          <w:szCs w:val="24"/>
        </w:rPr>
        <w:t xml:space="preserve"> of least resistance: artesian surface discharges throughout </w:t>
      </w:r>
      <w:r w:rsidR="00B30CDC" w:rsidRPr="00F07DEB">
        <w:rPr>
          <w:rFonts w:ascii="Times New Roman" w:hAnsi="Times New Roman" w:cs="Times New Roman"/>
          <w:sz w:val="24"/>
          <w:szCs w:val="24"/>
        </w:rPr>
        <w:t xml:space="preserve">the </w:t>
      </w:r>
      <w:r w:rsidR="00D07CB1" w:rsidRPr="00F07DEB">
        <w:rPr>
          <w:rFonts w:ascii="Times New Roman" w:hAnsi="Times New Roman" w:cs="Times New Roman"/>
          <w:sz w:val="24"/>
          <w:szCs w:val="24"/>
        </w:rPr>
        <w:t>Tar Creek</w:t>
      </w:r>
      <w:r w:rsidR="00B30CDC" w:rsidRPr="00F07DEB">
        <w:rPr>
          <w:rFonts w:ascii="Times New Roman" w:hAnsi="Times New Roman" w:cs="Times New Roman"/>
          <w:sz w:val="24"/>
          <w:szCs w:val="24"/>
        </w:rPr>
        <w:t xml:space="preserve"> and adjacent watersheds</w:t>
      </w:r>
      <w:r w:rsidR="00D07CB1" w:rsidRPr="00F07DEB">
        <w:rPr>
          <w:rFonts w:ascii="Times New Roman" w:hAnsi="Times New Roman" w:cs="Times New Roman"/>
          <w:sz w:val="24"/>
          <w:szCs w:val="24"/>
        </w:rPr>
        <w:t xml:space="preserve"> </w:t>
      </w:r>
      <w:r w:rsidR="0051170B" w:rsidRPr="00F07DEB">
        <w:rPr>
          <w:rFonts w:ascii="Times New Roman" w:hAnsi="Times New Roman" w:cs="Times New Roman"/>
          <w:sz w:val="24"/>
          <w:szCs w:val="24"/>
        </w:rPr>
        <w:fldChar w:fldCharType="begin"/>
      </w:r>
      <w:r w:rsidR="0031694C" w:rsidRPr="00F07DEB">
        <w:rPr>
          <w:rFonts w:ascii="Times New Roman" w:hAnsi="Times New Roman" w:cs="Times New Roman"/>
          <w:sz w:val="24"/>
          <w:szCs w:val="24"/>
        </w:rPr>
        <w:instrText xml:space="preserve"> ADDIN ZOTERO_ITEM CSL_CITATION {"citationID":"5xdKgxzQ","properties":{"formattedCitation":"(R. W. Nairn, 2015; USEPA, 1994a)","plainCitation":"(R. W. Nairn, 2015; USEPA, 1994a)","dontUpdate":true,"noteIndex":0},"citationItems":[{"id":213,"uris":["http://zotero.org/users/5446453/items/DKAW9YE4"],"uri":["http://zotero.org/users/5446453/items/DKAW9YE4"],"itemData":{"id":213,"type":"report","page":"164","publisher":"U.S. Environmental Protection Agency Region 6","title":"Five Year Review: Tar Creek Superfund Site, Ottawa County, Oklahoma","URL":"https://semspub.epa.gov/work/06/1005834.pdf","author":[{"literal":"USEPA"}],"accessed":{"date-parts":[["2020",4,6]]},"issued":{"date-parts":[["1994",4]]}}},{"id":210,"uris":["http://zotero.org/users/5446453/items/EUSBKRQV"],"uri":["http://zotero.org/users/5446453/items/EUSBKRQV"],"itemData":{"id":210,"type":"speech","event":"Oklahoma Clean Lakes and Watersheds Association","event-place":"Stillwater, OK","publisher-place":"Stillwater, OK","title":"Restoring a Severely Disturbed Watershed via Ecological Engineering: The Role of Passive Treatment Technologies","URL":"http://www.oclwa.org/pdf/2015Presentations/A2-Nairn-Role%20of%20Passive%20Treatment%20Tech.pdf","author":[{"family":"Nairn","given":"R. W."}],"accessed":{"date-parts":[["2020",4,6]]},"issued":{"date-parts":[["2015"]]}}}],"schema":"https://github.com/citation-style-language/schema/raw/master/csl-citation.json"} </w:instrText>
      </w:r>
      <w:r w:rsidR="0051170B" w:rsidRPr="00F07DEB">
        <w:rPr>
          <w:rFonts w:ascii="Times New Roman" w:hAnsi="Times New Roman" w:cs="Times New Roman"/>
          <w:sz w:val="24"/>
          <w:szCs w:val="24"/>
        </w:rPr>
        <w:fldChar w:fldCharType="separate"/>
      </w:r>
      <w:r w:rsidR="008309DB" w:rsidRPr="00F07DEB">
        <w:rPr>
          <w:rFonts w:ascii="Times New Roman" w:hAnsi="Times New Roman" w:cs="Times New Roman"/>
          <w:sz w:val="24"/>
        </w:rPr>
        <w:t>(Nairn, 2015; USEPA, 1994a)</w:t>
      </w:r>
      <w:r w:rsidR="0051170B" w:rsidRPr="00F07DEB">
        <w:rPr>
          <w:rFonts w:ascii="Times New Roman" w:hAnsi="Times New Roman" w:cs="Times New Roman"/>
          <w:sz w:val="24"/>
          <w:szCs w:val="24"/>
        </w:rPr>
        <w:fldChar w:fldCharType="end"/>
      </w:r>
      <w:r w:rsidR="0051170B" w:rsidRPr="00F07DEB">
        <w:rPr>
          <w:rFonts w:ascii="Times New Roman" w:hAnsi="Times New Roman" w:cs="Times New Roman"/>
          <w:sz w:val="24"/>
          <w:szCs w:val="24"/>
        </w:rPr>
        <w:t xml:space="preserve">. </w:t>
      </w:r>
      <w:r w:rsidR="00AC4343" w:rsidRPr="00F07DEB">
        <w:rPr>
          <w:rFonts w:ascii="Times New Roman" w:hAnsi="Times New Roman" w:cs="Times New Roman"/>
          <w:sz w:val="24"/>
          <w:szCs w:val="24"/>
        </w:rPr>
        <w:t xml:space="preserve">Tar Creek was added to the National Priorities List in 1983, </w:t>
      </w:r>
      <w:r w:rsidR="002765AC" w:rsidRPr="00F07DEB">
        <w:rPr>
          <w:rFonts w:ascii="Times New Roman" w:hAnsi="Times New Roman" w:cs="Times New Roman"/>
          <w:sz w:val="24"/>
          <w:szCs w:val="24"/>
        </w:rPr>
        <w:t>and the Environmental Protection Agency (EPA)</w:t>
      </w:r>
      <w:r w:rsidR="00442C63" w:rsidRPr="00F07DEB">
        <w:rPr>
          <w:rFonts w:ascii="Times New Roman" w:hAnsi="Times New Roman" w:cs="Times New Roman"/>
          <w:sz w:val="24"/>
          <w:szCs w:val="24"/>
        </w:rPr>
        <w:t xml:space="preserve"> Record of Decision </w:t>
      </w:r>
      <w:r w:rsidR="00824FEE" w:rsidRPr="00F07DEB">
        <w:rPr>
          <w:rFonts w:ascii="Times New Roman" w:hAnsi="Times New Roman" w:cs="Times New Roman"/>
          <w:sz w:val="24"/>
          <w:szCs w:val="24"/>
        </w:rPr>
        <w:t xml:space="preserve">for Operable Unit 1 </w:t>
      </w:r>
      <w:r w:rsidR="00442C63" w:rsidRPr="00F07DEB">
        <w:rPr>
          <w:rFonts w:ascii="Times New Roman" w:hAnsi="Times New Roman" w:cs="Times New Roman"/>
          <w:sz w:val="24"/>
          <w:szCs w:val="24"/>
        </w:rPr>
        <w:t>came one year later</w:t>
      </w:r>
      <w:r w:rsidR="00824FEE" w:rsidRPr="00F07DEB">
        <w:rPr>
          <w:rFonts w:ascii="Times New Roman" w:hAnsi="Times New Roman" w:cs="Times New Roman"/>
          <w:sz w:val="24"/>
          <w:szCs w:val="24"/>
        </w:rPr>
        <w:t>,</w:t>
      </w:r>
      <w:r w:rsidR="00442C63" w:rsidRPr="00F07DEB">
        <w:rPr>
          <w:rFonts w:ascii="Times New Roman" w:hAnsi="Times New Roman" w:cs="Times New Roman"/>
          <w:sz w:val="24"/>
          <w:szCs w:val="24"/>
        </w:rPr>
        <w:t xml:space="preserve"> with two purposes: addressing surface water contamination from acid mine drainage and the </w:t>
      </w:r>
      <w:r w:rsidR="009E2067" w:rsidRPr="00F07DEB">
        <w:rPr>
          <w:rFonts w:ascii="Times New Roman" w:hAnsi="Times New Roman" w:cs="Times New Roman"/>
          <w:sz w:val="24"/>
          <w:szCs w:val="24"/>
        </w:rPr>
        <w:t xml:space="preserve">potential </w:t>
      </w:r>
      <w:r w:rsidR="00DA4740" w:rsidRPr="00F07DEB">
        <w:rPr>
          <w:rFonts w:ascii="Times New Roman" w:hAnsi="Times New Roman" w:cs="Times New Roman"/>
          <w:sz w:val="24"/>
          <w:szCs w:val="24"/>
        </w:rPr>
        <w:t xml:space="preserve">well-facilitated vertical infiltration of mine water from the Boone Formation </w:t>
      </w:r>
      <w:r w:rsidR="003D7F27" w:rsidRPr="00F07DEB">
        <w:rPr>
          <w:rFonts w:ascii="Times New Roman" w:hAnsi="Times New Roman" w:cs="Times New Roman"/>
          <w:sz w:val="24"/>
          <w:szCs w:val="24"/>
        </w:rPr>
        <w:t>in</w:t>
      </w:r>
      <w:r w:rsidR="00DA4740" w:rsidRPr="00F07DEB">
        <w:rPr>
          <w:rFonts w:ascii="Times New Roman" w:hAnsi="Times New Roman" w:cs="Times New Roman"/>
          <w:sz w:val="24"/>
          <w:szCs w:val="24"/>
        </w:rPr>
        <w:t xml:space="preserve">to the </w:t>
      </w:r>
      <w:r w:rsidR="00522C56" w:rsidRPr="00F07DEB">
        <w:rPr>
          <w:rFonts w:ascii="Times New Roman" w:hAnsi="Times New Roman" w:cs="Times New Roman"/>
          <w:sz w:val="24"/>
          <w:szCs w:val="24"/>
        </w:rPr>
        <w:t xml:space="preserve">underlying </w:t>
      </w:r>
      <w:proofErr w:type="spellStart"/>
      <w:r w:rsidR="00DA4740" w:rsidRPr="00F07DEB">
        <w:rPr>
          <w:rFonts w:ascii="Times New Roman" w:hAnsi="Times New Roman" w:cs="Times New Roman"/>
          <w:sz w:val="24"/>
          <w:szCs w:val="24"/>
        </w:rPr>
        <w:t>Roubidoux</w:t>
      </w:r>
      <w:proofErr w:type="spellEnd"/>
      <w:r w:rsidR="00DA4740" w:rsidRPr="00F07DEB">
        <w:rPr>
          <w:rFonts w:ascii="Times New Roman" w:hAnsi="Times New Roman" w:cs="Times New Roman"/>
          <w:sz w:val="24"/>
          <w:szCs w:val="24"/>
        </w:rPr>
        <w:t xml:space="preserve"> Aquifer </w:t>
      </w:r>
      <w:r w:rsidR="00DA4740" w:rsidRPr="00F07DEB">
        <w:rPr>
          <w:rFonts w:ascii="Times New Roman" w:hAnsi="Times New Roman" w:cs="Times New Roman"/>
          <w:sz w:val="24"/>
          <w:szCs w:val="24"/>
        </w:rPr>
        <w:fldChar w:fldCharType="begin"/>
      </w:r>
      <w:r w:rsidR="00A66444" w:rsidRPr="00F07DEB">
        <w:rPr>
          <w:rFonts w:ascii="Times New Roman" w:hAnsi="Times New Roman" w:cs="Times New Roman"/>
          <w:sz w:val="24"/>
          <w:szCs w:val="24"/>
        </w:rPr>
        <w:instrText xml:space="preserve"> ADDIN ZOTERO_ITEM CSL_CITATION {"citationID":"uYP1ln7J","properties":{"formattedCitation":"(USEPA, 1994a)","plainCitation":"(USEPA, 1994a)","noteIndex":0},"citationItems":[{"id":213,"uris":["http://zotero.org/users/5446453/items/DKAW9YE4"],"uri":["http://zotero.org/users/5446453/items/DKAW9YE4"],"itemData":{"id":213,"type":"report","page":"164","publisher":"U.S. Environmental Protection Agency Region 6","title":"Five Year Review: Tar Creek Superfund Site, Ottawa County, Oklahoma","URL":"https://semspub.epa.gov/work/06/1005834.pdf","author":[{"literal":"USEPA"}],"accessed":{"date-parts":[["2020",4,6]]},"issued":{"date-parts":[["1994",4]]}}}],"schema":"https://github.com/citation-style-language/schema/raw/master/csl-citation.json"} </w:instrText>
      </w:r>
      <w:r w:rsidR="00DA4740"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(USEPA, 1994a)</w:t>
      </w:r>
      <w:r w:rsidR="00DA4740" w:rsidRPr="00F07DEB">
        <w:rPr>
          <w:rFonts w:ascii="Times New Roman" w:hAnsi="Times New Roman" w:cs="Times New Roman"/>
          <w:sz w:val="24"/>
          <w:szCs w:val="24"/>
        </w:rPr>
        <w:fldChar w:fldCharType="end"/>
      </w:r>
      <w:r w:rsidR="00DA4740" w:rsidRPr="00F07DEB">
        <w:rPr>
          <w:rFonts w:ascii="Times New Roman" w:hAnsi="Times New Roman" w:cs="Times New Roman"/>
          <w:sz w:val="24"/>
          <w:szCs w:val="24"/>
        </w:rPr>
        <w:t>.</w:t>
      </w:r>
      <w:r w:rsidR="006B6880" w:rsidRPr="00F07DEB">
        <w:rPr>
          <w:rFonts w:ascii="Times New Roman" w:hAnsi="Times New Roman" w:cs="Times New Roman"/>
          <w:sz w:val="24"/>
          <w:szCs w:val="24"/>
        </w:rPr>
        <w:t xml:space="preserve"> This marked the beginning of a </w:t>
      </w:r>
      <w:r w:rsidR="0082097C" w:rsidRPr="00F07DEB">
        <w:rPr>
          <w:rFonts w:ascii="Times New Roman" w:hAnsi="Times New Roman" w:cs="Times New Roman"/>
          <w:sz w:val="24"/>
          <w:szCs w:val="24"/>
        </w:rPr>
        <w:t xml:space="preserve">long and </w:t>
      </w:r>
      <w:r w:rsidR="006B6880" w:rsidRPr="00F07DEB">
        <w:rPr>
          <w:rFonts w:ascii="Times New Roman" w:hAnsi="Times New Roman" w:cs="Times New Roman"/>
          <w:sz w:val="24"/>
          <w:szCs w:val="24"/>
        </w:rPr>
        <w:t>costly cleanup process</w:t>
      </w:r>
      <w:r w:rsidR="0082097C" w:rsidRPr="00F07DEB">
        <w:rPr>
          <w:rFonts w:ascii="Times New Roman" w:hAnsi="Times New Roman" w:cs="Times New Roman"/>
          <w:sz w:val="24"/>
          <w:szCs w:val="24"/>
        </w:rPr>
        <w:t>,</w:t>
      </w:r>
      <w:r w:rsidR="006B6880" w:rsidRPr="00F07DEB">
        <w:rPr>
          <w:rFonts w:ascii="Times New Roman" w:hAnsi="Times New Roman" w:cs="Times New Roman"/>
          <w:sz w:val="24"/>
          <w:szCs w:val="24"/>
        </w:rPr>
        <w:t xml:space="preserve"> influenced by countless public and private actors</w:t>
      </w:r>
      <w:r w:rsidR="0082097C" w:rsidRPr="00F07DEB">
        <w:rPr>
          <w:rFonts w:ascii="Times New Roman" w:hAnsi="Times New Roman" w:cs="Times New Roman"/>
          <w:sz w:val="24"/>
          <w:szCs w:val="24"/>
        </w:rPr>
        <w:t>,</w:t>
      </w:r>
      <w:r w:rsidR="006B6880" w:rsidRPr="00F07DEB">
        <w:rPr>
          <w:rFonts w:ascii="Times New Roman" w:hAnsi="Times New Roman" w:cs="Times New Roman"/>
          <w:sz w:val="24"/>
          <w:szCs w:val="24"/>
        </w:rPr>
        <w:t xml:space="preserve"> that is still far from resolution.</w:t>
      </w:r>
    </w:p>
    <w:p w14:paraId="45AFD5D4" w14:textId="06B59A0C" w:rsidR="00D70593" w:rsidRPr="00F07DEB" w:rsidRDefault="005E17DE" w:rsidP="00D70593">
      <w:pPr>
        <w:pStyle w:val="Bibliography"/>
        <w:keepNext/>
        <w:jc w:val="center"/>
        <w:rPr>
          <w:rFonts w:ascii="Times New Roman" w:hAnsi="Times New Roman" w:cs="Times New Roman"/>
        </w:rPr>
      </w:pPr>
      <w:r>
        <w:rPr>
          <w:rFonts w:ascii="Times New Roman" w:hAnsi="Times New Roman" w:cs="Times New Roman"/>
        </w:rPr>
        <w:lastRenderedPageBreak/>
        <w:pict w14:anchorId="5D22F3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45pt;height:375.45pt">
            <v:imagedata r:id="rId14" o:title="TriState"/>
          </v:shape>
        </w:pict>
      </w:r>
    </w:p>
    <w:p w14:paraId="1271A451" w14:textId="4E317563" w:rsidR="00F47A47" w:rsidRPr="00F07DEB" w:rsidRDefault="00D70593" w:rsidP="00204C13">
      <w:pPr>
        <w:pStyle w:val="Caption"/>
      </w:pPr>
      <w:bookmarkStart w:id="2" w:name="_Toc58975211"/>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1</w:t>
      </w:r>
      <w:r w:rsidR="00DE3B90" w:rsidRPr="00F07DEB">
        <w:rPr>
          <w:noProof/>
        </w:rPr>
        <w:fldChar w:fldCharType="end"/>
      </w:r>
      <w:r w:rsidRPr="00F07DEB">
        <w:t xml:space="preserve">: </w:t>
      </w:r>
      <w:r w:rsidR="00E84501">
        <w:t>Map</w:t>
      </w:r>
      <w:r w:rsidRPr="00F07DEB">
        <w:t xml:space="preserve"> of </w:t>
      </w:r>
      <w:r w:rsidR="00E84501">
        <w:t xml:space="preserve">mined areas in </w:t>
      </w:r>
      <w:r w:rsidRPr="00F07DEB">
        <w:t xml:space="preserve">the Tri-State Mining District </w:t>
      </w:r>
      <w:r w:rsidR="00E84501">
        <w:fldChar w:fldCharType="begin"/>
      </w:r>
      <w:r w:rsidR="00FF5DF8">
        <w:instrText xml:space="preserve"> ADDIN ZOTERO_ITEM CSL_CITATION {"citationID":"av09khp5r7","properties":{"formattedCitation":"(Spruill, 1987)","plainCitation":"(Spruill, 1987)","noteIndex":0},"citationItems":[{"id":921,"uris":["http://zotero.org/users/5446453/items/SRGPIAUI"],"uri":["http://zotero.org/users/5446453/items/SRGPIAUI"],"itemData":{"id":921,"type":"report","event-place":"Washington, D.C.","genre":"Water-Supply Paper","language":"en","number":"2268","page":"74","publisher":"U.S. Geological Survey","publisher-place":"Washington, D.C.","source":"Zotero","title":"Assessment of Water Resources in Lead-Zinc Mined Areas in Cherokee County, Kansas, and Adjacent Areas","author":[{"family":"Spruill","given":"Timothy B"}],"issued":{"date-parts":[["1987"]]}}}],"schema":"https://github.com/citation-style-language/schema/raw/master/csl-citation.json"} </w:instrText>
      </w:r>
      <w:r w:rsidR="00E84501">
        <w:fldChar w:fldCharType="separate"/>
      </w:r>
      <w:r w:rsidR="00234033" w:rsidRPr="00234033">
        <w:t>(Spruill, 1987)</w:t>
      </w:r>
      <w:bookmarkEnd w:id="2"/>
      <w:r w:rsidR="00E84501">
        <w:fldChar w:fldCharType="end"/>
      </w:r>
      <w:r w:rsidR="00FB0E2E" w:rsidRPr="00F07DEB">
        <w:t xml:space="preserve"> </w:t>
      </w:r>
    </w:p>
    <w:p w14:paraId="08394662" w14:textId="77777777" w:rsidR="00EA19E7" w:rsidRPr="00F07DEB" w:rsidRDefault="00EA19E7" w:rsidP="00010F4F">
      <w:pPr>
        <w:pStyle w:val="Bibliography"/>
        <w:ind w:left="0" w:firstLine="720"/>
        <w:rPr>
          <w:rFonts w:ascii="Times New Roman" w:hAnsi="Times New Roman" w:cs="Times New Roman"/>
          <w:sz w:val="24"/>
          <w:szCs w:val="24"/>
        </w:rPr>
      </w:pPr>
    </w:p>
    <w:p w14:paraId="7B04AAFB" w14:textId="724A168A" w:rsidR="00B30CDC" w:rsidRPr="00F07DEB" w:rsidRDefault="0082097C" w:rsidP="00010F4F">
      <w:pPr>
        <w:pStyle w:val="Bibliography"/>
        <w:ind w:left="0" w:firstLine="720"/>
        <w:rPr>
          <w:rFonts w:ascii="Times New Roman" w:hAnsi="Times New Roman" w:cs="Times New Roman"/>
          <w:sz w:val="24"/>
          <w:szCs w:val="24"/>
        </w:rPr>
      </w:pPr>
      <w:r w:rsidRPr="00F07DEB">
        <w:rPr>
          <w:rFonts w:ascii="Times New Roman" w:hAnsi="Times New Roman" w:cs="Times New Roman"/>
          <w:sz w:val="24"/>
          <w:szCs w:val="24"/>
        </w:rPr>
        <w:t xml:space="preserve">MRPTS and SECPTS are the culmination of </w:t>
      </w:r>
      <w:r w:rsidR="006C698E" w:rsidRPr="00F07DEB">
        <w:rPr>
          <w:rFonts w:ascii="Times New Roman" w:hAnsi="Times New Roman" w:cs="Times New Roman"/>
          <w:sz w:val="24"/>
          <w:szCs w:val="24"/>
        </w:rPr>
        <w:t xml:space="preserve">decades of </w:t>
      </w:r>
      <w:r w:rsidR="00B30CDC" w:rsidRPr="00F07DEB">
        <w:rPr>
          <w:rFonts w:ascii="Times New Roman" w:hAnsi="Times New Roman" w:cs="Times New Roman"/>
          <w:sz w:val="24"/>
          <w:szCs w:val="24"/>
        </w:rPr>
        <w:t>University of Oklahoma (OU) Center for Restoration of Ecosystems and Watersheds (</w:t>
      </w:r>
      <w:r w:rsidRPr="00F07DEB">
        <w:rPr>
          <w:rFonts w:ascii="Times New Roman" w:hAnsi="Times New Roman" w:cs="Times New Roman"/>
          <w:sz w:val="24"/>
          <w:szCs w:val="24"/>
        </w:rPr>
        <w:t>CREW</w:t>
      </w:r>
      <w:r w:rsidR="00B30CDC" w:rsidRPr="00F07DEB">
        <w:rPr>
          <w:rFonts w:ascii="Times New Roman" w:hAnsi="Times New Roman" w:cs="Times New Roman"/>
          <w:sz w:val="24"/>
          <w:szCs w:val="24"/>
        </w:rPr>
        <w:t>)</w:t>
      </w:r>
      <w:r w:rsidR="006C698E" w:rsidRPr="00F07DEB">
        <w:rPr>
          <w:rFonts w:ascii="Times New Roman" w:hAnsi="Times New Roman" w:cs="Times New Roman"/>
          <w:sz w:val="24"/>
          <w:szCs w:val="24"/>
        </w:rPr>
        <w:t xml:space="preserve"> research in the Tar Creek region and throughout Oklahoma and the surrounding states. These</w:t>
      </w:r>
      <w:r w:rsidRPr="00F07DEB">
        <w:rPr>
          <w:rFonts w:ascii="Times New Roman" w:hAnsi="Times New Roman" w:cs="Times New Roman"/>
          <w:sz w:val="24"/>
          <w:szCs w:val="24"/>
        </w:rPr>
        <w:t xml:space="preserve"> </w:t>
      </w:r>
      <w:r w:rsidR="00B30CDC" w:rsidRPr="00F07DEB">
        <w:rPr>
          <w:rFonts w:ascii="Times New Roman" w:hAnsi="Times New Roman" w:cs="Times New Roman"/>
          <w:sz w:val="24"/>
          <w:szCs w:val="24"/>
        </w:rPr>
        <w:t>ecologically engineered</w:t>
      </w:r>
      <w:r w:rsidR="00010F4F" w:rsidRPr="00F07DEB">
        <w:rPr>
          <w:rFonts w:ascii="Times New Roman" w:hAnsi="Times New Roman" w:cs="Times New Roman"/>
          <w:sz w:val="24"/>
          <w:szCs w:val="24"/>
        </w:rPr>
        <w:t xml:space="preserve"> passive treatment systems </w:t>
      </w:r>
      <w:r w:rsidR="009A30AB" w:rsidRPr="00F07DEB">
        <w:rPr>
          <w:rFonts w:ascii="Times New Roman" w:hAnsi="Times New Roman" w:cs="Times New Roman"/>
          <w:sz w:val="24"/>
          <w:szCs w:val="24"/>
        </w:rPr>
        <w:t xml:space="preserve">capture artesian mine water discharges and process the water through a series of constructed ponds, wetlands and </w:t>
      </w:r>
      <w:r w:rsidR="00DB4AF5">
        <w:rPr>
          <w:rFonts w:ascii="Times New Roman" w:hAnsi="Times New Roman" w:cs="Times New Roman"/>
          <w:sz w:val="24"/>
          <w:szCs w:val="24"/>
        </w:rPr>
        <w:t>bioreactors</w:t>
      </w:r>
      <w:r w:rsidR="009A30AB" w:rsidRPr="00F07DEB">
        <w:rPr>
          <w:rFonts w:ascii="Times New Roman" w:hAnsi="Times New Roman" w:cs="Times New Roman"/>
          <w:sz w:val="24"/>
          <w:szCs w:val="24"/>
        </w:rPr>
        <w:t xml:space="preserve">. During the systems’ multi-day detention times, </w:t>
      </w:r>
      <w:r w:rsidR="00010F4F" w:rsidRPr="00F07DEB">
        <w:rPr>
          <w:rFonts w:ascii="Times New Roman" w:hAnsi="Times New Roman" w:cs="Times New Roman"/>
          <w:sz w:val="24"/>
          <w:szCs w:val="24"/>
        </w:rPr>
        <w:t xml:space="preserve">water quality improvements and substantial removal of </w:t>
      </w:r>
      <w:proofErr w:type="spellStart"/>
      <w:r w:rsidR="00010F4F" w:rsidRPr="00F07DEB">
        <w:rPr>
          <w:rFonts w:ascii="Times New Roman" w:hAnsi="Times New Roman" w:cs="Times New Roman"/>
          <w:sz w:val="24"/>
          <w:szCs w:val="24"/>
        </w:rPr>
        <w:t>ecotoxic</w:t>
      </w:r>
      <w:proofErr w:type="spellEnd"/>
      <w:r w:rsidR="00010F4F" w:rsidRPr="00F07DEB">
        <w:rPr>
          <w:rFonts w:ascii="Times New Roman" w:hAnsi="Times New Roman" w:cs="Times New Roman"/>
          <w:sz w:val="24"/>
          <w:szCs w:val="24"/>
        </w:rPr>
        <w:t xml:space="preserve"> metals </w:t>
      </w:r>
      <w:r w:rsidR="009A30AB" w:rsidRPr="00F07DEB">
        <w:rPr>
          <w:rFonts w:ascii="Times New Roman" w:hAnsi="Times New Roman" w:cs="Times New Roman"/>
          <w:sz w:val="24"/>
          <w:szCs w:val="24"/>
        </w:rPr>
        <w:t xml:space="preserve">are realized </w:t>
      </w:r>
      <w:r w:rsidR="00010F4F" w:rsidRPr="00F07DEB">
        <w:rPr>
          <w:rFonts w:ascii="Times New Roman" w:hAnsi="Times New Roman" w:cs="Times New Roman"/>
          <w:sz w:val="24"/>
          <w:szCs w:val="24"/>
        </w:rPr>
        <w:t xml:space="preserve">via </w:t>
      </w:r>
      <w:r w:rsidR="00563212">
        <w:rPr>
          <w:rFonts w:ascii="Times New Roman" w:hAnsi="Times New Roman" w:cs="Times New Roman"/>
          <w:sz w:val="24"/>
          <w:szCs w:val="24"/>
        </w:rPr>
        <w:t xml:space="preserve">natural </w:t>
      </w:r>
      <w:r w:rsidR="00010F4F" w:rsidRPr="00F07DEB">
        <w:rPr>
          <w:rFonts w:ascii="Times New Roman" w:hAnsi="Times New Roman" w:cs="Times New Roman"/>
          <w:sz w:val="24"/>
          <w:szCs w:val="24"/>
        </w:rPr>
        <w:t xml:space="preserve">biogeochemical, microbiological, and physical mechanisms. Treated effluent </w:t>
      </w:r>
      <w:r w:rsidR="003D7F27" w:rsidRPr="00F07DEB">
        <w:rPr>
          <w:rFonts w:ascii="Times New Roman" w:hAnsi="Times New Roman" w:cs="Times New Roman"/>
          <w:sz w:val="24"/>
          <w:szCs w:val="24"/>
        </w:rPr>
        <w:t>from both</w:t>
      </w:r>
      <w:r w:rsidR="00F536D6" w:rsidRPr="00F07DEB">
        <w:rPr>
          <w:rFonts w:ascii="Times New Roman" w:hAnsi="Times New Roman" w:cs="Times New Roman"/>
          <w:sz w:val="24"/>
          <w:szCs w:val="24"/>
        </w:rPr>
        <w:t xml:space="preserve"> systems</w:t>
      </w:r>
      <w:r w:rsidR="00267CB6" w:rsidRPr="00F07DEB">
        <w:rPr>
          <w:rFonts w:ascii="Times New Roman" w:hAnsi="Times New Roman" w:cs="Times New Roman"/>
          <w:sz w:val="24"/>
          <w:szCs w:val="24"/>
        </w:rPr>
        <w:t xml:space="preserve"> </w:t>
      </w:r>
      <w:r w:rsidR="00010F4F" w:rsidRPr="00F07DEB">
        <w:rPr>
          <w:rFonts w:ascii="Times New Roman" w:hAnsi="Times New Roman" w:cs="Times New Roman"/>
          <w:sz w:val="24"/>
          <w:szCs w:val="24"/>
        </w:rPr>
        <w:t xml:space="preserve">currently </w:t>
      </w:r>
      <w:r w:rsidR="006E433D" w:rsidRPr="00F07DEB">
        <w:rPr>
          <w:rFonts w:ascii="Times New Roman" w:hAnsi="Times New Roman" w:cs="Times New Roman"/>
          <w:sz w:val="24"/>
          <w:szCs w:val="24"/>
        </w:rPr>
        <w:t xml:space="preserve">satisfies the pertinent ambient water quality criteria and is </w:t>
      </w:r>
      <w:r w:rsidR="00267CB6" w:rsidRPr="00F07DEB">
        <w:rPr>
          <w:rFonts w:ascii="Times New Roman" w:hAnsi="Times New Roman" w:cs="Times New Roman"/>
          <w:sz w:val="24"/>
          <w:szCs w:val="24"/>
        </w:rPr>
        <w:t xml:space="preserve">discharged into </w:t>
      </w:r>
      <w:r w:rsidR="00010F4F" w:rsidRPr="00F07DEB">
        <w:rPr>
          <w:rFonts w:ascii="Times New Roman" w:hAnsi="Times New Roman" w:cs="Times New Roman"/>
          <w:sz w:val="24"/>
          <w:szCs w:val="24"/>
        </w:rPr>
        <w:t xml:space="preserve">Unnamed </w:t>
      </w:r>
      <w:r w:rsidR="00010F4F" w:rsidRPr="00F07DEB">
        <w:rPr>
          <w:rFonts w:ascii="Times New Roman" w:hAnsi="Times New Roman" w:cs="Times New Roman"/>
          <w:sz w:val="24"/>
          <w:szCs w:val="24"/>
        </w:rPr>
        <w:lastRenderedPageBreak/>
        <w:t>Tributary (UT), which is a tributary of Tar Creek</w:t>
      </w:r>
      <w:r w:rsidR="006E433D" w:rsidRPr="00F07DEB">
        <w:rPr>
          <w:rFonts w:ascii="Times New Roman" w:hAnsi="Times New Roman" w:cs="Times New Roman"/>
          <w:sz w:val="24"/>
          <w:szCs w:val="24"/>
        </w:rPr>
        <w:t xml:space="preserve"> </w:t>
      </w:r>
      <w:r w:rsidR="006E433D" w:rsidRPr="00F07DEB">
        <w:rPr>
          <w:rFonts w:ascii="Times New Roman" w:hAnsi="Times New Roman" w:cs="Times New Roman"/>
          <w:sz w:val="24"/>
          <w:szCs w:val="24"/>
        </w:rPr>
        <w:fldChar w:fldCharType="begin"/>
      </w:r>
      <w:r w:rsidR="003F738E" w:rsidRPr="00F07DEB">
        <w:rPr>
          <w:rFonts w:ascii="Times New Roman" w:hAnsi="Times New Roman" w:cs="Times New Roman"/>
          <w:sz w:val="24"/>
          <w:szCs w:val="24"/>
        </w:rPr>
        <w:instrText xml:space="preserve"> ADDIN ZOTERO_ITEM CSL_CITATION {"citationID":"wE2qtyku","properties":{"formattedCitation":"(Oklahoma Water Resources Board, 2017; USEPA, 2009)","plainCitation":"(Oklahoma Water Resources Board, 2017; USEPA, 2009)","noteIndex":0},"citationItems":[{"id":217,"uris":["http://zotero.org/users/5446453/items/H6SLIGGK"],"uri":["http://zotero.org/users/5446453/items/H6SLIGGK"],"itemData":{"id":217,"type":"report","genre":"Unofficial","number":"Chapter 45","page":"132","title":"Implementation of Oklahoma's Water Quality Standards","URL":"https://www.owrb.ok.gov/rules/pdf/current/Ch45.pdf","author":[{"literal":"Oklahoma Water Resources Board"}],"accessed":{"date-parts":[["2020",4,6]]},"issued":{"date-parts":[["2017"]]}}},{"id":216,"uris":["http://zotero.org/users/5446453/items/Y6Q69RYA"],"uri":["http://zotero.org/users/5446453/items/Y6Q69RYA"],"itemData":{"id":216,"type":"report","page":"25","publisher":"U.S. Environmental Protection Agency Office of Water","source":"Zotero","title":"National Recommended Water Quality Criteria","author":[{"literal":"USEPA"}],"issued":{"date-parts":[["2009"]]}}}],"schema":"https://github.com/citation-style-language/schema/raw/master/csl-citation.json"} </w:instrText>
      </w:r>
      <w:r w:rsidR="006E433D"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(Oklahoma Water Resources Board, 2017; USEPA, 2009)</w:t>
      </w:r>
      <w:r w:rsidR="006E433D" w:rsidRPr="00F07DEB">
        <w:rPr>
          <w:rFonts w:ascii="Times New Roman" w:hAnsi="Times New Roman" w:cs="Times New Roman"/>
          <w:sz w:val="24"/>
          <w:szCs w:val="24"/>
        </w:rPr>
        <w:fldChar w:fldCharType="end"/>
      </w:r>
      <w:r w:rsidR="00010F4F" w:rsidRPr="00F07DEB">
        <w:rPr>
          <w:rFonts w:ascii="Times New Roman" w:hAnsi="Times New Roman" w:cs="Times New Roman"/>
          <w:sz w:val="24"/>
          <w:szCs w:val="24"/>
        </w:rPr>
        <w:t xml:space="preserve">. </w:t>
      </w:r>
    </w:p>
    <w:p w14:paraId="4BFFEA2B" w14:textId="3DE392B6" w:rsidR="00010F4F" w:rsidRPr="00F07DEB" w:rsidRDefault="00267CB6" w:rsidP="00010F4F">
      <w:pPr>
        <w:pStyle w:val="Bibliography"/>
        <w:ind w:left="0" w:firstLine="720"/>
        <w:rPr>
          <w:rFonts w:ascii="Times New Roman" w:hAnsi="Times New Roman" w:cs="Times New Roman"/>
          <w:sz w:val="24"/>
          <w:szCs w:val="24"/>
        </w:rPr>
      </w:pPr>
      <w:r w:rsidRPr="00F07DEB">
        <w:rPr>
          <w:rFonts w:ascii="Times New Roman" w:hAnsi="Times New Roman" w:cs="Times New Roman"/>
          <w:sz w:val="24"/>
          <w:szCs w:val="24"/>
        </w:rPr>
        <w:t>However, passively</w:t>
      </w:r>
      <w:r w:rsidR="00191F32" w:rsidRPr="00F07DEB">
        <w:rPr>
          <w:rFonts w:ascii="Times New Roman" w:hAnsi="Times New Roman" w:cs="Times New Roman"/>
          <w:sz w:val="24"/>
          <w:szCs w:val="24"/>
        </w:rPr>
        <w:t>-</w:t>
      </w:r>
      <w:r w:rsidRPr="00F07DEB">
        <w:rPr>
          <w:rFonts w:ascii="Times New Roman" w:hAnsi="Times New Roman" w:cs="Times New Roman"/>
          <w:sz w:val="24"/>
          <w:szCs w:val="24"/>
        </w:rPr>
        <w:t xml:space="preserve">treated mine water might have additional beneficial reuses beyond surface water augmentation. </w:t>
      </w:r>
      <w:r w:rsidR="00010F4F" w:rsidRPr="00F07DEB">
        <w:rPr>
          <w:rFonts w:ascii="Times New Roman" w:hAnsi="Times New Roman" w:cs="Times New Roman"/>
          <w:sz w:val="24"/>
          <w:szCs w:val="24"/>
        </w:rPr>
        <w:t xml:space="preserve">The reuse of sufficiently treated mine water </w:t>
      </w:r>
      <w:r w:rsidR="006E433D" w:rsidRPr="00F07DEB">
        <w:rPr>
          <w:rFonts w:ascii="Times New Roman" w:hAnsi="Times New Roman" w:cs="Times New Roman"/>
          <w:sz w:val="24"/>
          <w:szCs w:val="24"/>
        </w:rPr>
        <w:t xml:space="preserve">for livestock watering or crop irrigation </w:t>
      </w:r>
      <w:r w:rsidR="00010F4F" w:rsidRPr="00F07DEB">
        <w:rPr>
          <w:rFonts w:ascii="Times New Roman" w:hAnsi="Times New Roman" w:cs="Times New Roman"/>
          <w:sz w:val="24"/>
          <w:szCs w:val="24"/>
        </w:rPr>
        <w:t xml:space="preserve">would free up cleaner surface and groundwater reserves for human consumption. </w:t>
      </w:r>
      <w:r w:rsidR="0085615E" w:rsidRPr="00F07DEB">
        <w:rPr>
          <w:rFonts w:ascii="Times New Roman" w:hAnsi="Times New Roman" w:cs="Times New Roman"/>
          <w:sz w:val="24"/>
          <w:szCs w:val="24"/>
        </w:rPr>
        <w:t>Worldwide, 69% of freshwater withdrawals are for agriculture; this number drops to 40% in the USA, but any technology or policy that safely supplants freshwater use in agriculture with treated wastewater should be given careful consideration</w:t>
      </w:r>
      <w:r w:rsidR="00E82373" w:rsidRPr="00F07DEB">
        <w:rPr>
          <w:rFonts w:ascii="Times New Roman" w:hAnsi="Times New Roman" w:cs="Times New Roman"/>
          <w:sz w:val="24"/>
          <w:szCs w:val="24"/>
        </w:rPr>
        <w:t xml:space="preserve"> </w:t>
      </w:r>
      <w:r w:rsidR="00E82373" w:rsidRPr="00F07DEB">
        <w:rPr>
          <w:rFonts w:ascii="Times New Roman" w:hAnsi="Times New Roman" w:cs="Times New Roman"/>
          <w:sz w:val="24"/>
          <w:szCs w:val="24"/>
        </w:rPr>
        <w:fldChar w:fldCharType="begin"/>
      </w:r>
      <w:r w:rsidR="00E82373" w:rsidRPr="00F07DEB">
        <w:rPr>
          <w:rFonts w:ascii="Times New Roman" w:hAnsi="Times New Roman" w:cs="Times New Roman"/>
          <w:sz w:val="24"/>
          <w:szCs w:val="24"/>
        </w:rPr>
        <w:instrText xml:space="preserve"> ADDIN ZOTERO_ITEM CSL_CITATION {"citationID":"9rrZjmCL","properties":{"formattedCitation":"(UN FAO, 2015)","plainCitation":"(UN FAO, 2015)","noteIndex":0},"citationItems":[{"id":223,"uris":["http://zotero.org/users/5446453/items/VXVEMGHK"],"uri":["http://zotero.org/users/5446453/items/VXVEMGHK"],"itemData":{"id":223,"type":"webpage","container-title":"Food and Agriculture Organization of the United Nations","title":"AQUASTAT - FAO's Global Information System on Water and Agriculture","URL":"http://www.fao.org/aquastat/en/overview/methodology/water-use","author":[{"literal":"UN FAO"}],"accessed":{"date-parts":[["2020",4,6]]},"issued":{"date-parts":[["2015"]]}}}],"schema":"https://github.com/citation-style-language/schema/raw/master/csl-citation.json"} </w:instrText>
      </w:r>
      <w:r w:rsidR="00E82373"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(UN FAO, 2015)</w:t>
      </w:r>
      <w:r w:rsidR="00E82373" w:rsidRPr="00F07DEB">
        <w:rPr>
          <w:rFonts w:ascii="Times New Roman" w:hAnsi="Times New Roman" w:cs="Times New Roman"/>
          <w:sz w:val="24"/>
          <w:szCs w:val="24"/>
        </w:rPr>
        <w:fldChar w:fldCharType="end"/>
      </w:r>
      <w:r w:rsidR="0085615E" w:rsidRPr="00F07DEB">
        <w:rPr>
          <w:rFonts w:ascii="Times New Roman" w:hAnsi="Times New Roman" w:cs="Times New Roman"/>
          <w:sz w:val="24"/>
          <w:szCs w:val="24"/>
        </w:rPr>
        <w:t xml:space="preserve">. </w:t>
      </w:r>
      <w:r w:rsidR="00010F4F" w:rsidRPr="00F07DEB">
        <w:rPr>
          <w:rFonts w:ascii="Times New Roman" w:hAnsi="Times New Roman" w:cs="Times New Roman"/>
          <w:sz w:val="24"/>
          <w:szCs w:val="24"/>
        </w:rPr>
        <w:t>In contrast with the current state of mine draina</w:t>
      </w:r>
      <w:r w:rsidR="00BE592B" w:rsidRPr="00F07DEB">
        <w:rPr>
          <w:rFonts w:ascii="Times New Roman" w:hAnsi="Times New Roman" w:cs="Times New Roman"/>
          <w:sz w:val="24"/>
          <w:szCs w:val="24"/>
        </w:rPr>
        <w:t xml:space="preserve">ge remediation, which is widely </w:t>
      </w:r>
      <w:r w:rsidR="00010F4F" w:rsidRPr="00F07DEB">
        <w:rPr>
          <w:rFonts w:ascii="Times New Roman" w:hAnsi="Times New Roman" w:cs="Times New Roman"/>
          <w:sz w:val="24"/>
          <w:szCs w:val="24"/>
        </w:rPr>
        <w:t xml:space="preserve">practiced but rarely financially self-sufficient, implementing reuse and resource recovery during the remediation of mine drainage would usher in a new, sustainable era of mining remediation </w:t>
      </w:r>
      <w:r w:rsidR="00010F4F" w:rsidRPr="00F07DEB">
        <w:rPr>
          <w:rFonts w:ascii="Times New Roman" w:hAnsi="Times New Roman" w:cs="Times New Roman"/>
          <w:sz w:val="24"/>
          <w:szCs w:val="24"/>
        </w:rPr>
        <w:fldChar w:fldCharType="begin"/>
      </w:r>
      <w:r w:rsidR="00010F4F" w:rsidRPr="00F07DEB">
        <w:rPr>
          <w:rFonts w:ascii="Times New Roman" w:hAnsi="Times New Roman" w:cs="Times New Roman"/>
          <w:sz w:val="24"/>
          <w:szCs w:val="24"/>
        </w:rPr>
        <w:instrText xml:space="preserve"> ADDIN ZOTERO_ITEM CSL_CITATION {"citationID":"rZlXtggt","properties":{"formattedCitation":"(Naidu et al., 2019)","plainCitation":"(Naidu et al., 2019)","noteIndex":0},"citationItems":[{"id":160,"uris":["http://zotero.org/users/5446453/items/EK5IEAWG"],"uri":["http://zotero.org/users/5446453/items/EK5IEAWG"],"itemData":{"id":160,"type":"article-journal","abstract":"Acid mine drainage (AMD) is a global environmental issue. Conventionally, a number of active and passive remediation approaches are applied to treat and manage AMD. Case studies on remediation approaches applied in actual mining sites such as lime neutralization, bioremediation, wetlands and permeable reactive barriers provide an outlook on actual long-term implications of AMD remediation. Hence, in spite of available remediation approaches, AMD treatment remains a challenge. The need for sustainable AMD treatment approaches has led to much focus on water reuse and resource recovery. This review underscores (i) characteristics and implication of AMD, (ii) remediation approaches in mining sites, (iii) alternative treatment technologies for water reuse, and (iv) resource recovery. Specifically, the role of membrane processes and alternative treatment technologies to produce water for reuse from AMD is highlighted. Although membrane processes are favorable for water reuse, they cannot achieve resource recovery, specifically selective valuable metal recovery. The approach of integrated membrane and conventional treatment processes are especially promising for attaining both water reuse and recovery of resources such as sulfuric acid, metals and rare earth elements. Overall, this review provides insights in establishing reuse and resource recovery as the holistic approach towards sustainable AMD treatment. Finally, integrated technologies that deserve in depth future exploration is highlighted.","container-title":"Environmental Pollution","DOI":"10.1016/j.envpol.2019.01.085","ISSN":"0269-7491","journalAbbreviation":"Environmental Pollution","language":"en","page":"1110-1124","source":"ScienceDirect","title":"A critical review on remediation, reuse, and resource recovery from acid mine drainage","volume":"247","author":[{"family":"Naidu","given":"Gayathri"},{"family":"Ryu","given":"Seongchul"},{"family":"Thiruvenkatachari","given":"Ramesh"},{"family":"Choi","given":"Youngkwon"},{"family":"Jeong","given":"Sanghyun"},{"family":"Vigneswaran","given":"Saravanamuthu"}],"issued":{"date-parts":[["2019",4,1]]}}}],"schema":"https://github.com/citation-style-language/schema/raw/master/csl-citation.json"} </w:instrText>
      </w:r>
      <w:r w:rsidR="00010F4F"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(Naidu et al., 2019)</w:t>
      </w:r>
      <w:r w:rsidR="00010F4F" w:rsidRPr="00F07DEB">
        <w:rPr>
          <w:rFonts w:ascii="Times New Roman" w:hAnsi="Times New Roman" w:cs="Times New Roman"/>
          <w:sz w:val="24"/>
          <w:szCs w:val="24"/>
        </w:rPr>
        <w:fldChar w:fldCharType="end"/>
      </w:r>
      <w:r w:rsidR="00010F4F" w:rsidRPr="00F07DEB">
        <w:rPr>
          <w:rFonts w:ascii="Times New Roman" w:hAnsi="Times New Roman" w:cs="Times New Roman"/>
          <w:sz w:val="24"/>
          <w:szCs w:val="24"/>
        </w:rPr>
        <w:t>.</w:t>
      </w:r>
      <w:r w:rsidR="009A30AB" w:rsidRPr="00F07DEB">
        <w:rPr>
          <w:rFonts w:ascii="Times New Roman" w:hAnsi="Times New Roman" w:cs="Times New Roman"/>
          <w:sz w:val="24"/>
          <w:szCs w:val="24"/>
        </w:rPr>
        <w:t xml:space="preserve"> This project will evaluate the potential of passively-treated mine water to safely and effectively raise animals and pla</w:t>
      </w:r>
      <w:r w:rsidR="00255C6C">
        <w:rPr>
          <w:rFonts w:ascii="Times New Roman" w:hAnsi="Times New Roman" w:cs="Times New Roman"/>
          <w:sz w:val="24"/>
          <w:szCs w:val="24"/>
        </w:rPr>
        <w:t>nts in an agricultural setting.</w:t>
      </w:r>
    </w:p>
    <w:p w14:paraId="50D8759A" w14:textId="77777777" w:rsidR="00B73562" w:rsidRPr="00F07DEB" w:rsidRDefault="00B73562" w:rsidP="00437290">
      <w:pPr>
        <w:pStyle w:val="NoSpacing"/>
        <w:rPr>
          <w:rFonts w:ascii="Times New Roman" w:hAnsi="Times New Roman" w:cs="Times New Roman"/>
        </w:rPr>
      </w:pPr>
    </w:p>
    <w:p w14:paraId="6FF2E5D0" w14:textId="33FAC2C0" w:rsidR="0054347F" w:rsidRPr="00F07DEB" w:rsidRDefault="00AC2B36" w:rsidP="004C7452">
      <w:pPr>
        <w:pStyle w:val="Heading1"/>
        <w:spacing w:line="480" w:lineRule="auto"/>
        <w:contextualSpacing w:val="0"/>
      </w:pPr>
      <w:bookmarkStart w:id="3" w:name="_Toc58975148"/>
      <w:r w:rsidRPr="00F07DEB">
        <w:t>Literature Review</w:t>
      </w:r>
      <w:bookmarkEnd w:id="3"/>
    </w:p>
    <w:p w14:paraId="4F6B5FFD" w14:textId="203E969A" w:rsidR="00877C74" w:rsidRPr="00F07DEB" w:rsidRDefault="004C7452" w:rsidP="00010F4F">
      <w:pPr>
        <w:pStyle w:val="Heading2"/>
        <w:spacing w:line="480" w:lineRule="auto"/>
      </w:pPr>
      <w:bookmarkStart w:id="4" w:name="_Toc58975149"/>
      <w:r w:rsidRPr="00F07DEB">
        <w:t xml:space="preserve">Passive Treatment of Mine Drainage in </w:t>
      </w:r>
      <w:r w:rsidR="007C15C3" w:rsidRPr="00F07DEB">
        <w:t>the TSMD</w:t>
      </w:r>
      <w:bookmarkEnd w:id="4"/>
    </w:p>
    <w:p w14:paraId="689B5C4F" w14:textId="27E4DB37" w:rsidR="00203F3B" w:rsidRPr="00F07DEB" w:rsidRDefault="00203F3B" w:rsidP="0085026B">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Passive mine water treatment begins with a thorough understanding of </w:t>
      </w:r>
      <w:r w:rsidR="00CF1269" w:rsidRPr="00F07DEB">
        <w:rPr>
          <w:rFonts w:ascii="Times New Roman" w:hAnsi="Times New Roman" w:cs="Times New Roman"/>
          <w:sz w:val="24"/>
          <w:szCs w:val="24"/>
        </w:rPr>
        <w:t xml:space="preserve">subsurface </w:t>
      </w:r>
      <w:r w:rsidRPr="00F07DEB">
        <w:rPr>
          <w:rFonts w:ascii="Times New Roman" w:hAnsi="Times New Roman" w:cs="Times New Roman"/>
          <w:sz w:val="24"/>
          <w:szCs w:val="24"/>
        </w:rPr>
        <w:t>geology, whic</w:t>
      </w:r>
      <w:r w:rsidR="00CF1269" w:rsidRPr="00F07DEB">
        <w:rPr>
          <w:rFonts w:ascii="Times New Roman" w:hAnsi="Times New Roman" w:cs="Times New Roman"/>
          <w:sz w:val="24"/>
          <w:szCs w:val="24"/>
        </w:rPr>
        <w:t>h dictates</w:t>
      </w:r>
      <w:r w:rsidRPr="00F07DEB">
        <w:rPr>
          <w:rFonts w:ascii="Times New Roman" w:hAnsi="Times New Roman" w:cs="Times New Roman"/>
          <w:sz w:val="24"/>
          <w:szCs w:val="24"/>
        </w:rPr>
        <w:t xml:space="preserve"> what was onc</w:t>
      </w:r>
      <w:r w:rsidR="00CF1269" w:rsidRPr="00F07DEB">
        <w:rPr>
          <w:rFonts w:ascii="Times New Roman" w:hAnsi="Times New Roman" w:cs="Times New Roman"/>
          <w:sz w:val="24"/>
          <w:szCs w:val="24"/>
        </w:rPr>
        <w:t xml:space="preserve">e </w:t>
      </w:r>
      <w:r w:rsidR="007C15C3" w:rsidRPr="00F07DEB">
        <w:rPr>
          <w:rFonts w:ascii="Times New Roman" w:hAnsi="Times New Roman" w:cs="Times New Roman"/>
          <w:sz w:val="24"/>
          <w:szCs w:val="24"/>
        </w:rPr>
        <w:t>extracted</w:t>
      </w:r>
      <w:r w:rsidR="00CF1269" w:rsidRPr="00F07DEB">
        <w:rPr>
          <w:rFonts w:ascii="Times New Roman" w:hAnsi="Times New Roman" w:cs="Times New Roman"/>
          <w:sz w:val="24"/>
          <w:szCs w:val="24"/>
        </w:rPr>
        <w:t xml:space="preserve"> at</w:t>
      </w:r>
      <w:r w:rsidRPr="00F07DEB">
        <w:rPr>
          <w:rFonts w:ascii="Times New Roman" w:hAnsi="Times New Roman" w:cs="Times New Roman"/>
          <w:sz w:val="24"/>
          <w:szCs w:val="24"/>
        </w:rPr>
        <w:t xml:space="preserve"> historic mining site</w:t>
      </w:r>
      <w:r w:rsidR="00CF1269" w:rsidRPr="00F07DEB">
        <w:rPr>
          <w:rFonts w:ascii="Times New Roman" w:hAnsi="Times New Roman" w:cs="Times New Roman"/>
          <w:sz w:val="24"/>
          <w:szCs w:val="24"/>
        </w:rPr>
        <w:t>s and influences</w:t>
      </w:r>
      <w:r w:rsidRPr="00F07DEB">
        <w:rPr>
          <w:rFonts w:ascii="Times New Roman" w:hAnsi="Times New Roman" w:cs="Times New Roman"/>
          <w:sz w:val="24"/>
          <w:szCs w:val="24"/>
        </w:rPr>
        <w:t xml:space="preserve"> the chemistry of the water </w:t>
      </w:r>
      <w:r w:rsidR="00F63921" w:rsidRPr="00F07DEB">
        <w:rPr>
          <w:rFonts w:ascii="Times New Roman" w:hAnsi="Times New Roman" w:cs="Times New Roman"/>
          <w:sz w:val="24"/>
          <w:szCs w:val="24"/>
        </w:rPr>
        <w:t>within</w:t>
      </w:r>
      <w:r w:rsidRPr="00F07DEB">
        <w:rPr>
          <w:rFonts w:ascii="Times New Roman" w:hAnsi="Times New Roman" w:cs="Times New Roman"/>
          <w:sz w:val="24"/>
          <w:szCs w:val="24"/>
        </w:rPr>
        <w:t xml:space="preserve"> </w:t>
      </w:r>
      <w:r w:rsidR="00DB4AF5">
        <w:rPr>
          <w:rFonts w:ascii="Times New Roman" w:hAnsi="Times New Roman" w:cs="Times New Roman"/>
          <w:sz w:val="24"/>
          <w:szCs w:val="24"/>
        </w:rPr>
        <w:t xml:space="preserve">and flowing from </w:t>
      </w:r>
      <w:r w:rsidR="00C2677D" w:rsidRPr="00F07DEB">
        <w:rPr>
          <w:rFonts w:ascii="Times New Roman" w:hAnsi="Times New Roman" w:cs="Times New Roman"/>
          <w:sz w:val="24"/>
          <w:szCs w:val="24"/>
        </w:rPr>
        <w:t xml:space="preserve">abandoned </w:t>
      </w:r>
      <w:r w:rsidRPr="00F07DEB">
        <w:rPr>
          <w:rFonts w:ascii="Times New Roman" w:hAnsi="Times New Roman" w:cs="Times New Roman"/>
          <w:sz w:val="24"/>
          <w:szCs w:val="24"/>
        </w:rPr>
        <w:t xml:space="preserve">mine </w:t>
      </w:r>
      <w:r w:rsidR="00DA39A8" w:rsidRPr="00F07DEB">
        <w:rPr>
          <w:rFonts w:ascii="Times New Roman" w:hAnsi="Times New Roman" w:cs="Times New Roman"/>
          <w:sz w:val="24"/>
          <w:szCs w:val="24"/>
        </w:rPr>
        <w:t>workings</w:t>
      </w:r>
      <w:r w:rsidR="007C15C3" w:rsidRPr="00F07DEB">
        <w:rPr>
          <w:rFonts w:ascii="Times New Roman" w:hAnsi="Times New Roman" w:cs="Times New Roman"/>
          <w:sz w:val="24"/>
          <w:szCs w:val="24"/>
        </w:rPr>
        <w:t xml:space="preserve"> or emanating from surface mine spoils</w:t>
      </w:r>
      <w:r w:rsidR="00DA39A8" w:rsidRPr="00F07DEB">
        <w:rPr>
          <w:rFonts w:ascii="Times New Roman" w:hAnsi="Times New Roman" w:cs="Times New Roman"/>
          <w:sz w:val="24"/>
          <w:szCs w:val="24"/>
        </w:rPr>
        <w:t xml:space="preserve">. </w:t>
      </w:r>
      <w:r w:rsidR="00280612" w:rsidRPr="00F07DEB">
        <w:rPr>
          <w:rFonts w:ascii="Times New Roman" w:hAnsi="Times New Roman" w:cs="Times New Roman"/>
          <w:sz w:val="24"/>
          <w:szCs w:val="24"/>
        </w:rPr>
        <w:t xml:space="preserve">Sulfide minerals, ubiquitous in many mining operations, are </w:t>
      </w:r>
      <w:r w:rsidR="00CC154A" w:rsidRPr="00F07DEB">
        <w:rPr>
          <w:rFonts w:ascii="Times New Roman" w:hAnsi="Times New Roman" w:cs="Times New Roman"/>
          <w:sz w:val="24"/>
          <w:szCs w:val="24"/>
        </w:rPr>
        <w:t xml:space="preserve">disturbed and </w:t>
      </w:r>
      <w:r w:rsidR="00280612" w:rsidRPr="00F07DEB">
        <w:rPr>
          <w:rFonts w:ascii="Times New Roman" w:hAnsi="Times New Roman" w:cs="Times New Roman"/>
          <w:sz w:val="24"/>
          <w:szCs w:val="24"/>
        </w:rPr>
        <w:t xml:space="preserve">oxidized </w:t>
      </w:r>
      <w:proofErr w:type="spellStart"/>
      <w:r w:rsidR="00280612" w:rsidRPr="00F07DEB">
        <w:rPr>
          <w:rFonts w:ascii="Times New Roman" w:hAnsi="Times New Roman" w:cs="Times New Roman"/>
          <w:sz w:val="24"/>
          <w:szCs w:val="24"/>
        </w:rPr>
        <w:t>en</w:t>
      </w:r>
      <w:proofErr w:type="spellEnd"/>
      <w:r w:rsidR="00280612" w:rsidRPr="00F07DEB">
        <w:rPr>
          <w:rFonts w:ascii="Times New Roman" w:hAnsi="Times New Roman" w:cs="Times New Roman"/>
          <w:sz w:val="24"/>
          <w:szCs w:val="24"/>
        </w:rPr>
        <w:t xml:space="preserve"> masse during anthropogenic extraction, leading to acidity generation and metal mobilization</w:t>
      </w:r>
      <w:r w:rsidR="00030FBC" w:rsidRPr="00F07DEB">
        <w:rPr>
          <w:rFonts w:ascii="Times New Roman" w:hAnsi="Times New Roman" w:cs="Times New Roman"/>
          <w:sz w:val="24"/>
          <w:szCs w:val="24"/>
        </w:rPr>
        <w:t xml:space="preserve"> </w:t>
      </w:r>
      <w:r w:rsidR="00030FBC" w:rsidRPr="00F07DEB">
        <w:rPr>
          <w:rFonts w:ascii="Times New Roman" w:hAnsi="Times New Roman" w:cs="Times New Roman"/>
          <w:sz w:val="24"/>
          <w:szCs w:val="24"/>
        </w:rPr>
        <w:fldChar w:fldCharType="begin"/>
      </w:r>
      <w:r w:rsidR="00A66444" w:rsidRPr="00F07DEB">
        <w:rPr>
          <w:rFonts w:ascii="Times New Roman" w:hAnsi="Times New Roman" w:cs="Times New Roman"/>
          <w:sz w:val="24"/>
          <w:szCs w:val="24"/>
        </w:rPr>
        <w:instrText xml:space="preserve"> ADDIN ZOTERO_ITEM CSL_CITATION {"citationID":"s58hntaQ","properties":{"formattedCitation":"(USEPA, 1994b)","plainCitation":"(USEPA, 1994b)","noteIndex":0},"citationItems":[{"id":219,"uris":["http://zotero.org/users/5446453/items/GQ3WSIP5"],"uri":["http://zotero.org/users/5446453/items/GQ3WSIP5"],"itemData":{"id":219,"type":"report","language":"en","page":"52","publisher":"U.S. Environmental Protection Agency Office of Solid Waste","source":"Zotero","title":"Technical Document: Acid Mine Drainage Prediction","author":[{"literal":"USEPA"}],"issued":{"date-parts":[["1994",12]]}}}],"schema":"https://github.com/citation-style-language/schema/raw/master/csl-citation.json"} </w:instrText>
      </w:r>
      <w:r w:rsidR="00030FBC"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(USEPA, 1994b)</w:t>
      </w:r>
      <w:r w:rsidR="00030FBC" w:rsidRPr="00F07DEB">
        <w:rPr>
          <w:rFonts w:ascii="Times New Roman" w:hAnsi="Times New Roman" w:cs="Times New Roman"/>
          <w:sz w:val="24"/>
          <w:szCs w:val="24"/>
        </w:rPr>
        <w:fldChar w:fldCharType="end"/>
      </w:r>
      <w:r w:rsidR="00280612" w:rsidRPr="00F07DEB">
        <w:rPr>
          <w:rFonts w:ascii="Times New Roman" w:hAnsi="Times New Roman" w:cs="Times New Roman"/>
          <w:sz w:val="24"/>
          <w:szCs w:val="24"/>
        </w:rPr>
        <w:t>. T</w:t>
      </w:r>
      <w:r w:rsidR="00154820" w:rsidRPr="00F07DEB">
        <w:rPr>
          <w:rFonts w:ascii="Times New Roman" w:hAnsi="Times New Roman" w:cs="Times New Roman"/>
          <w:sz w:val="24"/>
          <w:szCs w:val="24"/>
        </w:rPr>
        <w:t>he</w:t>
      </w:r>
      <w:r w:rsidR="00280612" w:rsidRPr="00F07DEB">
        <w:rPr>
          <w:rFonts w:ascii="Times New Roman" w:hAnsi="Times New Roman" w:cs="Times New Roman"/>
          <w:sz w:val="24"/>
          <w:szCs w:val="24"/>
        </w:rPr>
        <w:t xml:space="preserve"> process </w:t>
      </w:r>
      <w:r w:rsidR="00154820" w:rsidRPr="00F07DEB">
        <w:rPr>
          <w:rFonts w:ascii="Times New Roman" w:hAnsi="Times New Roman" w:cs="Times New Roman"/>
          <w:sz w:val="24"/>
          <w:szCs w:val="24"/>
        </w:rPr>
        <w:t xml:space="preserve">of acid production </w:t>
      </w:r>
      <w:r w:rsidR="00280612" w:rsidRPr="00F07DEB">
        <w:rPr>
          <w:rFonts w:ascii="Times New Roman" w:hAnsi="Times New Roman" w:cs="Times New Roman"/>
          <w:sz w:val="24"/>
          <w:szCs w:val="24"/>
        </w:rPr>
        <w:t xml:space="preserve">takes place primarily in the presence of a few important constituents, all of which are present at Tar Creek: </w:t>
      </w:r>
      <w:r w:rsidR="00154820" w:rsidRPr="00F07DEB">
        <w:rPr>
          <w:rFonts w:ascii="Times New Roman" w:hAnsi="Times New Roman" w:cs="Times New Roman"/>
          <w:sz w:val="24"/>
          <w:szCs w:val="24"/>
        </w:rPr>
        <w:t>metal sulfide minerals, oxygen, water, and bacteria</w:t>
      </w:r>
      <w:r w:rsidR="00030FBC" w:rsidRPr="00F07DEB">
        <w:rPr>
          <w:rFonts w:ascii="Times New Roman" w:hAnsi="Times New Roman" w:cs="Times New Roman"/>
          <w:sz w:val="24"/>
          <w:szCs w:val="24"/>
        </w:rPr>
        <w:t xml:space="preserve"> </w:t>
      </w:r>
      <w:r w:rsidR="00030FBC" w:rsidRPr="00F07DEB">
        <w:rPr>
          <w:rFonts w:ascii="Times New Roman" w:hAnsi="Times New Roman" w:cs="Times New Roman"/>
          <w:sz w:val="24"/>
          <w:szCs w:val="24"/>
        </w:rPr>
        <w:fldChar w:fldCharType="begin"/>
      </w:r>
      <w:r w:rsidR="00A66444" w:rsidRPr="00F07DEB">
        <w:rPr>
          <w:rFonts w:ascii="Times New Roman" w:hAnsi="Times New Roman" w:cs="Times New Roman"/>
          <w:sz w:val="24"/>
          <w:szCs w:val="24"/>
        </w:rPr>
        <w:instrText xml:space="preserve"> ADDIN ZOTERO_ITEM CSL_CITATION {"citationID":"5QEtT2Rl","properties":{"formattedCitation":"(USEPA, 1994b)","plainCitation":"(USEPA, 1994b)","noteIndex":0},"citationItems":[{"id":219,"uris":["http://zotero.org/users/5446453/items/GQ3WSIP5"],"uri":["http://zotero.org/users/5446453/items/GQ3WSIP5"],"itemData":{"id":219,"type":"report","language":"en","page":"52","publisher":"U.S. Environmental Protection Agency Office of Solid Waste","source":"Zotero","title":"Technical Document: Acid Mine Drainage Prediction","author":[{"literal":"USEPA"}],"issued":{"date-parts":[["1994",12]]}}}],"schema":"https://github.com/citation-style-language/schema/raw/master/csl-citation.json"} </w:instrText>
      </w:r>
      <w:r w:rsidR="00030FBC"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(USEPA, 1994b)</w:t>
      </w:r>
      <w:r w:rsidR="00030FBC" w:rsidRPr="00F07DEB">
        <w:rPr>
          <w:rFonts w:ascii="Times New Roman" w:hAnsi="Times New Roman" w:cs="Times New Roman"/>
          <w:sz w:val="24"/>
          <w:szCs w:val="24"/>
        </w:rPr>
        <w:fldChar w:fldCharType="end"/>
      </w:r>
      <w:r w:rsidR="00154820" w:rsidRPr="00F07DEB">
        <w:rPr>
          <w:rFonts w:ascii="Times New Roman" w:hAnsi="Times New Roman" w:cs="Times New Roman"/>
          <w:sz w:val="24"/>
          <w:szCs w:val="24"/>
        </w:rPr>
        <w:t>.</w:t>
      </w:r>
      <w:r w:rsidR="00280612" w:rsidRPr="00F07DEB">
        <w:rPr>
          <w:rFonts w:ascii="Times New Roman" w:hAnsi="Times New Roman" w:cs="Times New Roman"/>
          <w:sz w:val="24"/>
          <w:szCs w:val="24"/>
        </w:rPr>
        <w:t xml:space="preserve"> </w:t>
      </w:r>
      <w:r w:rsidR="006D1D4E" w:rsidRPr="00F07DEB">
        <w:rPr>
          <w:rFonts w:ascii="Times New Roman" w:hAnsi="Times New Roman" w:cs="Times New Roman"/>
          <w:sz w:val="24"/>
          <w:szCs w:val="24"/>
        </w:rPr>
        <w:t xml:space="preserve">However, some of this acid production </w:t>
      </w:r>
      <w:r w:rsidR="006D1D4E" w:rsidRPr="00F07DEB">
        <w:rPr>
          <w:rFonts w:ascii="Times New Roman" w:hAnsi="Times New Roman" w:cs="Times New Roman"/>
          <w:sz w:val="24"/>
          <w:szCs w:val="24"/>
        </w:rPr>
        <w:lastRenderedPageBreak/>
        <w:t>in the TSMD</w:t>
      </w:r>
      <w:r w:rsidR="00EB6353" w:rsidRPr="00F07DEB">
        <w:rPr>
          <w:rFonts w:ascii="Times New Roman" w:hAnsi="Times New Roman" w:cs="Times New Roman"/>
          <w:sz w:val="24"/>
          <w:szCs w:val="24"/>
        </w:rPr>
        <w:t xml:space="preserve"> </w:t>
      </w:r>
      <w:r w:rsidR="006D1D4E" w:rsidRPr="00F07DEB">
        <w:rPr>
          <w:rFonts w:ascii="Times New Roman" w:hAnsi="Times New Roman" w:cs="Times New Roman"/>
          <w:sz w:val="24"/>
          <w:szCs w:val="24"/>
        </w:rPr>
        <w:t xml:space="preserve">is mitigated by the </w:t>
      </w:r>
      <w:r w:rsidR="007C15C3" w:rsidRPr="00F07DEB">
        <w:rPr>
          <w:rFonts w:ascii="Times New Roman" w:hAnsi="Times New Roman" w:cs="Times New Roman"/>
          <w:sz w:val="24"/>
          <w:szCs w:val="24"/>
        </w:rPr>
        <w:t xml:space="preserve">elevated </w:t>
      </w:r>
      <w:r w:rsidR="006D1D4E" w:rsidRPr="00F07DEB">
        <w:rPr>
          <w:rFonts w:ascii="Times New Roman" w:hAnsi="Times New Roman" w:cs="Times New Roman"/>
          <w:sz w:val="24"/>
          <w:szCs w:val="24"/>
        </w:rPr>
        <w:t>alkalin</w:t>
      </w:r>
      <w:r w:rsidR="00EB6353" w:rsidRPr="00F07DEB">
        <w:rPr>
          <w:rFonts w:ascii="Times New Roman" w:hAnsi="Times New Roman" w:cs="Times New Roman"/>
          <w:sz w:val="24"/>
          <w:szCs w:val="24"/>
        </w:rPr>
        <w:t>ity</w:t>
      </w:r>
      <w:r w:rsidR="006D1D4E" w:rsidRPr="00F07DEB">
        <w:rPr>
          <w:rFonts w:ascii="Times New Roman" w:hAnsi="Times New Roman" w:cs="Times New Roman"/>
          <w:sz w:val="24"/>
          <w:szCs w:val="24"/>
        </w:rPr>
        <w:t xml:space="preserve"> </w:t>
      </w:r>
      <w:r w:rsidR="00DB4AF5">
        <w:rPr>
          <w:rFonts w:ascii="Times New Roman" w:hAnsi="Times New Roman" w:cs="Times New Roman"/>
          <w:sz w:val="24"/>
          <w:szCs w:val="24"/>
        </w:rPr>
        <w:t xml:space="preserve">generated by the dissolution of the carbonate host strata (limestone and </w:t>
      </w:r>
      <w:r w:rsidR="00563212">
        <w:rPr>
          <w:rFonts w:ascii="Times New Roman" w:hAnsi="Times New Roman" w:cs="Times New Roman"/>
          <w:sz w:val="24"/>
          <w:szCs w:val="24"/>
        </w:rPr>
        <w:t>dolomite</w:t>
      </w:r>
      <w:r w:rsidR="00DB4AF5">
        <w:rPr>
          <w:rFonts w:ascii="Times New Roman" w:hAnsi="Times New Roman" w:cs="Times New Roman"/>
          <w:sz w:val="24"/>
          <w:szCs w:val="24"/>
        </w:rPr>
        <w:t>), producing</w:t>
      </w:r>
      <w:r w:rsidR="00EB6353" w:rsidRPr="00F07DEB">
        <w:rPr>
          <w:rFonts w:ascii="Times New Roman" w:hAnsi="Times New Roman" w:cs="Times New Roman"/>
          <w:sz w:val="24"/>
          <w:szCs w:val="24"/>
        </w:rPr>
        <w:t xml:space="preserve"> </w:t>
      </w:r>
      <w:r w:rsidR="006D1D4E" w:rsidRPr="00F07DEB">
        <w:rPr>
          <w:rFonts w:ascii="Times New Roman" w:hAnsi="Times New Roman" w:cs="Times New Roman"/>
          <w:sz w:val="24"/>
          <w:szCs w:val="24"/>
        </w:rPr>
        <w:t>CO</w:t>
      </w:r>
      <w:r w:rsidR="006D1D4E" w:rsidRPr="00F07DEB">
        <w:rPr>
          <w:rFonts w:ascii="Times New Roman" w:hAnsi="Times New Roman" w:cs="Times New Roman"/>
          <w:sz w:val="24"/>
          <w:szCs w:val="24"/>
          <w:vertAlign w:val="subscript"/>
        </w:rPr>
        <w:t>2</w:t>
      </w:r>
      <w:r w:rsidR="006D1D4E" w:rsidRPr="00F07DEB">
        <w:rPr>
          <w:rFonts w:ascii="Times New Roman" w:hAnsi="Times New Roman" w:cs="Times New Roman"/>
          <w:sz w:val="24"/>
          <w:szCs w:val="24"/>
        </w:rPr>
        <w:t xml:space="preserve">-rich, ferruginous </w:t>
      </w:r>
      <w:r w:rsidR="00EB6353" w:rsidRPr="00F07DEB">
        <w:rPr>
          <w:rFonts w:ascii="Times New Roman" w:hAnsi="Times New Roman" w:cs="Times New Roman"/>
          <w:sz w:val="24"/>
          <w:szCs w:val="24"/>
        </w:rPr>
        <w:t xml:space="preserve">discharges </w:t>
      </w:r>
      <w:r w:rsidR="00EB6353" w:rsidRPr="00F07DEB">
        <w:rPr>
          <w:rFonts w:ascii="Times New Roman" w:hAnsi="Times New Roman" w:cs="Times New Roman"/>
          <w:sz w:val="24"/>
          <w:szCs w:val="24"/>
        </w:rPr>
        <w:fldChar w:fldCharType="begin"/>
      </w:r>
      <w:r w:rsidR="0031694C" w:rsidRPr="00F07DEB">
        <w:rPr>
          <w:rFonts w:ascii="Times New Roman" w:hAnsi="Times New Roman" w:cs="Times New Roman"/>
          <w:sz w:val="24"/>
          <w:szCs w:val="24"/>
        </w:rPr>
        <w:instrText xml:space="preserve"> ADDIN ZOTERO_ITEM CSL_CITATION {"citationID":"MRcVyo4w","properties":{"formattedCitation":"(R. W. Nairn et al., 2009)","plainCitation":"(R. W. Nairn et al., 2009)","dontUpdate":true,"noteIndex":0},"citationItems":[{"id":564,"uris":["http://zotero.org/users/5446453/items/9B6TE8SB"],"uri":["http://zotero.org/users/5446453/items/9B6TE8SB"],"itemData":{"id":564,"type":"paper-conference","abstract":"Artesian discharges of net alkaline, ferruginous waters from abandoned underground lead-zinc mines cause considerable surface water degradation at the Tar Creek Superfund Site, part of the historic Tri-State Mining District of Oklahoma, Kansas and Missouri. Two perennial borehole discharges, identified as the lowest elevation mine water discharge points in the district, have flowed unabated for almost 30 years and considerably degraded the physical, chemical and biological integrity of a first-order tributary to Tar Creek. Based on a comprehensive water quality and quantity characterization study, a large multi-cell passive treatment system was designed to receive approximately 1000 L/minute of mine water flowing from these abandoned boreholes (pH 5.95±0.06, total alkalinity 393±18 mg/L CaCO3, total acidity 364±19 mg/L CaCO3, Fe 192±10 mg/L, Zn 11±0.7 mg/L, Cd 17±4 ug/L, Pb 60±13 ug/L and As 64±6 ug/L). The objectives of this project include: i) remediation of polluted mine waters to acceptable quality for maintenance of the receiving water body aquatic community, ii) demonstration of the first mine water treatment facility of any kind in the Tri-State Mining District, and iii) technology transfer to speed application of this technology to other locations. The passive treatment system includes an initial oxidation pond followed by parallel treatment trains (to facilitate research and experimentation) consisting of aerobic wetlands, vertical-flow bioreactors, re-aeration ponds (with active aeration via wind and solar power) and horizontal-flow limestone beds. Waters from the parallel trains are recombined in a polishing wetland prior to final discharge. Total design surface water elevation change in the entire system is approximately 1.8 m. Prior to system implementation, the abandoned boreholes required rotosonic over-drilling to establish hydraulic control. In addition, diversion of storm water flows from an approximately 470-ha upgradient watershed was necessary. During construction, a third mine water discharge was discovered and incorporated into the design. This system represents a state of the art ecological engineering research site for passive treatment of mine waters.","container-title":"Proceedings of the 26th National Conference of the American Society of Mining and Reclamation","DOI":"10.21000/JASMR09010871","event":"ASMR","event-place":"Billings, MT","language":"en","page":"871-892","publisher-place":"Billings, MT","source":"DOI.org (Crossref)","title":"Challenges in design and construction of a large multi-cell passive treatment system for ferruginous lead-zinc mine waters","URL":"http://www.asmr.us/Publications/Conference Proceedings/2009/0871-Nairn-OK.pdf","volume":"2009","author":[{"family":"Nairn","given":"R. W."},{"family":"Beisel","given":"T."},{"family":"Thomas","given":"R. C."},{"family":"LaBar","given":"J. A."},{"family":"Strevett","given":"K. A."},{"family":"Fuller","given":"D."},{"family":"Strosnider","given":"W. H."},{"family":"Andrews","given":"W. J."},{"family":"Bays","given":"J."},{"family":"Knox","given":"R. C."}],"accessed":{"date-parts":[["2020",5,6]]},"issued":{"date-parts":[["2009",6,30]]}}}],"schema":"https://github.com/citation-style-language/schema/raw/master/csl-citation.json"} </w:instrText>
      </w:r>
      <w:r w:rsidR="00EB6353" w:rsidRPr="00F07DEB">
        <w:rPr>
          <w:rFonts w:ascii="Times New Roman" w:hAnsi="Times New Roman" w:cs="Times New Roman"/>
          <w:sz w:val="24"/>
          <w:szCs w:val="24"/>
        </w:rPr>
        <w:fldChar w:fldCharType="separate"/>
      </w:r>
      <w:r w:rsidR="008309DB" w:rsidRPr="00F07DEB">
        <w:rPr>
          <w:rFonts w:ascii="Times New Roman" w:hAnsi="Times New Roman" w:cs="Times New Roman"/>
          <w:sz w:val="24"/>
        </w:rPr>
        <w:t>(Nairn et al., 2009)</w:t>
      </w:r>
      <w:r w:rsidR="00EB6353" w:rsidRPr="00F07DEB">
        <w:rPr>
          <w:rFonts w:ascii="Times New Roman" w:hAnsi="Times New Roman" w:cs="Times New Roman"/>
          <w:sz w:val="24"/>
          <w:szCs w:val="24"/>
        </w:rPr>
        <w:fldChar w:fldCharType="end"/>
      </w:r>
      <w:r w:rsidR="006D1D4E" w:rsidRPr="00F07DEB">
        <w:rPr>
          <w:rFonts w:ascii="Times New Roman" w:hAnsi="Times New Roman" w:cs="Times New Roman"/>
          <w:sz w:val="24"/>
          <w:szCs w:val="24"/>
        </w:rPr>
        <w:t xml:space="preserve">. </w:t>
      </w:r>
      <w:r w:rsidR="007C15C3" w:rsidRPr="00F07DEB">
        <w:rPr>
          <w:rFonts w:ascii="Times New Roman" w:hAnsi="Times New Roman" w:cs="Times New Roman"/>
          <w:sz w:val="24"/>
          <w:szCs w:val="24"/>
        </w:rPr>
        <w:t xml:space="preserve">Although </w:t>
      </w:r>
      <w:r w:rsidR="00192C95" w:rsidRPr="00F07DEB">
        <w:rPr>
          <w:rFonts w:ascii="Times New Roman" w:hAnsi="Times New Roman" w:cs="Times New Roman"/>
          <w:sz w:val="24"/>
          <w:szCs w:val="24"/>
        </w:rPr>
        <w:t xml:space="preserve">not identical, the treatment trains at MRPTS and SECPTS harness the same fundamental mechanisms to achieve trace metal removal. </w:t>
      </w:r>
      <w:r w:rsidR="007437C0" w:rsidRPr="00F07DEB">
        <w:rPr>
          <w:rFonts w:ascii="Times New Roman" w:hAnsi="Times New Roman" w:cs="Times New Roman"/>
          <w:sz w:val="24"/>
          <w:szCs w:val="24"/>
        </w:rPr>
        <w:t xml:space="preserve">In short, </w:t>
      </w:r>
      <w:r w:rsidR="00DB4AF5">
        <w:rPr>
          <w:rFonts w:ascii="Times New Roman" w:hAnsi="Times New Roman" w:cs="Times New Roman"/>
          <w:sz w:val="24"/>
          <w:szCs w:val="24"/>
        </w:rPr>
        <w:t xml:space="preserve">under net alkaline conditions, </w:t>
      </w:r>
      <w:r w:rsidR="009678A2">
        <w:rPr>
          <w:rFonts w:ascii="Times New Roman" w:hAnsi="Times New Roman" w:cs="Times New Roman"/>
          <w:sz w:val="24"/>
          <w:szCs w:val="24"/>
        </w:rPr>
        <w:t xml:space="preserve">Iron </w:t>
      </w:r>
      <w:r w:rsidR="00E17E4B" w:rsidRPr="00F07DEB">
        <w:rPr>
          <w:rFonts w:ascii="Times New Roman" w:hAnsi="Times New Roman" w:cs="Times New Roman"/>
          <w:sz w:val="24"/>
          <w:szCs w:val="24"/>
        </w:rPr>
        <w:t xml:space="preserve">is oxidized and settles out of the water as iron </w:t>
      </w:r>
      <w:proofErr w:type="spellStart"/>
      <w:r w:rsidR="00E17E4B" w:rsidRPr="00F07DEB">
        <w:rPr>
          <w:rFonts w:ascii="Times New Roman" w:hAnsi="Times New Roman" w:cs="Times New Roman"/>
          <w:sz w:val="24"/>
          <w:szCs w:val="24"/>
        </w:rPr>
        <w:t>oxyhydroxide</w:t>
      </w:r>
      <w:proofErr w:type="spellEnd"/>
      <w:r w:rsidR="00E17E4B" w:rsidRPr="00F07DEB">
        <w:rPr>
          <w:rFonts w:ascii="Times New Roman" w:hAnsi="Times New Roman" w:cs="Times New Roman"/>
          <w:sz w:val="24"/>
          <w:szCs w:val="24"/>
        </w:rPr>
        <w:t xml:space="preserve"> solids, removing trace metals via sorption in the process. </w:t>
      </w:r>
      <w:r w:rsidR="00BB754E" w:rsidRPr="00F07DEB">
        <w:rPr>
          <w:rFonts w:ascii="Times New Roman" w:hAnsi="Times New Roman" w:cs="Times New Roman"/>
          <w:sz w:val="24"/>
          <w:szCs w:val="24"/>
        </w:rPr>
        <w:t xml:space="preserve">Iron solids continue to </w:t>
      </w:r>
      <w:r w:rsidR="00F174E4" w:rsidRPr="00F07DEB">
        <w:rPr>
          <w:rFonts w:ascii="Times New Roman" w:hAnsi="Times New Roman" w:cs="Times New Roman"/>
          <w:sz w:val="24"/>
          <w:szCs w:val="24"/>
        </w:rPr>
        <w:t>settle</w:t>
      </w:r>
      <w:r w:rsidR="00BB754E" w:rsidRPr="00F07DEB">
        <w:rPr>
          <w:rFonts w:ascii="Times New Roman" w:hAnsi="Times New Roman" w:cs="Times New Roman"/>
          <w:sz w:val="24"/>
          <w:szCs w:val="24"/>
        </w:rPr>
        <w:t xml:space="preserve"> out of the water column in subsequent surface-flow wetlands. </w:t>
      </w:r>
      <w:r w:rsidR="00E17E4B" w:rsidRPr="00F07DEB">
        <w:rPr>
          <w:rFonts w:ascii="Times New Roman" w:hAnsi="Times New Roman" w:cs="Times New Roman"/>
          <w:sz w:val="24"/>
          <w:szCs w:val="24"/>
        </w:rPr>
        <w:t xml:space="preserve">Next, </w:t>
      </w:r>
      <w:r w:rsidR="009678A2">
        <w:rPr>
          <w:rFonts w:ascii="Times New Roman" w:hAnsi="Times New Roman" w:cs="Times New Roman"/>
          <w:sz w:val="24"/>
          <w:szCs w:val="24"/>
        </w:rPr>
        <w:t>Zn</w:t>
      </w:r>
      <w:r w:rsidR="00E17E4B" w:rsidRPr="00F07DEB">
        <w:rPr>
          <w:rFonts w:ascii="Times New Roman" w:hAnsi="Times New Roman" w:cs="Times New Roman"/>
          <w:sz w:val="24"/>
          <w:szCs w:val="24"/>
        </w:rPr>
        <w:t xml:space="preserve">, </w:t>
      </w:r>
      <w:proofErr w:type="spellStart"/>
      <w:r w:rsidR="009678A2">
        <w:rPr>
          <w:rFonts w:ascii="Times New Roman" w:hAnsi="Times New Roman" w:cs="Times New Roman"/>
          <w:sz w:val="24"/>
          <w:szCs w:val="24"/>
        </w:rPr>
        <w:t>Pb</w:t>
      </w:r>
      <w:proofErr w:type="spellEnd"/>
      <w:r w:rsidR="00E17E4B" w:rsidRPr="00F07DEB">
        <w:rPr>
          <w:rFonts w:ascii="Times New Roman" w:hAnsi="Times New Roman" w:cs="Times New Roman"/>
          <w:sz w:val="24"/>
          <w:szCs w:val="24"/>
        </w:rPr>
        <w:t xml:space="preserve">, </w:t>
      </w:r>
      <w:r w:rsidR="009678A2">
        <w:rPr>
          <w:rFonts w:ascii="Times New Roman" w:hAnsi="Times New Roman" w:cs="Times New Roman"/>
          <w:sz w:val="24"/>
          <w:szCs w:val="24"/>
        </w:rPr>
        <w:t>Cd</w:t>
      </w:r>
      <w:r w:rsidR="00E17E4B" w:rsidRPr="00F07DEB">
        <w:rPr>
          <w:rFonts w:ascii="Times New Roman" w:hAnsi="Times New Roman" w:cs="Times New Roman"/>
          <w:sz w:val="24"/>
          <w:szCs w:val="24"/>
        </w:rPr>
        <w:t xml:space="preserve">, </w:t>
      </w:r>
      <w:r w:rsidR="009678A2">
        <w:rPr>
          <w:rFonts w:ascii="Times New Roman" w:hAnsi="Times New Roman" w:cs="Times New Roman"/>
          <w:sz w:val="24"/>
          <w:szCs w:val="24"/>
        </w:rPr>
        <w:t>Ni</w:t>
      </w:r>
      <w:r w:rsidR="00E17E4B" w:rsidRPr="00F07DEB">
        <w:rPr>
          <w:rFonts w:ascii="Times New Roman" w:hAnsi="Times New Roman" w:cs="Times New Roman"/>
          <w:sz w:val="24"/>
          <w:szCs w:val="24"/>
        </w:rPr>
        <w:t>, and other trace metals are retained as metal sulfides courtesy of bacterial sulf</w:t>
      </w:r>
      <w:r w:rsidR="00DB4AF5">
        <w:rPr>
          <w:rFonts w:ascii="Times New Roman" w:hAnsi="Times New Roman" w:cs="Times New Roman"/>
          <w:sz w:val="24"/>
          <w:szCs w:val="24"/>
        </w:rPr>
        <w:t>ate reduction in anaerobic</w:t>
      </w:r>
      <w:r w:rsidR="00200F8C" w:rsidRPr="00F07DEB">
        <w:rPr>
          <w:rFonts w:ascii="Times New Roman" w:hAnsi="Times New Roman" w:cs="Times New Roman"/>
          <w:sz w:val="24"/>
          <w:szCs w:val="24"/>
        </w:rPr>
        <w:t xml:space="preserve"> organic substrate </w:t>
      </w:r>
      <w:r w:rsidR="00DB4AF5">
        <w:rPr>
          <w:rFonts w:ascii="Times New Roman" w:hAnsi="Times New Roman" w:cs="Times New Roman"/>
          <w:sz w:val="24"/>
          <w:szCs w:val="24"/>
        </w:rPr>
        <w:t>bio</w:t>
      </w:r>
      <w:r w:rsidR="007C15C3" w:rsidRPr="00F07DEB">
        <w:rPr>
          <w:rFonts w:ascii="Times New Roman" w:hAnsi="Times New Roman" w:cs="Times New Roman"/>
          <w:sz w:val="24"/>
          <w:szCs w:val="24"/>
        </w:rPr>
        <w:t>reactors</w:t>
      </w:r>
      <w:r w:rsidR="00200F8C" w:rsidRPr="00F07DEB">
        <w:rPr>
          <w:rFonts w:ascii="Times New Roman" w:hAnsi="Times New Roman" w:cs="Times New Roman"/>
          <w:sz w:val="24"/>
          <w:szCs w:val="24"/>
        </w:rPr>
        <w:t>, so the water must then be reaerated bef</w:t>
      </w:r>
      <w:r w:rsidR="00DB4AF5">
        <w:rPr>
          <w:rFonts w:ascii="Times New Roman" w:hAnsi="Times New Roman" w:cs="Times New Roman"/>
          <w:sz w:val="24"/>
          <w:szCs w:val="24"/>
        </w:rPr>
        <w:t>ore it is discharged into the receiving stream</w:t>
      </w:r>
      <w:r w:rsidR="00346432">
        <w:rPr>
          <w:rFonts w:ascii="Times New Roman" w:hAnsi="Times New Roman" w:cs="Times New Roman"/>
          <w:sz w:val="24"/>
          <w:szCs w:val="24"/>
        </w:rPr>
        <w:t xml:space="preserve"> </w:t>
      </w:r>
      <w:r w:rsidR="00346432">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{"citationID":"a1pkupsrl18","properties":{"formattedCitation":"(Robert W Nairn et al., 2020)","plainCitation":"(Robert W Nairn et al., 2020)","noteIndex":0},"citationItems":[{"id":923,"uris":["http://zotero.org/users/5446453/items/YLQDUVSJ"],"uri":["http://zotero.org/users/5446453/items/YLQDUVSJ"],"itemData":{"id":923,"type":"paper-conference","abstract":"For 40 years, passive treatment systems (PTS) have been preferred options at many abandoned sites, in part due to presumptions of continuous water quality improvement performance and limited operation and maintenance commitments. However, documentation to support these presumptions is typically lacking. Long-term regular performance evaluation (12 years) was conducted for </w:instrText>
      </w:r>
      <w:r w:rsidR="004B13BE">
        <w:rPr>
          <w:rFonts w:ascii="Times New Roman" w:hAnsi="Times New Roman" w:cs="Times New Roman" w:hint="eastAsia"/>
          <w:sz w:val="24"/>
          <w:szCs w:val="24"/>
        </w:rPr>
        <w:instrText>a large, multi-process unit PTS receiving artesian-flowing lead-zinc mine waters (</w:instrText>
      </w:r>
      <w:r w:rsidR="004B13BE">
        <w:rPr>
          <w:rFonts w:ascii="Times New Roman" w:hAnsi="Times New Roman" w:cs="Times New Roman" w:hint="eastAsia"/>
          <w:sz w:val="24"/>
          <w:szCs w:val="24"/>
        </w:rPr>
        <w:instrText>≈</w:instrText>
      </w:r>
      <w:r w:rsidR="004B13BE">
        <w:rPr>
          <w:rFonts w:ascii="Times New Roman" w:hAnsi="Times New Roman" w:cs="Times New Roman" w:hint="eastAsia"/>
          <w:sz w:val="24"/>
          <w:szCs w:val="24"/>
        </w:rPr>
        <w:instrText>1000 m3/day) at the Tar Creek Superfund Site, Tri-State Mining District, USA. Since 2008, the Mayer Ranch PTS has consistently retained &gt;95% of targeted metal mass. Regular</w:instrText>
      </w:r>
      <w:r w:rsidR="004B13BE">
        <w:rPr>
          <w:rFonts w:ascii="Times New Roman" w:hAnsi="Times New Roman" w:cs="Times New Roman"/>
          <w:sz w:val="24"/>
          <w:szCs w:val="24"/>
        </w:rPr>
        <w:instrText xml:space="preserve">, periodic, and rehabilitative maintenance commitments were also documented.","container-title":"Mine Water Solutions","event":"International Mine Water Association","event-place":"New Zealand","language":"en","page":"123-128","publisher-place":"New Zealand","source":"Zotero","title":"Toward Sustainability of Passive Treatment in Legacy Mining Watersheds: Operational Performance and System Maintenance","author":[{"family":"Nairn","given":"Robert W"},{"family":"LaBar","given":"Julie A"},{"family":"Oxenford","given":"Leah R"},{"family":"Shepherd","given":"Nicholas L"},{"family":"Arango","given":"Juan G"},{"family":"Tang","given":"Zepei"},{"family":"Dorman","given":"Dayton M"},{"family":"Folz","given":"Carlton A"},{"family":"McCann","given":"Justine I"},{"family":"Ingendorf","given":"JD"},{"family":"Stanfield","given":"Harper T"},{"family":"Knox","given":"Robert C"}],"issued":{"date-parts":[["2020"]]}}}],"schema":"https://github.com/citation-style-language/schema/raw/master/csl-citation.json"} </w:instrText>
      </w:r>
      <w:r w:rsidR="00346432">
        <w:rPr>
          <w:rFonts w:ascii="Times New Roman" w:hAnsi="Times New Roman" w:cs="Times New Roman"/>
          <w:sz w:val="24"/>
          <w:szCs w:val="24"/>
        </w:rPr>
        <w:fldChar w:fldCharType="separate"/>
      </w:r>
      <w:r w:rsidR="00234033" w:rsidRPr="00234033">
        <w:rPr>
          <w:rFonts w:ascii="Times New Roman" w:hAnsi="Times New Roman" w:cs="Times New Roman"/>
          <w:sz w:val="24"/>
        </w:rPr>
        <w:t>(Robert W Nairn et al., 2020)</w:t>
      </w:r>
      <w:r w:rsidR="00346432">
        <w:rPr>
          <w:rFonts w:ascii="Times New Roman" w:hAnsi="Times New Roman" w:cs="Times New Roman"/>
          <w:sz w:val="24"/>
          <w:szCs w:val="24"/>
        </w:rPr>
        <w:fldChar w:fldCharType="end"/>
      </w:r>
      <w:r w:rsidR="00346432">
        <w:rPr>
          <w:rFonts w:ascii="Times New Roman" w:hAnsi="Times New Roman" w:cs="Times New Roman"/>
          <w:sz w:val="24"/>
          <w:szCs w:val="24"/>
        </w:rPr>
        <w:t>.</w:t>
      </w:r>
      <w:r w:rsidR="00D76A54" w:rsidRPr="00F07DEB">
        <w:rPr>
          <w:rFonts w:ascii="Times New Roman" w:hAnsi="Times New Roman" w:cs="Times New Roman"/>
          <w:sz w:val="24"/>
          <w:szCs w:val="24"/>
        </w:rPr>
        <w:t xml:space="preserve"> </w:t>
      </w:r>
      <w:r w:rsidR="00192C95" w:rsidRPr="00F07DEB">
        <w:rPr>
          <w:rFonts w:ascii="Times New Roman" w:hAnsi="Times New Roman" w:cs="Times New Roman"/>
          <w:sz w:val="24"/>
          <w:szCs w:val="24"/>
        </w:rPr>
        <w:t>MRPTS an</w:t>
      </w:r>
      <w:r w:rsidR="0057510A" w:rsidRPr="00F07DEB">
        <w:rPr>
          <w:rFonts w:ascii="Times New Roman" w:hAnsi="Times New Roman" w:cs="Times New Roman"/>
          <w:sz w:val="24"/>
          <w:szCs w:val="24"/>
        </w:rPr>
        <w:t>d SECPTS are visible in Figure 2</w:t>
      </w:r>
      <w:r w:rsidR="007437C0" w:rsidRPr="00F07DEB">
        <w:rPr>
          <w:rFonts w:ascii="Times New Roman" w:hAnsi="Times New Roman" w:cs="Times New Roman"/>
          <w:sz w:val="24"/>
          <w:szCs w:val="24"/>
        </w:rPr>
        <w:t>, with flow progressing from left to right in both systems</w:t>
      </w:r>
      <w:r w:rsidR="00192C95" w:rsidRPr="00F07DEB">
        <w:rPr>
          <w:rFonts w:ascii="Times New Roman" w:hAnsi="Times New Roman" w:cs="Times New Roman"/>
          <w:sz w:val="24"/>
          <w:szCs w:val="24"/>
        </w:rPr>
        <w:t>.</w:t>
      </w:r>
    </w:p>
    <w:p w14:paraId="123460EC" w14:textId="77777777" w:rsidR="00EA19E7" w:rsidRPr="00F07DEB" w:rsidRDefault="006E433D" w:rsidP="00EA19E7">
      <w:pPr>
        <w:keepNext/>
        <w:spacing w:line="480" w:lineRule="auto"/>
        <w:jc w:val="center"/>
        <w:rPr>
          <w:rFonts w:ascii="Times New Roman" w:hAnsi="Times New Roman" w:cs="Times New Roman"/>
        </w:rPr>
      </w:pPr>
      <w:r w:rsidRPr="00F07DEB">
        <w:rPr>
          <w:rFonts w:ascii="Times New Roman" w:hAnsi="Times New Roman" w:cs="Times New Roman"/>
          <w:noProof/>
          <w:sz w:val="24"/>
          <w:szCs w:val="24"/>
          <w:lang w:eastAsia="en-US"/>
        </w:rPr>
        <w:drawing>
          <wp:inline distT="0" distB="0" distL="0" distR="0" wp14:anchorId="768F90FD" wp14:editId="17253475">
            <wp:extent cx="5075857" cy="1485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6180" cy="1488922"/>
                    </a:xfrm>
                    <a:prstGeom prst="rect">
                      <a:avLst/>
                    </a:prstGeom>
                    <a:noFill/>
                  </pic:spPr>
                </pic:pic>
              </a:graphicData>
            </a:graphic>
          </wp:inline>
        </w:drawing>
      </w:r>
    </w:p>
    <w:p w14:paraId="6B464D53" w14:textId="01B77E7F" w:rsidR="006E433D" w:rsidRPr="00F07DEB" w:rsidRDefault="00EA19E7" w:rsidP="00204C13">
      <w:pPr>
        <w:pStyle w:val="Caption"/>
      </w:pPr>
      <w:bookmarkStart w:id="5" w:name="_Toc58975212"/>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2</w:t>
      </w:r>
      <w:r w:rsidR="00DE3B90" w:rsidRPr="00F07DEB">
        <w:rPr>
          <w:noProof/>
        </w:rPr>
        <w:fldChar w:fldCharType="end"/>
      </w:r>
      <w:r w:rsidRPr="00F07DEB">
        <w:t xml:space="preserve">: Aerial images of MRPTS and SECPTS </w:t>
      </w:r>
      <w:r w:rsidRPr="00F07DEB">
        <w:fldChar w:fldCharType="begin"/>
      </w:r>
      <w:r w:rsidR="0031694C" w:rsidRPr="00F07DEB">
        <w:instrText xml:space="preserve"> ADDIN ZOTERO_ITEM CSL_CITATION {"citationID":"xEF3S3x1","properties":{"formattedCitation":"(R. W. Nairn, 2019)","plainCitation":"(R. W. Nairn, 2019)","dontUpdate":true,"noteIndex":0},"citationItems":[{"id":173,"uris":["http://zotero.org/users/5446453/items/XP3FK83E"],"uri":["http://zotero.org/users/5446453/items/XP3FK83E"],"itemData":{"id":173,"type":"speech","event":"CREW Meeting","event-place":"Norman, OK","publisher-place":"Norman, OK","title":"A Decade of Successful Performance: Ecotoxic Metal Retention in Ecologically Engineered Passive Treatment Systems Contributes to Stream Recovery in a Mining-Disturbed Watershed","author":[{"family":"Nairn","given":"R. W."}],"issued":{"date-parts":[["2019"]]}}}],"schema":"https://github.com/citation-style-language/schema/raw/master/csl-citation.json"} </w:instrText>
      </w:r>
      <w:r w:rsidRPr="00F07DEB">
        <w:fldChar w:fldCharType="separate"/>
      </w:r>
      <w:r w:rsidR="008309DB" w:rsidRPr="00F07DEB">
        <w:t>(Nairn, 2019)</w:t>
      </w:r>
      <w:bookmarkEnd w:id="5"/>
      <w:r w:rsidRPr="00F07DEB">
        <w:fldChar w:fldCharType="end"/>
      </w:r>
    </w:p>
    <w:p w14:paraId="1BF19BA7" w14:textId="77777777" w:rsidR="00F07DEB" w:rsidRPr="00F07DEB" w:rsidRDefault="00F07DEB" w:rsidP="00F07DEB">
      <w:pPr>
        <w:rPr>
          <w:rFonts w:ascii="Times New Roman" w:hAnsi="Times New Roman" w:cs="Times New Roman"/>
        </w:rPr>
      </w:pPr>
    </w:p>
    <w:p w14:paraId="669C8EEF" w14:textId="3BDA270A" w:rsidR="00611BE4" w:rsidRPr="00E84501" w:rsidRDefault="00191F32" w:rsidP="00E84501">
      <w:pPr>
        <w:spacing w:line="480" w:lineRule="auto"/>
        <w:rPr>
          <w:rFonts w:ascii="Times New Roman" w:hAnsi="Times New Roman" w:cs="Times New Roman"/>
          <w:sz w:val="24"/>
        </w:rPr>
      </w:pPr>
      <w:r w:rsidRPr="00F07DEB">
        <w:rPr>
          <w:rFonts w:ascii="Times New Roman" w:hAnsi="Times New Roman" w:cs="Times New Roman"/>
        </w:rPr>
        <w:tab/>
      </w:r>
      <w:r w:rsidR="00554626" w:rsidRPr="00F07DEB">
        <w:rPr>
          <w:rFonts w:ascii="Times New Roman" w:hAnsi="Times New Roman" w:cs="Times New Roman"/>
          <w:sz w:val="24"/>
        </w:rPr>
        <w:t xml:space="preserve">MRPTS and SECPTS receive net alkaline waters with </w:t>
      </w:r>
      <w:proofErr w:type="spellStart"/>
      <w:r w:rsidR="00554626" w:rsidRPr="00F07DEB">
        <w:rPr>
          <w:rFonts w:ascii="Times New Roman" w:hAnsi="Times New Roman" w:cs="Times New Roman"/>
          <w:sz w:val="24"/>
        </w:rPr>
        <w:t>circumneutral</w:t>
      </w:r>
      <w:proofErr w:type="spellEnd"/>
      <w:r w:rsidR="00554626" w:rsidRPr="00F07DEB">
        <w:rPr>
          <w:rFonts w:ascii="Times New Roman" w:hAnsi="Times New Roman" w:cs="Times New Roman"/>
          <w:sz w:val="24"/>
        </w:rPr>
        <w:t xml:space="preserve"> pH</w:t>
      </w:r>
      <w:r w:rsidR="00F174E4" w:rsidRPr="00F07DEB">
        <w:rPr>
          <w:rFonts w:ascii="Times New Roman" w:hAnsi="Times New Roman" w:cs="Times New Roman"/>
          <w:sz w:val="24"/>
        </w:rPr>
        <w:t xml:space="preserve"> values</w:t>
      </w:r>
      <w:r w:rsidR="00554626" w:rsidRPr="00F07DEB">
        <w:rPr>
          <w:rFonts w:ascii="Times New Roman" w:hAnsi="Times New Roman" w:cs="Times New Roman"/>
          <w:sz w:val="24"/>
        </w:rPr>
        <w:t xml:space="preserve"> and elevated concentrations of </w:t>
      </w:r>
      <w:r w:rsidR="009678A2">
        <w:rPr>
          <w:rFonts w:ascii="Times New Roman" w:hAnsi="Times New Roman" w:cs="Times New Roman"/>
          <w:sz w:val="24"/>
        </w:rPr>
        <w:t>Fe</w:t>
      </w:r>
      <w:r w:rsidR="00554626" w:rsidRPr="00F07DEB">
        <w:rPr>
          <w:rFonts w:ascii="Times New Roman" w:hAnsi="Times New Roman" w:cs="Times New Roman"/>
          <w:sz w:val="24"/>
        </w:rPr>
        <w:t xml:space="preserve">, </w:t>
      </w:r>
      <w:r w:rsidR="009678A2">
        <w:rPr>
          <w:rFonts w:ascii="Times New Roman" w:hAnsi="Times New Roman" w:cs="Times New Roman"/>
          <w:sz w:val="24"/>
        </w:rPr>
        <w:t>Zn</w:t>
      </w:r>
      <w:r w:rsidR="00554626" w:rsidRPr="00F07DEB">
        <w:rPr>
          <w:rFonts w:ascii="Times New Roman" w:hAnsi="Times New Roman" w:cs="Times New Roman"/>
          <w:sz w:val="24"/>
        </w:rPr>
        <w:t xml:space="preserve">, </w:t>
      </w:r>
      <w:r w:rsidR="009678A2">
        <w:rPr>
          <w:rFonts w:ascii="Times New Roman" w:hAnsi="Times New Roman" w:cs="Times New Roman"/>
          <w:sz w:val="24"/>
        </w:rPr>
        <w:t>Cd</w:t>
      </w:r>
      <w:r w:rsidR="00554626" w:rsidRPr="00F07DEB">
        <w:rPr>
          <w:rFonts w:ascii="Times New Roman" w:hAnsi="Times New Roman" w:cs="Times New Roman"/>
          <w:sz w:val="24"/>
        </w:rPr>
        <w:t xml:space="preserve">, </w:t>
      </w:r>
      <w:proofErr w:type="spellStart"/>
      <w:r w:rsidR="009678A2">
        <w:rPr>
          <w:rFonts w:ascii="Times New Roman" w:hAnsi="Times New Roman" w:cs="Times New Roman"/>
          <w:sz w:val="24"/>
          <w:szCs w:val="24"/>
        </w:rPr>
        <w:t>Pb</w:t>
      </w:r>
      <w:proofErr w:type="spellEnd"/>
      <w:r w:rsidR="00554626" w:rsidRPr="00F07DEB">
        <w:rPr>
          <w:rFonts w:ascii="Times New Roman" w:hAnsi="Times New Roman" w:cs="Times New Roman"/>
          <w:sz w:val="24"/>
        </w:rPr>
        <w:t xml:space="preserve">, </w:t>
      </w:r>
      <w:r w:rsidR="009678A2">
        <w:rPr>
          <w:rFonts w:ascii="Times New Roman" w:hAnsi="Times New Roman" w:cs="Times New Roman"/>
          <w:sz w:val="24"/>
        </w:rPr>
        <w:t>Ni</w:t>
      </w:r>
      <w:r w:rsidR="00554626" w:rsidRPr="00F07DEB">
        <w:rPr>
          <w:rFonts w:ascii="Times New Roman" w:hAnsi="Times New Roman" w:cs="Times New Roman"/>
          <w:sz w:val="24"/>
        </w:rPr>
        <w:t xml:space="preserve">, </w:t>
      </w:r>
      <w:r w:rsidR="009678A2">
        <w:rPr>
          <w:rFonts w:ascii="Times New Roman" w:hAnsi="Times New Roman" w:cs="Times New Roman"/>
          <w:sz w:val="24"/>
        </w:rPr>
        <w:t>As</w:t>
      </w:r>
      <w:r w:rsidR="00554626" w:rsidRPr="00F07DEB">
        <w:rPr>
          <w:rFonts w:ascii="Times New Roman" w:hAnsi="Times New Roman" w:cs="Times New Roman"/>
          <w:sz w:val="24"/>
        </w:rPr>
        <w:t xml:space="preserve">, and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Pr>
          <w:rFonts w:ascii="Times New Roman" w:hAnsi="Times New Roman" w:cs="Times New Roman"/>
          <w:sz w:val="24"/>
          <w:szCs w:val="24"/>
          <w:vertAlign w:val="superscript"/>
        </w:rPr>
        <w:t xml:space="preserve"> </w:t>
      </w:r>
      <w:r w:rsidR="001E51BD">
        <w:rPr>
          <w:rFonts w:ascii="Times New Roman" w:hAnsi="Times New Roman" w:cs="Times New Roman"/>
          <w:sz w:val="24"/>
        </w:rPr>
        <w:fldChar w:fldCharType="begin"/>
      </w:r>
      <w:r w:rsidR="004B13BE">
        <w:rPr>
          <w:rFonts w:ascii="Times New Roman" w:hAnsi="Times New Roman" w:cs="Times New Roman"/>
          <w:sz w:val="24"/>
        </w:rPr>
        <w:instrText xml:space="preserve"> ADDIN ZOTERO_ITEM CSL_CITATION {"citationID":"a2movjmoodr","properties":{"formattedCitation":"(Robert W Nairn et al., 2020)","plainCitation":"(Robert W Nairn et al., 2020)","dontUpdate":true,"noteIndex":0},"citationItems":[{"id":923,"uris":["http://zotero.org/users/5446453/items/YLQDUVSJ"],"uri":["http://zotero.org/users/5446453/items/YLQDUVSJ"],"itemData":{"id":923,"type":"paper-conference","abstract":"For 40 years, passive treatment systems (PTS) have been preferred options at many abandoned sites, in part due to presumptions of continuous water quality improvement performance and limited operation and maintenance commitments. However, documentation to support these presumptions is typically lacking. Long-term regular performance evaluation (12 years) </w:instrText>
      </w:r>
      <w:r w:rsidR="004B13BE">
        <w:rPr>
          <w:rFonts w:ascii="Times New Roman" w:hAnsi="Times New Roman" w:cs="Times New Roman" w:hint="eastAsia"/>
          <w:sz w:val="24"/>
        </w:rPr>
        <w:instrText>was conducted for a large, multi-process unit PTS receiving artesian-flowing lead-zinc mine waters (</w:instrText>
      </w:r>
      <w:r w:rsidR="004B13BE">
        <w:rPr>
          <w:rFonts w:ascii="Times New Roman" w:hAnsi="Times New Roman" w:cs="Times New Roman" w:hint="eastAsia"/>
          <w:sz w:val="24"/>
        </w:rPr>
        <w:instrText>≈</w:instrText>
      </w:r>
      <w:r w:rsidR="004B13BE">
        <w:rPr>
          <w:rFonts w:ascii="Times New Roman" w:hAnsi="Times New Roman" w:cs="Times New Roman" w:hint="eastAsia"/>
          <w:sz w:val="24"/>
        </w:rPr>
        <w:instrText>1000 m3/day) at the Tar Creek Superfund Site, Tri-State Mining District, USA. Since 2008, the Mayer Ranch PTS has consistently retained &gt;95% of targeted m</w:instrText>
      </w:r>
      <w:r w:rsidR="004B13BE">
        <w:rPr>
          <w:rFonts w:ascii="Times New Roman" w:hAnsi="Times New Roman" w:cs="Times New Roman"/>
          <w:sz w:val="24"/>
        </w:rPr>
        <w:instrText xml:space="preserve">etal mass. Regular, periodic, and rehabilitative maintenance commitments were also documented.","container-title":"Mine Water Solutions","event":"International Mine Water Association","event-place":"New Zealand","language":"en","page":"123-128","publisher-place":"New Zealand","source":"Zotero","title":"Toward Sustainability of Passive Treatment in Legacy Mining Watersheds: Operational Performance and System Maintenance","author":[{"family":"Nairn","given":"Robert W"},{"family":"LaBar","given":"Julie A"},{"family":"Oxenford","given":"Leah R"},{"family":"Shepherd","given":"Nicholas L"},{"family":"Arango","given":"Juan G"},{"family":"Tang","given":"Zepei"},{"family":"Dorman","given":"Dayton M"},{"family":"Folz","given":"Carlton A"},{"family":"McCann","given":"Justine I"},{"family":"Ingendorf","given":"JD"},{"family":"Stanfield","given":"Harper T"},{"family":"Knox","given":"Robert C"}],"issued":{"date-parts":[["2020"]]}}}],"schema":"https://github.com/citation-style-language/schema/raw/master/csl-citation.json"} </w:instrText>
      </w:r>
      <w:r w:rsidR="001E51BD">
        <w:rPr>
          <w:rFonts w:ascii="Times New Roman" w:hAnsi="Times New Roman" w:cs="Times New Roman"/>
          <w:sz w:val="24"/>
        </w:rPr>
        <w:fldChar w:fldCharType="separate"/>
      </w:r>
      <w:r w:rsidR="00FF5DF8" w:rsidRPr="00FF5DF8">
        <w:rPr>
          <w:rFonts w:ascii="Times New Roman" w:hAnsi="Times New Roman" w:cs="Times New Roman"/>
          <w:sz w:val="24"/>
          <w:szCs w:val="24"/>
        </w:rPr>
        <w:t>(Nairn et al., 2020)</w:t>
      </w:r>
      <w:r w:rsidR="001E51BD">
        <w:rPr>
          <w:rFonts w:ascii="Times New Roman" w:hAnsi="Times New Roman" w:cs="Times New Roman"/>
          <w:sz w:val="24"/>
        </w:rPr>
        <w:fldChar w:fldCharType="end"/>
      </w:r>
      <w:r w:rsidR="00554626" w:rsidRPr="00F07DEB">
        <w:rPr>
          <w:rFonts w:ascii="Times New Roman" w:hAnsi="Times New Roman" w:cs="Times New Roman"/>
          <w:sz w:val="24"/>
        </w:rPr>
        <w:t xml:space="preserve">. </w:t>
      </w:r>
      <w:r w:rsidR="00E039E4" w:rsidRPr="00F07DEB">
        <w:rPr>
          <w:rFonts w:ascii="Times New Roman" w:hAnsi="Times New Roman" w:cs="Times New Roman"/>
          <w:sz w:val="24"/>
        </w:rPr>
        <w:t xml:space="preserve">These systems effectively sequester the targeted metals while maintaining the </w:t>
      </w:r>
      <w:proofErr w:type="spellStart"/>
      <w:r w:rsidR="00E039E4" w:rsidRPr="00F07DEB">
        <w:rPr>
          <w:rFonts w:ascii="Times New Roman" w:hAnsi="Times New Roman" w:cs="Times New Roman"/>
          <w:sz w:val="24"/>
        </w:rPr>
        <w:t>circumneutral</w:t>
      </w:r>
      <w:proofErr w:type="spellEnd"/>
      <w:r w:rsidR="00E039E4" w:rsidRPr="00F07DEB">
        <w:rPr>
          <w:rFonts w:ascii="Times New Roman" w:hAnsi="Times New Roman" w:cs="Times New Roman"/>
          <w:sz w:val="24"/>
        </w:rPr>
        <w:t xml:space="preserve"> pH and net alkaline status of the mine water. However, </w:t>
      </w:r>
      <w:r w:rsidR="00874CEB" w:rsidRPr="00F07DEB">
        <w:rPr>
          <w:rFonts w:ascii="Times New Roman" w:hAnsi="Times New Roman" w:cs="Times New Roman"/>
          <w:sz w:val="24"/>
        </w:rPr>
        <w:t xml:space="preserve">the passively-treated </w:t>
      </w:r>
      <w:r w:rsidR="00E039E4" w:rsidRPr="00F07DEB">
        <w:rPr>
          <w:rFonts w:ascii="Times New Roman" w:hAnsi="Times New Roman" w:cs="Times New Roman"/>
          <w:sz w:val="24"/>
        </w:rPr>
        <w:t>mine water re</w:t>
      </w:r>
      <w:r w:rsidR="00EA6E0E" w:rsidRPr="00F07DEB">
        <w:rPr>
          <w:rFonts w:ascii="Times New Roman" w:hAnsi="Times New Roman" w:cs="Times New Roman"/>
          <w:sz w:val="24"/>
        </w:rPr>
        <w:t xml:space="preserve">tains substantial </w:t>
      </w:r>
      <w:r w:rsidR="00E039E4" w:rsidRPr="00F07DEB">
        <w:rPr>
          <w:rFonts w:ascii="Times New Roman" w:hAnsi="Times New Roman" w:cs="Times New Roman"/>
          <w:sz w:val="24"/>
        </w:rPr>
        <w:t>salin</w:t>
      </w:r>
      <w:r w:rsidR="00EA6E0E" w:rsidRPr="00F07DEB">
        <w:rPr>
          <w:rFonts w:ascii="Times New Roman" w:hAnsi="Times New Roman" w:cs="Times New Roman"/>
          <w:sz w:val="24"/>
        </w:rPr>
        <w:t xml:space="preserve">ity in the form of elevated Total Dissolved Solids (TDS) and concentrations of </w:t>
      </w:r>
      <w:r w:rsidR="009678A2">
        <w:rPr>
          <w:rFonts w:ascii="Times New Roman" w:hAnsi="Times New Roman" w:cs="Times New Roman"/>
          <w:sz w:val="24"/>
        </w:rPr>
        <w:t>Na</w:t>
      </w:r>
      <w:r w:rsidR="00EA6E0E" w:rsidRPr="00F07DEB">
        <w:rPr>
          <w:rFonts w:ascii="Times New Roman" w:hAnsi="Times New Roman" w:cs="Times New Roman"/>
          <w:sz w:val="24"/>
        </w:rPr>
        <w:t xml:space="preserve">,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EA6E0E" w:rsidRPr="00F07DEB">
        <w:rPr>
          <w:rFonts w:ascii="Times New Roman" w:hAnsi="Times New Roman" w:cs="Times New Roman"/>
          <w:sz w:val="24"/>
        </w:rPr>
        <w:t xml:space="preserve">, </w:t>
      </w:r>
      <w:r w:rsidR="009678A2">
        <w:rPr>
          <w:rFonts w:ascii="Times New Roman" w:hAnsi="Times New Roman" w:cs="Times New Roman"/>
          <w:sz w:val="24"/>
        </w:rPr>
        <w:t>Ca</w:t>
      </w:r>
      <w:r w:rsidR="00EA6E0E" w:rsidRPr="00F07DEB">
        <w:rPr>
          <w:rFonts w:ascii="Times New Roman" w:hAnsi="Times New Roman" w:cs="Times New Roman"/>
          <w:sz w:val="24"/>
        </w:rPr>
        <w:t xml:space="preserve">, </w:t>
      </w:r>
      <w:r w:rsidR="009678A2">
        <w:rPr>
          <w:rFonts w:ascii="Times New Roman" w:hAnsi="Times New Roman" w:cs="Times New Roman"/>
          <w:sz w:val="24"/>
        </w:rPr>
        <w:t>Mg</w:t>
      </w:r>
      <w:r w:rsidR="00EA6E0E" w:rsidRPr="00F07DEB">
        <w:rPr>
          <w:rFonts w:ascii="Times New Roman" w:hAnsi="Times New Roman" w:cs="Times New Roman"/>
          <w:sz w:val="24"/>
        </w:rPr>
        <w:t xml:space="preserve">, and </w:t>
      </w:r>
      <w:r w:rsidR="009678A2">
        <w:rPr>
          <w:rFonts w:ascii="Times New Roman" w:hAnsi="Times New Roman" w:cs="Times New Roman"/>
          <w:sz w:val="24"/>
        </w:rPr>
        <w:lastRenderedPageBreak/>
        <w:t>Cl</w:t>
      </w:r>
      <w:r w:rsidR="009678A2" w:rsidRPr="009678A2">
        <w:rPr>
          <w:rFonts w:ascii="Times New Roman" w:hAnsi="Times New Roman" w:cs="Times New Roman"/>
          <w:sz w:val="24"/>
          <w:vertAlign w:val="superscript"/>
        </w:rPr>
        <w:t>-</w:t>
      </w:r>
      <w:r w:rsidR="00E039E4" w:rsidRPr="00F07DEB">
        <w:rPr>
          <w:rFonts w:ascii="Times New Roman" w:hAnsi="Times New Roman" w:cs="Times New Roman"/>
          <w:sz w:val="24"/>
        </w:rPr>
        <w:t>.</w:t>
      </w:r>
      <w:r w:rsidR="00F174E4" w:rsidRPr="00F07DEB">
        <w:rPr>
          <w:rFonts w:ascii="Times New Roman" w:hAnsi="Times New Roman" w:cs="Times New Roman"/>
          <w:sz w:val="24"/>
        </w:rPr>
        <w:t xml:space="preserve"> </w:t>
      </w:r>
      <w:r w:rsidR="00E039E4" w:rsidRPr="00F07DEB">
        <w:rPr>
          <w:rFonts w:ascii="Times New Roman" w:hAnsi="Times New Roman" w:cs="Times New Roman"/>
          <w:sz w:val="24"/>
        </w:rPr>
        <w:t>W</w:t>
      </w:r>
      <w:r w:rsidR="00F174E4" w:rsidRPr="00F07DEB">
        <w:rPr>
          <w:rFonts w:ascii="Times New Roman" w:hAnsi="Times New Roman" w:cs="Times New Roman"/>
          <w:sz w:val="24"/>
        </w:rPr>
        <w:t xml:space="preserve">ater quality at the </w:t>
      </w:r>
      <w:r w:rsidR="00E039E4" w:rsidRPr="00F07DEB">
        <w:rPr>
          <w:rFonts w:ascii="Times New Roman" w:hAnsi="Times New Roman" w:cs="Times New Roman"/>
          <w:sz w:val="24"/>
        </w:rPr>
        <w:t xml:space="preserve">MRPTS </w:t>
      </w:r>
      <w:r w:rsidR="00F174E4" w:rsidRPr="00F07DEB">
        <w:rPr>
          <w:rFonts w:ascii="Times New Roman" w:hAnsi="Times New Roman" w:cs="Times New Roman"/>
          <w:sz w:val="24"/>
        </w:rPr>
        <w:t>inflows and outflows has been monitored on a monthly or quarterly basis for over a decade.</w:t>
      </w:r>
      <w:r w:rsidR="002C75C3" w:rsidRPr="00F07DEB">
        <w:rPr>
          <w:rFonts w:ascii="Times New Roman" w:hAnsi="Times New Roman" w:cs="Times New Roman"/>
          <w:sz w:val="24"/>
        </w:rPr>
        <w:t xml:space="preserve"> A selection of the water quality parameters and contaminant concentrations from the MRPTS dataset is presented in Table </w:t>
      </w:r>
      <w:r w:rsidR="000656CA" w:rsidRPr="00F07DEB">
        <w:rPr>
          <w:rFonts w:ascii="Times New Roman" w:hAnsi="Times New Roman" w:cs="Times New Roman"/>
          <w:sz w:val="24"/>
        </w:rPr>
        <w:t>1</w:t>
      </w:r>
      <w:r w:rsidR="002C75C3" w:rsidRPr="00F07DEB">
        <w:rPr>
          <w:rFonts w:ascii="Times New Roman" w:hAnsi="Times New Roman" w:cs="Times New Roman"/>
          <w:sz w:val="24"/>
        </w:rPr>
        <w:t>.</w:t>
      </w:r>
    </w:p>
    <w:p w14:paraId="5A27983A" w14:textId="2F93DE63" w:rsidR="00836CE3" w:rsidRPr="00F07DEB" w:rsidRDefault="00836CE3" w:rsidP="00204C13">
      <w:pPr>
        <w:pStyle w:val="Caption"/>
      </w:pPr>
      <w:bookmarkStart w:id="6" w:name="_Toc58975187"/>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1</w:t>
      </w:r>
      <w:r w:rsidR="00DE3B90" w:rsidRPr="00F07DEB">
        <w:rPr>
          <w:noProof/>
        </w:rPr>
        <w:fldChar w:fldCharType="end"/>
      </w:r>
      <w:r w:rsidR="0051506B">
        <w:t>: MRPTS water q</w:t>
      </w:r>
      <w:r w:rsidRPr="00F07DEB">
        <w:t>uality</w:t>
      </w:r>
      <w:bookmarkEnd w:id="6"/>
    </w:p>
    <w:tbl>
      <w:tblPr>
        <w:tblW w:w="3400" w:type="pct"/>
        <w:tblBorders>
          <w:top w:val="single" w:sz="8" w:space="0" w:color="auto"/>
          <w:bottom w:val="single" w:sz="8" w:space="0" w:color="auto"/>
        </w:tblBorders>
        <w:tblLook w:val="04A0" w:firstRow="1" w:lastRow="0" w:firstColumn="1" w:lastColumn="0" w:noHBand="0" w:noVBand="1"/>
      </w:tblPr>
      <w:tblGrid>
        <w:gridCol w:w="3008"/>
        <w:gridCol w:w="1860"/>
        <w:gridCol w:w="1497"/>
      </w:tblGrid>
      <w:tr w:rsidR="002A6AB5" w:rsidRPr="00F07DEB" w14:paraId="0A5771C7" w14:textId="0D14ED62" w:rsidTr="002A6AB5">
        <w:trPr>
          <w:trHeight w:val="317"/>
        </w:trPr>
        <w:tc>
          <w:tcPr>
            <w:tcW w:w="2363" w:type="pct"/>
            <w:tcBorders>
              <w:top w:val="single" w:sz="8" w:space="0" w:color="auto"/>
              <w:bottom w:val="single" w:sz="8" w:space="0" w:color="auto"/>
            </w:tcBorders>
            <w:vAlign w:val="bottom"/>
            <w:hideMark/>
          </w:tcPr>
          <w:p w14:paraId="4FEEC396" w14:textId="0BEF82A3" w:rsidR="002A6AB5" w:rsidRPr="00F07DEB" w:rsidRDefault="002A6AB5" w:rsidP="00F07DEB">
            <w:pPr>
              <w:spacing w:after="0"/>
              <w:rPr>
                <w:rFonts w:ascii="Times New Roman" w:eastAsia="Times New Roman" w:hAnsi="Times New Roman" w:cs="Times New Roman"/>
                <w:bCs/>
                <w:sz w:val="20"/>
                <w:szCs w:val="20"/>
                <w:lang w:eastAsia="en-US"/>
              </w:rPr>
            </w:pPr>
            <w:r w:rsidRPr="00F07DEB">
              <w:rPr>
                <w:rFonts w:ascii="Times New Roman" w:eastAsia="Times New Roman" w:hAnsi="Times New Roman" w:cs="Times New Roman"/>
                <w:bCs/>
                <w:sz w:val="20"/>
                <w:szCs w:val="20"/>
                <w:lang w:eastAsia="en-US"/>
              </w:rPr>
              <w:t>Parameter</w:t>
            </w:r>
          </w:p>
        </w:tc>
        <w:tc>
          <w:tcPr>
            <w:tcW w:w="1461" w:type="pct"/>
            <w:tcBorders>
              <w:top w:val="single" w:sz="8" w:space="0" w:color="auto"/>
              <w:bottom w:val="single" w:sz="8" w:space="0" w:color="auto"/>
            </w:tcBorders>
            <w:vAlign w:val="bottom"/>
            <w:hideMark/>
          </w:tcPr>
          <w:p w14:paraId="15D23932" w14:textId="77777777" w:rsidR="002A6AB5" w:rsidRPr="00F07DEB" w:rsidRDefault="002A6AB5" w:rsidP="00F07DEB">
            <w:pPr>
              <w:spacing w:after="0"/>
              <w:rPr>
                <w:rFonts w:ascii="Times New Roman" w:eastAsia="Times New Roman" w:hAnsi="Times New Roman" w:cs="Times New Roman"/>
                <w:bCs/>
                <w:sz w:val="20"/>
                <w:szCs w:val="20"/>
                <w:lang w:eastAsia="en-US"/>
              </w:rPr>
            </w:pPr>
            <w:r w:rsidRPr="00F07DEB">
              <w:rPr>
                <w:rFonts w:ascii="Times New Roman" w:eastAsia="Times New Roman" w:hAnsi="Times New Roman" w:cs="Times New Roman"/>
                <w:bCs/>
                <w:sz w:val="20"/>
                <w:szCs w:val="20"/>
                <w:lang w:eastAsia="en-US"/>
              </w:rPr>
              <w:t>Influent (mg/L)</w:t>
            </w:r>
          </w:p>
        </w:tc>
        <w:tc>
          <w:tcPr>
            <w:tcW w:w="1177" w:type="pct"/>
            <w:tcBorders>
              <w:top w:val="single" w:sz="8" w:space="0" w:color="auto"/>
              <w:bottom w:val="single" w:sz="8" w:space="0" w:color="auto"/>
            </w:tcBorders>
            <w:vAlign w:val="bottom"/>
            <w:hideMark/>
          </w:tcPr>
          <w:p w14:paraId="3CE8F5A0" w14:textId="7F2C4644" w:rsidR="002A6AB5" w:rsidRPr="00F07DEB" w:rsidRDefault="002A6AB5" w:rsidP="002A6AB5">
            <w:pPr>
              <w:spacing w:after="0"/>
              <w:rPr>
                <w:rFonts w:ascii="Times New Roman" w:eastAsia="Times New Roman" w:hAnsi="Times New Roman" w:cs="Times New Roman"/>
                <w:bCs/>
                <w:sz w:val="20"/>
                <w:szCs w:val="20"/>
                <w:lang w:eastAsia="en-US"/>
              </w:rPr>
            </w:pPr>
            <w:r w:rsidRPr="00F07DEB">
              <w:rPr>
                <w:rFonts w:ascii="Times New Roman" w:eastAsia="Times New Roman" w:hAnsi="Times New Roman" w:cs="Times New Roman"/>
                <w:bCs/>
                <w:sz w:val="20"/>
                <w:szCs w:val="20"/>
                <w:lang w:eastAsia="en-US"/>
              </w:rPr>
              <w:t>Effluent (mg/L)</w:t>
            </w:r>
          </w:p>
        </w:tc>
      </w:tr>
      <w:tr w:rsidR="002A6AB5" w:rsidRPr="00F07DEB" w14:paraId="7276CD7A" w14:textId="10697973" w:rsidTr="002A6AB5">
        <w:trPr>
          <w:trHeight w:val="317"/>
        </w:trPr>
        <w:tc>
          <w:tcPr>
            <w:tcW w:w="2363" w:type="pct"/>
            <w:tcBorders>
              <w:top w:val="single" w:sz="8" w:space="0" w:color="auto"/>
            </w:tcBorders>
            <w:vAlign w:val="bottom"/>
            <w:hideMark/>
          </w:tcPr>
          <w:p w14:paraId="57B4855B" w14:textId="2085EFF4"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Alkalinity </w:t>
            </w:r>
            <w:r w:rsidRPr="00F07DEB">
              <w:rPr>
                <w:rFonts w:ascii="Times New Roman" w:eastAsia="Times New Roman" w:hAnsi="Times New Roman" w:cs="Times New Roman"/>
                <w:color w:val="000000"/>
                <w:sz w:val="20"/>
                <w:szCs w:val="20"/>
              </w:rPr>
              <w:t>(mg/L as CaCO</w:t>
            </w:r>
            <w:r w:rsidRPr="00F07DEB">
              <w:rPr>
                <w:rFonts w:ascii="Times New Roman" w:eastAsia="Times New Roman" w:hAnsi="Times New Roman" w:cs="Times New Roman"/>
                <w:color w:val="000000"/>
                <w:sz w:val="20"/>
                <w:szCs w:val="20"/>
                <w:vertAlign w:val="subscript"/>
              </w:rPr>
              <w:t>3</w:t>
            </w:r>
            <w:r w:rsidRPr="00F07DEB">
              <w:rPr>
                <w:rFonts w:ascii="Times New Roman" w:eastAsia="Times New Roman" w:hAnsi="Times New Roman" w:cs="Times New Roman"/>
                <w:color w:val="000000"/>
                <w:sz w:val="20"/>
                <w:szCs w:val="20"/>
              </w:rPr>
              <w:t xml:space="preserve"> eq.)</w:t>
            </w:r>
          </w:p>
        </w:tc>
        <w:tc>
          <w:tcPr>
            <w:tcW w:w="1461" w:type="pct"/>
            <w:tcBorders>
              <w:top w:val="single" w:sz="8" w:space="0" w:color="auto"/>
            </w:tcBorders>
            <w:vAlign w:val="bottom"/>
            <w:hideMark/>
          </w:tcPr>
          <w:p w14:paraId="436CD863" w14:textId="77777777"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394 ± 1.98</w:t>
            </w:r>
          </w:p>
        </w:tc>
        <w:tc>
          <w:tcPr>
            <w:tcW w:w="1177" w:type="pct"/>
            <w:tcBorders>
              <w:top w:val="single" w:sz="8" w:space="0" w:color="auto"/>
            </w:tcBorders>
            <w:vAlign w:val="bottom"/>
            <w:hideMark/>
          </w:tcPr>
          <w:p w14:paraId="41B6301F" w14:textId="25023511" w:rsidR="002A6AB5" w:rsidRPr="00F07DEB" w:rsidRDefault="002A6AB5" w:rsidP="002A6AB5">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193 ± 6.70</w:t>
            </w:r>
          </w:p>
        </w:tc>
      </w:tr>
      <w:tr w:rsidR="002A6AB5" w:rsidRPr="00F07DEB" w14:paraId="68424DF8" w14:textId="6F199D55" w:rsidTr="002A6AB5">
        <w:trPr>
          <w:trHeight w:val="317"/>
        </w:trPr>
        <w:tc>
          <w:tcPr>
            <w:tcW w:w="2363" w:type="pct"/>
            <w:vAlign w:val="bottom"/>
            <w:hideMark/>
          </w:tcPr>
          <w:p w14:paraId="52B5B921" w14:textId="0BB2CBCC"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As</w:t>
            </w:r>
            <w:r>
              <w:rPr>
                <w:rFonts w:ascii="Times New Roman" w:eastAsia="Times New Roman" w:hAnsi="Times New Roman" w:cs="Times New Roman"/>
                <w:color w:val="000000"/>
                <w:sz w:val="20"/>
                <w:szCs w:val="20"/>
                <w:lang w:eastAsia="en-US"/>
              </w:rPr>
              <w:t xml:space="preserve"> (mg/L)</w:t>
            </w:r>
          </w:p>
        </w:tc>
        <w:tc>
          <w:tcPr>
            <w:tcW w:w="1461" w:type="pct"/>
            <w:vAlign w:val="bottom"/>
            <w:hideMark/>
          </w:tcPr>
          <w:p w14:paraId="208C11EA" w14:textId="77777777"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0.061 ± 0.001</w:t>
            </w:r>
          </w:p>
        </w:tc>
        <w:tc>
          <w:tcPr>
            <w:tcW w:w="1177" w:type="pct"/>
            <w:vAlign w:val="bottom"/>
            <w:hideMark/>
          </w:tcPr>
          <w:p w14:paraId="3897F934" w14:textId="6E61F2C7" w:rsidR="002A6AB5" w:rsidRPr="00F07DEB" w:rsidRDefault="002A6AB5" w:rsidP="002A6AB5">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BDL (0.022)</w:t>
            </w:r>
          </w:p>
        </w:tc>
      </w:tr>
      <w:tr w:rsidR="002A6AB5" w:rsidRPr="00F07DEB" w14:paraId="2F3AD3A9" w14:textId="0CC1E246" w:rsidTr="002A6AB5">
        <w:trPr>
          <w:trHeight w:val="317"/>
        </w:trPr>
        <w:tc>
          <w:tcPr>
            <w:tcW w:w="2363" w:type="pct"/>
            <w:vAlign w:val="bottom"/>
            <w:hideMark/>
          </w:tcPr>
          <w:p w14:paraId="52B617E8" w14:textId="415C7B7C"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Cd</w:t>
            </w:r>
            <w:r>
              <w:rPr>
                <w:rFonts w:ascii="Times New Roman" w:eastAsia="Times New Roman" w:hAnsi="Times New Roman" w:cs="Times New Roman"/>
                <w:color w:val="000000"/>
                <w:sz w:val="20"/>
                <w:szCs w:val="20"/>
                <w:lang w:eastAsia="en-US"/>
              </w:rPr>
              <w:t xml:space="preserve"> (mg/L)</w:t>
            </w:r>
          </w:p>
        </w:tc>
        <w:tc>
          <w:tcPr>
            <w:tcW w:w="1461" w:type="pct"/>
            <w:vAlign w:val="bottom"/>
            <w:hideMark/>
          </w:tcPr>
          <w:p w14:paraId="2EBFFFF1" w14:textId="77777777"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0.016 ± 0.001</w:t>
            </w:r>
          </w:p>
        </w:tc>
        <w:tc>
          <w:tcPr>
            <w:tcW w:w="1177" w:type="pct"/>
            <w:vAlign w:val="bottom"/>
            <w:hideMark/>
          </w:tcPr>
          <w:p w14:paraId="16CA802B" w14:textId="59CAAF94" w:rsidR="002A6AB5" w:rsidRPr="00F07DEB" w:rsidRDefault="002A6AB5" w:rsidP="002A6AB5">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BDL (0.0012)</w:t>
            </w:r>
          </w:p>
        </w:tc>
      </w:tr>
      <w:tr w:rsidR="002A6AB5" w:rsidRPr="00F07DEB" w14:paraId="37F2F3AD" w14:textId="2D3770C5" w:rsidTr="002A6AB5">
        <w:trPr>
          <w:trHeight w:val="317"/>
        </w:trPr>
        <w:tc>
          <w:tcPr>
            <w:tcW w:w="2363" w:type="pct"/>
            <w:vAlign w:val="bottom"/>
            <w:hideMark/>
          </w:tcPr>
          <w:p w14:paraId="7ED6B8A8" w14:textId="13FA10DA"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Fe</w:t>
            </w:r>
            <w:r>
              <w:rPr>
                <w:rFonts w:ascii="Times New Roman" w:eastAsia="Times New Roman" w:hAnsi="Times New Roman" w:cs="Times New Roman"/>
                <w:color w:val="000000"/>
                <w:sz w:val="20"/>
                <w:szCs w:val="20"/>
                <w:lang w:eastAsia="en-US"/>
              </w:rPr>
              <w:t xml:space="preserve"> (mg/L)</w:t>
            </w:r>
          </w:p>
        </w:tc>
        <w:tc>
          <w:tcPr>
            <w:tcW w:w="1461" w:type="pct"/>
            <w:vAlign w:val="bottom"/>
            <w:hideMark/>
          </w:tcPr>
          <w:p w14:paraId="0E770310" w14:textId="77777777"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175 ± 1.34</w:t>
            </w:r>
          </w:p>
        </w:tc>
        <w:tc>
          <w:tcPr>
            <w:tcW w:w="1177" w:type="pct"/>
            <w:vAlign w:val="bottom"/>
            <w:hideMark/>
          </w:tcPr>
          <w:p w14:paraId="06BD445F" w14:textId="622EF096" w:rsidR="002A6AB5" w:rsidRPr="00F07DEB" w:rsidRDefault="002A6AB5" w:rsidP="002A6AB5">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0.489 ± 0.062</w:t>
            </w:r>
          </w:p>
        </w:tc>
      </w:tr>
      <w:tr w:rsidR="002A6AB5" w:rsidRPr="00F07DEB" w14:paraId="4B0B6AE8" w14:textId="3E98DF92" w:rsidTr="002A6AB5">
        <w:trPr>
          <w:trHeight w:val="317"/>
        </w:trPr>
        <w:tc>
          <w:tcPr>
            <w:tcW w:w="2363" w:type="pct"/>
            <w:vAlign w:val="bottom"/>
            <w:hideMark/>
          </w:tcPr>
          <w:p w14:paraId="7E7AF362" w14:textId="7B6535A3"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Ni</w:t>
            </w:r>
            <w:r>
              <w:rPr>
                <w:rFonts w:ascii="Times New Roman" w:eastAsia="Times New Roman" w:hAnsi="Times New Roman" w:cs="Times New Roman"/>
                <w:color w:val="000000"/>
                <w:sz w:val="20"/>
                <w:szCs w:val="20"/>
                <w:lang w:eastAsia="en-US"/>
              </w:rPr>
              <w:t xml:space="preserve"> (mg/L)</w:t>
            </w:r>
          </w:p>
        </w:tc>
        <w:tc>
          <w:tcPr>
            <w:tcW w:w="1461" w:type="pct"/>
            <w:vAlign w:val="bottom"/>
            <w:hideMark/>
          </w:tcPr>
          <w:p w14:paraId="4DD7F801" w14:textId="77777777"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0.890 ± 0.006</w:t>
            </w:r>
          </w:p>
        </w:tc>
        <w:tc>
          <w:tcPr>
            <w:tcW w:w="1177" w:type="pct"/>
            <w:vAlign w:val="bottom"/>
            <w:hideMark/>
          </w:tcPr>
          <w:p w14:paraId="71520C83" w14:textId="05124FCD" w:rsidR="002A6AB5" w:rsidRPr="00F07DEB" w:rsidRDefault="002A6AB5" w:rsidP="002A6AB5">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0.205 ± 0.034</w:t>
            </w:r>
          </w:p>
        </w:tc>
      </w:tr>
      <w:tr w:rsidR="002A6AB5" w:rsidRPr="00F07DEB" w14:paraId="430712B8" w14:textId="0106DE71" w:rsidTr="002A6AB5">
        <w:trPr>
          <w:trHeight w:val="317"/>
        </w:trPr>
        <w:tc>
          <w:tcPr>
            <w:tcW w:w="2363" w:type="pct"/>
            <w:vAlign w:val="bottom"/>
            <w:hideMark/>
          </w:tcPr>
          <w:p w14:paraId="101134CE" w14:textId="74C7A220" w:rsidR="002A6AB5" w:rsidRPr="00F07DEB" w:rsidRDefault="002A6AB5" w:rsidP="00F07DEB">
            <w:pPr>
              <w:spacing w:after="0"/>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Pb</w:t>
            </w:r>
            <w:proofErr w:type="spellEnd"/>
            <w:r>
              <w:rPr>
                <w:rFonts w:ascii="Times New Roman" w:eastAsia="Times New Roman" w:hAnsi="Times New Roman" w:cs="Times New Roman"/>
                <w:color w:val="000000"/>
                <w:sz w:val="20"/>
                <w:szCs w:val="20"/>
                <w:lang w:eastAsia="en-US"/>
              </w:rPr>
              <w:t xml:space="preserve"> (mg/L)</w:t>
            </w:r>
          </w:p>
        </w:tc>
        <w:tc>
          <w:tcPr>
            <w:tcW w:w="1461" w:type="pct"/>
            <w:vAlign w:val="bottom"/>
            <w:hideMark/>
          </w:tcPr>
          <w:p w14:paraId="7F23733C" w14:textId="77777777"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0.077 ± 0.003</w:t>
            </w:r>
          </w:p>
        </w:tc>
        <w:tc>
          <w:tcPr>
            <w:tcW w:w="1177" w:type="pct"/>
            <w:vAlign w:val="bottom"/>
            <w:hideMark/>
          </w:tcPr>
          <w:p w14:paraId="0E08D20A" w14:textId="5EEAA6A9" w:rsidR="002A6AB5" w:rsidRPr="00F07DEB" w:rsidRDefault="002A6AB5" w:rsidP="002A6AB5">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0.032 ± 0.004</w:t>
            </w:r>
          </w:p>
        </w:tc>
      </w:tr>
      <w:tr w:rsidR="002A6AB5" w:rsidRPr="00F07DEB" w14:paraId="36E76B78" w14:textId="5D1B9623" w:rsidTr="002A6AB5">
        <w:trPr>
          <w:trHeight w:val="317"/>
        </w:trPr>
        <w:tc>
          <w:tcPr>
            <w:tcW w:w="2363" w:type="pct"/>
            <w:vAlign w:val="bottom"/>
            <w:hideMark/>
          </w:tcPr>
          <w:p w14:paraId="016601C7" w14:textId="29A3A5D4"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Zn</w:t>
            </w:r>
            <w:r>
              <w:rPr>
                <w:rFonts w:ascii="Times New Roman" w:eastAsia="Times New Roman" w:hAnsi="Times New Roman" w:cs="Times New Roman"/>
                <w:color w:val="000000"/>
                <w:sz w:val="20"/>
                <w:szCs w:val="20"/>
                <w:lang w:eastAsia="en-US"/>
              </w:rPr>
              <w:t xml:space="preserve"> (mg/L)</w:t>
            </w:r>
          </w:p>
        </w:tc>
        <w:tc>
          <w:tcPr>
            <w:tcW w:w="1461" w:type="pct"/>
            <w:vAlign w:val="bottom"/>
            <w:hideMark/>
          </w:tcPr>
          <w:p w14:paraId="415ED61B" w14:textId="77777777"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8.40 ± 0.097</w:t>
            </w:r>
          </w:p>
        </w:tc>
        <w:tc>
          <w:tcPr>
            <w:tcW w:w="1177" w:type="pct"/>
            <w:vAlign w:val="bottom"/>
            <w:hideMark/>
          </w:tcPr>
          <w:p w14:paraId="6E48A718" w14:textId="4146C921" w:rsidR="002A6AB5" w:rsidRPr="00F07DEB" w:rsidRDefault="002A6AB5" w:rsidP="002A6AB5">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0.480 ± 0.116</w:t>
            </w:r>
          </w:p>
        </w:tc>
      </w:tr>
      <w:tr w:rsidR="002A6AB5" w:rsidRPr="00F07DEB" w14:paraId="14A4D865" w14:textId="056337F7" w:rsidTr="002A6AB5">
        <w:trPr>
          <w:trHeight w:val="317"/>
        </w:trPr>
        <w:tc>
          <w:tcPr>
            <w:tcW w:w="2363" w:type="pct"/>
            <w:vAlign w:val="bottom"/>
            <w:hideMark/>
          </w:tcPr>
          <w:p w14:paraId="6712B062" w14:textId="77777777"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pH</w:t>
            </w:r>
          </w:p>
        </w:tc>
        <w:tc>
          <w:tcPr>
            <w:tcW w:w="1461" w:type="pct"/>
            <w:vAlign w:val="bottom"/>
            <w:hideMark/>
          </w:tcPr>
          <w:p w14:paraId="53059EFB" w14:textId="77777777"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5.97 ± 0.01</w:t>
            </w:r>
          </w:p>
        </w:tc>
        <w:tc>
          <w:tcPr>
            <w:tcW w:w="1177" w:type="pct"/>
            <w:vAlign w:val="bottom"/>
            <w:hideMark/>
          </w:tcPr>
          <w:p w14:paraId="19B0D4EF" w14:textId="1045151A" w:rsidR="002A6AB5" w:rsidRPr="00F07DEB" w:rsidRDefault="002A6AB5" w:rsidP="002A6AB5">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7.05 ± 0.03</w:t>
            </w:r>
          </w:p>
        </w:tc>
      </w:tr>
      <w:tr w:rsidR="002A6AB5" w:rsidRPr="00F07DEB" w14:paraId="580A3534" w14:textId="60C3ED71" w:rsidTr="002A6AB5">
        <w:trPr>
          <w:trHeight w:val="317"/>
        </w:trPr>
        <w:tc>
          <w:tcPr>
            <w:tcW w:w="2363" w:type="pct"/>
            <w:vAlign w:val="bottom"/>
            <w:hideMark/>
          </w:tcPr>
          <w:p w14:paraId="130E66D2" w14:textId="77777777"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Salinity (</w:t>
            </w:r>
            <w:proofErr w:type="spellStart"/>
            <w:r w:rsidRPr="00F07DEB">
              <w:rPr>
                <w:rFonts w:ascii="Times New Roman" w:eastAsia="Times New Roman" w:hAnsi="Times New Roman" w:cs="Times New Roman"/>
                <w:color w:val="000000"/>
                <w:sz w:val="20"/>
                <w:szCs w:val="20"/>
                <w:lang w:eastAsia="en-US"/>
              </w:rPr>
              <w:t>ppt</w:t>
            </w:r>
            <w:proofErr w:type="spellEnd"/>
            <w:r w:rsidRPr="00F07DEB">
              <w:rPr>
                <w:rFonts w:ascii="Times New Roman" w:eastAsia="Times New Roman" w:hAnsi="Times New Roman" w:cs="Times New Roman"/>
                <w:color w:val="000000"/>
                <w:sz w:val="20"/>
                <w:szCs w:val="20"/>
                <w:lang w:eastAsia="en-US"/>
              </w:rPr>
              <w:t>)</w:t>
            </w:r>
          </w:p>
        </w:tc>
        <w:tc>
          <w:tcPr>
            <w:tcW w:w="1461" w:type="pct"/>
            <w:vAlign w:val="bottom"/>
            <w:hideMark/>
          </w:tcPr>
          <w:p w14:paraId="2A8B4EBF" w14:textId="77777777"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1.79 ± 0.011</w:t>
            </w:r>
          </w:p>
        </w:tc>
        <w:tc>
          <w:tcPr>
            <w:tcW w:w="1177" w:type="pct"/>
            <w:vAlign w:val="bottom"/>
            <w:hideMark/>
          </w:tcPr>
          <w:p w14:paraId="3D58C1AA" w14:textId="5AB38B51" w:rsidR="002A6AB5" w:rsidRPr="00F07DEB" w:rsidRDefault="002A6AB5" w:rsidP="002A6AB5">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1.63 ± 0.024</w:t>
            </w:r>
          </w:p>
        </w:tc>
      </w:tr>
      <w:tr w:rsidR="002A6AB5" w:rsidRPr="00F07DEB" w14:paraId="1F16D016" w14:textId="55E5DDD3" w:rsidTr="002A6AB5">
        <w:trPr>
          <w:trHeight w:val="317"/>
        </w:trPr>
        <w:tc>
          <w:tcPr>
            <w:tcW w:w="2363" w:type="pct"/>
            <w:vAlign w:val="bottom"/>
            <w:hideMark/>
          </w:tcPr>
          <w:p w14:paraId="1AA7E309" w14:textId="28D2EAEC"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TDS (g/L)</w:t>
            </w:r>
          </w:p>
        </w:tc>
        <w:tc>
          <w:tcPr>
            <w:tcW w:w="1461" w:type="pct"/>
            <w:vAlign w:val="bottom"/>
            <w:hideMark/>
          </w:tcPr>
          <w:p w14:paraId="35BD8D43" w14:textId="77777777"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2.22 ± 0.011</w:t>
            </w:r>
          </w:p>
        </w:tc>
        <w:tc>
          <w:tcPr>
            <w:tcW w:w="1177" w:type="pct"/>
            <w:vAlign w:val="bottom"/>
            <w:hideMark/>
          </w:tcPr>
          <w:p w14:paraId="43E117A2" w14:textId="232A848C" w:rsidR="002A6AB5" w:rsidRPr="00F07DEB" w:rsidRDefault="002A6AB5" w:rsidP="002A6AB5">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2.04 ± 0.028</w:t>
            </w:r>
          </w:p>
        </w:tc>
      </w:tr>
      <w:tr w:rsidR="002A6AB5" w:rsidRPr="00F07DEB" w14:paraId="25E0C7DF" w14:textId="1CBAD073" w:rsidTr="002A6AB5">
        <w:trPr>
          <w:trHeight w:val="317"/>
        </w:trPr>
        <w:tc>
          <w:tcPr>
            <w:tcW w:w="2363" w:type="pct"/>
            <w:vAlign w:val="bottom"/>
            <w:hideMark/>
          </w:tcPr>
          <w:p w14:paraId="49398E7E" w14:textId="061D87C4"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SO₄</w:t>
            </w:r>
            <w:r w:rsidRPr="00F07DEB">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lang w:eastAsia="en-US"/>
              </w:rPr>
              <w:t xml:space="preserve"> (mg/L)</w:t>
            </w:r>
          </w:p>
        </w:tc>
        <w:tc>
          <w:tcPr>
            <w:tcW w:w="1461" w:type="pct"/>
            <w:vAlign w:val="bottom"/>
            <w:hideMark/>
          </w:tcPr>
          <w:p w14:paraId="401C61F2" w14:textId="77777777" w:rsidR="002A6AB5" w:rsidRPr="00F07DEB" w:rsidRDefault="002A6AB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2190 ± 19.3</w:t>
            </w:r>
          </w:p>
        </w:tc>
        <w:tc>
          <w:tcPr>
            <w:tcW w:w="1177" w:type="pct"/>
            <w:vAlign w:val="bottom"/>
            <w:hideMark/>
          </w:tcPr>
          <w:p w14:paraId="1BE66984" w14:textId="76BC9856" w:rsidR="002A6AB5" w:rsidRPr="00F07DEB" w:rsidRDefault="002A6AB5" w:rsidP="002A6AB5">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2100 ± 75.1</w:t>
            </w:r>
          </w:p>
        </w:tc>
      </w:tr>
    </w:tbl>
    <w:p w14:paraId="35EE2433" w14:textId="52826108" w:rsidR="00A100E2" w:rsidRPr="002A6AB5" w:rsidRDefault="002A6AB5" w:rsidP="002A6AB5">
      <w:pPr>
        <w:spacing w:line="480" w:lineRule="auto"/>
        <w:rPr>
          <w:rFonts w:ascii="Times New Roman" w:hAnsi="Times New Roman" w:cs="Times New Roman"/>
          <w:sz w:val="20"/>
          <w:szCs w:val="24"/>
        </w:rPr>
      </w:pPr>
      <w:r>
        <w:rPr>
          <w:rFonts w:ascii="Times New Roman" w:hAnsi="Times New Roman" w:cs="Times New Roman"/>
          <w:sz w:val="20"/>
          <w:szCs w:val="24"/>
        </w:rPr>
        <w:t>Sample size n ranges from 169 to 257 for influent parameters and 47 to 49 for effluent parameters.</w:t>
      </w:r>
    </w:p>
    <w:p w14:paraId="15CE7BCB" w14:textId="33384E23" w:rsidR="00375B31" w:rsidRDefault="00D806EE" w:rsidP="00191F32">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Artesian discharge rates of mine drainage in Ottawa County are influenced by weather, as precipitation and infiltration alter the mine pool elevation. Mine water discharges via seeps, springs, and </w:t>
      </w:r>
      <w:proofErr w:type="spellStart"/>
      <w:r w:rsidRPr="00F07DEB">
        <w:rPr>
          <w:rFonts w:ascii="Times New Roman" w:hAnsi="Times New Roman" w:cs="Times New Roman"/>
          <w:sz w:val="24"/>
          <w:szCs w:val="24"/>
        </w:rPr>
        <w:t>upwellings</w:t>
      </w:r>
      <w:proofErr w:type="spellEnd"/>
      <w:r w:rsidRPr="00F07DEB">
        <w:rPr>
          <w:rFonts w:ascii="Times New Roman" w:hAnsi="Times New Roman" w:cs="Times New Roman"/>
          <w:sz w:val="24"/>
          <w:szCs w:val="24"/>
        </w:rPr>
        <w:t xml:space="preserve"> in places where the mine pool elevation is greater than the </w:t>
      </w:r>
      <w:r w:rsidR="00B77A34">
        <w:rPr>
          <w:rFonts w:ascii="Times New Roman" w:hAnsi="Times New Roman" w:cs="Times New Roman"/>
          <w:sz w:val="24"/>
          <w:szCs w:val="24"/>
        </w:rPr>
        <w:t xml:space="preserve">land </w:t>
      </w:r>
      <w:r w:rsidRPr="00F07DEB">
        <w:rPr>
          <w:rFonts w:ascii="Times New Roman" w:hAnsi="Times New Roman" w:cs="Times New Roman"/>
          <w:sz w:val="24"/>
          <w:szCs w:val="24"/>
        </w:rPr>
        <w:t xml:space="preserve">surface elevation. MRPTS and SECPTS treat a combined average flow of approximately 0.53 MGD, which is almost identical to the average water demand of Ottawa County cattle </w:t>
      </w:r>
      <w:r w:rsidRPr="00F07DEB">
        <w:rPr>
          <w:rFonts w:ascii="Times New Roman" w:hAnsi="Times New Roman" w:cs="Times New Roman"/>
          <w:sz w:val="24"/>
          <w:szCs w:val="24"/>
        </w:rPr>
        <w:fldChar w:fldCharType="begin"/>
      </w:r>
      <w:r w:rsidR="0031694C" w:rsidRPr="00F07DEB">
        <w:rPr>
          <w:rFonts w:ascii="Times New Roman" w:hAnsi="Times New Roman" w:cs="Times New Roman"/>
          <w:sz w:val="24"/>
          <w:szCs w:val="24"/>
        </w:rPr>
        <w:instrText xml:space="preserve"> ADDIN ZOTERO_ITEM CSL_CITATION {"citationID":"pxiA1pwt","properties":{"formattedCitation":"(R. W. Nairn, 2019)","plainCitation":"(R. W. Nairn, 2019)","dontUpdate":true,"noteIndex":0},"citationItems":[{"id":173,"uris":["http://zotero.org/users/5446453/items/XP3FK83E"],"uri":["http://zotero.org/users/5446453/items/XP3FK83E"],"itemData":{"id":173,"type":"speech","event":"CREW Meeting","event-place":"Norman, OK","publisher-place":"Norman, OK","title":"A Decade of Successful Performance: Ecotoxic Metal Retention in Ecologically Engineered Passive Treatment Systems Contributes to Stream Recovery in a Mining-Disturbed Watershed","author":[{"family":"Nairn","given":"R. W."}],"issued":{"date-parts":[["2019"]]}}}],"schema":"https://github.com/citation-style-language/schema/raw/master/csl-citation.json"} </w:instrText>
      </w:r>
      <w:r w:rsidRPr="00F07DEB">
        <w:rPr>
          <w:rFonts w:ascii="Times New Roman" w:hAnsi="Times New Roman" w:cs="Times New Roman"/>
          <w:sz w:val="24"/>
          <w:szCs w:val="24"/>
        </w:rPr>
        <w:fldChar w:fldCharType="separate"/>
      </w:r>
      <w:r w:rsidR="008309DB" w:rsidRPr="00F07DEB">
        <w:rPr>
          <w:rFonts w:ascii="Times New Roman" w:hAnsi="Times New Roman" w:cs="Times New Roman"/>
          <w:sz w:val="24"/>
        </w:rPr>
        <w:t>(Nairn, 2019)</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It is estimated that contaminated mine waters enter eastern Oklahoma streams at rates between 3 and 8 MGD; these flows pose a considerable threat to the environment when left untreated, but could become a valuable natural resource following the implementation of passive treatment </w:t>
      </w:r>
      <w:r w:rsidRPr="00F07DEB">
        <w:rPr>
          <w:rFonts w:ascii="Times New Roman" w:hAnsi="Times New Roman" w:cs="Times New Roman"/>
          <w:sz w:val="24"/>
          <w:szCs w:val="24"/>
        </w:rPr>
        <w:fldChar w:fldCharType="begin"/>
      </w:r>
      <w:r w:rsidR="0031694C" w:rsidRPr="00F07DEB">
        <w:rPr>
          <w:rFonts w:ascii="Times New Roman" w:hAnsi="Times New Roman" w:cs="Times New Roman"/>
          <w:sz w:val="24"/>
          <w:szCs w:val="24"/>
        </w:rPr>
        <w:instrText xml:space="preserve"> ADDIN ZOTERO_ITEM CSL_CITATION {"citationID":"js4XqVnC","properties":{"formattedCitation":"(R. W. Nairn &amp; Strevett, 2009)","plainCitation":"(R. W. Nairn &amp; Strevett, 2009)","dontUpdate":true,"noteIndex":0},"citationItems":[{"id":175,"uris":["http://zotero.org/users/5446453/items/QC7CPC4Y"],"uri":["http://zotero.org/users/5446453/items/QC7CPC4Y"],"itemData":{"id":175,"type":"article","title":"Evaluating Wastewater Reuse for Livestock Watering","author":[{"family":"Nairn","given":"R. W."},{"family":"Strevett","given":"K. A."}],"issued":{"date-parts":[["2009"]]}}}],"schema":"https://github.com/citation-style-language/schema/raw/master/csl-citation.json"} </w:instrText>
      </w:r>
      <w:r w:rsidRPr="00F07DEB">
        <w:rPr>
          <w:rFonts w:ascii="Times New Roman" w:hAnsi="Times New Roman" w:cs="Times New Roman"/>
          <w:sz w:val="24"/>
          <w:szCs w:val="24"/>
        </w:rPr>
        <w:fldChar w:fldCharType="separate"/>
      </w:r>
      <w:r w:rsidR="008309DB" w:rsidRPr="00F07DEB">
        <w:rPr>
          <w:rFonts w:ascii="Times New Roman" w:hAnsi="Times New Roman" w:cs="Times New Roman"/>
          <w:sz w:val="24"/>
        </w:rPr>
        <w:t xml:space="preserve">(Nairn </w:t>
      </w:r>
      <w:r w:rsidR="002A6AB5">
        <w:rPr>
          <w:rFonts w:ascii="Times New Roman" w:hAnsi="Times New Roman" w:cs="Times New Roman"/>
          <w:sz w:val="24"/>
        </w:rPr>
        <w:t>and</w:t>
      </w:r>
      <w:r w:rsidR="008309DB" w:rsidRPr="00F07DEB">
        <w:rPr>
          <w:rFonts w:ascii="Times New Roman" w:hAnsi="Times New Roman" w:cs="Times New Roman"/>
          <w:sz w:val="24"/>
        </w:rPr>
        <w:t xml:space="preserve"> Strevett, 2009)</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w:t>
      </w:r>
    </w:p>
    <w:p w14:paraId="63C2620C" w14:textId="189A8B95" w:rsidR="00191F32" w:rsidRPr="00F07DEB" w:rsidRDefault="00375B31" w:rsidP="00375B31">
      <w:pPr>
        <w:rPr>
          <w:rFonts w:ascii="Times New Roman" w:hAnsi="Times New Roman" w:cs="Times New Roman"/>
          <w:sz w:val="24"/>
          <w:szCs w:val="24"/>
        </w:rPr>
      </w:pPr>
      <w:r>
        <w:rPr>
          <w:rFonts w:ascii="Times New Roman" w:hAnsi="Times New Roman" w:cs="Times New Roman"/>
          <w:sz w:val="24"/>
          <w:szCs w:val="24"/>
        </w:rPr>
        <w:br w:type="page"/>
      </w:r>
    </w:p>
    <w:p w14:paraId="249D0056" w14:textId="45A41CED" w:rsidR="00C873AA" w:rsidRPr="00F07DEB" w:rsidRDefault="005948F3" w:rsidP="00C873AA">
      <w:pPr>
        <w:pStyle w:val="Heading2"/>
      </w:pPr>
      <w:bookmarkStart w:id="7" w:name="_Toc58975150"/>
      <w:r w:rsidRPr="00F07DEB">
        <w:lastRenderedPageBreak/>
        <w:t>Reuse of Treated Wastewaters for Animal C</w:t>
      </w:r>
      <w:r w:rsidR="00C873AA" w:rsidRPr="00F07DEB">
        <w:t>onsumption</w:t>
      </w:r>
      <w:bookmarkEnd w:id="7"/>
    </w:p>
    <w:p w14:paraId="3F32FDE6" w14:textId="77777777" w:rsidR="00C873AA" w:rsidRPr="00F07DEB" w:rsidRDefault="00C873AA" w:rsidP="00437290">
      <w:pPr>
        <w:rPr>
          <w:rFonts w:ascii="Times New Roman" w:hAnsi="Times New Roman" w:cs="Times New Roman"/>
        </w:rPr>
      </w:pPr>
    </w:p>
    <w:p w14:paraId="6F3D73DC" w14:textId="7559C96D" w:rsidR="00625325" w:rsidRPr="00F07DEB" w:rsidRDefault="00A77B9A" w:rsidP="00031635">
      <w:pPr>
        <w:spacing w:line="480" w:lineRule="auto"/>
        <w:ind w:firstLine="720"/>
        <w:rPr>
          <w:rFonts w:ascii="Times New Roman" w:hAnsi="Times New Roman" w:cs="Times New Roman"/>
          <w:sz w:val="24"/>
        </w:rPr>
      </w:pPr>
      <w:r w:rsidRPr="00F07DEB">
        <w:rPr>
          <w:rFonts w:ascii="Times New Roman" w:hAnsi="Times New Roman" w:cs="Times New Roman"/>
          <w:sz w:val="24"/>
        </w:rPr>
        <w:t xml:space="preserve">The Food and Agriculture Organization of the United Nations broadly defines ‘marginal quality’ water as water that would be problematic when applied for its designed use </w:t>
      </w:r>
      <w:r w:rsidRPr="00F07DEB">
        <w:rPr>
          <w:rFonts w:ascii="Times New Roman" w:hAnsi="Times New Roman" w:cs="Times New Roman"/>
          <w:sz w:val="24"/>
        </w:rPr>
        <w:fldChar w:fldCharType="begin"/>
      </w:r>
      <w:r w:rsidRPr="00F07DEB">
        <w:rPr>
          <w:rFonts w:ascii="Times New Roman" w:hAnsi="Times New Roman" w:cs="Times New Roman"/>
          <w:sz w:val="24"/>
        </w:rPr>
        <w:instrText xml:space="preserve"> ADDIN ZOTERO_ITEM CSL_CITATION {"citationID":"6otbqFBv","properties":{"formattedCitation":"(Pescod, 1992)","plainCitation":"(Pescod, 1992)","noteIndex":0},"citationItems":[{"id":315,"uris":["http://zotero.org/users/5446453/items/NEYTNK6R"],"uri":["http://zotero.org/users/5446453/items/NEYTNK6R"],"itemData":{"id":315,"type":"webpage","container-title":"Food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schema":"https://github.com/citation-style-language/schema/raw/master/csl-citation.json"} </w:instrText>
      </w:r>
      <w:r w:rsidRPr="00F07DEB">
        <w:rPr>
          <w:rFonts w:ascii="Times New Roman" w:hAnsi="Times New Roman" w:cs="Times New Roman"/>
          <w:sz w:val="24"/>
        </w:rPr>
        <w:fldChar w:fldCharType="separate"/>
      </w:r>
      <w:r w:rsidR="00234033" w:rsidRPr="00234033">
        <w:rPr>
          <w:rFonts w:ascii="Times New Roman" w:hAnsi="Times New Roman" w:cs="Times New Roman"/>
          <w:sz w:val="24"/>
        </w:rPr>
        <w:t>(Pescod, 1992)</w:t>
      </w:r>
      <w:r w:rsidRPr="00F07DEB">
        <w:rPr>
          <w:rFonts w:ascii="Times New Roman" w:hAnsi="Times New Roman" w:cs="Times New Roman"/>
          <w:sz w:val="24"/>
        </w:rPr>
        <w:fldChar w:fldCharType="end"/>
      </w:r>
      <w:r w:rsidRPr="00F07DEB">
        <w:rPr>
          <w:rFonts w:ascii="Times New Roman" w:hAnsi="Times New Roman" w:cs="Times New Roman"/>
          <w:sz w:val="24"/>
        </w:rPr>
        <w:t xml:space="preserve">. This includes </w:t>
      </w:r>
      <w:r w:rsidR="00A22E0A" w:rsidRPr="00F07DEB">
        <w:rPr>
          <w:rFonts w:ascii="Times New Roman" w:hAnsi="Times New Roman" w:cs="Times New Roman"/>
          <w:sz w:val="24"/>
        </w:rPr>
        <w:t>domestic, industrial, and agricultural</w:t>
      </w:r>
      <w:r w:rsidRPr="00F07DEB">
        <w:rPr>
          <w:rFonts w:ascii="Times New Roman" w:hAnsi="Times New Roman" w:cs="Times New Roman"/>
          <w:sz w:val="24"/>
        </w:rPr>
        <w:t xml:space="preserve"> wastewater, which for the purposes of this study will be referred to simply as ‘wastewater.’ This catch-all </w:t>
      </w:r>
      <w:r w:rsidR="007C15C3" w:rsidRPr="00F07DEB">
        <w:rPr>
          <w:rFonts w:ascii="Times New Roman" w:hAnsi="Times New Roman" w:cs="Times New Roman"/>
          <w:sz w:val="24"/>
        </w:rPr>
        <w:t xml:space="preserve">term </w:t>
      </w:r>
      <w:r w:rsidRPr="00F07DEB">
        <w:rPr>
          <w:rFonts w:ascii="Times New Roman" w:hAnsi="Times New Roman" w:cs="Times New Roman"/>
          <w:sz w:val="24"/>
        </w:rPr>
        <w:t xml:space="preserve">describes any </w:t>
      </w:r>
      <w:r w:rsidR="005927DB" w:rsidRPr="00F07DEB">
        <w:rPr>
          <w:rFonts w:ascii="Times New Roman" w:hAnsi="Times New Roman" w:cs="Times New Roman"/>
          <w:sz w:val="24"/>
        </w:rPr>
        <w:t xml:space="preserve">water </w:t>
      </w:r>
      <w:r w:rsidR="00DA1DFF" w:rsidRPr="00F07DEB">
        <w:rPr>
          <w:rFonts w:ascii="Times New Roman" w:hAnsi="Times New Roman" w:cs="Times New Roman"/>
          <w:sz w:val="24"/>
        </w:rPr>
        <w:t xml:space="preserve">which has </w:t>
      </w:r>
      <w:r w:rsidR="005927DB" w:rsidRPr="00F07DEB">
        <w:rPr>
          <w:rFonts w:ascii="Times New Roman" w:hAnsi="Times New Roman" w:cs="Times New Roman"/>
          <w:sz w:val="24"/>
        </w:rPr>
        <w:t>expended beneficial use in its current state</w:t>
      </w:r>
      <w:r w:rsidR="00DA1DFF" w:rsidRPr="00F07DEB">
        <w:rPr>
          <w:rFonts w:ascii="Times New Roman" w:hAnsi="Times New Roman" w:cs="Times New Roman"/>
          <w:sz w:val="24"/>
        </w:rPr>
        <w:t xml:space="preserve"> and is therefore no longer wanted. Due to the finite supply of accessible freshwater at a given point in space and time, however, treating wastewa</w:t>
      </w:r>
      <w:r w:rsidR="00A100E2">
        <w:rPr>
          <w:rFonts w:ascii="Times New Roman" w:hAnsi="Times New Roman" w:cs="Times New Roman"/>
          <w:sz w:val="24"/>
        </w:rPr>
        <w:t xml:space="preserve">ter to extend its use has long been a focus of United Nations development goals and has increased in prevalence worldwide </w:t>
      </w:r>
      <w:r w:rsidR="00A100E2">
        <w:rPr>
          <w:rFonts w:ascii="Times New Roman" w:hAnsi="Times New Roman" w:cs="Times New Roman"/>
          <w:sz w:val="24"/>
        </w:rPr>
        <w:fldChar w:fldCharType="begin"/>
      </w:r>
      <w:r w:rsidR="00FF5DF8">
        <w:rPr>
          <w:rFonts w:ascii="Times New Roman" w:hAnsi="Times New Roman" w:cs="Times New Roman"/>
          <w:sz w:val="24"/>
        </w:rPr>
        <w:instrText xml:space="preserve"> ADDIN ZOTERO_ITEM CSL_CITATION {"citationID":"afllgpifqc","properties":{"formattedCitation":"(Baum et al., 2013)","plainCitation":"(Baum et al., 2013)","noteIndex":0},"citationItems":[{"id":924,"uris":["http://zotero.org/users/5446453/items/DRQN8ZL4"],"uri":["http://zotero.org/users/5446453/items/DRQN8ZL4"],"itemData":{"id":924,"type":"article-journal","abstract":"Progress toward the sanitation component of Millennium Development Goal (MDG) Target 7c was reassessed to account for the need to protect communities and the wider population from exposure to human excreta. We classified connections to sewerage as “improved sanitation” only if the sewage was treated before discharge to the environment. Sewerage connection data was available for 167 countries in 2010; of these, 77 had published data on sewage treatment prevalence. We developed an empirical model to estimate sewage treatment prevalence for 47 additional countries. We estimate that in 2010, 40% of the global population (2.8 billion people) used improved sanitation, as opposed to the estimate of 62% (4.3 billion people) from the WHO/UNICEF Joint Monitoring Programme (JMP), and that 4.1 billion people lacked access to an improved sanitation facility. Redefining sewerage-without-treatment as “unimproved sanitation” in MDG monitoring would raise the 1990 baseline population using unimproved sanitation from 53% to 64% and the corresponding 2015 target from 27% to 32%. At the current rate of progress, we estimate a shortfall of 28 percentage points (1.9 billion people) in 2010 and a projected 27 percentage point shortfall in 2015.","container-title":"Environmental Science &amp; Technology","DOI":"10.1021/es304284f","ISSN":"0013-936X","issue":"4","journalAbbreviation":"Environ. Sci. Technol.","note":"publisher: American Chemical Society","page":"1994-2000","source":"ACS Publications","title":"Sanitation: A Global Estimate of Sewerage Connections without Treatment and the Resulting Impact on MDG Progress","title-short":"Sanitation","volume":"47","author":[{"family":"Baum","given":"Rachel"},{"family":"Luh","given":"Jeanne"},{"family":"Bartram","given":"Jamie"}],"issued":{"date-parts":[["2013",2,19]]}}}],"schema":"https://github.com/citation-style-language/schema/raw/master/csl-citation.json"} </w:instrText>
      </w:r>
      <w:r w:rsidR="00A100E2">
        <w:rPr>
          <w:rFonts w:ascii="Times New Roman" w:hAnsi="Times New Roman" w:cs="Times New Roman"/>
          <w:sz w:val="24"/>
        </w:rPr>
        <w:fldChar w:fldCharType="separate"/>
      </w:r>
      <w:r w:rsidR="00234033" w:rsidRPr="00234033">
        <w:rPr>
          <w:rFonts w:ascii="Times New Roman" w:hAnsi="Times New Roman" w:cs="Times New Roman"/>
          <w:sz w:val="24"/>
        </w:rPr>
        <w:t>(Baum et al., 2013)</w:t>
      </w:r>
      <w:r w:rsidR="00A100E2">
        <w:rPr>
          <w:rFonts w:ascii="Times New Roman" w:hAnsi="Times New Roman" w:cs="Times New Roman"/>
          <w:sz w:val="24"/>
        </w:rPr>
        <w:fldChar w:fldCharType="end"/>
      </w:r>
      <w:r w:rsidR="00DA1DFF" w:rsidRPr="00F07DEB">
        <w:rPr>
          <w:rFonts w:ascii="Times New Roman" w:hAnsi="Times New Roman" w:cs="Times New Roman"/>
          <w:sz w:val="24"/>
        </w:rPr>
        <w:t xml:space="preserve">. </w:t>
      </w:r>
      <w:r w:rsidR="00F661E5" w:rsidRPr="00F07DEB">
        <w:rPr>
          <w:rFonts w:ascii="Times New Roman" w:hAnsi="Times New Roman" w:cs="Times New Roman"/>
          <w:sz w:val="24"/>
        </w:rPr>
        <w:t xml:space="preserve">Cattle typically drink fresh surface water or groundwater, but scientists concerned about water scarcity are beginning to look into watering </w:t>
      </w:r>
      <w:r w:rsidR="00A100E2">
        <w:rPr>
          <w:rFonts w:ascii="Times New Roman" w:hAnsi="Times New Roman" w:cs="Times New Roman"/>
          <w:sz w:val="24"/>
        </w:rPr>
        <w:t xml:space="preserve">pastures or </w:t>
      </w:r>
      <w:r w:rsidR="00F661E5" w:rsidRPr="00F07DEB">
        <w:rPr>
          <w:rFonts w:ascii="Times New Roman" w:hAnsi="Times New Roman" w:cs="Times New Roman"/>
          <w:sz w:val="24"/>
        </w:rPr>
        <w:t>livestock with treated</w:t>
      </w:r>
      <w:r w:rsidR="00F12F2C" w:rsidRPr="00F07DEB">
        <w:rPr>
          <w:rFonts w:ascii="Times New Roman" w:hAnsi="Times New Roman" w:cs="Times New Roman"/>
          <w:sz w:val="24"/>
        </w:rPr>
        <w:t xml:space="preserve"> wastewater</w:t>
      </w:r>
      <w:r w:rsidR="00A100E2">
        <w:rPr>
          <w:rFonts w:ascii="Times New Roman" w:hAnsi="Times New Roman" w:cs="Times New Roman"/>
          <w:sz w:val="24"/>
        </w:rPr>
        <w:t xml:space="preserve"> </w:t>
      </w:r>
      <w:r w:rsidR="00A100E2">
        <w:rPr>
          <w:rFonts w:ascii="Times New Roman" w:hAnsi="Times New Roman" w:cs="Times New Roman"/>
          <w:sz w:val="24"/>
        </w:rPr>
        <w:fldChar w:fldCharType="begin"/>
      </w:r>
      <w:r w:rsidR="00FF5DF8">
        <w:rPr>
          <w:rFonts w:ascii="Times New Roman" w:hAnsi="Times New Roman" w:cs="Times New Roman"/>
          <w:sz w:val="24"/>
        </w:rPr>
        <w:instrText xml:space="preserve"> ADDIN ZOTERO_ITEM CSL_CITATION {"citationID":"a18ekjnj5ho","properties":{"formattedCitation":"(Elahi et al., 2017; Terr\\uc0\\u233{} et al., 2019)","plainCitation":"(Elahi et al., 2017; Terré et al., 2019)","noteIndex":0},"citationItems":[{"id":927,"uris":["http://zotero.org/users/5446453/items/ADDCMTZW"],"uri":["http://zotero.org/users/5446453/items/ADDCMTZW"],"itemData":{"id":927,"type":"article-journal","abstract":"Although epidemiological studies have found a significant amount of toxins in surface water, a complex link between animals’ access to wastewater and associated animal and human welfare losses needs to be explored. The scarcity of safe water has put stress on the utilization of wastewater for crops and livestock production. The access of animals to wastewater is related to the emergence of dangerous animal’s diseases, hampering productivity, increasing economic losses, and risking human health along the food chain. This review explores use of wastewater for agriculture, epidemiological evidence of microbial contamination in wastewater, and animal and human welfare disruption due to the use of wastewater for crop and livestock production. More specifically, the review delves into animals exposure to wastewater for bathing, drinking, or grazing on a pasture irrigated with contaminated water and related animal and human welfare losses. We included some scientific articles and reviews published from 1970 to 2017 to support our rational discussions. The selected articles dealt exclusively with animals direct access to wastewater via bathing and indirect access via grazing on pasture irrigated with contaminated wastewater and their implication for animal and human welfare losses. The study also identified that some policy options such as wastewater treatments, constructing wastewater stabilization ponds, controlling animal access to wastewater, and dissemination of necessary information to ultimate consumers related to the source of agricultural produce and wastewater use in animal and crop production are required to protect the human and animal health and welfare.","container-title":"Environmental Science and Pollution Research","DOI":"10.1007/s11356-017-9263-3","ISSN":"1614-7499","issue":"21","journalAbbreviation":"Environ Sci Pollut Res","language":"en","page":"17255-17266","source":"Springer Link","title":"The use of wastewater in livestock production and its socioeconomic and welfare implications","volume":"24","author":[{"family":"Elahi","given":"Ehsan"},{"family":"Abid","given":"Muhammad"},{"family":"Zhang","given":"Liqin"},{"family":"Alugongo","given":"Gibson Maswayi"}],"issued":{"date-parts":[["2017",7,1]]}}},{"id":226,"uris":["http://zotero.org/users/5446453/items/DLYYFIQR"],"uri":["http://zotero.org/users/5446453/items/DLYYFIQR"],"itemData":{"id":226,"type":"article-journal","abstract":"The objective of this study was to explore through both in vitro and in vivo experiments the use of reclaimed urban wastewater in dairy cattle production systems with the aim of improving water efﬁciency and sustainability. Firstly, the use of different tertiary treatments (ultraﬁltration (UF), ultraviolet disinfection (UV), chlorination process, and their combination) to improve the quality of an urban secondary efﬂuent was studied in intestinal primary cell cultures evaluating the expression of genes related to apoptosis, cell damage, and inﬂammation. The results revealed that secondary treated wastewater and waters that were treated with a chlorination process (even tap water) caused an increase in apoptosis, intestinal primary cell damage, and inﬂammation. The in vivo experiment evaluated the short-term effects on health and performance of using UF- and UV-treated secondary efﬂuent compared with the use of tap water for drinking and preparing milk replacer in young calves from 5 to 47 days of age. Calves previously fed with UF þ UV treated secondary efﬂuent clearly preferred tap water when they were exposed to a double water choice at the end of the study. This reduction of the palatability and acceptability was probably due to a greater level of water salinity of the treated reclaimed water (570 vs 1437 ± 76.5 mS/cm of conductivity for tap water and UF-UV treated secondary efﬂuent, respectively), which potentially entailed a reduction of calf concentrate intake (466 vs 351 ± 32.2 g/d for calves fed with tap water and UF-UV treated water, respectively). The use of reclaimed water did not pose an acute risk to animal health. It is concluded that improvements on the tertiary treatment to reduce water salinity should be considered when using reclaimed water for drinking purposes in livestock production systems. This study is a ﬁrst approach to a more sustainable and efﬁcient use of water in animal husbandry for countries with water scarcity. However, more studies are required before its implementation to further study long-term effects and the presence of new-contaminants not deﬁned in the current legislation.","container-title":"Journal of Cleaner Production","DOI":"10.1016/j.jclepro.2019.04.391","ISSN":"09596526","journalAbbreviation":"Journal of Cleaner Production","language":"en","page":"964-973","source":"DOI.org (Crossref)","title":"Exploring the use of tertiary reclaimed water in dairy cattle production","volume":"229","author":[{"family":"Terré","given":"Marta"},{"family":"Bosch","given":"Carme"},{"family":"Bach","given":"Alex"},{"family":"Fàbregas","given":"Francesc"},{"family":"Biel","given":"Carme"},{"family":"Rusiñol","given":"Marta"},{"family":"Bofill","given":"Silvia"},{"family":"Calderer","given":"Montse"},{"family":"Jubany","given":"Irene"},{"family":"Martínez-Lladó","given":"Xavier"}],"issued":{"date-parts":[["2019",8]]}}}],"schema":"https://github.com/citation-style-language/schema/raw/master/csl-citation.json"} </w:instrText>
      </w:r>
      <w:r w:rsidR="00A100E2">
        <w:rPr>
          <w:rFonts w:ascii="Times New Roman" w:hAnsi="Times New Roman" w:cs="Times New Roman"/>
          <w:sz w:val="24"/>
        </w:rPr>
        <w:fldChar w:fldCharType="separate"/>
      </w:r>
      <w:r w:rsidR="00234033" w:rsidRPr="00234033">
        <w:rPr>
          <w:rFonts w:ascii="Times New Roman" w:hAnsi="Times New Roman" w:cs="Times New Roman"/>
          <w:sz w:val="24"/>
          <w:szCs w:val="24"/>
        </w:rPr>
        <w:t>(Elahi et al., 2017; Terré et al., 2019)</w:t>
      </w:r>
      <w:r w:rsidR="00A100E2">
        <w:rPr>
          <w:rFonts w:ascii="Times New Roman" w:hAnsi="Times New Roman" w:cs="Times New Roman"/>
          <w:sz w:val="24"/>
        </w:rPr>
        <w:fldChar w:fldCharType="end"/>
      </w:r>
      <w:r w:rsidR="00F12F2C" w:rsidRPr="00F07DEB">
        <w:rPr>
          <w:rFonts w:ascii="Times New Roman" w:hAnsi="Times New Roman" w:cs="Times New Roman"/>
          <w:sz w:val="24"/>
        </w:rPr>
        <w:t>. Although secondary-</w:t>
      </w:r>
      <w:r w:rsidR="00F661E5" w:rsidRPr="00F07DEB">
        <w:rPr>
          <w:rFonts w:ascii="Times New Roman" w:hAnsi="Times New Roman" w:cs="Times New Roman"/>
          <w:sz w:val="24"/>
        </w:rPr>
        <w:t xml:space="preserve">treated </w:t>
      </w:r>
      <w:r w:rsidR="00A100E2">
        <w:rPr>
          <w:rFonts w:ascii="Times New Roman" w:hAnsi="Times New Roman" w:cs="Times New Roman"/>
          <w:sz w:val="24"/>
        </w:rPr>
        <w:t>municipal</w:t>
      </w:r>
      <w:r w:rsidR="00F661E5" w:rsidRPr="00F07DEB">
        <w:rPr>
          <w:rFonts w:ascii="Times New Roman" w:hAnsi="Times New Roman" w:cs="Times New Roman"/>
          <w:sz w:val="24"/>
        </w:rPr>
        <w:t xml:space="preserve"> wastewater was recently shown to “cause an increase in apoptosis, intestinal primary cell damage, and inflammation” of dairy cattle intestine cell cultures, the </w:t>
      </w:r>
      <w:r w:rsidR="00F661E5" w:rsidRPr="00F07DEB">
        <w:rPr>
          <w:rFonts w:ascii="Times New Roman" w:hAnsi="Times New Roman" w:cs="Times New Roman"/>
          <w:i/>
          <w:sz w:val="24"/>
        </w:rPr>
        <w:t>in vivo</w:t>
      </w:r>
      <w:r w:rsidR="00F661E5" w:rsidRPr="00F07DEB">
        <w:rPr>
          <w:rFonts w:ascii="Times New Roman" w:hAnsi="Times New Roman" w:cs="Times New Roman"/>
          <w:sz w:val="24"/>
        </w:rPr>
        <w:t xml:space="preserve"> </w:t>
      </w:r>
      <w:r w:rsidR="0028733B" w:rsidRPr="00F07DEB">
        <w:rPr>
          <w:rFonts w:ascii="Times New Roman" w:hAnsi="Times New Roman" w:cs="Times New Roman"/>
          <w:sz w:val="24"/>
        </w:rPr>
        <w:t xml:space="preserve">follow-up experiment watered calves with both tap water and the secondary effluent after tertiary ultrafiltration and ultraviolet disinfection and </w:t>
      </w:r>
      <w:r w:rsidR="00934D62" w:rsidRPr="00F07DEB">
        <w:rPr>
          <w:rFonts w:ascii="Times New Roman" w:hAnsi="Times New Roman" w:cs="Times New Roman"/>
          <w:sz w:val="24"/>
        </w:rPr>
        <w:t>concluded that there was</w:t>
      </w:r>
      <w:r w:rsidR="006C5988" w:rsidRPr="00F07DEB">
        <w:rPr>
          <w:rFonts w:ascii="Times New Roman" w:hAnsi="Times New Roman" w:cs="Times New Roman"/>
          <w:sz w:val="24"/>
        </w:rPr>
        <w:t xml:space="preserve"> no acute risk to the calves</w:t>
      </w:r>
      <w:r w:rsidR="00934D62" w:rsidRPr="00F07DEB">
        <w:rPr>
          <w:rFonts w:ascii="Times New Roman" w:hAnsi="Times New Roman" w:cs="Times New Roman"/>
          <w:sz w:val="24"/>
        </w:rPr>
        <w:t xml:space="preserve"> </w:t>
      </w:r>
      <w:r w:rsidR="00934D62" w:rsidRPr="00F07DEB">
        <w:rPr>
          <w:rFonts w:ascii="Times New Roman" w:hAnsi="Times New Roman" w:cs="Times New Roman"/>
          <w:sz w:val="24"/>
        </w:rPr>
        <w:fldChar w:fldCharType="begin"/>
      </w:r>
      <w:r w:rsidR="00934D62" w:rsidRPr="00F07DEB">
        <w:rPr>
          <w:rFonts w:ascii="Times New Roman" w:hAnsi="Times New Roman" w:cs="Times New Roman"/>
          <w:sz w:val="24"/>
        </w:rPr>
        <w:instrText xml:space="preserve"> ADDIN ZOTERO_ITEM CSL_CITATION {"citationID":"grPvAcFd","properties":{"formattedCitation":"(Terr\\uc0\\u233{} et al., 2019)","plainCitation":"(Terré et al., 2019)","noteIndex":0},"citationItems":[{"id":226,"uris":["http://zotero.org/users/5446453/items/DLYYFIQR"],"uri":["http://zotero.org/users/5446453/items/DLYYFIQR"],"itemData":{"id":226,"type":"article-journal","abstract":"The objective of this study was to explore through both in vitro and in vivo experiments the use of reclaimed urban wastewater in dairy cattle production systems with the aim of improving water efﬁciency and sustainability. Firstly, the use of different tertiary treatments (ultraﬁltration (UF), ultraviolet disinfection (UV), chlorination process, and their combination) to improve the quality of an urban secondary efﬂuent was studied in intestinal primary cell cultures evaluating the expression of genes related to apoptosis, cell damage, and inﬂammation. The results revealed that secondary treated wastewater and waters that were treated with a chlorination process (even tap water) caused an increase in apoptosis, intestinal primary cell damage, and inﬂammation. The in vivo experiment evaluated the short-term effects on health and performance of using UF- and UV-treated secondary efﬂuent compared with the use of tap water for drinking and preparing milk replacer in young calves from 5 to 47 days of age. Calves previously fed with UF þ UV treated secondary efﬂuent clearly preferred tap water when they were exposed to a double water choice at the end of the study. This reduction of the palatability and acceptability was probably due to a greater level of water salinity of the treated reclaimed water (570 vs 1437 ± 76.5 mS/cm of conductivity for tap water and UF-UV treated secondary efﬂuent, respectively), which potentially entailed a reduction of calf concentrate intake (466 vs 351 ± 32.2 g/d for calves fed with tap water and UF-UV treated water, respectively). The use of reclaimed water did not pose an acute risk to animal health. It is concluded that improvements on the tertiary treatment to reduce water salinity should be considered when using reclaimed water for drinking purposes in livestock production systems. This study is a ﬁrst approach to a more sustainable and efﬁcient use of water in animal husbandry for countries with water scarcity. However, more studies are required before its implementation to further study long-term effects and the presence of new-contaminants not deﬁned in the current legislation.","container-title":"Journal of Cleaner Production","DOI":"10.1016/j.jclepro.2019.04.391","ISSN":"09596526","journalAbbreviation":"Journal of Cleaner Production","language":"en","page":"964-973","source":"DOI.org (Crossref)","title":"Exploring the use of tertiary reclaimed water in dairy cattle production","volume":"229","author":[{"family":"Terré","given":"Marta"},{"family":"Bosch","given":"Carme"},{"family":"Bach","given":"Alex"},{"family":"Fàbregas","given":"Francesc"},{"family":"Biel","given":"Carme"},{"family":"Rusiñol","given":"Marta"},{"family":"Bofill","given":"Silvia"},{"family":"Calderer","given":"Montse"},{"family":"Jubany","given":"Irene"},{"family":"Martínez-Lladó","given":"Xavier"}],"issued":{"date-parts":[["2019",8]]}}}],"schema":"https://github.com/citation-style-language/schema/raw/master/csl-citation.json"} </w:instrText>
      </w:r>
      <w:r w:rsidR="00934D62" w:rsidRPr="00F07DEB">
        <w:rPr>
          <w:rFonts w:ascii="Times New Roman" w:hAnsi="Times New Roman" w:cs="Times New Roman"/>
          <w:sz w:val="24"/>
        </w:rPr>
        <w:fldChar w:fldCharType="separate"/>
      </w:r>
      <w:r w:rsidR="00234033" w:rsidRPr="00234033">
        <w:rPr>
          <w:rFonts w:ascii="Times New Roman" w:hAnsi="Times New Roman" w:cs="Times New Roman"/>
          <w:sz w:val="24"/>
          <w:szCs w:val="24"/>
        </w:rPr>
        <w:t>(Terré et al., 2019)</w:t>
      </w:r>
      <w:r w:rsidR="00934D62" w:rsidRPr="00F07DEB">
        <w:rPr>
          <w:rFonts w:ascii="Times New Roman" w:hAnsi="Times New Roman" w:cs="Times New Roman"/>
          <w:sz w:val="24"/>
        </w:rPr>
        <w:fldChar w:fldCharType="end"/>
      </w:r>
      <w:r w:rsidR="006C5988" w:rsidRPr="00F07DEB">
        <w:rPr>
          <w:rFonts w:ascii="Times New Roman" w:hAnsi="Times New Roman" w:cs="Times New Roman"/>
          <w:sz w:val="24"/>
        </w:rPr>
        <w:t xml:space="preserve">. Chronic risks associated with </w:t>
      </w:r>
      <w:r w:rsidR="00934D62" w:rsidRPr="00F07DEB">
        <w:rPr>
          <w:rFonts w:ascii="Times New Roman" w:hAnsi="Times New Roman" w:cs="Times New Roman"/>
          <w:sz w:val="24"/>
        </w:rPr>
        <w:t xml:space="preserve">long-term consumption of reclaimed </w:t>
      </w:r>
      <w:r w:rsidR="00563212">
        <w:rPr>
          <w:rFonts w:ascii="Times New Roman" w:hAnsi="Times New Roman" w:cs="Times New Roman"/>
          <w:sz w:val="24"/>
        </w:rPr>
        <w:t>municipal</w:t>
      </w:r>
      <w:r w:rsidR="00563212" w:rsidRPr="00F07DEB">
        <w:rPr>
          <w:rFonts w:ascii="Times New Roman" w:hAnsi="Times New Roman" w:cs="Times New Roman"/>
          <w:sz w:val="24"/>
        </w:rPr>
        <w:t xml:space="preserve"> </w:t>
      </w:r>
      <w:r w:rsidR="00934D62" w:rsidRPr="00F07DEB">
        <w:rPr>
          <w:rFonts w:ascii="Times New Roman" w:hAnsi="Times New Roman" w:cs="Times New Roman"/>
          <w:sz w:val="24"/>
        </w:rPr>
        <w:t xml:space="preserve">effluent were not evaluated. </w:t>
      </w:r>
      <w:r w:rsidR="00CD342F" w:rsidRPr="00F07DEB">
        <w:rPr>
          <w:rFonts w:ascii="Times New Roman" w:hAnsi="Times New Roman" w:cs="Times New Roman"/>
          <w:sz w:val="24"/>
        </w:rPr>
        <w:t xml:space="preserve">Reuse of raw wastewater for pasture irrigation poses documented threats to cattle and human health, primarily due to the transmission of the beef tapeworm </w:t>
      </w:r>
      <w:proofErr w:type="spellStart"/>
      <w:r w:rsidR="00CD342F" w:rsidRPr="00F07DEB">
        <w:rPr>
          <w:rFonts w:ascii="Times New Roman" w:hAnsi="Times New Roman" w:cs="Times New Roman"/>
          <w:i/>
          <w:sz w:val="24"/>
        </w:rPr>
        <w:t>Taenia</w:t>
      </w:r>
      <w:proofErr w:type="spellEnd"/>
      <w:r w:rsidR="00CD342F" w:rsidRPr="00F07DEB">
        <w:rPr>
          <w:rFonts w:ascii="Times New Roman" w:hAnsi="Times New Roman" w:cs="Times New Roman"/>
          <w:i/>
          <w:sz w:val="24"/>
        </w:rPr>
        <w:t xml:space="preserve"> </w:t>
      </w:r>
      <w:proofErr w:type="spellStart"/>
      <w:r w:rsidR="00CD342F" w:rsidRPr="00F07DEB">
        <w:rPr>
          <w:rFonts w:ascii="Times New Roman" w:hAnsi="Times New Roman" w:cs="Times New Roman"/>
          <w:i/>
          <w:sz w:val="24"/>
        </w:rPr>
        <w:t>saginata</w:t>
      </w:r>
      <w:proofErr w:type="spellEnd"/>
      <w:r w:rsidR="00CD342F" w:rsidRPr="00F07DEB">
        <w:rPr>
          <w:rFonts w:ascii="Times New Roman" w:hAnsi="Times New Roman" w:cs="Times New Roman"/>
          <w:i/>
          <w:sz w:val="24"/>
        </w:rPr>
        <w:t xml:space="preserve"> </w:t>
      </w:r>
      <w:r w:rsidR="00CD342F" w:rsidRPr="00F07DEB">
        <w:rPr>
          <w:rFonts w:ascii="Times New Roman" w:hAnsi="Times New Roman" w:cs="Times New Roman"/>
          <w:sz w:val="24"/>
        </w:rPr>
        <w:t>from wastewater to grass to beef cow to human</w:t>
      </w:r>
      <w:r w:rsidR="00C577A9" w:rsidRPr="00F07DEB">
        <w:rPr>
          <w:rFonts w:ascii="Times New Roman" w:hAnsi="Times New Roman" w:cs="Times New Roman"/>
          <w:sz w:val="24"/>
        </w:rPr>
        <w:t>.</w:t>
      </w:r>
      <w:r w:rsidR="00CD342F" w:rsidRPr="00F07DEB">
        <w:rPr>
          <w:rFonts w:ascii="Times New Roman" w:hAnsi="Times New Roman" w:cs="Times New Roman"/>
          <w:sz w:val="24"/>
        </w:rPr>
        <w:t xml:space="preserve"> The tapeworm eggs can be deposited on cattle forage during raw wastewater irrigation or untreated sludge application, but proper wastewater treatment with stabilization ponds achieves sufficient removal of the eggs, as well as most viruses, bacteria, and protozoa </w:t>
      </w:r>
      <w:r w:rsidR="00CD342F" w:rsidRPr="00F07DEB">
        <w:rPr>
          <w:rFonts w:ascii="Times New Roman" w:hAnsi="Times New Roman" w:cs="Times New Roman"/>
          <w:sz w:val="24"/>
        </w:rPr>
        <w:fldChar w:fldCharType="begin"/>
      </w:r>
      <w:r w:rsidR="00BD57D2" w:rsidRPr="00F07DEB">
        <w:rPr>
          <w:rFonts w:ascii="Times New Roman" w:hAnsi="Times New Roman" w:cs="Times New Roman"/>
          <w:sz w:val="24"/>
        </w:rPr>
        <w:instrText xml:space="preserve"> ADDIN ZOTERO_ITEM CSL_CITATION {"citationID":"Xp0IBKKs","properties":{"formattedCitation":"(Shuval, 1991b)","plainCitation":"(Shuval, 1991b)","noteIndex":0},"citationItems":[{"id":294,"uris":["http://zotero.org/users/5446453/items/KGYD6JDS"],"uri":["http://zotero.org/users/5446453/items/KGYD6JDS"],"itemData":{"id":294,"type":"article-journal","abstract":"Wastewater recycling and reuse through agricultural irrigation can provide an economical means of preventing pollution of surface water sources, while conserving water resources and valuable nutrients for increased crop production and grazing pastures. With proper methods of wastewater treatment, health risks to farmers and farm animals as well as to the public who consume agricultural produce can be prevented. The possibility of transmission of the beef tapeworm Taenia saginata, Salmonella sp. and Mycobacteria sp. to farm animals grazing on wastewater-irrigated pasture is evaluated. While such transmission is possible when raw, untreated wastewater is used for irrigation, the risk is greatly reduced and essentially eliminated with effluent treated to meet the new World Health Organisation (WHO) recommended microbial guidelines for effluent. These guidelines call for one or less helminth eggs per litre and a mean of 1,000 faecal coliform bacteria per 100 ml.","container-title":"Revue Scientifique et Technique de l'OIE","DOI":"10.20506/rst.10.3.564","ISSN":"0253-1933","issue":"3","journalAbbreviation":"Rev. Sci. Tech. OIE","language":"en","page":"847-866","source":"DOI.org (Crossref)","title":"Effects of wastewater irrigation of pastures on the health of farm animals and humans: -EN- -FR- -ES-","title-short":"Effects of wastewater irrigation of pastures on the health of farm animals and humans","volume":"10","author":[{"family":"Shuval","given":"H.I."}],"issued":{"date-parts":[["1991",9,1]]}}}],"schema":"https://github.com/citation-style-language/schema/raw/master/csl-citation.json"} </w:instrText>
      </w:r>
      <w:r w:rsidR="00CD342F" w:rsidRPr="00F07DEB">
        <w:rPr>
          <w:rFonts w:ascii="Times New Roman" w:hAnsi="Times New Roman" w:cs="Times New Roman"/>
          <w:sz w:val="24"/>
        </w:rPr>
        <w:fldChar w:fldCharType="separate"/>
      </w:r>
      <w:r w:rsidR="00234033" w:rsidRPr="00234033">
        <w:rPr>
          <w:rFonts w:ascii="Times New Roman" w:hAnsi="Times New Roman" w:cs="Times New Roman"/>
          <w:sz w:val="24"/>
        </w:rPr>
        <w:t>(Shuval, 1991b)</w:t>
      </w:r>
      <w:r w:rsidR="00CD342F" w:rsidRPr="00F07DEB">
        <w:rPr>
          <w:rFonts w:ascii="Times New Roman" w:hAnsi="Times New Roman" w:cs="Times New Roman"/>
          <w:sz w:val="24"/>
        </w:rPr>
        <w:fldChar w:fldCharType="end"/>
      </w:r>
      <w:r w:rsidR="00CD342F" w:rsidRPr="00F07DEB">
        <w:rPr>
          <w:rFonts w:ascii="Times New Roman" w:hAnsi="Times New Roman" w:cs="Times New Roman"/>
          <w:sz w:val="24"/>
        </w:rPr>
        <w:t>.</w:t>
      </w:r>
      <w:r w:rsidR="00BD3758" w:rsidRPr="00F07DEB">
        <w:rPr>
          <w:rFonts w:ascii="Times New Roman" w:hAnsi="Times New Roman" w:cs="Times New Roman"/>
          <w:sz w:val="24"/>
        </w:rPr>
        <w:t xml:space="preserve"> </w:t>
      </w:r>
    </w:p>
    <w:p w14:paraId="030187B0" w14:textId="155304D4" w:rsidR="006615CB" w:rsidRPr="00F07DEB" w:rsidRDefault="0028733B" w:rsidP="00031635">
      <w:pPr>
        <w:spacing w:line="480" w:lineRule="auto"/>
        <w:ind w:firstLine="720"/>
        <w:rPr>
          <w:rFonts w:ascii="Times New Roman" w:hAnsi="Times New Roman" w:cs="Times New Roman"/>
          <w:sz w:val="24"/>
        </w:rPr>
      </w:pPr>
      <w:r w:rsidRPr="00F07DEB">
        <w:rPr>
          <w:rFonts w:ascii="Times New Roman" w:hAnsi="Times New Roman" w:cs="Times New Roman"/>
          <w:sz w:val="24"/>
        </w:rPr>
        <w:lastRenderedPageBreak/>
        <w:t>Comparatively, r</w:t>
      </w:r>
      <w:r w:rsidR="00013830" w:rsidRPr="00F07DEB">
        <w:rPr>
          <w:rFonts w:ascii="Times New Roman" w:hAnsi="Times New Roman" w:cs="Times New Roman"/>
          <w:sz w:val="24"/>
        </w:rPr>
        <w:t>esearch into the impacts of treated mine water reuse on the growth, reproduction, and productivity of livestock is</w:t>
      </w:r>
      <w:r w:rsidR="00F661E5" w:rsidRPr="00F07DEB">
        <w:rPr>
          <w:rFonts w:ascii="Times New Roman" w:hAnsi="Times New Roman" w:cs="Times New Roman"/>
          <w:sz w:val="24"/>
        </w:rPr>
        <w:t xml:space="preserve"> </w:t>
      </w:r>
      <w:r w:rsidR="00013830" w:rsidRPr="00F07DEB">
        <w:rPr>
          <w:rFonts w:ascii="Times New Roman" w:hAnsi="Times New Roman" w:cs="Times New Roman"/>
          <w:sz w:val="24"/>
        </w:rPr>
        <w:t>lacking</w:t>
      </w:r>
      <w:r w:rsidR="00845DCC" w:rsidRPr="00F07DEB">
        <w:rPr>
          <w:rFonts w:ascii="Times New Roman" w:hAnsi="Times New Roman" w:cs="Times New Roman"/>
          <w:sz w:val="24"/>
        </w:rPr>
        <w:t>, and barely ventures outside of the theoretical</w:t>
      </w:r>
      <w:r w:rsidR="00013830" w:rsidRPr="00F07DEB">
        <w:rPr>
          <w:rFonts w:ascii="Times New Roman" w:hAnsi="Times New Roman" w:cs="Times New Roman"/>
          <w:sz w:val="24"/>
        </w:rPr>
        <w:t xml:space="preserve">. </w:t>
      </w:r>
      <w:proofErr w:type="spellStart"/>
      <w:r w:rsidR="00013830" w:rsidRPr="00F07DEB">
        <w:rPr>
          <w:rFonts w:ascii="Times New Roman" w:hAnsi="Times New Roman" w:cs="Times New Roman"/>
          <w:sz w:val="24"/>
        </w:rPr>
        <w:t>Doupé</w:t>
      </w:r>
      <w:proofErr w:type="spellEnd"/>
      <w:r w:rsidR="00013830" w:rsidRPr="00F07DEB">
        <w:rPr>
          <w:rFonts w:ascii="Times New Roman" w:hAnsi="Times New Roman" w:cs="Times New Roman"/>
          <w:sz w:val="24"/>
        </w:rPr>
        <w:t xml:space="preserve"> and </w:t>
      </w:r>
      <w:proofErr w:type="spellStart"/>
      <w:r w:rsidR="00013830" w:rsidRPr="00F07DEB">
        <w:rPr>
          <w:rFonts w:ascii="Times New Roman" w:hAnsi="Times New Roman" w:cs="Times New Roman"/>
          <w:sz w:val="24"/>
        </w:rPr>
        <w:t>Lymbery</w:t>
      </w:r>
      <w:proofErr w:type="spellEnd"/>
      <w:r w:rsidR="00B106F1" w:rsidRPr="00F07DEB">
        <w:rPr>
          <w:rFonts w:ascii="Times New Roman" w:hAnsi="Times New Roman" w:cs="Times New Roman"/>
          <w:sz w:val="24"/>
        </w:rPr>
        <w:t xml:space="preserve"> </w:t>
      </w:r>
      <w:r w:rsidR="007C15C3" w:rsidRPr="00F07DEB">
        <w:rPr>
          <w:rFonts w:ascii="Times New Roman" w:hAnsi="Times New Roman" w:cs="Times New Roman"/>
          <w:sz w:val="24"/>
        </w:rPr>
        <w:t xml:space="preserve">(2005) </w:t>
      </w:r>
      <w:r w:rsidR="00B106F1" w:rsidRPr="00F07DEB">
        <w:rPr>
          <w:rFonts w:ascii="Times New Roman" w:hAnsi="Times New Roman" w:cs="Times New Roman"/>
          <w:sz w:val="24"/>
        </w:rPr>
        <w:t>discussed the environmental impacts of the myriad</w:t>
      </w:r>
      <w:r w:rsidR="00666B9C">
        <w:rPr>
          <w:rFonts w:ascii="Times New Roman" w:hAnsi="Times New Roman" w:cs="Times New Roman"/>
          <w:sz w:val="24"/>
        </w:rPr>
        <w:t xml:space="preserve"> potential reuses of mine water</w:t>
      </w:r>
      <w:r w:rsidR="00B106F1" w:rsidRPr="00F07DEB">
        <w:rPr>
          <w:rFonts w:ascii="Times New Roman" w:hAnsi="Times New Roman" w:cs="Times New Roman"/>
          <w:sz w:val="24"/>
        </w:rPr>
        <w:t xml:space="preserve"> and noted the possible public health concerns associated with metal and chemical accumulation in the edible portions of livestock as a result of mine water consumption.</w:t>
      </w:r>
      <w:r w:rsidR="00051995" w:rsidRPr="00F07DEB">
        <w:rPr>
          <w:rFonts w:ascii="Times New Roman" w:hAnsi="Times New Roman" w:cs="Times New Roman"/>
          <w:sz w:val="24"/>
        </w:rPr>
        <w:t xml:space="preserve"> T</w:t>
      </w:r>
      <w:r w:rsidR="00B106F1" w:rsidRPr="00F07DEB">
        <w:rPr>
          <w:rFonts w:ascii="Times New Roman" w:hAnsi="Times New Roman" w:cs="Times New Roman"/>
          <w:sz w:val="24"/>
        </w:rPr>
        <w:t xml:space="preserve">his assertion cited only a 1997 study in which cattle were subjected to elevated concentrations of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sidRPr="009678A2">
        <w:rPr>
          <w:rFonts w:ascii="Times New Roman" w:hAnsi="Times New Roman" w:cs="Times New Roman"/>
          <w:sz w:val="24"/>
          <w:szCs w:val="24"/>
        </w:rPr>
        <w:t xml:space="preserve"> </w:t>
      </w:r>
      <w:r w:rsidR="00B106F1" w:rsidRPr="00F07DEB">
        <w:rPr>
          <w:rFonts w:ascii="Times New Roman" w:hAnsi="Times New Roman" w:cs="Times New Roman"/>
          <w:sz w:val="24"/>
        </w:rPr>
        <w:t>in their drinking water; de</w:t>
      </w:r>
      <w:r w:rsidR="00E13D5A" w:rsidRPr="00F07DEB">
        <w:rPr>
          <w:rFonts w:ascii="Times New Roman" w:hAnsi="Times New Roman" w:cs="Times New Roman"/>
          <w:sz w:val="24"/>
        </w:rPr>
        <w:t>spite being one of the few live-</w:t>
      </w:r>
      <w:r w:rsidR="00B106F1" w:rsidRPr="00F07DEB">
        <w:rPr>
          <w:rFonts w:ascii="Times New Roman" w:hAnsi="Times New Roman" w:cs="Times New Roman"/>
          <w:sz w:val="24"/>
        </w:rPr>
        <w:t xml:space="preserve">subject experiments that exposed cattle to mine water-like conditions, </w:t>
      </w:r>
      <w:r w:rsidR="00E13D5A" w:rsidRPr="00F07DEB">
        <w:rPr>
          <w:rFonts w:ascii="Times New Roman" w:hAnsi="Times New Roman" w:cs="Times New Roman"/>
          <w:sz w:val="24"/>
        </w:rPr>
        <w:t xml:space="preserve">it did not </w:t>
      </w:r>
      <w:r w:rsidR="00441CF2" w:rsidRPr="00F07DEB">
        <w:rPr>
          <w:rFonts w:ascii="Times New Roman" w:hAnsi="Times New Roman" w:cs="Times New Roman"/>
          <w:sz w:val="24"/>
        </w:rPr>
        <w:t xml:space="preserve">in fact </w:t>
      </w:r>
      <w:r w:rsidR="00E13D5A" w:rsidRPr="00F07DEB">
        <w:rPr>
          <w:rFonts w:ascii="Times New Roman" w:hAnsi="Times New Roman" w:cs="Times New Roman"/>
          <w:sz w:val="24"/>
        </w:rPr>
        <w:t xml:space="preserve">assess </w:t>
      </w:r>
      <w:r w:rsidR="00441CF2" w:rsidRPr="00F07DEB">
        <w:rPr>
          <w:rFonts w:ascii="Times New Roman" w:hAnsi="Times New Roman" w:cs="Times New Roman"/>
          <w:sz w:val="24"/>
        </w:rPr>
        <w:t xml:space="preserve">the </w:t>
      </w:r>
      <w:r w:rsidR="00E13D5A" w:rsidRPr="00F07DEB">
        <w:rPr>
          <w:rFonts w:ascii="Times New Roman" w:hAnsi="Times New Roman" w:cs="Times New Roman"/>
          <w:sz w:val="24"/>
        </w:rPr>
        <w:t xml:space="preserve">uptake of other metals or chemicals </w:t>
      </w:r>
      <w:r w:rsidR="007B156F" w:rsidRPr="00F07DEB">
        <w:rPr>
          <w:rFonts w:ascii="Times New Roman" w:hAnsi="Times New Roman" w:cs="Times New Roman"/>
          <w:sz w:val="24"/>
        </w:rPr>
        <w:t xml:space="preserve">besides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sidRPr="009678A2">
        <w:rPr>
          <w:rFonts w:ascii="Times New Roman" w:hAnsi="Times New Roman" w:cs="Times New Roman"/>
          <w:sz w:val="24"/>
          <w:szCs w:val="24"/>
        </w:rPr>
        <w:t xml:space="preserve"> </w:t>
      </w:r>
      <w:r w:rsidR="00E13D5A" w:rsidRPr="00F07DEB">
        <w:rPr>
          <w:rFonts w:ascii="Times New Roman" w:hAnsi="Times New Roman" w:cs="Times New Roman"/>
          <w:sz w:val="24"/>
        </w:rPr>
        <w:t>in the edible tissue</w:t>
      </w:r>
      <w:r w:rsidR="000A3C3C" w:rsidRPr="00F07DEB">
        <w:rPr>
          <w:rFonts w:ascii="Times New Roman" w:hAnsi="Times New Roman" w:cs="Times New Roman"/>
          <w:sz w:val="24"/>
        </w:rPr>
        <w:t xml:space="preserve"> </w:t>
      </w:r>
      <w:r w:rsidR="000A3C3C" w:rsidRPr="00F07DEB">
        <w:rPr>
          <w:rFonts w:ascii="Times New Roman" w:hAnsi="Times New Roman" w:cs="Times New Roman"/>
          <w:sz w:val="24"/>
        </w:rPr>
        <w:fldChar w:fldCharType="begin"/>
      </w:r>
      <w:r w:rsidR="00C82740" w:rsidRPr="00F07DEB">
        <w:rPr>
          <w:rFonts w:ascii="Times New Roman" w:hAnsi="Times New Roman" w:cs="Times New Roman"/>
          <w:sz w:val="24"/>
        </w:rPr>
        <w:instrText xml:space="preserve"> ADDIN ZOTERO_ITEM CSL_CITATION {"citationID":"B8R0fLIW","properties":{"formattedCitation":"(Harper et al., 1997)","plainCitation":"(Harper et al., 1997)","noteIndex":0},"citationItems":[{"id":185,"uris":["http://zotero.org/users/5446453/items/AH6XLNRR"],"uri":["http://zotero.org/users/5446453/items/AH6XLNRR"],"itemData":{"id":185,"type":"article-journal","container-title":"Australian Journal of Agricultural Research","issue":"2","page":"155-164","title":"Effect of coal mine pit water on the productivity of cattle, II. Effect of increasing concentrations of pit water on feed intake and health.","volume":"48","author":[{"family":"Harper","given":"G.S."},{"family":"King","given":"T.J."},{"family":"Hill","given":"B.D."},{"family":"Harper","given":"C.M.L."},{"family":"Hunter","given":"R.A."}],"issued":{"date-parts":[["1997"]]}}}],"schema":"https://github.com/citation-style-language/schema/raw/master/csl-citation.json"} </w:instrText>
      </w:r>
      <w:r w:rsidR="000A3C3C" w:rsidRPr="00F07DEB">
        <w:rPr>
          <w:rFonts w:ascii="Times New Roman" w:hAnsi="Times New Roman" w:cs="Times New Roman"/>
          <w:sz w:val="24"/>
        </w:rPr>
        <w:fldChar w:fldCharType="separate"/>
      </w:r>
      <w:r w:rsidR="00234033" w:rsidRPr="00234033">
        <w:rPr>
          <w:rFonts w:ascii="Times New Roman" w:hAnsi="Times New Roman" w:cs="Times New Roman"/>
          <w:sz w:val="24"/>
        </w:rPr>
        <w:t>(Harper et al., 1997)</w:t>
      </w:r>
      <w:r w:rsidR="000A3C3C" w:rsidRPr="00F07DEB">
        <w:rPr>
          <w:rFonts w:ascii="Times New Roman" w:hAnsi="Times New Roman" w:cs="Times New Roman"/>
          <w:sz w:val="24"/>
        </w:rPr>
        <w:fldChar w:fldCharType="end"/>
      </w:r>
      <w:r w:rsidR="00E13D5A" w:rsidRPr="00F07DEB">
        <w:rPr>
          <w:rFonts w:ascii="Times New Roman" w:hAnsi="Times New Roman" w:cs="Times New Roman"/>
          <w:sz w:val="24"/>
        </w:rPr>
        <w:t>.</w:t>
      </w:r>
      <w:r w:rsidR="00044595" w:rsidRPr="00F07DEB">
        <w:rPr>
          <w:rFonts w:ascii="Times New Roman" w:hAnsi="Times New Roman" w:cs="Times New Roman"/>
          <w:sz w:val="24"/>
        </w:rPr>
        <w:t xml:space="preserve"> That said, </w:t>
      </w:r>
      <w:r w:rsidR="0025522E" w:rsidRPr="00F07DEB">
        <w:rPr>
          <w:rFonts w:ascii="Times New Roman" w:hAnsi="Times New Roman" w:cs="Times New Roman"/>
          <w:sz w:val="24"/>
        </w:rPr>
        <w:t>the authors</w:t>
      </w:r>
      <w:r w:rsidR="007C15C3" w:rsidRPr="00F07DEB">
        <w:rPr>
          <w:rFonts w:ascii="Times New Roman" w:hAnsi="Times New Roman" w:cs="Times New Roman"/>
          <w:sz w:val="24"/>
        </w:rPr>
        <w:t xml:space="preserve"> </w:t>
      </w:r>
      <w:r w:rsidR="00376625" w:rsidRPr="00F07DEB">
        <w:rPr>
          <w:rFonts w:ascii="Times New Roman" w:hAnsi="Times New Roman" w:cs="Times New Roman"/>
          <w:sz w:val="24"/>
        </w:rPr>
        <w:t xml:space="preserve">rightly </w:t>
      </w:r>
      <w:r w:rsidR="00441CF2" w:rsidRPr="00F07DEB">
        <w:rPr>
          <w:rFonts w:ascii="Times New Roman" w:hAnsi="Times New Roman" w:cs="Times New Roman"/>
          <w:sz w:val="24"/>
        </w:rPr>
        <w:t xml:space="preserve">point out that </w:t>
      </w:r>
      <w:r w:rsidR="00376625" w:rsidRPr="00F07DEB">
        <w:rPr>
          <w:rFonts w:ascii="Times New Roman" w:hAnsi="Times New Roman" w:cs="Times New Roman"/>
          <w:sz w:val="24"/>
        </w:rPr>
        <w:t xml:space="preserve">mine water </w:t>
      </w:r>
      <w:r w:rsidR="00441CF2" w:rsidRPr="00F07DEB">
        <w:rPr>
          <w:rFonts w:ascii="Times New Roman" w:hAnsi="Times New Roman" w:cs="Times New Roman"/>
          <w:sz w:val="24"/>
        </w:rPr>
        <w:t>recycling</w:t>
      </w:r>
      <w:r w:rsidR="00044595" w:rsidRPr="00F07DEB">
        <w:rPr>
          <w:rFonts w:ascii="Times New Roman" w:hAnsi="Times New Roman" w:cs="Times New Roman"/>
          <w:sz w:val="24"/>
        </w:rPr>
        <w:t xml:space="preserve"> </w:t>
      </w:r>
      <w:r w:rsidR="00441CF2" w:rsidRPr="00F07DEB">
        <w:rPr>
          <w:rFonts w:ascii="Times New Roman" w:hAnsi="Times New Roman" w:cs="Times New Roman"/>
          <w:sz w:val="24"/>
        </w:rPr>
        <w:t>could increase agricultural water availability and</w:t>
      </w:r>
      <w:r w:rsidR="00376625" w:rsidRPr="00F07DEB">
        <w:rPr>
          <w:rFonts w:ascii="Times New Roman" w:hAnsi="Times New Roman" w:cs="Times New Roman"/>
          <w:sz w:val="24"/>
        </w:rPr>
        <w:t>, as a result,</w:t>
      </w:r>
      <w:r w:rsidR="00441CF2" w:rsidRPr="00F07DEB">
        <w:rPr>
          <w:rFonts w:ascii="Times New Roman" w:hAnsi="Times New Roman" w:cs="Times New Roman"/>
          <w:sz w:val="24"/>
        </w:rPr>
        <w:t xml:space="preserve"> expand livestock land usage, which </w:t>
      </w:r>
      <w:r w:rsidR="000C3C19" w:rsidRPr="00F07DEB">
        <w:rPr>
          <w:rFonts w:ascii="Times New Roman" w:hAnsi="Times New Roman" w:cs="Times New Roman"/>
          <w:sz w:val="24"/>
        </w:rPr>
        <w:t>might</w:t>
      </w:r>
      <w:r w:rsidR="00441CF2" w:rsidRPr="00F07DEB">
        <w:rPr>
          <w:rFonts w:ascii="Times New Roman" w:hAnsi="Times New Roman" w:cs="Times New Roman"/>
          <w:sz w:val="24"/>
        </w:rPr>
        <w:t xml:space="preserve"> </w:t>
      </w:r>
      <w:r w:rsidR="0029415E" w:rsidRPr="00F07DEB">
        <w:rPr>
          <w:rFonts w:ascii="Times New Roman" w:hAnsi="Times New Roman" w:cs="Times New Roman"/>
          <w:sz w:val="24"/>
        </w:rPr>
        <w:t>accelerate</w:t>
      </w:r>
      <w:r w:rsidR="00044595" w:rsidRPr="00F07DEB">
        <w:rPr>
          <w:rFonts w:ascii="Times New Roman" w:hAnsi="Times New Roman" w:cs="Times New Roman"/>
          <w:sz w:val="24"/>
        </w:rPr>
        <w:t xml:space="preserve"> erosion </w:t>
      </w:r>
      <w:r w:rsidR="00441CF2" w:rsidRPr="00F07DEB">
        <w:rPr>
          <w:rFonts w:ascii="Times New Roman" w:hAnsi="Times New Roman" w:cs="Times New Roman"/>
          <w:sz w:val="24"/>
        </w:rPr>
        <w:t>and threaten</w:t>
      </w:r>
      <w:r w:rsidR="00044595" w:rsidRPr="00F07DEB">
        <w:rPr>
          <w:rFonts w:ascii="Times New Roman" w:hAnsi="Times New Roman" w:cs="Times New Roman"/>
          <w:sz w:val="24"/>
        </w:rPr>
        <w:t xml:space="preserve"> </w:t>
      </w:r>
      <w:r w:rsidR="00441CF2" w:rsidRPr="00F07DEB">
        <w:rPr>
          <w:rFonts w:ascii="Times New Roman" w:hAnsi="Times New Roman" w:cs="Times New Roman"/>
          <w:sz w:val="24"/>
        </w:rPr>
        <w:t>biodiversity</w:t>
      </w:r>
      <w:r w:rsidR="004F5610" w:rsidRPr="00F07DEB">
        <w:rPr>
          <w:rFonts w:ascii="Times New Roman" w:hAnsi="Times New Roman" w:cs="Times New Roman"/>
          <w:sz w:val="24"/>
        </w:rPr>
        <w:t xml:space="preserve"> </w:t>
      </w:r>
      <w:r w:rsidR="000A3C3C" w:rsidRPr="00F07DEB">
        <w:rPr>
          <w:rFonts w:ascii="Times New Roman" w:hAnsi="Times New Roman" w:cs="Times New Roman"/>
          <w:sz w:val="24"/>
        </w:rPr>
        <w:fldChar w:fldCharType="begin"/>
      </w:r>
      <w:r w:rsidR="004B13BE">
        <w:rPr>
          <w:rFonts w:ascii="Times New Roman" w:hAnsi="Times New Roman" w:cs="Times New Roman"/>
          <w:sz w:val="24"/>
        </w:rPr>
        <w:instrText xml:space="preserve"> ADDIN ZOTERO_ITEM CSL_CITATION {"citationID":"oqYW5500","properties":{"formattedCitation":"(Doup\\uc0\\u233{} &amp; Lymbery, 2005)","plainCitation":"(Doupé &amp; Lymbery, 2005)","dontUpdate":true,"noteIndex":0},"citationItems":[{"id":184,"uris":["http://zotero.org/users/5446453/items/ETVLJ69L"],"uri":["http://zotero.org/users/5446453/items/ETVLJ69L"],"itemData":{"id":184,"type":"article-journal","container-title":"Mine Water and the Environment","DOI":"10.1007/s10230-005-0084-0","page":"134-138","title":"Environmental Risks Associated with Beneficial End Uses of Mine Lakes in Southwestern Australia.pdf","volume":"24","author":[{"family":"Doupé","given":"Robert G."},{"family":"Lymbery","given":"Alan J."}],"issued":{"date-parts":[["2005",9,1]]}}}],"schema":"https://github.com/citation-style-language/schema/raw/master/csl-citation.json"} </w:instrText>
      </w:r>
      <w:r w:rsidR="000A3C3C" w:rsidRPr="00F07DEB">
        <w:rPr>
          <w:rFonts w:ascii="Times New Roman" w:hAnsi="Times New Roman" w:cs="Times New Roman"/>
          <w:sz w:val="24"/>
        </w:rPr>
        <w:fldChar w:fldCharType="separate"/>
      </w:r>
      <w:r w:rsidR="002A6AB5">
        <w:rPr>
          <w:rFonts w:ascii="Times New Roman" w:hAnsi="Times New Roman" w:cs="Times New Roman"/>
          <w:sz w:val="24"/>
          <w:szCs w:val="24"/>
        </w:rPr>
        <w:t>(Doupé and</w:t>
      </w:r>
      <w:r w:rsidR="00C82740" w:rsidRPr="00F07DEB">
        <w:rPr>
          <w:rFonts w:ascii="Times New Roman" w:hAnsi="Times New Roman" w:cs="Times New Roman"/>
          <w:sz w:val="24"/>
          <w:szCs w:val="24"/>
        </w:rPr>
        <w:t xml:space="preserve"> Lymbery, 2005)</w:t>
      </w:r>
      <w:r w:rsidR="000A3C3C" w:rsidRPr="00F07DEB">
        <w:rPr>
          <w:rFonts w:ascii="Times New Roman" w:hAnsi="Times New Roman" w:cs="Times New Roman"/>
          <w:sz w:val="24"/>
        </w:rPr>
        <w:fldChar w:fldCharType="end"/>
      </w:r>
      <w:r w:rsidR="00441CF2" w:rsidRPr="00F07DEB">
        <w:rPr>
          <w:rFonts w:ascii="Times New Roman" w:hAnsi="Times New Roman" w:cs="Times New Roman"/>
          <w:sz w:val="24"/>
        </w:rPr>
        <w:t>.</w:t>
      </w:r>
      <w:r w:rsidR="007B156F" w:rsidRPr="00F07DEB">
        <w:rPr>
          <w:rFonts w:ascii="Times New Roman" w:hAnsi="Times New Roman" w:cs="Times New Roman"/>
          <w:sz w:val="24"/>
        </w:rPr>
        <w:t xml:space="preserve"> </w:t>
      </w:r>
      <w:r w:rsidR="007C15C3" w:rsidRPr="00F07DEB">
        <w:rPr>
          <w:rFonts w:ascii="Times New Roman" w:hAnsi="Times New Roman" w:cs="Times New Roman"/>
          <w:sz w:val="24"/>
        </w:rPr>
        <w:t xml:space="preserve">However, </w:t>
      </w:r>
      <w:r w:rsidR="001F6070" w:rsidRPr="00F07DEB">
        <w:rPr>
          <w:rFonts w:ascii="Times New Roman" w:hAnsi="Times New Roman" w:cs="Times New Roman"/>
          <w:sz w:val="24"/>
        </w:rPr>
        <w:t>if treated mine drainage were to replace ground or surface waters currently used for ir</w:t>
      </w:r>
      <w:r w:rsidR="00A66444" w:rsidRPr="00F07DEB">
        <w:rPr>
          <w:rFonts w:ascii="Times New Roman" w:hAnsi="Times New Roman" w:cs="Times New Roman"/>
          <w:sz w:val="24"/>
        </w:rPr>
        <w:t>rigation, rather than augment</w:t>
      </w:r>
      <w:r w:rsidR="001F6070" w:rsidRPr="00F07DEB">
        <w:rPr>
          <w:rFonts w:ascii="Times New Roman" w:hAnsi="Times New Roman" w:cs="Times New Roman"/>
          <w:sz w:val="24"/>
        </w:rPr>
        <w:t xml:space="preserve"> the agricultural water supply, the geographic expansion of g</w:t>
      </w:r>
      <w:r w:rsidR="00E77505" w:rsidRPr="00F07DEB">
        <w:rPr>
          <w:rFonts w:ascii="Times New Roman" w:hAnsi="Times New Roman" w:cs="Times New Roman"/>
          <w:sz w:val="24"/>
        </w:rPr>
        <w:t>razing could be mitigated.</w:t>
      </w:r>
      <w:r w:rsidR="00104A34" w:rsidRPr="00F07DEB">
        <w:rPr>
          <w:rFonts w:ascii="Times New Roman" w:hAnsi="Times New Roman" w:cs="Times New Roman"/>
          <w:sz w:val="24"/>
        </w:rPr>
        <w:t xml:space="preserve"> </w:t>
      </w:r>
      <w:r w:rsidR="00F2654D" w:rsidRPr="00F07DEB">
        <w:rPr>
          <w:rFonts w:ascii="Times New Roman" w:hAnsi="Times New Roman" w:cs="Times New Roman"/>
          <w:sz w:val="24"/>
        </w:rPr>
        <w:t xml:space="preserve">In some ways, </w:t>
      </w:r>
      <w:r w:rsidR="00B24882" w:rsidRPr="00F07DEB">
        <w:rPr>
          <w:rFonts w:ascii="Times New Roman" w:hAnsi="Times New Roman" w:cs="Times New Roman"/>
          <w:sz w:val="24"/>
        </w:rPr>
        <w:t>implemen</w:t>
      </w:r>
      <w:r w:rsidR="00BC0FD2" w:rsidRPr="00F07DEB">
        <w:rPr>
          <w:rFonts w:ascii="Times New Roman" w:hAnsi="Times New Roman" w:cs="Times New Roman"/>
          <w:sz w:val="24"/>
        </w:rPr>
        <w:t>t</w:t>
      </w:r>
      <w:r w:rsidR="00B24882" w:rsidRPr="00F07DEB">
        <w:rPr>
          <w:rFonts w:ascii="Times New Roman" w:hAnsi="Times New Roman" w:cs="Times New Roman"/>
          <w:sz w:val="24"/>
        </w:rPr>
        <w:t>ing</w:t>
      </w:r>
      <w:r w:rsidR="00104A34" w:rsidRPr="00F07DEB">
        <w:rPr>
          <w:rFonts w:ascii="Times New Roman" w:hAnsi="Times New Roman" w:cs="Times New Roman"/>
          <w:sz w:val="24"/>
        </w:rPr>
        <w:t xml:space="preserve"> pumped or gravity-fed mine water supplies would be an environmental boon</w:t>
      </w:r>
      <w:r w:rsidR="00F2654D" w:rsidRPr="00F07DEB">
        <w:rPr>
          <w:rFonts w:ascii="Times New Roman" w:hAnsi="Times New Roman" w:cs="Times New Roman"/>
          <w:sz w:val="24"/>
        </w:rPr>
        <w:t>;</w:t>
      </w:r>
      <w:r w:rsidR="00104A34" w:rsidRPr="00F07DEB">
        <w:rPr>
          <w:rFonts w:ascii="Times New Roman" w:hAnsi="Times New Roman" w:cs="Times New Roman"/>
          <w:sz w:val="24"/>
        </w:rPr>
        <w:t xml:space="preserve"> the accompanying reduction in livestock interaction with surface water</w:t>
      </w:r>
      <w:r w:rsidR="00D41C58" w:rsidRPr="00F07DEB">
        <w:rPr>
          <w:rFonts w:ascii="Times New Roman" w:hAnsi="Times New Roman" w:cs="Times New Roman"/>
          <w:sz w:val="24"/>
        </w:rPr>
        <w:t>s</w:t>
      </w:r>
      <w:r w:rsidR="00104A34" w:rsidRPr="00F07DEB">
        <w:rPr>
          <w:rFonts w:ascii="Times New Roman" w:hAnsi="Times New Roman" w:cs="Times New Roman"/>
          <w:sz w:val="24"/>
        </w:rPr>
        <w:t xml:space="preserve">, farm ponds, and riparian areas would protect these sensitive </w:t>
      </w:r>
      <w:r w:rsidR="00F2654D" w:rsidRPr="00F07DEB">
        <w:rPr>
          <w:rFonts w:ascii="Times New Roman" w:hAnsi="Times New Roman" w:cs="Times New Roman"/>
          <w:sz w:val="24"/>
        </w:rPr>
        <w:t>resources from erosion and the resulting water quality degradation</w:t>
      </w:r>
      <w:r w:rsidR="00D93254" w:rsidRPr="00F07DEB">
        <w:rPr>
          <w:rFonts w:ascii="Times New Roman" w:hAnsi="Times New Roman" w:cs="Times New Roman"/>
          <w:sz w:val="24"/>
        </w:rPr>
        <w:t xml:space="preserve"> </w:t>
      </w:r>
      <w:r w:rsidR="00D93254" w:rsidRPr="00F07DEB">
        <w:rPr>
          <w:rFonts w:ascii="Times New Roman" w:hAnsi="Times New Roman" w:cs="Times New Roman"/>
          <w:sz w:val="24"/>
        </w:rPr>
        <w:fldChar w:fldCharType="begin"/>
      </w:r>
      <w:r w:rsidR="0085353D" w:rsidRPr="00F07DEB">
        <w:rPr>
          <w:rFonts w:ascii="Times New Roman" w:hAnsi="Times New Roman" w:cs="Times New Roman"/>
          <w:sz w:val="24"/>
        </w:rPr>
        <w:instrText xml:space="preserve"> ADDIN ZOTERO_ITEM CSL_CITATION {"citationID":"cex1ijjI","properties":{"formattedCitation":"(Platts, 1979)","plainCitation":"(Platts, 1979)","noteIndex":0},"citationItems":[{"id":182,"uris":["http://zotero.org/users/5446453/items/LSI2UF9J"],"uri":["http://zotero.org/users/5446453/items/LSI2UF9J"],"itemData":{"id":182,"type":"article-journal","container-title":"Animal Studies Repository","language":"en","page":"39-45","source":"Zotero","title":"Livestock grazing and riparian/stream ecosystems: An overview","author":[{"family":"Platts","given":"William S"}],"issued":{"date-parts":[["1979"]]}}}],"schema":"https://github.com/citation-style-language/schema/raw/master/csl-citation.json"} </w:instrText>
      </w:r>
      <w:r w:rsidR="00D93254" w:rsidRPr="00F07DEB">
        <w:rPr>
          <w:rFonts w:ascii="Times New Roman" w:hAnsi="Times New Roman" w:cs="Times New Roman"/>
          <w:sz w:val="24"/>
        </w:rPr>
        <w:fldChar w:fldCharType="separate"/>
      </w:r>
      <w:r w:rsidR="00234033" w:rsidRPr="00234033">
        <w:rPr>
          <w:rFonts w:ascii="Times New Roman" w:hAnsi="Times New Roman" w:cs="Times New Roman"/>
          <w:sz w:val="24"/>
        </w:rPr>
        <w:t>(Platts, 1979)</w:t>
      </w:r>
      <w:r w:rsidR="00D93254" w:rsidRPr="00F07DEB">
        <w:rPr>
          <w:rFonts w:ascii="Times New Roman" w:hAnsi="Times New Roman" w:cs="Times New Roman"/>
          <w:sz w:val="24"/>
        </w:rPr>
        <w:fldChar w:fldCharType="end"/>
      </w:r>
      <w:r w:rsidR="00F2654D" w:rsidRPr="00F07DEB">
        <w:rPr>
          <w:rFonts w:ascii="Times New Roman" w:hAnsi="Times New Roman" w:cs="Times New Roman"/>
          <w:sz w:val="24"/>
        </w:rPr>
        <w:t>.</w:t>
      </w:r>
    </w:p>
    <w:p w14:paraId="35E1E9D2" w14:textId="123E9A16" w:rsidR="00F65E13" w:rsidRPr="00F07DEB" w:rsidRDefault="0033797C" w:rsidP="000C3519">
      <w:pPr>
        <w:spacing w:line="480" w:lineRule="auto"/>
        <w:ind w:firstLine="720"/>
        <w:rPr>
          <w:rFonts w:ascii="Times New Roman" w:hAnsi="Times New Roman" w:cs="Times New Roman"/>
          <w:b/>
          <w:iCs/>
          <w:sz w:val="20"/>
          <w:szCs w:val="20"/>
        </w:rPr>
      </w:pPr>
      <w:r>
        <w:rPr>
          <w:rFonts w:ascii="Times New Roman" w:hAnsi="Times New Roman" w:cs="Times New Roman"/>
          <w:sz w:val="24"/>
          <w:szCs w:val="24"/>
        </w:rPr>
        <w:t>A</w:t>
      </w:r>
      <w:r w:rsidR="00A66444" w:rsidRPr="00F07DEB">
        <w:rPr>
          <w:rFonts w:ascii="Times New Roman" w:hAnsi="Times New Roman" w:cs="Times New Roman"/>
          <w:sz w:val="24"/>
          <w:szCs w:val="24"/>
        </w:rPr>
        <w:t xml:space="preserve"> dataset describing MRPTS and cattle-related water quality is presented in Table </w:t>
      </w:r>
      <w:r w:rsidR="008F4386" w:rsidRPr="00F07DEB">
        <w:rPr>
          <w:rFonts w:ascii="Times New Roman" w:hAnsi="Times New Roman" w:cs="Times New Roman"/>
          <w:sz w:val="24"/>
          <w:szCs w:val="24"/>
        </w:rPr>
        <w:t>2</w:t>
      </w:r>
      <w:r w:rsidR="00A66444" w:rsidRPr="00F07DEB">
        <w:rPr>
          <w:rFonts w:ascii="Times New Roman" w:hAnsi="Times New Roman" w:cs="Times New Roman"/>
          <w:sz w:val="24"/>
          <w:szCs w:val="24"/>
        </w:rPr>
        <w:t xml:space="preserve">. </w:t>
      </w:r>
      <w:r>
        <w:rPr>
          <w:rFonts w:ascii="Times New Roman" w:hAnsi="Times New Roman" w:cs="Times New Roman"/>
          <w:sz w:val="24"/>
          <w:szCs w:val="24"/>
        </w:rPr>
        <w:t>Some</w:t>
      </w:r>
      <w:r w:rsidR="00A66444" w:rsidRPr="00F07DEB">
        <w:rPr>
          <w:rFonts w:ascii="Times New Roman" w:hAnsi="Times New Roman" w:cs="Times New Roman"/>
          <w:sz w:val="24"/>
          <w:szCs w:val="24"/>
        </w:rPr>
        <w:t xml:space="preserve"> elements </w:t>
      </w:r>
      <w:r>
        <w:rPr>
          <w:rFonts w:ascii="Times New Roman" w:hAnsi="Times New Roman" w:cs="Times New Roman"/>
          <w:sz w:val="24"/>
          <w:szCs w:val="24"/>
        </w:rPr>
        <w:t>measured</w:t>
      </w:r>
      <w:r w:rsidR="00A66444" w:rsidRPr="00F07DEB">
        <w:rPr>
          <w:rFonts w:ascii="Times New Roman" w:hAnsi="Times New Roman" w:cs="Times New Roman"/>
          <w:sz w:val="24"/>
          <w:szCs w:val="24"/>
        </w:rPr>
        <w:t xml:space="preserve"> </w:t>
      </w:r>
      <w:r>
        <w:rPr>
          <w:rFonts w:ascii="Times New Roman" w:hAnsi="Times New Roman" w:cs="Times New Roman"/>
          <w:sz w:val="24"/>
          <w:szCs w:val="24"/>
        </w:rPr>
        <w:t xml:space="preserve">in MRPTS effluent </w:t>
      </w:r>
      <w:r w:rsidR="00A66444" w:rsidRPr="00F07DEB">
        <w:rPr>
          <w:rFonts w:ascii="Times New Roman" w:hAnsi="Times New Roman" w:cs="Times New Roman"/>
          <w:sz w:val="24"/>
          <w:szCs w:val="24"/>
        </w:rPr>
        <w:t xml:space="preserve">have not been thoroughly assessed in the context of livestock watering. Establishing whether treated mine drainage is safe for cattle consumption will require further investigation and </w:t>
      </w:r>
      <w:r w:rsidR="007C15C3" w:rsidRPr="00F07DEB">
        <w:rPr>
          <w:rFonts w:ascii="Times New Roman" w:hAnsi="Times New Roman" w:cs="Times New Roman"/>
          <w:sz w:val="24"/>
          <w:szCs w:val="24"/>
        </w:rPr>
        <w:t>experimentation</w:t>
      </w:r>
      <w:r w:rsidR="00EB04DE" w:rsidRPr="00F07DEB">
        <w:rPr>
          <w:rFonts w:ascii="Times New Roman" w:hAnsi="Times New Roman" w:cs="Times New Roman"/>
          <w:sz w:val="24"/>
          <w:szCs w:val="24"/>
        </w:rPr>
        <w:t>,</w:t>
      </w:r>
      <w:r w:rsidR="007C15C3" w:rsidRPr="00F07DEB">
        <w:rPr>
          <w:rFonts w:ascii="Times New Roman" w:hAnsi="Times New Roman" w:cs="Times New Roman"/>
          <w:sz w:val="24"/>
          <w:szCs w:val="24"/>
        </w:rPr>
        <w:t xml:space="preserve"> and</w:t>
      </w:r>
      <w:r w:rsidR="00A66444" w:rsidRPr="00F07DEB">
        <w:rPr>
          <w:rFonts w:ascii="Times New Roman" w:hAnsi="Times New Roman" w:cs="Times New Roman"/>
          <w:sz w:val="24"/>
          <w:szCs w:val="24"/>
        </w:rPr>
        <w:t xml:space="preserve"> will likely be a site-specific endeavor. </w:t>
      </w:r>
      <w:r w:rsidR="00A66444" w:rsidRPr="00F07DEB">
        <w:rPr>
          <w:rFonts w:ascii="Times New Roman" w:hAnsi="Times New Roman" w:cs="Times New Roman"/>
          <w:sz w:val="24"/>
          <w:szCs w:val="24"/>
        </w:rPr>
        <w:lastRenderedPageBreak/>
        <w:t xml:space="preserve">This question will also be informed by water demand. Reported livestock population numbers for Ottawa County and the corresponding drinking water demand are discussed </w:t>
      </w:r>
      <w:r w:rsidR="00EC0EDD" w:rsidRPr="00F07DEB">
        <w:rPr>
          <w:rFonts w:ascii="Times New Roman" w:hAnsi="Times New Roman" w:cs="Times New Roman"/>
          <w:sz w:val="24"/>
          <w:szCs w:val="24"/>
        </w:rPr>
        <w:t xml:space="preserve">later in this </w:t>
      </w:r>
      <w:r w:rsidR="00A66444" w:rsidRPr="00F07DEB">
        <w:rPr>
          <w:rFonts w:ascii="Times New Roman" w:hAnsi="Times New Roman" w:cs="Times New Roman"/>
          <w:sz w:val="24"/>
          <w:szCs w:val="24"/>
        </w:rPr>
        <w:t>section.</w:t>
      </w:r>
    </w:p>
    <w:p w14:paraId="658C92D1" w14:textId="77777777" w:rsidR="00252822" w:rsidRDefault="00252822" w:rsidP="00204C13">
      <w:pPr>
        <w:pStyle w:val="Caption"/>
      </w:pPr>
    </w:p>
    <w:p w14:paraId="2F8523C4" w14:textId="42170974" w:rsidR="00A66444" w:rsidRPr="00F07DEB" w:rsidRDefault="00A66444" w:rsidP="00204C13">
      <w:pPr>
        <w:pStyle w:val="Caption"/>
      </w:pPr>
      <w:bookmarkStart w:id="8" w:name="_Toc58975188"/>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2</w:t>
      </w:r>
      <w:r w:rsidR="00DE3B90" w:rsidRPr="00F07DEB">
        <w:rPr>
          <w:noProof/>
        </w:rPr>
        <w:fldChar w:fldCharType="end"/>
      </w:r>
      <w:r w:rsidR="0051506B">
        <w:t>: MRPTS water q</w:t>
      </w:r>
      <w:r w:rsidRPr="00F07DEB">
        <w:t xml:space="preserve">uality </w:t>
      </w:r>
      <w:r w:rsidR="00433D13" w:rsidRPr="00F07DEB">
        <w:t xml:space="preserve">and </w:t>
      </w:r>
      <w:r w:rsidR="0051506B">
        <w:t>cattle drinking w</w:t>
      </w:r>
      <w:r w:rsidR="00433D13" w:rsidRPr="00F07DEB">
        <w:t>ater MCLs</w:t>
      </w:r>
      <w:bookmarkEnd w:id="8"/>
    </w:p>
    <w:tbl>
      <w:tblPr>
        <w:tblpPr w:leftFromText="180" w:rightFromText="180" w:vertAnchor="text" w:tblpY="1"/>
        <w:tblW w:w="5000" w:type="pct"/>
        <w:tblBorders>
          <w:top w:val="single" w:sz="8" w:space="0" w:color="auto"/>
          <w:bottom w:val="single" w:sz="8" w:space="0" w:color="auto"/>
        </w:tblBorders>
        <w:tblLook w:val="04A0" w:firstRow="1" w:lastRow="0" w:firstColumn="1" w:lastColumn="0" w:noHBand="0" w:noVBand="1"/>
      </w:tblPr>
      <w:tblGrid>
        <w:gridCol w:w="2971"/>
        <w:gridCol w:w="2160"/>
        <w:gridCol w:w="2248"/>
        <w:gridCol w:w="1981"/>
      </w:tblGrid>
      <w:tr w:rsidR="00A66444" w:rsidRPr="00F07DEB" w14:paraId="6F721171" w14:textId="77777777" w:rsidTr="00F07DEB">
        <w:tc>
          <w:tcPr>
            <w:tcW w:w="1587" w:type="pct"/>
            <w:tcBorders>
              <w:top w:val="single" w:sz="8" w:space="0" w:color="auto"/>
              <w:bottom w:val="single" w:sz="8" w:space="0" w:color="auto"/>
            </w:tcBorders>
            <w:vAlign w:val="center"/>
            <w:hideMark/>
          </w:tcPr>
          <w:p w14:paraId="21B9DB84" w14:textId="537D342F" w:rsidR="00A66444" w:rsidRPr="00F07DEB" w:rsidRDefault="00A66444" w:rsidP="00F07DEB">
            <w:pPr>
              <w:spacing w:before="60" w:after="60"/>
              <w:rPr>
                <w:rFonts w:ascii="Times New Roman" w:eastAsia="Times New Roman" w:hAnsi="Times New Roman" w:cs="Times New Roman"/>
                <w:bCs/>
                <w:sz w:val="20"/>
                <w:szCs w:val="20"/>
                <w:vertAlign w:val="superscript"/>
              </w:rPr>
            </w:pPr>
            <w:r w:rsidRPr="00F07DEB">
              <w:rPr>
                <w:rFonts w:ascii="Times New Roman" w:eastAsia="Times New Roman" w:hAnsi="Times New Roman" w:cs="Times New Roman"/>
                <w:bCs/>
                <w:sz w:val="20"/>
                <w:szCs w:val="20"/>
              </w:rPr>
              <w:t>Parameter</w:t>
            </w:r>
            <w:r w:rsidR="00F07DEB">
              <w:rPr>
                <w:rFonts w:ascii="Times New Roman" w:eastAsia="Times New Roman" w:hAnsi="Times New Roman" w:cs="Times New Roman"/>
                <w:bCs/>
                <w:sz w:val="20"/>
                <w:szCs w:val="20"/>
                <w:vertAlign w:val="superscript"/>
              </w:rPr>
              <w:t>7</w:t>
            </w:r>
          </w:p>
        </w:tc>
        <w:tc>
          <w:tcPr>
            <w:tcW w:w="1154" w:type="pct"/>
            <w:tcBorders>
              <w:top w:val="single" w:sz="8" w:space="0" w:color="auto"/>
              <w:bottom w:val="single" w:sz="8" w:space="0" w:color="auto"/>
            </w:tcBorders>
            <w:vAlign w:val="center"/>
            <w:hideMark/>
          </w:tcPr>
          <w:p w14:paraId="72270B1A" w14:textId="77777777" w:rsidR="00A66444" w:rsidRPr="00F07DEB" w:rsidRDefault="00A66444" w:rsidP="00F07DEB">
            <w:pPr>
              <w:spacing w:before="60" w:after="60"/>
              <w:rPr>
                <w:rFonts w:ascii="Times New Roman" w:eastAsia="Times New Roman" w:hAnsi="Times New Roman" w:cs="Times New Roman"/>
                <w:bCs/>
                <w:sz w:val="20"/>
                <w:szCs w:val="20"/>
              </w:rPr>
            </w:pPr>
            <w:r w:rsidRPr="00F07DEB">
              <w:rPr>
                <w:rFonts w:ascii="Times New Roman" w:eastAsia="Times New Roman" w:hAnsi="Times New Roman" w:cs="Times New Roman"/>
                <w:bCs/>
                <w:sz w:val="20"/>
                <w:szCs w:val="20"/>
              </w:rPr>
              <w:t>Influent (mg/L)</w:t>
            </w:r>
          </w:p>
        </w:tc>
        <w:tc>
          <w:tcPr>
            <w:tcW w:w="1201" w:type="pct"/>
            <w:tcBorders>
              <w:top w:val="single" w:sz="8" w:space="0" w:color="auto"/>
              <w:bottom w:val="single" w:sz="8" w:space="0" w:color="auto"/>
            </w:tcBorders>
            <w:vAlign w:val="center"/>
            <w:hideMark/>
          </w:tcPr>
          <w:p w14:paraId="5EE1CE78" w14:textId="77777777" w:rsidR="00A66444" w:rsidRPr="00F07DEB" w:rsidRDefault="00A66444" w:rsidP="00F07DEB">
            <w:pPr>
              <w:spacing w:before="60" w:after="60"/>
              <w:rPr>
                <w:rFonts w:ascii="Times New Roman" w:eastAsia="Times New Roman" w:hAnsi="Times New Roman" w:cs="Times New Roman"/>
                <w:bCs/>
                <w:sz w:val="20"/>
                <w:szCs w:val="20"/>
              </w:rPr>
            </w:pPr>
            <w:r w:rsidRPr="00F07DEB">
              <w:rPr>
                <w:rFonts w:ascii="Times New Roman" w:eastAsia="Times New Roman" w:hAnsi="Times New Roman" w:cs="Times New Roman"/>
                <w:bCs/>
                <w:sz w:val="20"/>
                <w:szCs w:val="20"/>
              </w:rPr>
              <w:t>Effluent (mg/L)</w:t>
            </w:r>
          </w:p>
        </w:tc>
        <w:tc>
          <w:tcPr>
            <w:tcW w:w="1058" w:type="pct"/>
            <w:tcBorders>
              <w:top w:val="single" w:sz="8" w:space="0" w:color="auto"/>
              <w:bottom w:val="single" w:sz="8" w:space="0" w:color="auto"/>
            </w:tcBorders>
            <w:vAlign w:val="center"/>
          </w:tcPr>
          <w:p w14:paraId="17BAAC56" w14:textId="77777777" w:rsidR="00A66444" w:rsidRPr="00F07DEB" w:rsidRDefault="00A66444" w:rsidP="00F07DEB">
            <w:pPr>
              <w:spacing w:before="60" w:after="60"/>
              <w:rPr>
                <w:rFonts w:ascii="Times New Roman" w:eastAsia="Times New Roman" w:hAnsi="Times New Roman" w:cs="Times New Roman"/>
                <w:bCs/>
                <w:sz w:val="20"/>
                <w:szCs w:val="20"/>
              </w:rPr>
            </w:pPr>
            <w:r w:rsidRPr="00F07DEB">
              <w:rPr>
                <w:rFonts w:ascii="Times New Roman" w:eastAsia="Times New Roman" w:hAnsi="Times New Roman" w:cs="Times New Roman"/>
                <w:bCs/>
                <w:sz w:val="20"/>
                <w:szCs w:val="20"/>
              </w:rPr>
              <w:t>Cattle MCL (mg/L)</w:t>
            </w:r>
          </w:p>
        </w:tc>
      </w:tr>
      <w:tr w:rsidR="00A66444" w:rsidRPr="00F07DEB" w14:paraId="75484837" w14:textId="77777777" w:rsidTr="00F07DEB">
        <w:trPr>
          <w:trHeight w:val="317"/>
        </w:trPr>
        <w:tc>
          <w:tcPr>
            <w:tcW w:w="1587" w:type="pct"/>
            <w:tcBorders>
              <w:top w:val="single" w:sz="8" w:space="0" w:color="auto"/>
            </w:tcBorders>
            <w:vAlign w:val="center"/>
          </w:tcPr>
          <w:p w14:paraId="061410B8" w14:textId="4805875C"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Alkalinity (</w:t>
            </w:r>
            <w:r w:rsidR="00B33F43" w:rsidRPr="00F07DEB">
              <w:rPr>
                <w:rFonts w:ascii="Times New Roman" w:eastAsia="Times New Roman" w:hAnsi="Times New Roman" w:cs="Times New Roman"/>
                <w:color w:val="000000"/>
                <w:sz w:val="20"/>
                <w:szCs w:val="20"/>
              </w:rPr>
              <w:t xml:space="preserve">mg/L </w:t>
            </w:r>
            <w:r w:rsidR="00D301C0" w:rsidRPr="00F07DEB">
              <w:rPr>
                <w:rFonts w:ascii="Times New Roman" w:eastAsia="Times New Roman" w:hAnsi="Times New Roman" w:cs="Times New Roman"/>
                <w:color w:val="000000"/>
                <w:sz w:val="20"/>
                <w:szCs w:val="20"/>
              </w:rPr>
              <w:t xml:space="preserve">as </w:t>
            </w:r>
            <w:r w:rsidR="00B33F43" w:rsidRPr="00F07DEB">
              <w:rPr>
                <w:rFonts w:ascii="Times New Roman" w:eastAsia="Times New Roman" w:hAnsi="Times New Roman" w:cs="Times New Roman"/>
                <w:color w:val="000000"/>
                <w:sz w:val="20"/>
                <w:szCs w:val="20"/>
              </w:rPr>
              <w:t>Ca</w:t>
            </w:r>
            <w:r w:rsidRPr="00F07DEB">
              <w:rPr>
                <w:rFonts w:ascii="Times New Roman" w:eastAsia="Times New Roman" w:hAnsi="Times New Roman" w:cs="Times New Roman"/>
                <w:color w:val="000000"/>
                <w:sz w:val="20"/>
                <w:szCs w:val="20"/>
              </w:rPr>
              <w:t>CO</w:t>
            </w:r>
            <w:r w:rsidRPr="00F07DEB">
              <w:rPr>
                <w:rFonts w:ascii="Times New Roman" w:eastAsia="Times New Roman" w:hAnsi="Times New Roman" w:cs="Times New Roman"/>
                <w:color w:val="000000"/>
                <w:sz w:val="20"/>
                <w:szCs w:val="20"/>
                <w:vertAlign w:val="subscript"/>
              </w:rPr>
              <w:t>3</w:t>
            </w:r>
            <w:r w:rsidR="00D301C0" w:rsidRPr="00F07DEB">
              <w:rPr>
                <w:rFonts w:ascii="Times New Roman" w:eastAsia="Times New Roman" w:hAnsi="Times New Roman" w:cs="Times New Roman"/>
                <w:color w:val="000000"/>
                <w:sz w:val="20"/>
                <w:szCs w:val="20"/>
              </w:rPr>
              <w:t xml:space="preserve"> eq.</w:t>
            </w:r>
            <w:r w:rsidRPr="00F07DEB">
              <w:rPr>
                <w:rFonts w:ascii="Times New Roman" w:eastAsia="Times New Roman" w:hAnsi="Times New Roman" w:cs="Times New Roman"/>
                <w:color w:val="000000"/>
                <w:sz w:val="20"/>
                <w:szCs w:val="20"/>
              </w:rPr>
              <w:t>)</w:t>
            </w:r>
          </w:p>
        </w:tc>
        <w:tc>
          <w:tcPr>
            <w:tcW w:w="1154" w:type="pct"/>
            <w:tcBorders>
              <w:top w:val="single" w:sz="8" w:space="0" w:color="auto"/>
            </w:tcBorders>
            <w:vAlign w:val="center"/>
          </w:tcPr>
          <w:p w14:paraId="4AD20F47" w14:textId="3A803694" w:rsidR="00A66444" w:rsidRPr="00F07DEB" w:rsidRDefault="00FF2421"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394 ± 1.98</w:t>
            </w:r>
          </w:p>
        </w:tc>
        <w:tc>
          <w:tcPr>
            <w:tcW w:w="1201" w:type="pct"/>
            <w:tcBorders>
              <w:top w:val="single" w:sz="8" w:space="0" w:color="auto"/>
            </w:tcBorders>
            <w:vAlign w:val="center"/>
          </w:tcPr>
          <w:p w14:paraId="77A0E59D" w14:textId="0A6FFCFC" w:rsidR="00A66444" w:rsidRPr="00F07DEB" w:rsidRDefault="00ED34EF"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193 ±</w:t>
            </w:r>
            <w:r w:rsidR="00FF2421" w:rsidRPr="00F07DEB">
              <w:rPr>
                <w:rFonts w:ascii="Times New Roman" w:eastAsia="Times New Roman" w:hAnsi="Times New Roman" w:cs="Times New Roman"/>
                <w:color w:val="000000"/>
                <w:sz w:val="20"/>
                <w:szCs w:val="20"/>
              </w:rPr>
              <w:t xml:space="preserve"> 6.70</w:t>
            </w:r>
          </w:p>
        </w:tc>
        <w:tc>
          <w:tcPr>
            <w:tcW w:w="1058" w:type="pct"/>
            <w:tcBorders>
              <w:top w:val="single" w:sz="8" w:space="0" w:color="auto"/>
            </w:tcBorders>
            <w:vAlign w:val="center"/>
          </w:tcPr>
          <w:p w14:paraId="7295BB88" w14:textId="77777777" w:rsidR="00A66444" w:rsidRPr="00F07DEB" w:rsidRDefault="00A66444" w:rsidP="00F07DEB">
            <w:pPr>
              <w:spacing w:before="20" w:after="20"/>
              <w:rPr>
                <w:rFonts w:ascii="Times New Roman" w:eastAsia="Times New Roman" w:hAnsi="Times New Roman" w:cs="Times New Roman"/>
                <w:color w:val="FF0000"/>
                <w:sz w:val="20"/>
                <w:szCs w:val="20"/>
                <w:vertAlign w:val="superscript"/>
              </w:rPr>
            </w:pPr>
            <w:r w:rsidRPr="00F07DEB">
              <w:rPr>
                <w:rFonts w:ascii="Times New Roman" w:eastAsia="Times New Roman" w:hAnsi="Times New Roman" w:cs="Times New Roman"/>
                <w:sz w:val="20"/>
                <w:szCs w:val="20"/>
              </w:rPr>
              <w:t>2000</w:t>
            </w:r>
            <w:r w:rsidRPr="00F07DEB">
              <w:rPr>
                <w:rFonts w:ascii="Times New Roman" w:eastAsia="Times New Roman" w:hAnsi="Times New Roman" w:cs="Times New Roman"/>
                <w:sz w:val="20"/>
                <w:szCs w:val="20"/>
                <w:vertAlign w:val="superscript"/>
              </w:rPr>
              <w:t>2</w:t>
            </w:r>
          </w:p>
        </w:tc>
      </w:tr>
      <w:tr w:rsidR="00A66444" w:rsidRPr="00F07DEB" w14:paraId="3DFF715E" w14:textId="77777777" w:rsidTr="00F07DEB">
        <w:trPr>
          <w:trHeight w:val="317"/>
        </w:trPr>
        <w:tc>
          <w:tcPr>
            <w:tcW w:w="1587" w:type="pct"/>
            <w:vAlign w:val="center"/>
            <w:hideMark/>
          </w:tcPr>
          <w:p w14:paraId="710750E7" w14:textId="0764C7C5"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Al</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40B78F8D" w14:textId="49719D9B"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0.232 ± 0.030</w:t>
            </w:r>
          </w:p>
        </w:tc>
        <w:tc>
          <w:tcPr>
            <w:tcW w:w="1201" w:type="pct"/>
            <w:vAlign w:val="center"/>
            <w:hideMark/>
          </w:tcPr>
          <w:p w14:paraId="5D0AE1C6" w14:textId="1D43EE0A" w:rsidR="00A66444" w:rsidRPr="00F07DEB" w:rsidRDefault="00ED34EF"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0.060 ± 0.008</w:t>
            </w:r>
          </w:p>
        </w:tc>
        <w:tc>
          <w:tcPr>
            <w:tcW w:w="1058" w:type="pct"/>
            <w:vAlign w:val="center"/>
          </w:tcPr>
          <w:p w14:paraId="058442B3" w14:textId="77777777" w:rsidR="00A66444" w:rsidRPr="00F07DEB" w:rsidRDefault="00A66444" w:rsidP="00F07DEB">
            <w:pPr>
              <w:spacing w:before="20" w:after="20"/>
              <w:rPr>
                <w:rFonts w:ascii="Times New Roman" w:eastAsia="Times New Roman" w:hAnsi="Times New Roman" w:cs="Times New Roman"/>
                <w:sz w:val="20"/>
                <w:szCs w:val="20"/>
                <w:vertAlign w:val="superscript"/>
              </w:rPr>
            </w:pPr>
            <w:r w:rsidRPr="00F07DEB">
              <w:rPr>
                <w:rFonts w:ascii="Times New Roman" w:eastAsia="Times New Roman" w:hAnsi="Times New Roman" w:cs="Times New Roman"/>
                <w:sz w:val="20"/>
                <w:szCs w:val="20"/>
              </w:rPr>
              <w:t>5.0</w:t>
            </w:r>
            <w:r w:rsidRPr="00F07DEB">
              <w:rPr>
                <w:rFonts w:ascii="Times New Roman" w:eastAsia="Times New Roman" w:hAnsi="Times New Roman" w:cs="Times New Roman"/>
                <w:sz w:val="20"/>
                <w:szCs w:val="20"/>
                <w:vertAlign w:val="superscript"/>
              </w:rPr>
              <w:t>1</w:t>
            </w:r>
          </w:p>
        </w:tc>
      </w:tr>
      <w:tr w:rsidR="00A66444" w:rsidRPr="00F07DEB" w14:paraId="5D41DD54" w14:textId="77777777" w:rsidTr="00F07DEB">
        <w:trPr>
          <w:trHeight w:val="317"/>
        </w:trPr>
        <w:tc>
          <w:tcPr>
            <w:tcW w:w="1587" w:type="pct"/>
            <w:vAlign w:val="center"/>
            <w:hideMark/>
          </w:tcPr>
          <w:p w14:paraId="0BAD00AA" w14:textId="6C74347C"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As</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06FF2140" w14:textId="2F0C04C6"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0.061 ± 0.001</w:t>
            </w:r>
          </w:p>
        </w:tc>
        <w:tc>
          <w:tcPr>
            <w:tcW w:w="1201" w:type="pct"/>
            <w:vAlign w:val="center"/>
            <w:hideMark/>
          </w:tcPr>
          <w:p w14:paraId="04AB3D2A" w14:textId="77777777"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BDL (0.022)</w:t>
            </w:r>
          </w:p>
        </w:tc>
        <w:tc>
          <w:tcPr>
            <w:tcW w:w="1058" w:type="pct"/>
            <w:vAlign w:val="center"/>
          </w:tcPr>
          <w:p w14:paraId="38562E7A" w14:textId="77777777" w:rsidR="00A66444" w:rsidRPr="00F07DEB" w:rsidRDefault="00A66444" w:rsidP="00F07DEB">
            <w:pPr>
              <w:spacing w:before="20" w:after="20"/>
              <w:rPr>
                <w:rFonts w:ascii="Times New Roman" w:eastAsia="Times New Roman" w:hAnsi="Times New Roman" w:cs="Times New Roman"/>
                <w:sz w:val="20"/>
                <w:szCs w:val="20"/>
                <w:vertAlign w:val="superscript"/>
              </w:rPr>
            </w:pPr>
            <w:r w:rsidRPr="00F07DEB">
              <w:rPr>
                <w:rFonts w:ascii="Times New Roman" w:eastAsia="Times New Roman" w:hAnsi="Times New Roman" w:cs="Times New Roman"/>
                <w:sz w:val="20"/>
                <w:szCs w:val="20"/>
              </w:rPr>
              <w:t>0.2</w:t>
            </w:r>
            <w:r w:rsidRPr="00F07DEB">
              <w:rPr>
                <w:rFonts w:ascii="Times New Roman" w:eastAsia="Times New Roman" w:hAnsi="Times New Roman" w:cs="Times New Roman"/>
                <w:sz w:val="20"/>
                <w:szCs w:val="20"/>
                <w:vertAlign w:val="superscript"/>
              </w:rPr>
              <w:t>1</w:t>
            </w:r>
          </w:p>
        </w:tc>
      </w:tr>
      <w:tr w:rsidR="00A66444" w:rsidRPr="00F07DEB" w14:paraId="50179C3B" w14:textId="77777777" w:rsidTr="00F07DEB">
        <w:trPr>
          <w:trHeight w:val="317"/>
        </w:trPr>
        <w:tc>
          <w:tcPr>
            <w:tcW w:w="1587" w:type="pct"/>
            <w:vAlign w:val="center"/>
            <w:hideMark/>
          </w:tcPr>
          <w:p w14:paraId="5B0DA8CC" w14:textId="410E6F0F"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Ca</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36117BAB" w14:textId="441B7FB8"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716 ± 2.98</w:t>
            </w:r>
          </w:p>
        </w:tc>
        <w:tc>
          <w:tcPr>
            <w:tcW w:w="1201" w:type="pct"/>
            <w:vAlign w:val="center"/>
            <w:hideMark/>
          </w:tcPr>
          <w:p w14:paraId="57C215A1" w14:textId="4007EE17" w:rsidR="00A66444" w:rsidRPr="00F07DEB" w:rsidRDefault="00ED34EF"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690 ± 13.1</w:t>
            </w:r>
          </w:p>
        </w:tc>
        <w:tc>
          <w:tcPr>
            <w:tcW w:w="1058" w:type="pct"/>
            <w:vAlign w:val="center"/>
          </w:tcPr>
          <w:p w14:paraId="4BC49868" w14:textId="413C7D0C" w:rsidR="00A66444" w:rsidRPr="00F07DEB" w:rsidRDefault="00885480" w:rsidP="00F07DEB">
            <w:pPr>
              <w:spacing w:before="20" w:after="20"/>
              <w:rPr>
                <w:rFonts w:ascii="Times New Roman" w:eastAsia="Times New Roman" w:hAnsi="Times New Roman" w:cs="Times New Roman"/>
                <w:sz w:val="20"/>
                <w:szCs w:val="20"/>
                <w:vertAlign w:val="superscript"/>
              </w:rPr>
            </w:pPr>
            <w:r w:rsidRPr="00F07DEB">
              <w:rPr>
                <w:rFonts w:ascii="Times New Roman" w:eastAsia="Times New Roman" w:hAnsi="Times New Roman" w:cs="Times New Roman"/>
                <w:sz w:val="20"/>
                <w:szCs w:val="20"/>
              </w:rPr>
              <w:t>1000</w:t>
            </w:r>
            <w:r w:rsidRPr="00F07DEB">
              <w:rPr>
                <w:rFonts w:ascii="Times New Roman" w:eastAsia="Times New Roman" w:hAnsi="Times New Roman" w:cs="Times New Roman"/>
                <w:sz w:val="20"/>
                <w:szCs w:val="20"/>
                <w:vertAlign w:val="superscript"/>
              </w:rPr>
              <w:t>6</w:t>
            </w:r>
          </w:p>
        </w:tc>
      </w:tr>
      <w:tr w:rsidR="00A66444" w:rsidRPr="00F07DEB" w14:paraId="32B52D6D" w14:textId="77777777" w:rsidTr="00F07DEB">
        <w:trPr>
          <w:trHeight w:val="317"/>
        </w:trPr>
        <w:tc>
          <w:tcPr>
            <w:tcW w:w="1587" w:type="pct"/>
            <w:vAlign w:val="center"/>
            <w:hideMark/>
          </w:tcPr>
          <w:p w14:paraId="34D16418" w14:textId="61C76F95"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Cd</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5FF9AC55" w14:textId="01856F40"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0.016 ± 0.001</w:t>
            </w:r>
          </w:p>
        </w:tc>
        <w:tc>
          <w:tcPr>
            <w:tcW w:w="1201" w:type="pct"/>
            <w:vAlign w:val="center"/>
            <w:hideMark/>
          </w:tcPr>
          <w:p w14:paraId="08551AE4" w14:textId="65CDE7AC" w:rsidR="00A66444" w:rsidRPr="00F07DEB" w:rsidRDefault="00ED34EF"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BDL</w:t>
            </w:r>
            <w:r w:rsidR="00701262" w:rsidRPr="00F07DEB">
              <w:rPr>
                <w:rFonts w:ascii="Times New Roman" w:eastAsia="Times New Roman" w:hAnsi="Times New Roman" w:cs="Times New Roman"/>
                <w:color w:val="000000"/>
                <w:sz w:val="20"/>
                <w:szCs w:val="20"/>
              </w:rPr>
              <w:t xml:space="preserve"> </w:t>
            </w:r>
            <w:r w:rsidRPr="00F07DEB">
              <w:rPr>
                <w:rFonts w:ascii="Times New Roman" w:eastAsia="Times New Roman" w:hAnsi="Times New Roman" w:cs="Times New Roman"/>
                <w:color w:val="000000"/>
                <w:sz w:val="20"/>
                <w:szCs w:val="20"/>
              </w:rPr>
              <w:t>(0.0012</w:t>
            </w:r>
            <w:r w:rsidR="00A66444" w:rsidRPr="00F07DEB">
              <w:rPr>
                <w:rFonts w:ascii="Times New Roman" w:eastAsia="Times New Roman" w:hAnsi="Times New Roman" w:cs="Times New Roman"/>
                <w:color w:val="000000"/>
                <w:sz w:val="20"/>
                <w:szCs w:val="20"/>
              </w:rPr>
              <w:t>)</w:t>
            </w:r>
          </w:p>
        </w:tc>
        <w:tc>
          <w:tcPr>
            <w:tcW w:w="1058" w:type="pct"/>
            <w:vAlign w:val="center"/>
          </w:tcPr>
          <w:p w14:paraId="43F5406B" w14:textId="77777777" w:rsidR="00A66444" w:rsidRPr="00F07DEB" w:rsidRDefault="00A66444" w:rsidP="00F07DEB">
            <w:pPr>
              <w:spacing w:before="20" w:after="20"/>
              <w:rPr>
                <w:rFonts w:ascii="Times New Roman" w:eastAsia="Times New Roman" w:hAnsi="Times New Roman" w:cs="Times New Roman"/>
                <w:sz w:val="20"/>
                <w:szCs w:val="20"/>
                <w:vertAlign w:val="superscript"/>
              </w:rPr>
            </w:pPr>
            <w:r w:rsidRPr="00F07DEB">
              <w:rPr>
                <w:rFonts w:ascii="Times New Roman" w:eastAsia="Times New Roman" w:hAnsi="Times New Roman" w:cs="Times New Roman"/>
                <w:sz w:val="20"/>
                <w:szCs w:val="20"/>
              </w:rPr>
              <w:t>0.05</w:t>
            </w:r>
            <w:r w:rsidRPr="00F07DEB">
              <w:rPr>
                <w:rFonts w:ascii="Times New Roman" w:eastAsia="Times New Roman" w:hAnsi="Times New Roman" w:cs="Times New Roman"/>
                <w:sz w:val="20"/>
                <w:szCs w:val="20"/>
                <w:vertAlign w:val="superscript"/>
              </w:rPr>
              <w:t>1</w:t>
            </w:r>
          </w:p>
        </w:tc>
      </w:tr>
      <w:tr w:rsidR="003E78C6" w:rsidRPr="00F07DEB" w14:paraId="36C001BB" w14:textId="77777777" w:rsidTr="00F07DEB">
        <w:trPr>
          <w:trHeight w:val="317"/>
        </w:trPr>
        <w:tc>
          <w:tcPr>
            <w:tcW w:w="1587" w:type="pct"/>
            <w:vAlign w:val="center"/>
          </w:tcPr>
          <w:p w14:paraId="0F377C0E" w14:textId="3B109EDD" w:rsidR="003E78C6" w:rsidRPr="00F07DEB" w:rsidRDefault="003E78C6"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Cl</w:t>
            </w:r>
            <w:r w:rsidRPr="00F07DEB">
              <w:rPr>
                <w:rFonts w:ascii="Times New Roman" w:eastAsia="Times New Roman" w:hAnsi="Times New Roman" w:cs="Times New Roman"/>
                <w:color w:val="000000"/>
                <w:sz w:val="20"/>
                <w:szCs w:val="20"/>
                <w:vertAlign w:val="superscript"/>
              </w:rPr>
              <w:t>-</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tcPr>
          <w:p w14:paraId="5E9ED0EB" w14:textId="06A823B6" w:rsidR="003E78C6" w:rsidRPr="00F07DEB" w:rsidRDefault="00006FBF"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34.5 ± 2.00</w:t>
            </w:r>
          </w:p>
        </w:tc>
        <w:tc>
          <w:tcPr>
            <w:tcW w:w="1201" w:type="pct"/>
            <w:vAlign w:val="center"/>
          </w:tcPr>
          <w:p w14:paraId="0DC1AB2E" w14:textId="43EEF87B" w:rsidR="003E78C6" w:rsidRPr="00F07DEB" w:rsidRDefault="003E78C6"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32.6 ± 0.670</w:t>
            </w:r>
          </w:p>
        </w:tc>
        <w:tc>
          <w:tcPr>
            <w:tcW w:w="1058" w:type="pct"/>
            <w:vAlign w:val="center"/>
          </w:tcPr>
          <w:p w14:paraId="59D0B516" w14:textId="77777777" w:rsidR="003E78C6" w:rsidRPr="00F07DEB" w:rsidRDefault="003E78C6" w:rsidP="00F07DEB">
            <w:pPr>
              <w:spacing w:before="20" w:after="20"/>
              <w:rPr>
                <w:rFonts w:ascii="Times New Roman" w:eastAsia="Times New Roman" w:hAnsi="Times New Roman" w:cs="Times New Roman"/>
                <w:sz w:val="20"/>
                <w:szCs w:val="20"/>
              </w:rPr>
            </w:pPr>
          </w:p>
        </w:tc>
      </w:tr>
      <w:tr w:rsidR="00A66444" w:rsidRPr="00F07DEB" w14:paraId="1360FEFE" w14:textId="77777777" w:rsidTr="00F07DEB">
        <w:trPr>
          <w:trHeight w:val="317"/>
        </w:trPr>
        <w:tc>
          <w:tcPr>
            <w:tcW w:w="1587" w:type="pct"/>
            <w:vAlign w:val="center"/>
            <w:hideMark/>
          </w:tcPr>
          <w:p w14:paraId="6B9C7F4B" w14:textId="07AB682B"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Co</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6DCC5222" w14:textId="4F141BA7"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0.057</w:t>
            </w:r>
            <w:r w:rsidR="00A66444" w:rsidRPr="00F07DEB">
              <w:rPr>
                <w:rFonts w:ascii="Times New Roman" w:eastAsia="Times New Roman" w:hAnsi="Times New Roman" w:cs="Times New Roman"/>
                <w:color w:val="000000"/>
                <w:sz w:val="20"/>
                <w:szCs w:val="20"/>
              </w:rPr>
              <w:t xml:space="preserve"> ± 0.00</w:t>
            </w:r>
            <w:r w:rsidRPr="00F07DEB">
              <w:rPr>
                <w:rFonts w:ascii="Times New Roman" w:eastAsia="Times New Roman" w:hAnsi="Times New Roman" w:cs="Times New Roman"/>
                <w:color w:val="000000"/>
                <w:sz w:val="20"/>
                <w:szCs w:val="20"/>
              </w:rPr>
              <w:t>2</w:t>
            </w:r>
          </w:p>
        </w:tc>
        <w:tc>
          <w:tcPr>
            <w:tcW w:w="1201" w:type="pct"/>
            <w:vAlign w:val="center"/>
            <w:hideMark/>
          </w:tcPr>
          <w:p w14:paraId="5277E626" w14:textId="24856E19" w:rsidR="00A66444" w:rsidRPr="00F07DEB" w:rsidRDefault="00ED34EF"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0.010 ± 0.002</w:t>
            </w:r>
          </w:p>
        </w:tc>
        <w:tc>
          <w:tcPr>
            <w:tcW w:w="1058" w:type="pct"/>
            <w:vAlign w:val="center"/>
          </w:tcPr>
          <w:p w14:paraId="5CC52D20" w14:textId="77777777" w:rsidR="00A66444" w:rsidRPr="00F07DEB" w:rsidRDefault="00A66444" w:rsidP="00F07DEB">
            <w:pPr>
              <w:spacing w:before="20" w:after="20"/>
              <w:rPr>
                <w:rFonts w:ascii="Times New Roman" w:eastAsia="Times New Roman" w:hAnsi="Times New Roman" w:cs="Times New Roman"/>
                <w:sz w:val="20"/>
                <w:szCs w:val="20"/>
                <w:vertAlign w:val="superscript"/>
              </w:rPr>
            </w:pPr>
            <w:r w:rsidRPr="00F07DEB">
              <w:rPr>
                <w:rFonts w:ascii="Times New Roman" w:eastAsia="Times New Roman" w:hAnsi="Times New Roman" w:cs="Times New Roman"/>
                <w:sz w:val="20"/>
                <w:szCs w:val="20"/>
              </w:rPr>
              <w:t>1.0</w:t>
            </w:r>
            <w:r w:rsidRPr="00F07DEB">
              <w:rPr>
                <w:rFonts w:ascii="Times New Roman" w:eastAsia="Times New Roman" w:hAnsi="Times New Roman" w:cs="Times New Roman"/>
                <w:sz w:val="20"/>
                <w:szCs w:val="20"/>
                <w:vertAlign w:val="superscript"/>
              </w:rPr>
              <w:t>1</w:t>
            </w:r>
          </w:p>
        </w:tc>
      </w:tr>
      <w:tr w:rsidR="00A66444" w:rsidRPr="00F07DEB" w14:paraId="2FB4C185" w14:textId="77777777" w:rsidTr="00F07DEB">
        <w:trPr>
          <w:trHeight w:val="317"/>
        </w:trPr>
        <w:tc>
          <w:tcPr>
            <w:tcW w:w="1587" w:type="pct"/>
            <w:vAlign w:val="center"/>
            <w:hideMark/>
          </w:tcPr>
          <w:p w14:paraId="0B230C00" w14:textId="55C7F1F7"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Cr</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5A90188A" w14:textId="2B8D17E2"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0.003</w:t>
            </w:r>
            <w:r w:rsidR="00A66444" w:rsidRPr="00F07DEB">
              <w:rPr>
                <w:rFonts w:ascii="Times New Roman" w:eastAsia="Times New Roman" w:hAnsi="Times New Roman" w:cs="Times New Roman"/>
                <w:color w:val="000000"/>
                <w:sz w:val="20"/>
                <w:szCs w:val="20"/>
              </w:rPr>
              <w:t xml:space="preserve"> ± 0.0002</w:t>
            </w:r>
          </w:p>
        </w:tc>
        <w:tc>
          <w:tcPr>
            <w:tcW w:w="1201" w:type="pct"/>
            <w:vAlign w:val="center"/>
            <w:hideMark/>
          </w:tcPr>
          <w:p w14:paraId="650A5D57" w14:textId="60DC52AB" w:rsidR="00A66444" w:rsidRPr="00F07DEB" w:rsidRDefault="00ED34EF"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0.005 ± 0.0005</w:t>
            </w:r>
          </w:p>
        </w:tc>
        <w:tc>
          <w:tcPr>
            <w:tcW w:w="1058" w:type="pct"/>
            <w:vAlign w:val="center"/>
          </w:tcPr>
          <w:p w14:paraId="59ABD26F" w14:textId="77777777" w:rsidR="00A66444" w:rsidRPr="00F07DEB" w:rsidRDefault="00A66444" w:rsidP="00F07DEB">
            <w:pPr>
              <w:spacing w:before="20" w:after="20"/>
              <w:rPr>
                <w:rFonts w:ascii="Times New Roman" w:eastAsia="Times New Roman" w:hAnsi="Times New Roman" w:cs="Times New Roman"/>
                <w:sz w:val="20"/>
                <w:szCs w:val="20"/>
                <w:vertAlign w:val="superscript"/>
              </w:rPr>
            </w:pPr>
            <w:r w:rsidRPr="00F07DEB">
              <w:rPr>
                <w:rFonts w:ascii="Times New Roman" w:eastAsia="Times New Roman" w:hAnsi="Times New Roman" w:cs="Times New Roman"/>
                <w:sz w:val="20"/>
                <w:szCs w:val="20"/>
              </w:rPr>
              <w:t>1.0</w:t>
            </w:r>
            <w:r w:rsidRPr="00F07DEB">
              <w:rPr>
                <w:rFonts w:ascii="Times New Roman" w:eastAsia="Times New Roman" w:hAnsi="Times New Roman" w:cs="Times New Roman"/>
                <w:sz w:val="20"/>
                <w:szCs w:val="20"/>
                <w:vertAlign w:val="superscript"/>
              </w:rPr>
              <w:t>1</w:t>
            </w:r>
          </w:p>
        </w:tc>
      </w:tr>
      <w:tr w:rsidR="00A66444" w:rsidRPr="00F07DEB" w14:paraId="1B060DC4" w14:textId="77777777" w:rsidTr="00F07DEB">
        <w:trPr>
          <w:trHeight w:val="317"/>
        </w:trPr>
        <w:tc>
          <w:tcPr>
            <w:tcW w:w="1587" w:type="pct"/>
            <w:vAlign w:val="center"/>
            <w:hideMark/>
          </w:tcPr>
          <w:p w14:paraId="4470D2F3" w14:textId="729A8158"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Cu</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375980A1" w14:textId="6B38A5B5"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0.00</w:t>
            </w:r>
            <w:r w:rsidR="002E4814" w:rsidRPr="00F07DEB">
              <w:rPr>
                <w:rFonts w:ascii="Times New Roman" w:eastAsia="Times New Roman" w:hAnsi="Times New Roman" w:cs="Times New Roman"/>
                <w:color w:val="000000"/>
                <w:sz w:val="20"/>
                <w:szCs w:val="20"/>
              </w:rPr>
              <w:t>4</w:t>
            </w:r>
            <w:r w:rsidRPr="00F07DEB">
              <w:rPr>
                <w:rFonts w:ascii="Times New Roman" w:eastAsia="Times New Roman" w:hAnsi="Times New Roman" w:cs="Times New Roman"/>
                <w:color w:val="000000"/>
                <w:sz w:val="20"/>
                <w:szCs w:val="20"/>
              </w:rPr>
              <w:t xml:space="preserve"> ± 0.0003</w:t>
            </w:r>
          </w:p>
        </w:tc>
        <w:tc>
          <w:tcPr>
            <w:tcW w:w="1201" w:type="pct"/>
            <w:vAlign w:val="center"/>
            <w:hideMark/>
          </w:tcPr>
          <w:p w14:paraId="7FA87DD8" w14:textId="71032E2F" w:rsidR="00A66444" w:rsidRPr="00F07DEB" w:rsidRDefault="00ED34EF"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0.004 ± 0.0004</w:t>
            </w:r>
          </w:p>
        </w:tc>
        <w:tc>
          <w:tcPr>
            <w:tcW w:w="1058" w:type="pct"/>
            <w:vAlign w:val="center"/>
          </w:tcPr>
          <w:p w14:paraId="7DF0D41B" w14:textId="77777777" w:rsidR="00A66444" w:rsidRPr="00F07DEB" w:rsidRDefault="00A66444" w:rsidP="00F07DEB">
            <w:pPr>
              <w:spacing w:before="20" w:after="20"/>
              <w:rPr>
                <w:rFonts w:ascii="Times New Roman" w:eastAsia="Times New Roman" w:hAnsi="Times New Roman" w:cs="Times New Roman"/>
                <w:sz w:val="20"/>
                <w:szCs w:val="20"/>
                <w:vertAlign w:val="superscript"/>
              </w:rPr>
            </w:pPr>
            <w:r w:rsidRPr="00F07DEB">
              <w:rPr>
                <w:rFonts w:ascii="Times New Roman" w:eastAsia="Times New Roman" w:hAnsi="Times New Roman" w:cs="Times New Roman"/>
                <w:sz w:val="20"/>
                <w:szCs w:val="20"/>
              </w:rPr>
              <w:t>0.5</w:t>
            </w:r>
            <w:r w:rsidRPr="00F07DEB">
              <w:rPr>
                <w:rFonts w:ascii="Times New Roman" w:eastAsia="Times New Roman" w:hAnsi="Times New Roman" w:cs="Times New Roman"/>
                <w:sz w:val="20"/>
                <w:szCs w:val="20"/>
                <w:vertAlign w:val="superscript"/>
              </w:rPr>
              <w:t>1</w:t>
            </w:r>
          </w:p>
        </w:tc>
      </w:tr>
      <w:tr w:rsidR="00A66444" w:rsidRPr="00F07DEB" w14:paraId="0569FC1D" w14:textId="77777777" w:rsidTr="00F07DEB">
        <w:trPr>
          <w:trHeight w:val="317"/>
        </w:trPr>
        <w:tc>
          <w:tcPr>
            <w:tcW w:w="1587" w:type="pct"/>
            <w:vAlign w:val="center"/>
          </w:tcPr>
          <w:p w14:paraId="524AD8B7" w14:textId="2C610D66"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F</w:t>
            </w:r>
            <w:r w:rsidRPr="00F07DEB">
              <w:rPr>
                <w:rFonts w:ascii="Times New Roman" w:eastAsia="Times New Roman" w:hAnsi="Times New Roman" w:cs="Times New Roman"/>
                <w:color w:val="000000"/>
                <w:sz w:val="20"/>
                <w:szCs w:val="20"/>
                <w:vertAlign w:val="superscript"/>
              </w:rPr>
              <w:t>-</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tcPr>
          <w:p w14:paraId="1C68CD62" w14:textId="683BBB70" w:rsidR="00A66444" w:rsidRPr="00F07DEB" w:rsidRDefault="00006FBF"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2.55 ± 0.157</w:t>
            </w:r>
          </w:p>
        </w:tc>
        <w:tc>
          <w:tcPr>
            <w:tcW w:w="1201" w:type="pct"/>
            <w:vAlign w:val="center"/>
          </w:tcPr>
          <w:p w14:paraId="7B9BE777" w14:textId="73695274" w:rsidR="00A66444" w:rsidRPr="00F07DEB" w:rsidRDefault="003E78C6"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1.84 ± 0.044</w:t>
            </w:r>
          </w:p>
        </w:tc>
        <w:tc>
          <w:tcPr>
            <w:tcW w:w="1058" w:type="pct"/>
            <w:vAlign w:val="center"/>
          </w:tcPr>
          <w:p w14:paraId="270BA948" w14:textId="77777777" w:rsidR="00A66444" w:rsidRPr="00F07DEB" w:rsidRDefault="00A66444" w:rsidP="00F07DEB">
            <w:pPr>
              <w:spacing w:before="20" w:after="20"/>
              <w:rPr>
                <w:rFonts w:ascii="Times New Roman" w:eastAsia="Times New Roman" w:hAnsi="Times New Roman" w:cs="Times New Roman"/>
                <w:sz w:val="20"/>
                <w:szCs w:val="20"/>
                <w:vertAlign w:val="superscript"/>
              </w:rPr>
            </w:pPr>
            <w:r w:rsidRPr="00F07DEB">
              <w:rPr>
                <w:rFonts w:ascii="Times New Roman" w:eastAsia="Times New Roman" w:hAnsi="Times New Roman" w:cs="Times New Roman"/>
                <w:sz w:val="20"/>
                <w:szCs w:val="20"/>
              </w:rPr>
              <w:t>2.0</w:t>
            </w:r>
            <w:r w:rsidRPr="00F07DEB">
              <w:rPr>
                <w:rFonts w:ascii="Times New Roman" w:eastAsia="Times New Roman" w:hAnsi="Times New Roman" w:cs="Times New Roman"/>
                <w:sz w:val="20"/>
                <w:szCs w:val="20"/>
                <w:vertAlign w:val="superscript"/>
              </w:rPr>
              <w:t>1</w:t>
            </w:r>
          </w:p>
        </w:tc>
      </w:tr>
      <w:tr w:rsidR="00A66444" w:rsidRPr="00F07DEB" w14:paraId="76BE993E" w14:textId="77777777" w:rsidTr="00F07DEB">
        <w:trPr>
          <w:trHeight w:val="317"/>
        </w:trPr>
        <w:tc>
          <w:tcPr>
            <w:tcW w:w="1587" w:type="pct"/>
            <w:vAlign w:val="center"/>
            <w:hideMark/>
          </w:tcPr>
          <w:p w14:paraId="4DF9868D" w14:textId="224BC26C"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Fe</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78ABBAE4" w14:textId="6C2755D0"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175</w:t>
            </w:r>
            <w:r w:rsidR="00A66444" w:rsidRPr="00F07DEB">
              <w:rPr>
                <w:rFonts w:ascii="Times New Roman" w:eastAsia="Times New Roman" w:hAnsi="Times New Roman" w:cs="Times New Roman"/>
                <w:color w:val="000000"/>
                <w:sz w:val="20"/>
                <w:szCs w:val="20"/>
              </w:rPr>
              <w:t xml:space="preserve"> ± </w:t>
            </w:r>
            <w:r w:rsidRPr="00F07DEB">
              <w:rPr>
                <w:rFonts w:ascii="Times New Roman" w:eastAsia="Times New Roman" w:hAnsi="Times New Roman" w:cs="Times New Roman"/>
                <w:color w:val="000000"/>
                <w:sz w:val="20"/>
                <w:szCs w:val="20"/>
              </w:rPr>
              <w:t>1.34</w:t>
            </w:r>
          </w:p>
        </w:tc>
        <w:tc>
          <w:tcPr>
            <w:tcW w:w="1201" w:type="pct"/>
            <w:vAlign w:val="center"/>
            <w:hideMark/>
          </w:tcPr>
          <w:p w14:paraId="6F2DBDB4" w14:textId="6C892A4E" w:rsidR="00A66444" w:rsidRPr="00F07DEB" w:rsidRDefault="00ED34EF"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0.489 ± 0.062</w:t>
            </w:r>
          </w:p>
        </w:tc>
        <w:tc>
          <w:tcPr>
            <w:tcW w:w="1058" w:type="pct"/>
            <w:vAlign w:val="center"/>
          </w:tcPr>
          <w:p w14:paraId="48D38C6A" w14:textId="12719581" w:rsidR="00A66444" w:rsidRPr="00F07DEB" w:rsidRDefault="00885480" w:rsidP="00F07DEB">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2.0</w:t>
            </w:r>
            <w:r w:rsidRPr="00F07DEB">
              <w:rPr>
                <w:rFonts w:ascii="Times New Roman" w:eastAsia="Times New Roman" w:hAnsi="Times New Roman" w:cs="Times New Roman"/>
                <w:sz w:val="20"/>
                <w:szCs w:val="20"/>
                <w:vertAlign w:val="superscript"/>
              </w:rPr>
              <w:t>5</w:t>
            </w:r>
          </w:p>
        </w:tc>
      </w:tr>
      <w:tr w:rsidR="00A66444" w:rsidRPr="00F07DEB" w14:paraId="656D5449" w14:textId="77777777" w:rsidTr="00F07DEB">
        <w:trPr>
          <w:trHeight w:val="317"/>
        </w:trPr>
        <w:tc>
          <w:tcPr>
            <w:tcW w:w="1587" w:type="pct"/>
            <w:vAlign w:val="center"/>
            <w:hideMark/>
          </w:tcPr>
          <w:p w14:paraId="04B2C97A" w14:textId="4F6E5DD5"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K</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59E80E5B" w14:textId="3A39126A"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2</w:t>
            </w:r>
            <w:r w:rsidR="002E4814" w:rsidRPr="00F07DEB">
              <w:rPr>
                <w:rFonts w:ascii="Times New Roman" w:eastAsia="Times New Roman" w:hAnsi="Times New Roman" w:cs="Times New Roman"/>
                <w:color w:val="000000"/>
                <w:sz w:val="20"/>
                <w:szCs w:val="20"/>
              </w:rPr>
              <w:t>5.0 ± 0.141</w:t>
            </w:r>
          </w:p>
        </w:tc>
        <w:tc>
          <w:tcPr>
            <w:tcW w:w="1201" w:type="pct"/>
            <w:vAlign w:val="center"/>
            <w:hideMark/>
          </w:tcPr>
          <w:p w14:paraId="367BAC60" w14:textId="659FF7F0" w:rsidR="00A66444" w:rsidRPr="00F07DEB" w:rsidRDefault="00ED34EF"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24.5 ± 0.957</w:t>
            </w:r>
          </w:p>
        </w:tc>
        <w:tc>
          <w:tcPr>
            <w:tcW w:w="1058" w:type="pct"/>
            <w:vAlign w:val="center"/>
          </w:tcPr>
          <w:p w14:paraId="4190A742" w14:textId="77777777" w:rsidR="00A66444" w:rsidRPr="00F07DEB" w:rsidRDefault="00A66444" w:rsidP="00F07DEB">
            <w:pPr>
              <w:spacing w:before="20" w:after="20"/>
              <w:rPr>
                <w:rFonts w:ascii="Times New Roman" w:eastAsia="Times New Roman" w:hAnsi="Times New Roman" w:cs="Times New Roman"/>
                <w:sz w:val="20"/>
                <w:szCs w:val="20"/>
              </w:rPr>
            </w:pPr>
          </w:p>
        </w:tc>
      </w:tr>
      <w:tr w:rsidR="00A66444" w:rsidRPr="00F07DEB" w14:paraId="6E39E9BD" w14:textId="77777777" w:rsidTr="00F07DEB">
        <w:trPr>
          <w:trHeight w:val="317"/>
        </w:trPr>
        <w:tc>
          <w:tcPr>
            <w:tcW w:w="1587" w:type="pct"/>
            <w:vAlign w:val="center"/>
            <w:hideMark/>
          </w:tcPr>
          <w:p w14:paraId="2E474F09" w14:textId="5812A1D9"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Li</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00AFCFEF" w14:textId="0647DA30"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0.311</w:t>
            </w:r>
            <w:r w:rsidR="00A66444" w:rsidRPr="00F07DEB">
              <w:rPr>
                <w:rFonts w:ascii="Times New Roman" w:eastAsia="Times New Roman" w:hAnsi="Times New Roman" w:cs="Times New Roman"/>
                <w:color w:val="000000"/>
                <w:sz w:val="20"/>
                <w:szCs w:val="20"/>
              </w:rPr>
              <w:t xml:space="preserve"> ± 0.0</w:t>
            </w:r>
            <w:r w:rsidRPr="00F07DEB">
              <w:rPr>
                <w:rFonts w:ascii="Times New Roman" w:eastAsia="Times New Roman" w:hAnsi="Times New Roman" w:cs="Times New Roman"/>
                <w:color w:val="000000"/>
                <w:sz w:val="20"/>
                <w:szCs w:val="20"/>
              </w:rPr>
              <w:t>06</w:t>
            </w:r>
          </w:p>
        </w:tc>
        <w:tc>
          <w:tcPr>
            <w:tcW w:w="1201" w:type="pct"/>
            <w:vAlign w:val="center"/>
            <w:hideMark/>
          </w:tcPr>
          <w:p w14:paraId="73C8B81F" w14:textId="3ED88DC4" w:rsidR="00A66444" w:rsidRPr="00F07DEB" w:rsidRDefault="00ED34EF"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0.300 ± 0.017</w:t>
            </w:r>
          </w:p>
        </w:tc>
        <w:tc>
          <w:tcPr>
            <w:tcW w:w="1058" w:type="pct"/>
            <w:vAlign w:val="center"/>
          </w:tcPr>
          <w:p w14:paraId="764C7538" w14:textId="77777777" w:rsidR="00A66444" w:rsidRPr="00F07DEB" w:rsidRDefault="00A66444" w:rsidP="00F07DEB">
            <w:pPr>
              <w:spacing w:before="20" w:after="20"/>
              <w:rPr>
                <w:rFonts w:ascii="Times New Roman" w:eastAsia="Times New Roman" w:hAnsi="Times New Roman" w:cs="Times New Roman"/>
                <w:sz w:val="20"/>
                <w:szCs w:val="20"/>
              </w:rPr>
            </w:pPr>
          </w:p>
        </w:tc>
      </w:tr>
      <w:tr w:rsidR="00A66444" w:rsidRPr="00F07DEB" w14:paraId="5EFC11F2" w14:textId="77777777" w:rsidTr="00F07DEB">
        <w:trPr>
          <w:trHeight w:val="317"/>
        </w:trPr>
        <w:tc>
          <w:tcPr>
            <w:tcW w:w="1587" w:type="pct"/>
            <w:vAlign w:val="center"/>
            <w:hideMark/>
          </w:tcPr>
          <w:p w14:paraId="3EC8F65D" w14:textId="5DD7EA21"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Mg</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3EA02D9E" w14:textId="4EA03549"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187 ± 1.23</w:t>
            </w:r>
          </w:p>
        </w:tc>
        <w:tc>
          <w:tcPr>
            <w:tcW w:w="1201" w:type="pct"/>
            <w:vAlign w:val="center"/>
            <w:hideMark/>
          </w:tcPr>
          <w:p w14:paraId="2202EC74" w14:textId="3CB907D6" w:rsidR="00A66444" w:rsidRPr="00F07DEB" w:rsidRDefault="00ED34EF"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175</w:t>
            </w:r>
            <w:r w:rsidR="003E78C6" w:rsidRPr="00F07DEB">
              <w:rPr>
                <w:rFonts w:ascii="Times New Roman" w:eastAsia="Times New Roman" w:hAnsi="Times New Roman" w:cs="Times New Roman"/>
                <w:color w:val="000000"/>
                <w:sz w:val="20"/>
                <w:szCs w:val="20"/>
              </w:rPr>
              <w:t xml:space="preserve"> ± 4.20</w:t>
            </w:r>
          </w:p>
        </w:tc>
        <w:tc>
          <w:tcPr>
            <w:tcW w:w="1058" w:type="pct"/>
            <w:vAlign w:val="center"/>
          </w:tcPr>
          <w:p w14:paraId="6535E0C0" w14:textId="77777777" w:rsidR="00A66444" w:rsidRPr="00F07DEB" w:rsidRDefault="00A66444" w:rsidP="00F07DEB">
            <w:pPr>
              <w:spacing w:before="20" w:after="20"/>
              <w:rPr>
                <w:rFonts w:ascii="Times New Roman" w:eastAsia="Times New Roman" w:hAnsi="Times New Roman" w:cs="Times New Roman"/>
                <w:sz w:val="20"/>
                <w:szCs w:val="20"/>
                <w:vertAlign w:val="superscript"/>
              </w:rPr>
            </w:pPr>
            <w:r w:rsidRPr="00F07DEB">
              <w:rPr>
                <w:rFonts w:ascii="Times New Roman" w:eastAsia="Times New Roman" w:hAnsi="Times New Roman" w:cs="Times New Roman"/>
                <w:sz w:val="20"/>
                <w:szCs w:val="20"/>
              </w:rPr>
              <w:t>&lt;250-400</w:t>
            </w:r>
            <w:r w:rsidRPr="00F07DEB">
              <w:rPr>
                <w:rFonts w:ascii="Times New Roman" w:eastAsia="Times New Roman" w:hAnsi="Times New Roman" w:cs="Times New Roman"/>
                <w:sz w:val="20"/>
                <w:szCs w:val="20"/>
                <w:vertAlign w:val="superscript"/>
              </w:rPr>
              <w:t>1</w:t>
            </w:r>
          </w:p>
        </w:tc>
      </w:tr>
      <w:tr w:rsidR="00A66444" w:rsidRPr="00F07DEB" w14:paraId="35DA7FE0" w14:textId="77777777" w:rsidTr="00F07DEB">
        <w:trPr>
          <w:trHeight w:val="317"/>
        </w:trPr>
        <w:tc>
          <w:tcPr>
            <w:tcW w:w="1587" w:type="pct"/>
            <w:vAlign w:val="center"/>
            <w:hideMark/>
          </w:tcPr>
          <w:p w14:paraId="074955D9" w14:textId="3F3DEE32" w:rsidR="00A66444" w:rsidRPr="00F07DEB" w:rsidRDefault="00A66444" w:rsidP="00F07DEB">
            <w:pPr>
              <w:spacing w:before="20" w:after="20"/>
              <w:rPr>
                <w:rFonts w:ascii="Times New Roman" w:eastAsia="Times New Roman" w:hAnsi="Times New Roman" w:cs="Times New Roman"/>
                <w:color w:val="000000"/>
                <w:sz w:val="20"/>
                <w:szCs w:val="20"/>
              </w:rPr>
            </w:pPr>
            <w:proofErr w:type="spellStart"/>
            <w:r w:rsidRPr="00F07DEB">
              <w:rPr>
                <w:rFonts w:ascii="Times New Roman" w:eastAsia="Times New Roman" w:hAnsi="Times New Roman" w:cs="Times New Roman"/>
                <w:color w:val="000000"/>
                <w:sz w:val="20"/>
                <w:szCs w:val="20"/>
              </w:rPr>
              <w:t>Mn</w:t>
            </w:r>
            <w:proofErr w:type="spellEnd"/>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236F0CA6" w14:textId="6F5145D5"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1.48 ± 0.011</w:t>
            </w:r>
          </w:p>
        </w:tc>
        <w:tc>
          <w:tcPr>
            <w:tcW w:w="1201" w:type="pct"/>
            <w:vAlign w:val="center"/>
            <w:hideMark/>
          </w:tcPr>
          <w:p w14:paraId="7644F339" w14:textId="5290B149" w:rsidR="00A66444" w:rsidRPr="00F07DEB" w:rsidRDefault="003E78C6"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1.15 ± 0.171</w:t>
            </w:r>
          </w:p>
        </w:tc>
        <w:tc>
          <w:tcPr>
            <w:tcW w:w="1058" w:type="pct"/>
            <w:vAlign w:val="center"/>
          </w:tcPr>
          <w:p w14:paraId="4E33D761" w14:textId="7CF33958" w:rsidR="00A66444" w:rsidRPr="00F07DEB" w:rsidRDefault="00A66444" w:rsidP="00F07DEB">
            <w:pPr>
              <w:spacing w:before="20" w:after="20"/>
              <w:rPr>
                <w:rFonts w:ascii="Times New Roman" w:eastAsia="Times New Roman" w:hAnsi="Times New Roman" w:cs="Times New Roman"/>
                <w:sz w:val="20"/>
                <w:szCs w:val="20"/>
                <w:vertAlign w:val="superscript"/>
              </w:rPr>
            </w:pPr>
            <w:r w:rsidRPr="00F07DEB">
              <w:rPr>
                <w:rFonts w:ascii="Times New Roman" w:eastAsia="Times New Roman" w:hAnsi="Times New Roman" w:cs="Times New Roman"/>
                <w:sz w:val="20"/>
                <w:szCs w:val="20"/>
              </w:rPr>
              <w:t>0.05</w:t>
            </w:r>
            <w:r w:rsidRPr="00F07DEB">
              <w:rPr>
                <w:rFonts w:ascii="Times New Roman" w:eastAsia="Times New Roman" w:hAnsi="Times New Roman" w:cs="Times New Roman"/>
                <w:sz w:val="20"/>
                <w:szCs w:val="20"/>
                <w:vertAlign w:val="superscript"/>
              </w:rPr>
              <w:t>1</w:t>
            </w:r>
          </w:p>
        </w:tc>
      </w:tr>
      <w:tr w:rsidR="00A66444" w:rsidRPr="00F07DEB" w14:paraId="3C67A346" w14:textId="77777777" w:rsidTr="00F07DEB">
        <w:trPr>
          <w:trHeight w:val="317"/>
        </w:trPr>
        <w:tc>
          <w:tcPr>
            <w:tcW w:w="1587" w:type="pct"/>
            <w:vAlign w:val="center"/>
            <w:hideMark/>
          </w:tcPr>
          <w:p w14:paraId="1A6893D6" w14:textId="45E7D7D2"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Na</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38FC3BF4" w14:textId="04877102"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94.2 ± 0.701</w:t>
            </w:r>
          </w:p>
        </w:tc>
        <w:tc>
          <w:tcPr>
            <w:tcW w:w="1201" w:type="pct"/>
            <w:vAlign w:val="center"/>
            <w:hideMark/>
          </w:tcPr>
          <w:p w14:paraId="3F94D6DC" w14:textId="7E9C4468" w:rsidR="00A66444" w:rsidRPr="00F07DEB" w:rsidRDefault="003E78C6"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94.3 ± 2.50</w:t>
            </w:r>
          </w:p>
        </w:tc>
        <w:tc>
          <w:tcPr>
            <w:tcW w:w="1058" w:type="pct"/>
            <w:vAlign w:val="center"/>
          </w:tcPr>
          <w:p w14:paraId="4C0379E2" w14:textId="1EEBF917" w:rsidR="00A66444" w:rsidRPr="00F07DEB" w:rsidRDefault="00B65556" w:rsidP="00F07DEB">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1000</w:t>
            </w:r>
            <w:r w:rsidRPr="00F07DEB">
              <w:rPr>
                <w:rFonts w:ascii="Times New Roman" w:eastAsia="Times New Roman" w:hAnsi="Times New Roman" w:cs="Times New Roman"/>
                <w:sz w:val="20"/>
                <w:szCs w:val="20"/>
                <w:vertAlign w:val="superscript"/>
              </w:rPr>
              <w:t>4</w:t>
            </w:r>
          </w:p>
        </w:tc>
      </w:tr>
      <w:tr w:rsidR="00A66444" w:rsidRPr="00F07DEB" w14:paraId="2DA1350F" w14:textId="77777777" w:rsidTr="00F07DEB">
        <w:trPr>
          <w:trHeight w:val="317"/>
        </w:trPr>
        <w:tc>
          <w:tcPr>
            <w:tcW w:w="1587" w:type="pct"/>
            <w:vAlign w:val="center"/>
            <w:hideMark/>
          </w:tcPr>
          <w:p w14:paraId="6EEF9BE7" w14:textId="6A4F5D17"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Ni</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793CE733" w14:textId="2CAF889B"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0.890 ± 0.006</w:t>
            </w:r>
          </w:p>
        </w:tc>
        <w:tc>
          <w:tcPr>
            <w:tcW w:w="1201" w:type="pct"/>
            <w:vAlign w:val="center"/>
            <w:hideMark/>
          </w:tcPr>
          <w:p w14:paraId="307E7A27" w14:textId="68464577" w:rsidR="00A66444" w:rsidRPr="00F07DEB" w:rsidRDefault="003E78C6"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0.205 ± 0.034</w:t>
            </w:r>
          </w:p>
        </w:tc>
        <w:tc>
          <w:tcPr>
            <w:tcW w:w="1058" w:type="pct"/>
            <w:vAlign w:val="center"/>
          </w:tcPr>
          <w:p w14:paraId="7F20EFEC" w14:textId="030AA345" w:rsidR="00A66444" w:rsidRPr="00F07DEB" w:rsidRDefault="00885480" w:rsidP="00F07DEB">
            <w:pPr>
              <w:spacing w:before="20" w:after="20"/>
              <w:rPr>
                <w:rFonts w:ascii="Times New Roman" w:eastAsia="Times New Roman" w:hAnsi="Times New Roman" w:cs="Times New Roman"/>
                <w:sz w:val="20"/>
                <w:szCs w:val="20"/>
                <w:vertAlign w:val="superscript"/>
              </w:rPr>
            </w:pPr>
            <w:r w:rsidRPr="00F07DEB">
              <w:rPr>
                <w:rFonts w:ascii="Times New Roman" w:eastAsia="Times New Roman" w:hAnsi="Times New Roman" w:cs="Times New Roman"/>
                <w:sz w:val="20"/>
                <w:szCs w:val="20"/>
              </w:rPr>
              <w:t>0.25</w:t>
            </w:r>
            <w:r w:rsidRPr="00F07DEB">
              <w:rPr>
                <w:rFonts w:ascii="Times New Roman" w:eastAsia="Times New Roman" w:hAnsi="Times New Roman" w:cs="Times New Roman"/>
                <w:sz w:val="20"/>
                <w:szCs w:val="20"/>
                <w:vertAlign w:val="superscript"/>
              </w:rPr>
              <w:t>5,6</w:t>
            </w:r>
          </w:p>
        </w:tc>
      </w:tr>
      <w:tr w:rsidR="00A66444" w:rsidRPr="00F07DEB" w14:paraId="6773E590" w14:textId="77777777" w:rsidTr="00F07DEB">
        <w:trPr>
          <w:trHeight w:val="317"/>
        </w:trPr>
        <w:tc>
          <w:tcPr>
            <w:tcW w:w="1587" w:type="pct"/>
            <w:vAlign w:val="center"/>
          </w:tcPr>
          <w:p w14:paraId="47459DFE" w14:textId="79E717A2"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N</w:t>
            </w:r>
            <w:r w:rsidR="002A6AB5">
              <w:rPr>
                <w:rFonts w:ascii="Times New Roman" w:eastAsia="Times New Roman" w:hAnsi="Times New Roman" w:cs="Times New Roman"/>
                <w:color w:val="000000"/>
                <w:sz w:val="20"/>
                <w:szCs w:val="20"/>
              </w:rPr>
              <w:t>O</w:t>
            </w:r>
            <w:r w:rsidR="002A6AB5">
              <w:rPr>
                <w:rFonts w:ascii="Times New Roman" w:eastAsia="Times New Roman" w:hAnsi="Times New Roman" w:cs="Times New Roman"/>
                <w:color w:val="000000"/>
                <w:sz w:val="20"/>
                <w:szCs w:val="20"/>
                <w:vertAlign w:val="subscript"/>
              </w:rPr>
              <w:t>2</w:t>
            </w:r>
            <w:r w:rsidRPr="00F07DEB">
              <w:rPr>
                <w:rFonts w:ascii="Times New Roman" w:eastAsia="Times New Roman" w:hAnsi="Times New Roman" w:cs="Times New Roman"/>
                <w:color w:val="000000"/>
                <w:sz w:val="20"/>
                <w:szCs w:val="20"/>
              </w:rPr>
              <w:t>-N</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tcPr>
          <w:p w14:paraId="54CAE82C" w14:textId="28936DED"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1.44 ± 0.086</w:t>
            </w:r>
          </w:p>
        </w:tc>
        <w:tc>
          <w:tcPr>
            <w:tcW w:w="1201" w:type="pct"/>
            <w:vAlign w:val="center"/>
          </w:tcPr>
          <w:p w14:paraId="0739C418" w14:textId="3B7805EA" w:rsidR="00A66444" w:rsidRPr="00F07DEB" w:rsidRDefault="000E025C"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1.28 ± 0.114</w:t>
            </w:r>
          </w:p>
        </w:tc>
        <w:tc>
          <w:tcPr>
            <w:tcW w:w="1058" w:type="pct"/>
            <w:vAlign w:val="center"/>
          </w:tcPr>
          <w:p w14:paraId="4E24739B" w14:textId="77777777" w:rsidR="00A66444" w:rsidRPr="00F07DEB" w:rsidRDefault="00A66444" w:rsidP="00F07DEB">
            <w:pPr>
              <w:spacing w:before="20" w:after="20"/>
              <w:rPr>
                <w:rFonts w:ascii="Times New Roman" w:eastAsia="Times New Roman" w:hAnsi="Times New Roman" w:cs="Times New Roman"/>
                <w:sz w:val="20"/>
                <w:szCs w:val="20"/>
                <w:vertAlign w:val="superscript"/>
              </w:rPr>
            </w:pPr>
            <w:r w:rsidRPr="00F07DEB">
              <w:rPr>
                <w:rFonts w:ascii="Times New Roman" w:eastAsia="Times New Roman" w:hAnsi="Times New Roman" w:cs="Times New Roman"/>
                <w:sz w:val="20"/>
                <w:szCs w:val="20"/>
              </w:rPr>
              <w:t>10.0</w:t>
            </w:r>
            <w:r w:rsidRPr="00F07DEB">
              <w:rPr>
                <w:rFonts w:ascii="Times New Roman" w:eastAsia="Times New Roman" w:hAnsi="Times New Roman" w:cs="Times New Roman"/>
                <w:sz w:val="20"/>
                <w:szCs w:val="20"/>
                <w:vertAlign w:val="superscript"/>
              </w:rPr>
              <w:t>1</w:t>
            </w:r>
          </w:p>
        </w:tc>
      </w:tr>
      <w:tr w:rsidR="00A66444" w:rsidRPr="00F07DEB" w14:paraId="21E8132F" w14:textId="77777777" w:rsidTr="00F07DEB">
        <w:trPr>
          <w:trHeight w:val="317"/>
        </w:trPr>
        <w:tc>
          <w:tcPr>
            <w:tcW w:w="1587" w:type="pct"/>
            <w:vAlign w:val="center"/>
            <w:hideMark/>
          </w:tcPr>
          <w:p w14:paraId="643AA080" w14:textId="5385142E" w:rsidR="00A66444" w:rsidRPr="00F07DEB" w:rsidRDefault="00A66444" w:rsidP="00F07DEB">
            <w:pPr>
              <w:spacing w:before="20" w:after="20"/>
              <w:rPr>
                <w:rFonts w:ascii="Times New Roman" w:eastAsia="Times New Roman" w:hAnsi="Times New Roman" w:cs="Times New Roman"/>
                <w:color w:val="000000"/>
                <w:sz w:val="20"/>
                <w:szCs w:val="20"/>
              </w:rPr>
            </w:pPr>
            <w:proofErr w:type="spellStart"/>
            <w:r w:rsidRPr="00F07DEB">
              <w:rPr>
                <w:rFonts w:ascii="Times New Roman" w:eastAsia="Times New Roman" w:hAnsi="Times New Roman" w:cs="Times New Roman"/>
                <w:color w:val="000000"/>
                <w:sz w:val="20"/>
                <w:szCs w:val="20"/>
              </w:rPr>
              <w:t>Pb</w:t>
            </w:r>
            <w:proofErr w:type="spellEnd"/>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382C2A83" w14:textId="729CC64F"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0.077</w:t>
            </w:r>
            <w:r w:rsidR="00A66444" w:rsidRPr="00F07DEB">
              <w:rPr>
                <w:rFonts w:ascii="Times New Roman" w:eastAsia="Times New Roman" w:hAnsi="Times New Roman" w:cs="Times New Roman"/>
                <w:color w:val="000000"/>
                <w:sz w:val="20"/>
                <w:szCs w:val="20"/>
              </w:rPr>
              <w:t xml:space="preserve"> ± 0.003</w:t>
            </w:r>
          </w:p>
        </w:tc>
        <w:tc>
          <w:tcPr>
            <w:tcW w:w="1201" w:type="pct"/>
            <w:vAlign w:val="center"/>
            <w:hideMark/>
          </w:tcPr>
          <w:p w14:paraId="1167BF88" w14:textId="6496049C" w:rsidR="00A66444" w:rsidRPr="00F07DEB" w:rsidRDefault="003E78C6"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0.032 ± 0.004</w:t>
            </w:r>
          </w:p>
        </w:tc>
        <w:tc>
          <w:tcPr>
            <w:tcW w:w="1058" w:type="pct"/>
            <w:vAlign w:val="center"/>
          </w:tcPr>
          <w:p w14:paraId="542B7303" w14:textId="77777777" w:rsidR="00A66444" w:rsidRPr="00F07DEB" w:rsidRDefault="00A66444" w:rsidP="00F07DEB">
            <w:pPr>
              <w:spacing w:before="20" w:after="20"/>
              <w:rPr>
                <w:rFonts w:ascii="Times New Roman" w:eastAsia="Times New Roman" w:hAnsi="Times New Roman" w:cs="Times New Roman"/>
                <w:sz w:val="20"/>
                <w:szCs w:val="20"/>
                <w:vertAlign w:val="superscript"/>
              </w:rPr>
            </w:pPr>
            <w:r w:rsidRPr="00F07DEB">
              <w:rPr>
                <w:rFonts w:ascii="Times New Roman" w:eastAsia="Times New Roman" w:hAnsi="Times New Roman" w:cs="Times New Roman"/>
                <w:sz w:val="20"/>
                <w:szCs w:val="20"/>
              </w:rPr>
              <w:t>0.1</w:t>
            </w:r>
            <w:r w:rsidRPr="00F07DEB">
              <w:rPr>
                <w:rFonts w:ascii="Times New Roman" w:eastAsia="Times New Roman" w:hAnsi="Times New Roman" w:cs="Times New Roman"/>
                <w:sz w:val="20"/>
                <w:szCs w:val="20"/>
                <w:vertAlign w:val="superscript"/>
              </w:rPr>
              <w:t>1</w:t>
            </w:r>
          </w:p>
        </w:tc>
      </w:tr>
      <w:tr w:rsidR="00A66444" w:rsidRPr="00F07DEB" w14:paraId="559E9EBD" w14:textId="77777777" w:rsidTr="00F07DEB">
        <w:trPr>
          <w:trHeight w:val="317"/>
        </w:trPr>
        <w:tc>
          <w:tcPr>
            <w:tcW w:w="1587" w:type="pct"/>
            <w:vAlign w:val="center"/>
          </w:tcPr>
          <w:p w14:paraId="5F34A46D" w14:textId="695AD440"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pH</w:t>
            </w:r>
          </w:p>
        </w:tc>
        <w:tc>
          <w:tcPr>
            <w:tcW w:w="1154" w:type="pct"/>
            <w:vAlign w:val="center"/>
          </w:tcPr>
          <w:p w14:paraId="0194C5D7" w14:textId="55851827" w:rsidR="00A66444" w:rsidRPr="00F07DEB" w:rsidRDefault="00956C17"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5.97 ± 0.01</w:t>
            </w:r>
          </w:p>
        </w:tc>
        <w:tc>
          <w:tcPr>
            <w:tcW w:w="1201" w:type="pct"/>
            <w:vAlign w:val="center"/>
          </w:tcPr>
          <w:p w14:paraId="43766D39" w14:textId="06F7665A" w:rsidR="00A66444" w:rsidRPr="00F07DEB" w:rsidRDefault="00956C17"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7.05 ± 0.03</w:t>
            </w:r>
          </w:p>
        </w:tc>
        <w:tc>
          <w:tcPr>
            <w:tcW w:w="1058" w:type="pct"/>
            <w:vAlign w:val="center"/>
          </w:tcPr>
          <w:p w14:paraId="3148EC51" w14:textId="77777777" w:rsidR="00A66444" w:rsidRPr="00F07DEB" w:rsidRDefault="00A66444" w:rsidP="00F07DEB">
            <w:pPr>
              <w:spacing w:before="20" w:after="20"/>
              <w:rPr>
                <w:rFonts w:ascii="Times New Roman" w:eastAsia="Times New Roman" w:hAnsi="Times New Roman" w:cs="Times New Roman"/>
                <w:color w:val="000000"/>
                <w:sz w:val="20"/>
                <w:szCs w:val="20"/>
                <w:vertAlign w:val="superscript"/>
              </w:rPr>
            </w:pPr>
            <w:r w:rsidRPr="00F07DEB">
              <w:rPr>
                <w:rFonts w:ascii="Times New Roman" w:eastAsia="Times New Roman" w:hAnsi="Times New Roman" w:cs="Times New Roman"/>
                <w:color w:val="000000"/>
                <w:sz w:val="20"/>
                <w:szCs w:val="20"/>
              </w:rPr>
              <w:t>Between 5.5 and 8.5</w:t>
            </w:r>
            <w:r w:rsidRPr="00F07DEB">
              <w:rPr>
                <w:rFonts w:ascii="Times New Roman" w:eastAsia="Times New Roman" w:hAnsi="Times New Roman" w:cs="Times New Roman"/>
                <w:color w:val="000000"/>
                <w:sz w:val="20"/>
                <w:szCs w:val="20"/>
                <w:vertAlign w:val="superscript"/>
              </w:rPr>
              <w:t>2</w:t>
            </w:r>
          </w:p>
        </w:tc>
      </w:tr>
      <w:tr w:rsidR="00FF2421" w:rsidRPr="00F07DEB" w14:paraId="11D9B122" w14:textId="77777777" w:rsidTr="00F07DEB">
        <w:trPr>
          <w:trHeight w:val="317"/>
        </w:trPr>
        <w:tc>
          <w:tcPr>
            <w:tcW w:w="1587" w:type="pct"/>
            <w:vAlign w:val="center"/>
          </w:tcPr>
          <w:p w14:paraId="7187ADCA" w14:textId="4E20DFEF" w:rsidR="00FF2421" w:rsidRPr="00F07DEB" w:rsidRDefault="00FF2421"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Salinity</w:t>
            </w:r>
            <w:r w:rsidR="004D16EC" w:rsidRPr="00F07DEB">
              <w:rPr>
                <w:rFonts w:ascii="Times New Roman" w:eastAsia="Times New Roman" w:hAnsi="Times New Roman" w:cs="Times New Roman"/>
                <w:color w:val="000000"/>
                <w:sz w:val="20"/>
                <w:szCs w:val="20"/>
              </w:rPr>
              <w:t xml:space="preserve"> (</w:t>
            </w:r>
            <w:proofErr w:type="spellStart"/>
            <w:r w:rsidR="00933858" w:rsidRPr="00F07DEB">
              <w:rPr>
                <w:rFonts w:ascii="Times New Roman" w:eastAsia="Times New Roman" w:hAnsi="Times New Roman" w:cs="Times New Roman"/>
                <w:color w:val="000000"/>
                <w:sz w:val="20"/>
                <w:szCs w:val="20"/>
              </w:rPr>
              <w:t>ppt</w:t>
            </w:r>
            <w:proofErr w:type="spellEnd"/>
            <w:r w:rsidR="004D16EC" w:rsidRPr="00F07DEB">
              <w:rPr>
                <w:rFonts w:ascii="Times New Roman" w:eastAsia="Times New Roman" w:hAnsi="Times New Roman" w:cs="Times New Roman"/>
                <w:color w:val="000000"/>
                <w:sz w:val="20"/>
                <w:szCs w:val="20"/>
              </w:rPr>
              <w:t>)</w:t>
            </w:r>
          </w:p>
        </w:tc>
        <w:tc>
          <w:tcPr>
            <w:tcW w:w="1154" w:type="pct"/>
            <w:vAlign w:val="center"/>
          </w:tcPr>
          <w:p w14:paraId="7D231FA1" w14:textId="0207D093" w:rsidR="00FF2421" w:rsidRPr="00F07DEB" w:rsidRDefault="0068113C"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1.79 ± 0.011</w:t>
            </w:r>
          </w:p>
        </w:tc>
        <w:tc>
          <w:tcPr>
            <w:tcW w:w="1201" w:type="pct"/>
            <w:vAlign w:val="center"/>
          </w:tcPr>
          <w:p w14:paraId="4781706E" w14:textId="239871B2" w:rsidR="00FF2421" w:rsidRPr="00F07DEB" w:rsidRDefault="00FF2421"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1.63 ± 0.024</w:t>
            </w:r>
          </w:p>
        </w:tc>
        <w:tc>
          <w:tcPr>
            <w:tcW w:w="1058" w:type="pct"/>
            <w:vAlign w:val="center"/>
          </w:tcPr>
          <w:p w14:paraId="4BC2F910" w14:textId="370E3212" w:rsidR="00FF2421" w:rsidRPr="00F07DEB" w:rsidRDefault="00885480" w:rsidP="00F07DEB">
            <w:pPr>
              <w:spacing w:before="20" w:after="20"/>
              <w:rPr>
                <w:rFonts w:ascii="Times New Roman" w:eastAsia="Times New Roman" w:hAnsi="Times New Roman" w:cs="Times New Roman"/>
                <w:color w:val="000000"/>
                <w:sz w:val="20"/>
                <w:szCs w:val="20"/>
                <w:vertAlign w:val="superscript"/>
              </w:rPr>
            </w:pPr>
            <w:r w:rsidRPr="00F07DEB">
              <w:rPr>
                <w:rFonts w:ascii="Times New Roman" w:eastAsia="Times New Roman" w:hAnsi="Times New Roman" w:cs="Times New Roman"/>
                <w:color w:val="000000"/>
                <w:sz w:val="20"/>
                <w:szCs w:val="20"/>
              </w:rPr>
              <w:t>3.0</w:t>
            </w:r>
            <w:r w:rsidRPr="00F07DEB">
              <w:rPr>
                <w:rFonts w:ascii="Times New Roman" w:eastAsia="Times New Roman" w:hAnsi="Times New Roman" w:cs="Times New Roman"/>
                <w:color w:val="000000"/>
                <w:sz w:val="20"/>
                <w:szCs w:val="20"/>
                <w:vertAlign w:val="superscript"/>
              </w:rPr>
              <w:t>6</w:t>
            </w:r>
          </w:p>
        </w:tc>
      </w:tr>
      <w:tr w:rsidR="00A66444" w:rsidRPr="00F07DEB" w14:paraId="442AE414" w14:textId="77777777" w:rsidTr="00F07DEB">
        <w:trPr>
          <w:trHeight w:val="317"/>
        </w:trPr>
        <w:tc>
          <w:tcPr>
            <w:tcW w:w="1587" w:type="pct"/>
            <w:vAlign w:val="center"/>
          </w:tcPr>
          <w:p w14:paraId="413CA528" w14:textId="2240BBAE"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Se</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tcPr>
          <w:p w14:paraId="4E98C9F8" w14:textId="0E7CD298" w:rsidR="00A66444" w:rsidRPr="00F07DEB" w:rsidRDefault="00613B3F" w:rsidP="00F07DEB">
            <w:pPr>
              <w:spacing w:before="20" w:after="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BDL</w:t>
            </w:r>
          </w:p>
        </w:tc>
        <w:tc>
          <w:tcPr>
            <w:tcW w:w="1201" w:type="pct"/>
            <w:vAlign w:val="center"/>
          </w:tcPr>
          <w:p w14:paraId="56891226" w14:textId="65A7D002" w:rsidR="00A66444" w:rsidRPr="00F07DEB" w:rsidRDefault="00613B3F" w:rsidP="00F07DEB">
            <w:pPr>
              <w:spacing w:before="20" w:after="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BDL</w:t>
            </w:r>
          </w:p>
        </w:tc>
        <w:tc>
          <w:tcPr>
            <w:tcW w:w="1058" w:type="pct"/>
            <w:vAlign w:val="center"/>
          </w:tcPr>
          <w:p w14:paraId="638A1A96" w14:textId="77777777" w:rsidR="00A66444" w:rsidRPr="00F07DEB" w:rsidRDefault="00A66444" w:rsidP="00F07DEB">
            <w:pPr>
              <w:spacing w:before="20" w:after="20"/>
              <w:rPr>
                <w:rFonts w:ascii="Times New Roman" w:eastAsia="Times New Roman" w:hAnsi="Times New Roman" w:cs="Times New Roman"/>
                <w:color w:val="000000"/>
                <w:sz w:val="20"/>
                <w:szCs w:val="20"/>
                <w:vertAlign w:val="superscript"/>
              </w:rPr>
            </w:pPr>
            <w:r w:rsidRPr="00F07DEB">
              <w:rPr>
                <w:rFonts w:ascii="Times New Roman" w:eastAsia="Times New Roman" w:hAnsi="Times New Roman" w:cs="Times New Roman"/>
                <w:color w:val="000000"/>
                <w:sz w:val="20"/>
                <w:szCs w:val="20"/>
              </w:rPr>
              <w:t>0.05</w:t>
            </w:r>
            <w:r w:rsidRPr="00F07DEB">
              <w:rPr>
                <w:rFonts w:ascii="Times New Roman" w:eastAsia="Times New Roman" w:hAnsi="Times New Roman" w:cs="Times New Roman"/>
                <w:color w:val="000000"/>
                <w:sz w:val="20"/>
                <w:szCs w:val="20"/>
                <w:vertAlign w:val="superscript"/>
              </w:rPr>
              <w:t>1</w:t>
            </w:r>
          </w:p>
        </w:tc>
      </w:tr>
      <w:tr w:rsidR="00A66444" w:rsidRPr="00F07DEB" w14:paraId="0BF7BF8E" w14:textId="77777777" w:rsidTr="00F07DEB">
        <w:trPr>
          <w:trHeight w:val="317"/>
        </w:trPr>
        <w:tc>
          <w:tcPr>
            <w:tcW w:w="1587" w:type="pct"/>
            <w:vAlign w:val="center"/>
          </w:tcPr>
          <w:p w14:paraId="3C7CA935" w14:textId="434C3C71"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TDS</w:t>
            </w:r>
            <w:r w:rsidR="00BE4C55" w:rsidRPr="00F07DEB">
              <w:rPr>
                <w:rFonts w:ascii="Times New Roman" w:eastAsia="Times New Roman" w:hAnsi="Times New Roman" w:cs="Times New Roman"/>
                <w:color w:val="000000"/>
                <w:sz w:val="20"/>
                <w:szCs w:val="20"/>
              </w:rPr>
              <w:t xml:space="preserve"> (g/L)</w:t>
            </w:r>
          </w:p>
        </w:tc>
        <w:tc>
          <w:tcPr>
            <w:tcW w:w="1154" w:type="pct"/>
            <w:vAlign w:val="center"/>
          </w:tcPr>
          <w:p w14:paraId="15743D35" w14:textId="04DB996F" w:rsidR="00A66444" w:rsidRPr="00F07DEB" w:rsidRDefault="0068113C"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2.22 ± 0.011</w:t>
            </w:r>
          </w:p>
        </w:tc>
        <w:tc>
          <w:tcPr>
            <w:tcW w:w="1201" w:type="pct"/>
            <w:vAlign w:val="center"/>
          </w:tcPr>
          <w:p w14:paraId="275CE3C3" w14:textId="0512E3AD" w:rsidR="00A66444" w:rsidRPr="00F07DEB" w:rsidRDefault="00FF2421"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2.04 ± 0.028</w:t>
            </w:r>
          </w:p>
        </w:tc>
        <w:tc>
          <w:tcPr>
            <w:tcW w:w="1058" w:type="pct"/>
            <w:vAlign w:val="center"/>
          </w:tcPr>
          <w:p w14:paraId="319A6A96" w14:textId="29DAB45C" w:rsidR="00A66444" w:rsidRPr="00F07DEB" w:rsidRDefault="00A66444" w:rsidP="00F07DEB">
            <w:pPr>
              <w:spacing w:before="20" w:after="20"/>
              <w:rPr>
                <w:rFonts w:ascii="Times New Roman" w:eastAsia="Times New Roman" w:hAnsi="Times New Roman" w:cs="Times New Roman"/>
                <w:color w:val="000000"/>
                <w:sz w:val="20"/>
                <w:szCs w:val="20"/>
                <w:vertAlign w:val="superscript"/>
              </w:rPr>
            </w:pPr>
            <w:r w:rsidRPr="00F07DEB">
              <w:rPr>
                <w:rFonts w:ascii="Times New Roman" w:eastAsia="Times New Roman" w:hAnsi="Times New Roman" w:cs="Times New Roman"/>
                <w:color w:val="000000"/>
                <w:sz w:val="20"/>
                <w:szCs w:val="20"/>
              </w:rPr>
              <w:t>10</w:t>
            </w:r>
            <w:r w:rsidRPr="00F07DEB">
              <w:rPr>
                <w:rFonts w:ascii="Times New Roman" w:eastAsia="Times New Roman" w:hAnsi="Times New Roman" w:cs="Times New Roman"/>
                <w:color w:val="000000"/>
                <w:sz w:val="20"/>
                <w:szCs w:val="20"/>
                <w:vertAlign w:val="superscript"/>
              </w:rPr>
              <w:t>2,3</w:t>
            </w:r>
          </w:p>
        </w:tc>
      </w:tr>
      <w:tr w:rsidR="00A66444" w:rsidRPr="00F07DEB" w14:paraId="3C8A5A37" w14:textId="77777777" w:rsidTr="00F07DEB">
        <w:trPr>
          <w:trHeight w:val="317"/>
        </w:trPr>
        <w:tc>
          <w:tcPr>
            <w:tcW w:w="1587" w:type="pct"/>
            <w:vAlign w:val="center"/>
            <w:hideMark/>
          </w:tcPr>
          <w:p w14:paraId="3A7C73DE" w14:textId="286CC2E0"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Zn</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5375D7DA" w14:textId="7CEE65BE" w:rsidR="00A66444" w:rsidRPr="00F07DEB" w:rsidRDefault="002E481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8.40</w:t>
            </w:r>
            <w:r w:rsidR="00A66444" w:rsidRPr="00F07DEB">
              <w:rPr>
                <w:rFonts w:ascii="Times New Roman" w:eastAsia="Times New Roman" w:hAnsi="Times New Roman" w:cs="Times New Roman"/>
                <w:color w:val="000000"/>
                <w:sz w:val="20"/>
                <w:szCs w:val="20"/>
              </w:rPr>
              <w:t xml:space="preserve"> ± 0.0</w:t>
            </w:r>
            <w:r w:rsidRPr="00F07DEB">
              <w:rPr>
                <w:rFonts w:ascii="Times New Roman" w:eastAsia="Times New Roman" w:hAnsi="Times New Roman" w:cs="Times New Roman"/>
                <w:color w:val="000000"/>
                <w:sz w:val="20"/>
                <w:szCs w:val="20"/>
              </w:rPr>
              <w:t>9</w:t>
            </w:r>
            <w:r w:rsidR="00A66444" w:rsidRPr="00F07DEB">
              <w:rPr>
                <w:rFonts w:ascii="Times New Roman" w:eastAsia="Times New Roman" w:hAnsi="Times New Roman" w:cs="Times New Roman"/>
                <w:color w:val="000000"/>
                <w:sz w:val="20"/>
                <w:szCs w:val="20"/>
              </w:rPr>
              <w:t>7</w:t>
            </w:r>
          </w:p>
        </w:tc>
        <w:tc>
          <w:tcPr>
            <w:tcW w:w="1201" w:type="pct"/>
            <w:vAlign w:val="center"/>
            <w:hideMark/>
          </w:tcPr>
          <w:p w14:paraId="6AE6959E" w14:textId="4DEEA114" w:rsidR="00A66444" w:rsidRPr="00F07DEB" w:rsidRDefault="003E78C6"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0.480 ± 0.116</w:t>
            </w:r>
          </w:p>
        </w:tc>
        <w:tc>
          <w:tcPr>
            <w:tcW w:w="1058" w:type="pct"/>
            <w:vAlign w:val="center"/>
          </w:tcPr>
          <w:p w14:paraId="2B06BCEB" w14:textId="77777777" w:rsidR="00A66444" w:rsidRPr="00F07DEB" w:rsidRDefault="00A66444" w:rsidP="00F07DEB">
            <w:pPr>
              <w:spacing w:before="20" w:after="20"/>
              <w:rPr>
                <w:rFonts w:ascii="Times New Roman" w:eastAsia="Times New Roman" w:hAnsi="Times New Roman" w:cs="Times New Roman"/>
                <w:color w:val="000000"/>
                <w:sz w:val="20"/>
                <w:szCs w:val="20"/>
                <w:vertAlign w:val="superscript"/>
              </w:rPr>
            </w:pPr>
            <w:r w:rsidRPr="00F07DEB">
              <w:rPr>
                <w:rFonts w:ascii="Times New Roman" w:eastAsia="Times New Roman" w:hAnsi="Times New Roman" w:cs="Times New Roman"/>
                <w:color w:val="000000"/>
                <w:sz w:val="20"/>
                <w:szCs w:val="20"/>
              </w:rPr>
              <w:t>24-25</w:t>
            </w:r>
            <w:r w:rsidRPr="00F07DEB">
              <w:rPr>
                <w:rFonts w:ascii="Times New Roman" w:eastAsia="Times New Roman" w:hAnsi="Times New Roman" w:cs="Times New Roman"/>
                <w:color w:val="000000"/>
                <w:sz w:val="20"/>
                <w:szCs w:val="20"/>
                <w:vertAlign w:val="superscript"/>
              </w:rPr>
              <w:t>1,3</w:t>
            </w:r>
          </w:p>
        </w:tc>
      </w:tr>
      <w:tr w:rsidR="00A66444" w:rsidRPr="00F07DEB" w14:paraId="46A173D0" w14:textId="77777777" w:rsidTr="00F07DEB">
        <w:trPr>
          <w:trHeight w:val="317"/>
        </w:trPr>
        <w:tc>
          <w:tcPr>
            <w:tcW w:w="1587" w:type="pct"/>
            <w:vAlign w:val="center"/>
            <w:hideMark/>
          </w:tcPr>
          <w:p w14:paraId="22B3B777" w14:textId="6F7CDBD8"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SO₄</w:t>
            </w:r>
            <w:r w:rsidR="00B33F43" w:rsidRPr="00F07DEB">
              <w:rPr>
                <w:rFonts w:ascii="Times New Roman" w:eastAsia="Times New Roman" w:hAnsi="Times New Roman" w:cs="Times New Roman"/>
                <w:color w:val="000000"/>
                <w:sz w:val="20"/>
                <w:szCs w:val="20"/>
                <w:vertAlign w:val="superscript"/>
              </w:rPr>
              <w:t>2-</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hideMark/>
          </w:tcPr>
          <w:p w14:paraId="63920EA5" w14:textId="596075DA" w:rsidR="00A66444" w:rsidRPr="00F07DEB" w:rsidRDefault="00006FBF"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2190 ± 19</w:t>
            </w:r>
            <w:r w:rsidR="002E4814" w:rsidRPr="00F07DEB">
              <w:rPr>
                <w:rFonts w:ascii="Times New Roman" w:eastAsia="Times New Roman" w:hAnsi="Times New Roman" w:cs="Times New Roman"/>
                <w:color w:val="000000"/>
                <w:sz w:val="20"/>
                <w:szCs w:val="20"/>
              </w:rPr>
              <w:t>.3</w:t>
            </w:r>
          </w:p>
        </w:tc>
        <w:tc>
          <w:tcPr>
            <w:tcW w:w="1201" w:type="pct"/>
            <w:vAlign w:val="center"/>
            <w:hideMark/>
          </w:tcPr>
          <w:p w14:paraId="7548B58B" w14:textId="00E5F12D" w:rsidR="00A66444" w:rsidRPr="00F07DEB" w:rsidRDefault="00DF635E"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2100</w:t>
            </w:r>
            <w:r w:rsidR="005C2AE3" w:rsidRPr="00F07DEB">
              <w:rPr>
                <w:rFonts w:ascii="Times New Roman" w:eastAsia="Times New Roman" w:hAnsi="Times New Roman" w:cs="Times New Roman"/>
                <w:color w:val="000000"/>
                <w:sz w:val="20"/>
                <w:szCs w:val="20"/>
              </w:rPr>
              <w:t xml:space="preserve"> ± 75.1</w:t>
            </w:r>
          </w:p>
        </w:tc>
        <w:tc>
          <w:tcPr>
            <w:tcW w:w="1058" w:type="pct"/>
            <w:vAlign w:val="center"/>
          </w:tcPr>
          <w:p w14:paraId="01697B07" w14:textId="19219279" w:rsidR="00A66444" w:rsidRPr="00F07DEB" w:rsidRDefault="00A66444" w:rsidP="00F07DEB">
            <w:pPr>
              <w:spacing w:before="20" w:after="20"/>
              <w:rPr>
                <w:rFonts w:ascii="Times New Roman" w:eastAsia="Times New Roman" w:hAnsi="Times New Roman" w:cs="Times New Roman"/>
                <w:color w:val="000000"/>
                <w:sz w:val="20"/>
                <w:szCs w:val="20"/>
                <w:vertAlign w:val="superscript"/>
              </w:rPr>
            </w:pPr>
            <w:r w:rsidRPr="00F07DEB">
              <w:rPr>
                <w:rFonts w:ascii="Times New Roman" w:eastAsia="Times New Roman" w:hAnsi="Times New Roman" w:cs="Times New Roman"/>
                <w:color w:val="000000"/>
                <w:sz w:val="20"/>
                <w:szCs w:val="20"/>
              </w:rPr>
              <w:t>Varies,</w:t>
            </w:r>
            <w:r w:rsidR="00B65556" w:rsidRPr="00F07DEB">
              <w:rPr>
                <w:rFonts w:ascii="Times New Roman" w:eastAsia="Times New Roman" w:hAnsi="Times New Roman" w:cs="Times New Roman"/>
                <w:color w:val="000000"/>
                <w:sz w:val="20"/>
                <w:szCs w:val="20"/>
              </w:rPr>
              <w:t xml:space="preserve"> 1000</w:t>
            </w:r>
            <w:r w:rsidR="00B65556" w:rsidRPr="00F07DEB">
              <w:rPr>
                <w:rFonts w:ascii="Times New Roman" w:eastAsia="Times New Roman" w:hAnsi="Times New Roman" w:cs="Times New Roman"/>
                <w:color w:val="000000"/>
                <w:sz w:val="20"/>
                <w:szCs w:val="20"/>
                <w:vertAlign w:val="superscript"/>
              </w:rPr>
              <w:t>4</w:t>
            </w:r>
            <w:r w:rsidR="00B65556" w:rsidRPr="00F07DEB">
              <w:rPr>
                <w:rFonts w:ascii="Times New Roman" w:eastAsia="Times New Roman" w:hAnsi="Times New Roman" w:cs="Times New Roman"/>
                <w:color w:val="000000"/>
                <w:sz w:val="20"/>
                <w:szCs w:val="20"/>
              </w:rPr>
              <w:t>,</w:t>
            </w:r>
            <w:r w:rsidRPr="00F07DEB">
              <w:rPr>
                <w:rFonts w:ascii="Times New Roman" w:eastAsia="Times New Roman" w:hAnsi="Times New Roman" w:cs="Times New Roman"/>
                <w:color w:val="000000"/>
                <w:sz w:val="20"/>
                <w:szCs w:val="20"/>
              </w:rPr>
              <w:t xml:space="preserve"> 2000</w:t>
            </w:r>
            <w:r w:rsidRPr="00F07DEB">
              <w:rPr>
                <w:rFonts w:ascii="Times New Roman" w:eastAsia="Times New Roman" w:hAnsi="Times New Roman" w:cs="Times New Roman"/>
                <w:color w:val="000000"/>
                <w:sz w:val="20"/>
                <w:szCs w:val="20"/>
                <w:vertAlign w:val="superscript"/>
              </w:rPr>
              <w:t>2,3</w:t>
            </w:r>
          </w:p>
        </w:tc>
      </w:tr>
      <w:tr w:rsidR="00A66444" w:rsidRPr="00F07DEB" w14:paraId="1AECF18B" w14:textId="77777777" w:rsidTr="00F07DEB">
        <w:trPr>
          <w:trHeight w:val="317"/>
        </w:trPr>
        <w:tc>
          <w:tcPr>
            <w:tcW w:w="1587" w:type="pct"/>
            <w:vAlign w:val="center"/>
          </w:tcPr>
          <w:p w14:paraId="3AE4DC37" w14:textId="240AF0D2" w:rsidR="00A66444" w:rsidRPr="00F07DEB" w:rsidRDefault="00A66444"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PO₄</w:t>
            </w:r>
            <w:r w:rsidR="00B33F43" w:rsidRPr="00F07DEB">
              <w:rPr>
                <w:rFonts w:ascii="Times New Roman" w:eastAsia="Times New Roman" w:hAnsi="Times New Roman" w:cs="Times New Roman"/>
                <w:color w:val="000000"/>
                <w:sz w:val="20"/>
                <w:szCs w:val="20"/>
                <w:vertAlign w:val="superscript"/>
              </w:rPr>
              <w:t>3-</w:t>
            </w:r>
            <w:r w:rsidR="00A100E2">
              <w:rPr>
                <w:rFonts w:ascii="Times New Roman" w:eastAsia="Times New Roman" w:hAnsi="Times New Roman" w:cs="Times New Roman"/>
                <w:color w:val="000000"/>
                <w:sz w:val="20"/>
                <w:szCs w:val="20"/>
              </w:rPr>
              <w:t xml:space="preserve"> </w:t>
            </w:r>
            <w:r w:rsidR="00A100E2" w:rsidRPr="00F07DEB">
              <w:rPr>
                <w:rFonts w:ascii="Times New Roman" w:eastAsia="Times New Roman" w:hAnsi="Times New Roman" w:cs="Times New Roman"/>
                <w:color w:val="000000"/>
                <w:sz w:val="20"/>
                <w:szCs w:val="20"/>
              </w:rPr>
              <w:t>(mg/L</w:t>
            </w:r>
            <w:r w:rsidR="00A100E2">
              <w:rPr>
                <w:rFonts w:ascii="Times New Roman" w:eastAsia="Times New Roman" w:hAnsi="Times New Roman" w:cs="Times New Roman"/>
                <w:color w:val="000000"/>
                <w:sz w:val="20"/>
                <w:szCs w:val="20"/>
              </w:rPr>
              <w:t>)</w:t>
            </w:r>
          </w:p>
        </w:tc>
        <w:tc>
          <w:tcPr>
            <w:tcW w:w="1154" w:type="pct"/>
            <w:vAlign w:val="center"/>
          </w:tcPr>
          <w:p w14:paraId="78E0ED43" w14:textId="1061FD2E" w:rsidR="00A66444" w:rsidRPr="00F07DEB" w:rsidRDefault="00DF635E"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3.76 ± 0.223</w:t>
            </w:r>
          </w:p>
        </w:tc>
        <w:tc>
          <w:tcPr>
            <w:tcW w:w="1201" w:type="pct"/>
            <w:vAlign w:val="center"/>
          </w:tcPr>
          <w:p w14:paraId="67FB27E3" w14:textId="16E0DFB4" w:rsidR="00A66444" w:rsidRPr="00F07DEB" w:rsidRDefault="00D4631C" w:rsidP="00F07DEB">
            <w:pPr>
              <w:spacing w:before="20" w:after="20"/>
              <w:rPr>
                <w:rFonts w:ascii="Times New Roman" w:eastAsia="Times New Roman" w:hAnsi="Times New Roman" w:cs="Times New Roman"/>
                <w:color w:val="000000"/>
                <w:sz w:val="20"/>
                <w:szCs w:val="20"/>
              </w:rPr>
            </w:pPr>
            <w:r w:rsidRPr="00F07DEB">
              <w:rPr>
                <w:rFonts w:ascii="Times New Roman" w:eastAsia="Times New Roman" w:hAnsi="Times New Roman" w:cs="Times New Roman"/>
                <w:color w:val="000000"/>
                <w:sz w:val="20"/>
                <w:szCs w:val="20"/>
              </w:rPr>
              <w:t>4.03 ± 0.659</w:t>
            </w:r>
          </w:p>
        </w:tc>
        <w:tc>
          <w:tcPr>
            <w:tcW w:w="1058" w:type="pct"/>
            <w:vAlign w:val="center"/>
          </w:tcPr>
          <w:p w14:paraId="293615BE" w14:textId="77777777" w:rsidR="00A66444" w:rsidRPr="00F07DEB" w:rsidRDefault="00A66444" w:rsidP="00F07DEB">
            <w:pPr>
              <w:spacing w:before="20" w:after="20"/>
              <w:rPr>
                <w:rFonts w:ascii="Times New Roman" w:eastAsia="Times New Roman" w:hAnsi="Times New Roman" w:cs="Times New Roman"/>
                <w:color w:val="000000"/>
                <w:sz w:val="20"/>
                <w:szCs w:val="20"/>
                <w:vertAlign w:val="superscript"/>
              </w:rPr>
            </w:pPr>
            <w:r w:rsidRPr="00F07DEB">
              <w:rPr>
                <w:rFonts w:ascii="Times New Roman" w:eastAsia="Times New Roman" w:hAnsi="Times New Roman" w:cs="Times New Roman"/>
                <w:color w:val="000000"/>
                <w:sz w:val="20"/>
                <w:szCs w:val="20"/>
              </w:rPr>
              <w:t>1.0</w:t>
            </w:r>
            <w:r w:rsidRPr="00F07DEB">
              <w:rPr>
                <w:rFonts w:ascii="Times New Roman" w:eastAsia="Times New Roman" w:hAnsi="Times New Roman" w:cs="Times New Roman"/>
                <w:color w:val="000000"/>
                <w:sz w:val="20"/>
                <w:szCs w:val="20"/>
                <w:vertAlign w:val="superscript"/>
              </w:rPr>
              <w:t>2</w:t>
            </w:r>
          </w:p>
        </w:tc>
      </w:tr>
    </w:tbl>
    <w:p w14:paraId="0EFB1AF8" w14:textId="29BC32AF" w:rsidR="00A66444" w:rsidRPr="00F07DEB" w:rsidRDefault="00A66444" w:rsidP="00A66444">
      <w:pPr>
        <w:spacing w:line="240" w:lineRule="auto"/>
        <w:rPr>
          <w:rFonts w:ascii="Times New Roman" w:hAnsi="Times New Roman" w:cs="Times New Roman"/>
          <w:sz w:val="20"/>
          <w:szCs w:val="20"/>
        </w:rPr>
      </w:pPr>
      <w:r w:rsidRPr="00F07DEB">
        <w:rPr>
          <w:rFonts w:ascii="Times New Roman" w:hAnsi="Times New Roman" w:cs="Times New Roman"/>
          <w:sz w:val="24"/>
          <w:szCs w:val="24"/>
          <w:vertAlign w:val="superscript"/>
        </w:rPr>
        <w:t>1</w:t>
      </w:r>
      <w:r w:rsidRPr="00F07DEB">
        <w:rPr>
          <w:rFonts w:ascii="Times New Roman" w:hAnsi="Times New Roman" w:cs="Times New Roman"/>
          <w:sz w:val="20"/>
          <w:szCs w:val="20"/>
          <w:vertAlign w:val="superscript"/>
        </w:rPr>
        <w:fldChar w:fldCharType="begin"/>
      </w:r>
      <w:r w:rsidR="004B13BE">
        <w:rPr>
          <w:rFonts w:ascii="Times New Roman" w:hAnsi="Times New Roman" w:cs="Times New Roman"/>
          <w:sz w:val="20"/>
          <w:szCs w:val="20"/>
          <w:vertAlign w:val="superscript"/>
        </w:rPr>
        <w:instrText xml:space="preserve"> ADDIN ZOTERO_ITEM CSL_CITATION {"citationID":"XB1G2ZVk","properties":{"formattedCitation":"(Ayers &amp; Westcot, 1985b)","plainCitation":"(Ayers &amp; Westcot, 1985b)","dontUpdate":true,"noteIndex":0},"citationItems":[{"id":163,"uris":["http://zotero.org/users/5446453/items/V27WFHEB"],"uri":["http://zotero.org/users/5446453/items/V27WFHEB"],"itemData":{"id":163,"type":"webpage","container-title":"Food and Agriculture Organization of the United Nations","title":"Water quality for livestock and poultry","title-short":"UN FAO","URL":"http://www.fao.org/3/t0234e/T0234E07.htm","author":[{"family":"Ayers","given":"R.S."},{"family":"Westcot","given":"D.W."}],"accessed":{"date-parts":[["2019",12,17]]},"issued":{"date-parts":[["1985"]]}}}],"schema":"https://github.com/citation-style-language/schema/raw/master/csl-citation.json"} </w:instrText>
      </w:r>
      <w:r w:rsidRPr="00F07DEB">
        <w:rPr>
          <w:rFonts w:ascii="Times New Roman" w:hAnsi="Times New Roman" w:cs="Times New Roman"/>
          <w:sz w:val="20"/>
          <w:szCs w:val="20"/>
          <w:vertAlign w:val="superscript"/>
        </w:rPr>
        <w:fldChar w:fldCharType="separate"/>
      </w:r>
      <w:r w:rsidR="00295BF1" w:rsidRPr="00F07DEB">
        <w:rPr>
          <w:rFonts w:ascii="Times New Roman" w:hAnsi="Times New Roman" w:cs="Times New Roman"/>
          <w:sz w:val="20"/>
          <w:szCs w:val="20"/>
        </w:rPr>
        <w:t xml:space="preserve">(Ayers </w:t>
      </w:r>
      <w:r w:rsidR="002A6AB5">
        <w:rPr>
          <w:rFonts w:ascii="Times New Roman" w:hAnsi="Times New Roman" w:cs="Times New Roman"/>
          <w:sz w:val="20"/>
          <w:szCs w:val="20"/>
        </w:rPr>
        <w:t>and</w:t>
      </w:r>
      <w:r w:rsidR="00295BF1" w:rsidRPr="00F07DEB">
        <w:rPr>
          <w:rFonts w:ascii="Times New Roman" w:hAnsi="Times New Roman" w:cs="Times New Roman"/>
          <w:sz w:val="20"/>
          <w:szCs w:val="20"/>
        </w:rPr>
        <w:t xml:space="preserve"> Westcot, 1985b)</w:t>
      </w:r>
      <w:r w:rsidRPr="00F07DEB">
        <w:rPr>
          <w:rFonts w:ascii="Times New Roman" w:hAnsi="Times New Roman" w:cs="Times New Roman"/>
          <w:sz w:val="20"/>
          <w:szCs w:val="20"/>
          <w:vertAlign w:val="superscript"/>
        </w:rPr>
        <w:fldChar w:fldCharType="end"/>
      </w:r>
      <w:r w:rsidR="007B4F72" w:rsidRPr="00F07DEB">
        <w:rPr>
          <w:rFonts w:ascii="Times New Roman" w:hAnsi="Times New Roman" w:cs="Times New Roman"/>
          <w:sz w:val="20"/>
          <w:szCs w:val="20"/>
        </w:rPr>
        <w:t xml:space="preserve"> </w:t>
      </w:r>
      <w:r w:rsidRPr="00F07DEB">
        <w:rPr>
          <w:rFonts w:ascii="Times New Roman" w:hAnsi="Times New Roman" w:cs="Times New Roman"/>
          <w:sz w:val="20"/>
          <w:szCs w:val="20"/>
          <w:vertAlign w:val="superscript"/>
        </w:rPr>
        <w:t>2</w:t>
      </w:r>
      <w:r w:rsidRPr="00F07DEB">
        <w:rPr>
          <w:rFonts w:ascii="Times New Roman" w:hAnsi="Times New Roman" w:cs="Times New Roman"/>
          <w:sz w:val="20"/>
          <w:szCs w:val="20"/>
          <w:vertAlign w:val="superscript"/>
        </w:rPr>
        <w:fldChar w:fldCharType="begin"/>
      </w:r>
      <w:r w:rsidR="00823513" w:rsidRPr="00F07DEB">
        <w:rPr>
          <w:rFonts w:ascii="Times New Roman" w:hAnsi="Times New Roman" w:cs="Times New Roman"/>
          <w:sz w:val="20"/>
          <w:szCs w:val="20"/>
          <w:vertAlign w:val="superscript"/>
        </w:rPr>
        <w:instrText xml:space="preserve"> ADDIN ZOTERO_ITEM CSL_CITATION {"citationID":"Aac7kb5M","properties":{"formattedCitation":"(Pfost et al., 2001)","plainCitation":"(Pfost et al., 2001)","noteIndex":0},"citationItems":[{"id":162,"uris":["http://zotero.org/users/5446453/items/9E42IX97"],"uri":["http://zotero.org/users/5446453/items/9E42IX97"],"itemData":{"id":162,"type":"report","abstract":"Water is a critical nutrient for livestock and poultry. As with feed ingredients, livestock water should meet the nutritional needs of the animal. An adequate and safe water supply is essential to the production of healthy livestock and poultry. Water that adversely affects the growth, reproduction, or productivity of livestock and poultry cannot be considered suitable. Although there is scant research data on the economic effects of water quality on livestock performance, logic tells us that farm water supplies, either surface or ground, should be protected against contamination from microorganisms, chemicals and other pollutants. Substances that originate on livestock farms and often contaminate water supplies include nitrates, bacteria, organic materials, and suspended solids. A high level of suspended solids and an objectionable taste, odor or color in water can cause animals to drink less than they should.Surface water supplies to which livestock have ready access are always potential candidates for contamination. Shallow dug wells without good surface drainage away from the well may be subject to infiltration of contaminants. The presence of coliform bacteria in a well is an indication that surface water is finding its way into the well. In karst topography, sink holes, losing streams and porous soils may allow direct contamination of fractured rock aquifers.Water can serve as a reservoir for many different disease organisms and toxins. Stagnant water contaminated with manure or other nutrients may develop blue-green algae, which can poison livestock, causing muscle tremors, liver damage, and death. Farm pond water needs to be observed for the presence of algae and other harmful organisms during hot, dry weather.Leptospirosis and Fusobacterium are two bacterial contaminants that often use water and mud, respectively, as modes of transportation from animal to animal. Leptospirosis is spread through urine of carrier animals. This disease often manifests itself as reproductive problems. Problems may range from infertility, to low milk production, to widespread late-term abortion. The organism can survive for extended periods of time in surface waters. One should take care to avoid forcing livestock to drink from water sources that may be contaminated with urine.Fusobacterium infection is more commonly known as \"foot-rot.\" The bacterium is a soil-borne organism found virtually throughout the United States. It is carried on the feet of animals, which then serve to contaminate any body of water they enter. The bacteria then enter through cuts, bruises, or puncture wounds on damaged feet of other animals. Once inside an animal's body, they multiply rapidly and serve to spread the disease. Clinical signs of \"foot-rot\" are most commonly seen as chronic lameness, often with swelling above the foot. \"Foot-rot\" can usually be effectively treated with penicillin and sulfa.When water is suspected of causing health problems in livestock, veterinary assistance should be sought to determine the actual disease. Laboratory diagnostic examination of animals as well as the water supply may be necessary to evaluate the problem. Temporarily changing to a known safe water supply is a useful test to determine whether the health problems can be solved.Thus, the importance of an accurate diagnosis must be emphasized.Tables 1 through 4 in this guide show the recommended limits of certain pollutants and other substances commonly found in water used for livestock and poultry.Toxicity from a specific mineral or compound depends on its concentration and on relative levels of other components with which it interacts.Common water contaminantsThe U.S. Environmental Protection Agency recommends that livestock water contain less than 5,000 coliform organisms per 100 milliliters; fecal coliform should be near zero. Alkalinity is expressed either as a pH or as titratable alkalinity in the form of bicarbonates. A pH of 7 is neutral; a pH between 7.0 and 8.0 is mildly alkaline; and a pH of 10 is highly alkaline. Excessive alkalinity can cause physiological and digestive upsets in livestock. Desired and potential problem levels of some common pollutants in livestock water supplies are listed in Table 1. Table 2 shows the safe upper limits for several substances that may be contained in livestock water.Mineralized (salty) waterResidents in a large portion of the state of Missouri southeast of an irregular line running from approximately the Bowling Green region to the Nevada region are fortunate to have good quality groundwater generally available within a few hundred feet of the surface in sufficient quantity for large livestock and poultry operations. Unfortunately, northwest of this line, the water from deep, high-yield aquifers is usually too highly mineralized to be used for watering livestock. This area commonly depends on surface water supplies for farms and public uses. The saltiness of water is commonly measured by total dissolved solids, which is approximated by the electrical conductance of the water. The mineralized water in northwest Missouri commonly ranges from 2,000 to 10,000 ppm and as high as 30,000 ppm in total dissolved solids (TDS). Chlorides and sulfates are the main mineral constituents. Chlorides range from calcium to sodium chloride (common salt). Sulfates include calcium, magnesium (Epsom salt) and sodium salts. The Missouri Department of Natural Resources, Division of Geology and Land Survey, 573-368-2190, at Rolla can provide guidance on the quantity and quality of groundwater that can be expected at various locations and depths. Table 3 lists the effect of various levels of salinity in drinking water on livestock and poultry.Nitrate levelsNitrates are soluble and move with percolating or runoff water. Therefore, ponds with runoff from heavily fertilized or manured fields and water from poorly cased, shallow wells may contain nitrates. Water from deep wells is usually nitrate free.Nitrogen in the form of nitrate is not especially toxic, but when reduced in the rumen to nitrite and absorbed into the blood, nitrite reduces the oxygen-carrying capacity of the blood by reacting with hemoglobin. Ruminants have an ability to convert some nitrate to usable products. However, the rumen microbes in cattle and sheep can readily reduce nitrate to the toxic nitrite form. The total amount of nitrates in the diet is important and subject to change with growing conditions of harvested and pastured forage. For example, during a drought, corn silage may accumulate high concentrations of nitrate and when added to the nitrate present in water may result in a lethal combination. The ensiling process will reduce the nitrate level to acceptable levels after a period of aging for 60 to 90 days in the silo. Unlike other simple-stomached animals such as swine, horses do have a cecum containing microbes capable of converting nitrate to the more toxic nitrite form. The extent and rapidity of this chemical conversion in horses is insufficient to make them as susceptible as ruminants. Fortunately, the preformed nitrite is rarely encountered in sufficient concentrations in water and feed to be a toxic threat. Table 4 provides a guide to the use of water containing nitrates for livestock.Table 1Desired and potential levels of pollutants in livestock water supplies.SubstanceDesired rangeProblem rangeTotal bacteria per 100 milliliters&amp;lt;200&amp;gt;1,000,000Fecal coliform per 100 milliliters&amp;lt;1&amp;gt;1 for young animals&amp;gt;10 for older animalsFecal strep per 100 milliliters&amp;lt;1&amp;gt;3 for young animals&amp;gt;30 for older animalspH6.8 to 7.5&amp;lt;5.5 or &amp;gt;8.5Dissolved solids, milligrams per liter&amp;lt;500&amp;gt;3,000Total alkalinity, milligrams per liter&amp;lt;400&amp;gt;5,000Sulfate, milligrams per liter&amp;lt;250&amp;gt;2,000Phosphate, milligrams per liter&amp;lt;1not establishedTurbidity, Jackson units&amp;lt;30not establishedSourceFrom the Agricultural Waste Management Field Handbook, page 1 to 16. Based on research literature and field experience in the northeastern United States.Table 2Safe upper limits for several substances that may be contained in water for livestock and poultry.SubstanceSafe upper limit of concentrationAluminum (Al)5 ppmArsenic (As)0.2 ppmBoron (B)5 ppmCadmium (Cd)0.05 ppmChromium (Cr)1 ppmCobalt (Co)1 ppmCopper (Cu)0.5 ppmFluoride (F)2 ppmLead (Pb)0.05 ppmMercury (Hg)0.01 ppmNitrate + Nitrite100 ppmNitrite10 ppmSelenium (Se)0.05 to 0.10 ppmVanadium (V)0.1 ppmZinc (Zn)24 ppmTotal dissolved solids10,000 ppmMagnesium + sodium sulfates5,000 ppmAlkalinity (carbonate + bicarbonate)2,000 ppmSourceWhen Is Water Good Enough for Livestock? Montana State Extension.Table 3Effect of salinity of drinking water on livestock and poultry (Water Quality Criteria, 1972).Soluble salt (mg per L)Effect&amp;lt;1,000Low level of salinity; present no serious burden to any class of livestock or poultry1,000 to 2,999Satisfactory for all classes of livestock and poultry; may cause temporary, mild diarrhea in livestock; and water droppings in poultry at higher levels; no effect on health or performance3,000 to 4,999Satisfactory for livestock; may cause temporary diarrhea or be refused by animals no accustomed to it; poor water for poultry causing watery feces and, at high levels, increased mortality and decreased growth (especially in turkeys).5,000 to 6,999Reasonable safety for dairy and beef cattle, sheep, swine, and horses; avoid use for pregnant or lactating animals; not acceptable for poultry, causes decreased growth and production or increased mortality.7,000 to 10,000Unfit for poultry and swine; risk in using for pregnant or lactating cows, horses, sheep, the young of these species, or animals subjected to heavy heat stress or water loss; use should be avoided, although older ruminants, horses, poultry, and swine may subsist for long periods under conditions of low stress.&amp;gt;10,000Risks are great; cannot be recommended for use under any conditions.SourceAgricultural Waste Management Field Handbook, page 1 to 17.Table 4Guide to use of waters containing nitrates for livestock.Nitrate content* as parts per million (ppm) of nitrate nitrogen (NO3-N)**CommentsLess than 100Experimental evidence indicates this water should not harm livestock or poultry.100 to 300This water by itself should not harm livestock or poultry. If hays or silages contain high levels of nitrate this water may contribute significantly to a nitrate problem in cattle, sheep, or horses.More than 300This water could cause typical nitrate poisoning in cattle, sheep, or horses, and its use for these animals is not recommended. Because this level of nitrate contributes to the salts content in a significant amount, use of this water for swine or poultry should be avoided.SourceWater Quality for Livestock and Poultry, FO-1864-GO. University of Minnesota Extension Division, 1990.* The values shown include nitrate and nitrite nitrogen. In no case should the waters contain more than 50 ppm nitrite nitrogen (NO2N) because of the greater toxicity of the nitrite form.**1 ppm of nitrate nitrogen is equivalent to 4.4 ppm of nitrate (NO3).Achieving quality waterTo achieve high-quality surface water, fence livestock out of the pond or stream and pipe the water to a tank or other waterer. To obtain the best water from a pond, provide a grassed watershed where no chemicals or manure are applied and float a screened pipe intake about 2 feet below the surface. Water can be pumped from a stream or, in some cases, can be piped to a tank by gravity. An alternative is to allow limited access for livestock to drink from a pond or stream. Spring water may need to be pumped to the desired waterer location, or the spring may need to be developed to provide the head necessary for gravity flow.Well sites should be graded to drain surface water away from the well casing. Wells should be cased to comply with the Missouri Well Construction Rules. Wells should be located as far as practical from septic tanks (50 feet minimum), septic fields (100 feet minimum), chemical mixing areas (300 feet minimum), feedlots (100 feet minimum), earthen manure storage basins and lagoons (300 feet minimum), and land application areas for manure (300 feet minimum).Under the EPA's Unified National Strategy for Animal Feeding Operations, the desired outcome is for all concentrated animal feeding operations to develop and implement a comprehensive nutrient management plan. Such a plan should address, as necessary, feed management, manure handling and storage, land application of manure, land management, record keeping, and other utilization options. In addition to nutrients, the plan should address other pollutants, such as pathogens, to minimize the effects of animal feeding operations on water quality and public health.At a minimum, the nutrient management plan should prevent the application of nutrients at rates that will exceed the capacity of the soil and planned crop needs. Soils, crop material and manure should be tested to determine nutrient needs. Manure application equipment should be calibrated to ensure that the quantity of material being applied conforms to a plan. Records of crops removed annually and the total amount of effluent applied will allow producers to maintain the desired nutrient balance.Water testingAnnual water tests are recommended for private wells, especially for shallow wells, and whenever a problem is suspected. Owners of private wells can have their water tested by collecting a sample themselves or by hiring a qualified person to do so. The sample should be taken to a certified laboratory for analysis. Sample bottles should be obtained from the testing laboratory or local health department, because containers may be especially prepared for a specific contaminant. Sampling and handling procedures depend on the water quality concern and should be followed carefully.Water analyses typically include the following tests:Total coliform bacteriapH (acid or alkaline level)Total dissolved solidsTotal soluble saltSalinityHardnessNitratesSulfateOther factors such as toxicity problems with specific minerals or pesticides, or occasionally, heavy algae growthThere are no regulations governing the number of microorganisms or bacteria in water used for livestock production unless the farm is a Grade A dairy. In that case, the water must be from a supply that provides water of safe and sanitary quality with no detectable fecal coliform bacteria. Within the state of Missouri, a Grade A milk law presents well construction guidelines for Grade A dairies. Water must be tested after any repairs or modifications to the water supply system. In addition, specific requirements prohibit backsiphoning from outdoor livestock water tanks.Normally, hard water does not interfere with livestock performance; however, hard waters can cause difficulty in washing of milking equipment and causes water heaters to \"lime up.\" Contaminates such as iron and sand will clog pipelines. Well water with high iron content may have problems with iron bacteria forming a red, slimy mass that can clog well screens and require periodic treatment with chlorine. Some wells produce considerable amounts of sand. A sand separator should be installed at the beginning of a pipeline in such a case. Sand separators are available through suppliers of trickle irrigation equipment. Sulfur waters are corrosive and have a bad odor.Rural water is a reliable source but may be too costly for large livestock operations. However, consider connection to the rural source as a backup supply. Backflow prevention valves shall be used to prevent contamination of the rural water supply. In most cases, rural water districts require an air gap because backflow valves are not safe enough.Laboratories for water quality tests at MUMany commercial laboratories provide testing for water quality. Contact your local Natural Resources Conservation Service office or MU Extension center for a list of commercial laboratories.The following laboratories at the MU perform water quality tests:Veterinary Medical Diagnostic LaboratoryToxicology Section573-882-6811Soil and Plant Testing Laboratorysoilplantlab.missouri.edu/soil/Department of Agronomy573-882-0623For further informationAgricultural Waste Management Field Handbook, Part 651, National Engineering Handbook. Washington, D.C.: Natural Resources Conservation Department, U.S. Department of Agriculture, 1992.Crawford, R.J., Jr., and E. Cole. 1999. Effect of water source and quality on water intake and performance of cows and calves grazing tall fescue. Southwest Missouri Agricultural Research and Education Center 1999 Research Report, pp. 2 to 8.FO-1864-GO. Water Quality for Livestock and Poultry. 1990. Extension Distribution Center, University of Minnesota.Missouri Livestock Watering Systems Handbooks 1 and 2. 1997. USDA Natural Resources Conservation Service, Columbia, Mo.Water Quality for Livestock and Poultry, Guide M-112. 1995. New Mexico State Extension, Las Cruces, N.M.","collection-title":"MU Guide","event-place":"MU Extension","language":"en","number":"New 2/01/7M","page":"4","publisher":"University of Missouri-Columbia","publisher-place":"MU Extension","title":"Water Quality for Livestock Drinking","URL":"https://extensiondata.missouri.edu/pub/pdf/envqual/eq0381.pdf","author":[{"family":"Pfost","given":"Donald L."},{"family":"Fulhage","given":"Charles D."},{"family":"Casteel","given":"Stan"}],"accessed":{"date-parts":[["2019",12,17]]},"issued":{"date-parts":[["2001",2]]}}}],"schema":"https://github.com/citation-style-language/schema/raw/master/csl-citation.json"} </w:instrText>
      </w:r>
      <w:r w:rsidRPr="00F07DEB">
        <w:rPr>
          <w:rFonts w:ascii="Times New Roman" w:hAnsi="Times New Roman" w:cs="Times New Roman"/>
          <w:sz w:val="20"/>
          <w:szCs w:val="20"/>
          <w:vertAlign w:val="superscript"/>
        </w:rPr>
        <w:fldChar w:fldCharType="separate"/>
      </w:r>
      <w:r w:rsidR="00234033" w:rsidRPr="00234033">
        <w:rPr>
          <w:rFonts w:ascii="Times New Roman" w:hAnsi="Times New Roman" w:cs="Times New Roman"/>
          <w:sz w:val="20"/>
        </w:rPr>
        <w:t>(</w:t>
      </w:r>
      <w:proofErr w:type="spellStart"/>
      <w:r w:rsidR="00234033" w:rsidRPr="00234033">
        <w:rPr>
          <w:rFonts w:ascii="Times New Roman" w:hAnsi="Times New Roman" w:cs="Times New Roman"/>
          <w:sz w:val="20"/>
        </w:rPr>
        <w:t>Pfost</w:t>
      </w:r>
      <w:proofErr w:type="spellEnd"/>
      <w:r w:rsidR="00234033" w:rsidRPr="00234033">
        <w:rPr>
          <w:rFonts w:ascii="Times New Roman" w:hAnsi="Times New Roman" w:cs="Times New Roman"/>
          <w:sz w:val="20"/>
        </w:rPr>
        <w:t xml:space="preserve"> et al., 2001)</w:t>
      </w:r>
      <w:r w:rsidRPr="00F07DEB">
        <w:rPr>
          <w:rFonts w:ascii="Times New Roman" w:hAnsi="Times New Roman" w:cs="Times New Roman"/>
          <w:sz w:val="20"/>
          <w:szCs w:val="20"/>
          <w:vertAlign w:val="superscript"/>
        </w:rPr>
        <w:fldChar w:fldCharType="end"/>
      </w:r>
      <w:r w:rsidRPr="00F07DEB">
        <w:rPr>
          <w:rFonts w:ascii="Times New Roman" w:hAnsi="Times New Roman" w:cs="Times New Roman"/>
          <w:sz w:val="20"/>
          <w:szCs w:val="20"/>
          <w:vertAlign w:val="superscript"/>
        </w:rPr>
        <w:t xml:space="preserve"> 3</w:t>
      </w:r>
      <w:r w:rsidRPr="00F07DEB">
        <w:rPr>
          <w:rFonts w:ascii="Times New Roman" w:hAnsi="Times New Roman" w:cs="Times New Roman"/>
          <w:sz w:val="20"/>
          <w:szCs w:val="20"/>
          <w:vertAlign w:val="superscript"/>
        </w:rPr>
        <w:fldChar w:fldCharType="begin"/>
      </w:r>
      <w:r w:rsidR="00FF5DF8">
        <w:rPr>
          <w:rFonts w:ascii="Times New Roman" w:hAnsi="Times New Roman" w:cs="Times New Roman"/>
          <w:sz w:val="20"/>
          <w:szCs w:val="20"/>
          <w:vertAlign w:val="superscript"/>
        </w:rPr>
        <w:instrText xml:space="preserve"> ADDIN ZOTERO_ITEM CSL_CITATION {"citationID":"iBOGMgNR","properties":{"formattedCitation":"(Sallenave, 2016)","plainCitation":"(Sallenave, 2016)","noteIndex":0},"citationItems":[{"id":167,"uris":["http://zotero.org/users/5446453/items/W57HKQPC"],"uri":["http://zotero.org/users/5446453/items/W57HKQPC"],"itemData":{"id":167,"type":"report","event-place":"Las Cruces, NM","language":"en","number":"Guide M-112","page":"4","publisher":"NM State University - College of Agricultural, Consumer and Environmental Sciences","publisher-place":"Las Cruces, NM","source":"Zotero","title":"Water Quality for Livestock and Poultry","author":[{"family":"Sallenave","given":"Rossana"}],"issued":{"date-parts":[["2016",12]]}}}],"schema":"https://github.com/citation-style-language/schema/raw/master/csl-citation.json"} </w:instrText>
      </w:r>
      <w:r w:rsidRPr="00F07DEB">
        <w:rPr>
          <w:rFonts w:ascii="Times New Roman" w:hAnsi="Times New Roman" w:cs="Times New Roman"/>
          <w:sz w:val="20"/>
          <w:szCs w:val="20"/>
          <w:vertAlign w:val="superscript"/>
        </w:rPr>
        <w:fldChar w:fldCharType="separate"/>
      </w:r>
      <w:r w:rsidR="00234033" w:rsidRPr="00234033">
        <w:rPr>
          <w:rFonts w:ascii="Times New Roman" w:hAnsi="Times New Roman" w:cs="Times New Roman"/>
          <w:sz w:val="20"/>
        </w:rPr>
        <w:t>(</w:t>
      </w:r>
      <w:proofErr w:type="spellStart"/>
      <w:r w:rsidR="00234033" w:rsidRPr="00234033">
        <w:rPr>
          <w:rFonts w:ascii="Times New Roman" w:hAnsi="Times New Roman" w:cs="Times New Roman"/>
          <w:sz w:val="20"/>
        </w:rPr>
        <w:t>Sallenave</w:t>
      </w:r>
      <w:proofErr w:type="spellEnd"/>
      <w:r w:rsidR="00234033" w:rsidRPr="00234033">
        <w:rPr>
          <w:rFonts w:ascii="Times New Roman" w:hAnsi="Times New Roman" w:cs="Times New Roman"/>
          <w:sz w:val="20"/>
        </w:rPr>
        <w:t>, 2016)</w:t>
      </w:r>
      <w:r w:rsidRPr="00F07DEB">
        <w:rPr>
          <w:rFonts w:ascii="Times New Roman" w:hAnsi="Times New Roman" w:cs="Times New Roman"/>
          <w:sz w:val="20"/>
          <w:szCs w:val="20"/>
          <w:vertAlign w:val="superscript"/>
        </w:rPr>
        <w:fldChar w:fldCharType="end"/>
      </w:r>
      <w:r w:rsidR="007B4F72" w:rsidRPr="00F07DEB">
        <w:rPr>
          <w:rFonts w:ascii="Times New Roman" w:hAnsi="Times New Roman" w:cs="Times New Roman"/>
          <w:sz w:val="20"/>
          <w:szCs w:val="20"/>
          <w:vertAlign w:val="superscript"/>
        </w:rPr>
        <w:t xml:space="preserve"> </w:t>
      </w:r>
      <w:r w:rsidR="00B65556" w:rsidRPr="00F07DEB">
        <w:rPr>
          <w:rFonts w:ascii="Times New Roman" w:hAnsi="Times New Roman" w:cs="Times New Roman"/>
          <w:sz w:val="20"/>
          <w:szCs w:val="20"/>
          <w:vertAlign w:val="superscript"/>
        </w:rPr>
        <w:t>4</w:t>
      </w:r>
      <w:r w:rsidR="00B65556" w:rsidRPr="00F07DEB">
        <w:rPr>
          <w:rFonts w:ascii="Times New Roman" w:hAnsi="Times New Roman" w:cs="Times New Roman"/>
          <w:sz w:val="20"/>
          <w:szCs w:val="20"/>
          <w:vertAlign w:val="superscript"/>
        </w:rPr>
        <w:fldChar w:fldCharType="begin"/>
      </w:r>
      <w:r w:rsidR="00BE45F8" w:rsidRPr="00F07DEB">
        <w:rPr>
          <w:rFonts w:ascii="Times New Roman" w:hAnsi="Times New Roman" w:cs="Times New Roman"/>
          <w:sz w:val="20"/>
          <w:szCs w:val="20"/>
          <w:vertAlign w:val="superscript"/>
        </w:rPr>
        <w:instrText xml:space="preserve"> ADDIN ZOTERO_ITEM CSL_CITATION {"citationID":"EsixyRYv","properties":{"formattedCitation":"(USEPA, 2012)","plainCitation":"(USEPA, 2012)","noteIndex":0},"citationItems":[{"id":410,"uris":["http://zotero.org/users/5446453/items/6AD5KZJC"],"uri":["http://zotero.org/users/5446453/items/6AD5KZJC"],"itemData":{"id":410,"type":"report","event-place":"Washington, D.C.","language":"en","number":"EPA/600/R-12/618","page":"643","publisher":"U.S. Environmental Protection Agency Office of Wastewater Management","publisher-place":"Washington, D.C.","source":"Zotero","title":"2012 Guidelines for Water Reuse","URL":"https://www3.epa.gov/region1/npdes/merrimackstation/pdfs/ar/AR-1530.pdf","author":[{"literal":"USEPA"}],"issued":{"date-parts":[["2012",9]]}}}],"schema":"https://github.com/citation-style-language/schema/raw/master/csl-citation.json"} </w:instrText>
      </w:r>
      <w:r w:rsidR="00B65556" w:rsidRPr="00F07DEB">
        <w:rPr>
          <w:rFonts w:ascii="Times New Roman" w:hAnsi="Times New Roman" w:cs="Times New Roman"/>
          <w:sz w:val="20"/>
          <w:szCs w:val="20"/>
          <w:vertAlign w:val="superscript"/>
        </w:rPr>
        <w:fldChar w:fldCharType="separate"/>
      </w:r>
      <w:r w:rsidR="00234033" w:rsidRPr="00234033">
        <w:rPr>
          <w:rFonts w:ascii="Times New Roman" w:hAnsi="Times New Roman" w:cs="Times New Roman"/>
          <w:sz w:val="20"/>
        </w:rPr>
        <w:t>(USEPA, 2012)</w:t>
      </w:r>
      <w:r w:rsidR="00B65556" w:rsidRPr="00F07DEB">
        <w:rPr>
          <w:rFonts w:ascii="Times New Roman" w:hAnsi="Times New Roman" w:cs="Times New Roman"/>
          <w:sz w:val="20"/>
          <w:szCs w:val="20"/>
          <w:vertAlign w:val="superscript"/>
        </w:rPr>
        <w:fldChar w:fldCharType="end"/>
      </w:r>
      <w:r w:rsidR="00885480" w:rsidRPr="00F07DEB">
        <w:rPr>
          <w:rFonts w:ascii="Times New Roman" w:hAnsi="Times New Roman" w:cs="Times New Roman"/>
          <w:sz w:val="20"/>
          <w:szCs w:val="20"/>
          <w:vertAlign w:val="superscript"/>
        </w:rPr>
        <w:t xml:space="preserve"> 5</w:t>
      </w:r>
      <w:r w:rsidR="00885480" w:rsidRPr="00F07DEB">
        <w:rPr>
          <w:rFonts w:ascii="Times New Roman" w:hAnsi="Times New Roman" w:cs="Times New Roman"/>
          <w:sz w:val="20"/>
          <w:szCs w:val="20"/>
          <w:vertAlign w:val="superscript"/>
        </w:rPr>
        <w:fldChar w:fldCharType="begin"/>
      </w:r>
      <w:r w:rsidR="004B13BE">
        <w:rPr>
          <w:rFonts w:ascii="Times New Roman" w:hAnsi="Times New Roman" w:cs="Times New Roman"/>
          <w:sz w:val="20"/>
          <w:szCs w:val="20"/>
          <w:vertAlign w:val="superscript"/>
        </w:rPr>
        <w:instrText xml:space="preserve"> ADDIN ZOTERO_ITEM CSL_CITATION {"citationID":"a2ehvltj6fs","properties":{"formattedCitation":"(Waldner &amp; Looper, n.d.)","plainCitation":"(Waldner &amp; Looper, n.d.)","dontUpdate":true,"noteIndex":0},"citationItems":[{"id":904,"uris":["http://zotero.org/users/5446453/items/U8KCGFCM"],"uri":["http://zotero.org/users/5446453/items/U8KCGFCM"],"itemData":{"id":904,"type":"report","event-place":"Stillwater, OK","number":"ANSI-4275","publisher":"Oklahoma State University Extension Service, Division of Agricultural Sciences and Natural Resources","publisher-place":"Stillwater, OK","title":"Water for Dairy Cattle","URL":"https://www.landcan.org/pdfs/ANSI-4275%20Water%20for%20Dairy%20Cattle.pdf","author":[{"family":"Waldner","given":"Dan N."},{"family":"Looper","given":"Michael L."}],"accessed":{"date-parts":[["2020",11,17]]}}}],"schema":"https://github.com/citation-style-language/schema/raw/master/csl-citation.json"} </w:instrText>
      </w:r>
      <w:r w:rsidR="00885480" w:rsidRPr="00F07DEB">
        <w:rPr>
          <w:rFonts w:ascii="Times New Roman" w:hAnsi="Times New Roman" w:cs="Times New Roman"/>
          <w:sz w:val="20"/>
          <w:szCs w:val="20"/>
          <w:vertAlign w:val="superscript"/>
        </w:rPr>
        <w:fldChar w:fldCharType="separate"/>
      </w:r>
      <w:r w:rsidR="00FF5DF8" w:rsidRPr="00FF5DF8">
        <w:rPr>
          <w:rFonts w:ascii="Times New Roman" w:hAnsi="Times New Roman" w:cs="Times New Roman"/>
          <w:sz w:val="20"/>
          <w:szCs w:val="24"/>
        </w:rPr>
        <w:t xml:space="preserve">(Waldner </w:t>
      </w:r>
      <w:r w:rsidR="002A6AB5">
        <w:rPr>
          <w:rFonts w:ascii="Times New Roman" w:hAnsi="Times New Roman" w:cs="Times New Roman"/>
          <w:sz w:val="20"/>
          <w:szCs w:val="24"/>
        </w:rPr>
        <w:t>and</w:t>
      </w:r>
      <w:r w:rsidR="00FF5DF8" w:rsidRPr="00FF5DF8">
        <w:rPr>
          <w:rFonts w:ascii="Times New Roman" w:hAnsi="Times New Roman" w:cs="Times New Roman"/>
          <w:sz w:val="20"/>
          <w:szCs w:val="24"/>
        </w:rPr>
        <w:t xml:space="preserve"> Looper, n.d.)</w:t>
      </w:r>
      <w:r w:rsidR="00885480" w:rsidRPr="00F07DEB">
        <w:rPr>
          <w:rFonts w:ascii="Times New Roman" w:hAnsi="Times New Roman" w:cs="Times New Roman"/>
          <w:sz w:val="20"/>
          <w:szCs w:val="20"/>
          <w:vertAlign w:val="superscript"/>
        </w:rPr>
        <w:fldChar w:fldCharType="end"/>
      </w:r>
      <w:r w:rsidR="00DF1BF7" w:rsidRPr="00F07DEB">
        <w:rPr>
          <w:rFonts w:ascii="Times New Roman" w:hAnsi="Times New Roman" w:cs="Times New Roman"/>
          <w:sz w:val="20"/>
          <w:szCs w:val="20"/>
        </w:rPr>
        <w:t xml:space="preserve"> </w:t>
      </w:r>
      <w:r w:rsidR="00885480" w:rsidRPr="00F07DEB">
        <w:rPr>
          <w:rFonts w:ascii="Times New Roman" w:hAnsi="Times New Roman" w:cs="Times New Roman"/>
          <w:sz w:val="20"/>
          <w:szCs w:val="20"/>
          <w:vertAlign w:val="superscript"/>
        </w:rPr>
        <w:t>6</w:t>
      </w:r>
      <w:r w:rsidR="00885480" w:rsidRPr="00F07DEB">
        <w:rPr>
          <w:rFonts w:ascii="Times New Roman" w:hAnsi="Times New Roman" w:cs="Times New Roman"/>
          <w:sz w:val="20"/>
          <w:szCs w:val="20"/>
          <w:vertAlign w:val="superscript"/>
        </w:rPr>
        <w:fldChar w:fldCharType="begin"/>
      </w:r>
      <w:r w:rsidR="00FF5DF8">
        <w:rPr>
          <w:rFonts w:ascii="Times New Roman" w:hAnsi="Times New Roman" w:cs="Times New Roman"/>
          <w:sz w:val="20"/>
          <w:szCs w:val="20"/>
          <w:vertAlign w:val="superscript"/>
        </w:rPr>
        <w:instrText xml:space="preserve"> ADDIN ZOTERO_ITEM CSL_CITATION {"citationID":"a1cb9i7loq2","properties":{"formattedCitation":"(Beede, 2008)","plainCitation":"(Beede, 2008)","noteIndex":0},"citationItems":[{"id":910,"uris":["http://zotero.org/users/5446453/items/Y6RWTVJA"],"uri":["http://zotero.org/users/5446453/items/Y6RWTVJA"],"itemData":{"id":910,"type":"paper-conference","event":"Bucknell Nutrition Conference","event-place":"Lewisburg, PA","language":"en","page":"24","publisher-place":"Lewisburg, PA","source":"Zotero","title":"Evaluation of Water Quality and Nutrition for Dairy Cattle","author":[{"family":"Beede","given":"David K"}],"issued":{"date-parts":[["2008",7,15]]}}}],"schema":"https://github.com/citation-style-language/schema/raw/master/csl-citation.json"} </w:instrText>
      </w:r>
      <w:r w:rsidR="00885480" w:rsidRPr="00F07DEB">
        <w:rPr>
          <w:rFonts w:ascii="Times New Roman" w:hAnsi="Times New Roman" w:cs="Times New Roman"/>
          <w:sz w:val="20"/>
          <w:szCs w:val="20"/>
          <w:vertAlign w:val="superscript"/>
        </w:rPr>
        <w:fldChar w:fldCharType="separate"/>
      </w:r>
      <w:r w:rsidR="00234033" w:rsidRPr="00234033">
        <w:rPr>
          <w:rFonts w:ascii="Times New Roman" w:hAnsi="Times New Roman" w:cs="Times New Roman"/>
          <w:sz w:val="20"/>
        </w:rPr>
        <w:t>(</w:t>
      </w:r>
      <w:proofErr w:type="spellStart"/>
      <w:r w:rsidR="00234033" w:rsidRPr="00234033">
        <w:rPr>
          <w:rFonts w:ascii="Times New Roman" w:hAnsi="Times New Roman" w:cs="Times New Roman"/>
          <w:sz w:val="20"/>
        </w:rPr>
        <w:t>Beede</w:t>
      </w:r>
      <w:proofErr w:type="spellEnd"/>
      <w:r w:rsidR="00234033" w:rsidRPr="00234033">
        <w:rPr>
          <w:rFonts w:ascii="Times New Roman" w:hAnsi="Times New Roman" w:cs="Times New Roman"/>
          <w:sz w:val="20"/>
        </w:rPr>
        <w:t>, 2008)</w:t>
      </w:r>
      <w:r w:rsidR="00885480" w:rsidRPr="00F07DEB">
        <w:rPr>
          <w:rFonts w:ascii="Times New Roman" w:hAnsi="Times New Roman" w:cs="Times New Roman"/>
          <w:sz w:val="20"/>
          <w:szCs w:val="20"/>
          <w:vertAlign w:val="superscript"/>
        </w:rPr>
        <w:fldChar w:fldCharType="end"/>
      </w:r>
    </w:p>
    <w:p w14:paraId="52465BC8" w14:textId="77777777" w:rsidR="00A66444" w:rsidRPr="00F07DEB" w:rsidRDefault="00A66444" w:rsidP="00A66444">
      <w:pPr>
        <w:spacing w:line="240" w:lineRule="auto"/>
        <w:rPr>
          <w:rFonts w:ascii="Times New Roman" w:hAnsi="Times New Roman" w:cs="Times New Roman"/>
          <w:sz w:val="24"/>
          <w:szCs w:val="24"/>
          <w:vertAlign w:val="superscript"/>
        </w:rPr>
      </w:pPr>
    </w:p>
    <w:p w14:paraId="2FB92F86" w14:textId="582BD9F2" w:rsidR="00143155" w:rsidRPr="00F07DEB" w:rsidRDefault="006615CB" w:rsidP="00031635">
      <w:pPr>
        <w:spacing w:line="480" w:lineRule="auto"/>
        <w:ind w:firstLine="720"/>
        <w:rPr>
          <w:rFonts w:ascii="Times New Roman" w:hAnsi="Times New Roman" w:cs="Times New Roman"/>
          <w:sz w:val="24"/>
        </w:rPr>
      </w:pPr>
      <w:r w:rsidRPr="00F07DEB">
        <w:rPr>
          <w:rFonts w:ascii="Times New Roman" w:hAnsi="Times New Roman" w:cs="Times New Roman"/>
          <w:sz w:val="24"/>
        </w:rPr>
        <w:t xml:space="preserve">MRPTS treats most influent constituents to well below the cattle </w:t>
      </w:r>
      <w:r w:rsidR="00216054">
        <w:rPr>
          <w:rFonts w:ascii="Times New Roman" w:hAnsi="Times New Roman" w:cs="Times New Roman"/>
          <w:sz w:val="24"/>
        </w:rPr>
        <w:t>maximum contaminant level (</w:t>
      </w:r>
      <w:r w:rsidRPr="00F07DEB">
        <w:rPr>
          <w:rFonts w:ascii="Times New Roman" w:hAnsi="Times New Roman" w:cs="Times New Roman"/>
          <w:sz w:val="24"/>
        </w:rPr>
        <w:t>MCL</w:t>
      </w:r>
      <w:r w:rsidR="00216054">
        <w:rPr>
          <w:rFonts w:ascii="Times New Roman" w:hAnsi="Times New Roman" w:cs="Times New Roman"/>
          <w:sz w:val="24"/>
        </w:rPr>
        <w:t>)</w:t>
      </w:r>
      <w:r w:rsidRPr="00F07DEB">
        <w:rPr>
          <w:rFonts w:ascii="Times New Roman" w:hAnsi="Times New Roman" w:cs="Times New Roman"/>
          <w:sz w:val="24"/>
        </w:rPr>
        <w:t>.</w:t>
      </w:r>
      <w:r w:rsidR="007B2894" w:rsidRPr="00F07DEB">
        <w:rPr>
          <w:rFonts w:ascii="Times New Roman" w:hAnsi="Times New Roman" w:cs="Times New Roman"/>
          <w:sz w:val="24"/>
        </w:rPr>
        <w:t xml:space="preserve"> Although </w:t>
      </w:r>
      <w:r w:rsidR="00F65E13" w:rsidRPr="00F07DEB">
        <w:rPr>
          <w:rFonts w:ascii="Times New Roman" w:hAnsi="Times New Roman" w:cs="Times New Roman"/>
          <w:sz w:val="24"/>
        </w:rPr>
        <w:t xml:space="preserve">the presence of an MCL does not always mean that any chemical or </w:t>
      </w:r>
      <w:r w:rsidR="00F65E13" w:rsidRPr="00F07DEB">
        <w:rPr>
          <w:rFonts w:ascii="Times New Roman" w:hAnsi="Times New Roman" w:cs="Times New Roman"/>
          <w:sz w:val="24"/>
        </w:rPr>
        <w:lastRenderedPageBreak/>
        <w:t>metal concentration below the MCL is adequate for cattle</w:t>
      </w:r>
      <w:r w:rsidR="007B2894" w:rsidRPr="00F07DEB">
        <w:rPr>
          <w:rFonts w:ascii="Times New Roman" w:hAnsi="Times New Roman" w:cs="Times New Roman"/>
          <w:sz w:val="24"/>
        </w:rPr>
        <w:t xml:space="preserve"> dietary needs, the</w:t>
      </w:r>
      <w:r w:rsidR="00F65E13" w:rsidRPr="00F07DEB">
        <w:rPr>
          <w:rFonts w:ascii="Times New Roman" w:hAnsi="Times New Roman" w:cs="Times New Roman"/>
          <w:sz w:val="24"/>
        </w:rPr>
        <w:t xml:space="preserve"> </w:t>
      </w:r>
      <w:r w:rsidR="007B2894" w:rsidRPr="00F07DEB">
        <w:rPr>
          <w:rFonts w:ascii="Times New Roman" w:hAnsi="Times New Roman" w:cs="Times New Roman"/>
          <w:sz w:val="24"/>
        </w:rPr>
        <w:t xml:space="preserve">important </w:t>
      </w:r>
      <w:r w:rsidR="00F65E13" w:rsidRPr="00F07DEB">
        <w:rPr>
          <w:rFonts w:ascii="Times New Roman" w:hAnsi="Times New Roman" w:cs="Times New Roman"/>
          <w:sz w:val="24"/>
        </w:rPr>
        <w:t>macro-minerals (P, K, S, Mg, Na, and Cl) and micro</w:t>
      </w:r>
      <w:r w:rsidR="007B2894" w:rsidRPr="00F07DEB">
        <w:rPr>
          <w:rFonts w:ascii="Times New Roman" w:hAnsi="Times New Roman" w:cs="Times New Roman"/>
          <w:sz w:val="24"/>
        </w:rPr>
        <w:t xml:space="preserve">-minerals </w:t>
      </w:r>
      <w:r w:rsidR="00F65E13" w:rsidRPr="00F07DEB">
        <w:rPr>
          <w:rFonts w:ascii="Times New Roman" w:hAnsi="Times New Roman" w:cs="Times New Roman"/>
          <w:sz w:val="24"/>
        </w:rPr>
        <w:t>(</w:t>
      </w:r>
      <w:r w:rsidR="007B2894" w:rsidRPr="00F07DEB">
        <w:rPr>
          <w:rFonts w:ascii="Times New Roman" w:hAnsi="Times New Roman" w:cs="Times New Roman"/>
          <w:sz w:val="24"/>
        </w:rPr>
        <w:t xml:space="preserve">Cu, Zn, I, </w:t>
      </w:r>
      <w:proofErr w:type="spellStart"/>
      <w:r w:rsidR="007B2894" w:rsidRPr="00F07DEB">
        <w:rPr>
          <w:rFonts w:ascii="Times New Roman" w:hAnsi="Times New Roman" w:cs="Times New Roman"/>
          <w:sz w:val="24"/>
        </w:rPr>
        <w:t>Mn</w:t>
      </w:r>
      <w:proofErr w:type="spellEnd"/>
      <w:r w:rsidR="007B2894" w:rsidRPr="00F07DEB">
        <w:rPr>
          <w:rFonts w:ascii="Times New Roman" w:hAnsi="Times New Roman" w:cs="Times New Roman"/>
          <w:sz w:val="24"/>
        </w:rPr>
        <w:t>, Se, Co, and Fe) are normally present in the cattle feed or forage at concentrations</w:t>
      </w:r>
      <w:r w:rsidR="008902CF" w:rsidRPr="00F07DEB">
        <w:rPr>
          <w:rFonts w:ascii="Times New Roman" w:hAnsi="Times New Roman" w:cs="Times New Roman"/>
          <w:sz w:val="24"/>
        </w:rPr>
        <w:t xml:space="preserve"> that promote healthy growth and development</w:t>
      </w:r>
      <w:r w:rsidR="005A2FD9" w:rsidRPr="00F07DEB">
        <w:rPr>
          <w:rFonts w:ascii="Times New Roman" w:hAnsi="Times New Roman" w:cs="Times New Roman"/>
          <w:sz w:val="24"/>
        </w:rPr>
        <w:t xml:space="preserve"> </w:t>
      </w:r>
      <w:r w:rsidR="005A2FD9" w:rsidRPr="00F07DEB">
        <w:rPr>
          <w:rFonts w:ascii="Times New Roman" w:hAnsi="Times New Roman" w:cs="Times New Roman"/>
          <w:sz w:val="24"/>
        </w:rPr>
        <w:fldChar w:fldCharType="begin"/>
      </w:r>
      <w:r w:rsidR="004B13BE">
        <w:rPr>
          <w:rFonts w:ascii="Times New Roman" w:hAnsi="Times New Roman" w:cs="Times New Roman"/>
          <w:sz w:val="24"/>
        </w:rPr>
        <w:instrText xml:space="preserve"> ADDIN ZOTERO_ITEM CSL_CITATION {"citationID":"1oGoAvKN","properties":{"formattedCitation":"(Paterson &amp; Engle, 2005)","plainCitation":"(Paterson &amp; Engle, 2005)","dontUpdate":true,"noteIndex":0},"citationItems":[{"id":731,"uris":["http://zotero.org/users/5446453/items/3EILHSZA"],"uri":["http://zotero.org/users/5446453/items/3EILHSZA"],"itemData":{"id":731,"type":"paper-conference","container-title":"Presented at the 2005 Nutrition Conference sponsored by Department of Animal Science, UT Extension and University Professional and Personal Development The University of Tennessee","event":"Nutrition Conference","event-place":"University of Tennessee","language":"en","page":"22","publisher-place":"University of Tennessee","source":"Zotero","title":"Trace Mineral Nutrition in Beef Cattle","volume":"2005","author":[{"family":"Paterson","given":"John A."},{"family":"Engle","given":"Terry E."}],"issued":{"date-parts":[["2005"]]}}}],"schema":"https://github.com/citation-style-language/schema/raw/master/csl-citation.json"} </w:instrText>
      </w:r>
      <w:r w:rsidR="005A2FD9" w:rsidRPr="00F07DEB">
        <w:rPr>
          <w:rFonts w:ascii="Times New Roman" w:hAnsi="Times New Roman" w:cs="Times New Roman"/>
          <w:sz w:val="24"/>
        </w:rPr>
        <w:fldChar w:fldCharType="separate"/>
      </w:r>
      <w:r w:rsidR="005A2FD9" w:rsidRPr="00F07DEB">
        <w:rPr>
          <w:rFonts w:ascii="Times New Roman" w:hAnsi="Times New Roman" w:cs="Times New Roman"/>
          <w:sz w:val="24"/>
        </w:rPr>
        <w:t xml:space="preserve">(Paterson </w:t>
      </w:r>
      <w:r w:rsidR="002A6AB5">
        <w:rPr>
          <w:rFonts w:ascii="Times New Roman" w:hAnsi="Times New Roman" w:cs="Times New Roman"/>
          <w:sz w:val="24"/>
        </w:rPr>
        <w:t>and</w:t>
      </w:r>
      <w:r w:rsidR="005A2FD9" w:rsidRPr="00F07DEB">
        <w:rPr>
          <w:rFonts w:ascii="Times New Roman" w:hAnsi="Times New Roman" w:cs="Times New Roman"/>
          <w:sz w:val="24"/>
        </w:rPr>
        <w:t xml:space="preserve"> Engle, 2005)</w:t>
      </w:r>
      <w:r w:rsidR="005A2FD9" w:rsidRPr="00F07DEB">
        <w:rPr>
          <w:rFonts w:ascii="Times New Roman" w:hAnsi="Times New Roman" w:cs="Times New Roman"/>
          <w:sz w:val="24"/>
        </w:rPr>
        <w:fldChar w:fldCharType="end"/>
      </w:r>
      <w:r w:rsidR="007B2894" w:rsidRPr="00F07DEB">
        <w:rPr>
          <w:rFonts w:ascii="Times New Roman" w:hAnsi="Times New Roman" w:cs="Times New Roman"/>
          <w:sz w:val="24"/>
        </w:rPr>
        <w:t xml:space="preserve">. </w:t>
      </w:r>
      <w:r w:rsidR="002C12C6" w:rsidRPr="00F07DEB">
        <w:rPr>
          <w:rFonts w:ascii="Times New Roman" w:hAnsi="Times New Roman" w:cs="Times New Roman"/>
          <w:sz w:val="24"/>
        </w:rPr>
        <w:t xml:space="preserve">Therefore, </w:t>
      </w:r>
      <w:r w:rsidR="00F76E41" w:rsidRPr="00F07DEB">
        <w:rPr>
          <w:rFonts w:ascii="Times New Roman" w:hAnsi="Times New Roman" w:cs="Times New Roman"/>
          <w:sz w:val="24"/>
        </w:rPr>
        <w:t xml:space="preserve">livestock </w:t>
      </w:r>
      <w:r w:rsidR="002C12C6" w:rsidRPr="00F07DEB">
        <w:rPr>
          <w:rFonts w:ascii="Times New Roman" w:hAnsi="Times New Roman" w:cs="Times New Roman"/>
          <w:sz w:val="24"/>
        </w:rPr>
        <w:t xml:space="preserve">water quality guidance generally assumes that nutrient and mineral needs will be met by the food source, </w:t>
      </w:r>
      <w:r w:rsidR="00F76E41" w:rsidRPr="00F07DEB">
        <w:rPr>
          <w:rFonts w:ascii="Times New Roman" w:hAnsi="Times New Roman" w:cs="Times New Roman"/>
          <w:sz w:val="24"/>
        </w:rPr>
        <w:t xml:space="preserve">and that the variable water quality of groundwater or surface water supplies </w:t>
      </w:r>
      <w:r w:rsidR="00243CCE" w:rsidRPr="00F07DEB">
        <w:rPr>
          <w:rFonts w:ascii="Times New Roman" w:hAnsi="Times New Roman" w:cs="Times New Roman"/>
          <w:sz w:val="24"/>
        </w:rPr>
        <w:t>is acceptable s</w:t>
      </w:r>
      <w:r w:rsidR="00A100E2">
        <w:rPr>
          <w:rFonts w:ascii="Times New Roman" w:hAnsi="Times New Roman" w:cs="Times New Roman"/>
          <w:sz w:val="24"/>
        </w:rPr>
        <w:t xml:space="preserve">o long as it conforms to widely </w:t>
      </w:r>
      <w:r w:rsidR="00243CCE" w:rsidRPr="00F07DEB">
        <w:rPr>
          <w:rFonts w:ascii="Times New Roman" w:hAnsi="Times New Roman" w:cs="Times New Roman"/>
          <w:sz w:val="24"/>
        </w:rPr>
        <w:t>accepted MCLs</w:t>
      </w:r>
      <w:r w:rsidR="00F76E41" w:rsidRPr="00F07DEB">
        <w:rPr>
          <w:rFonts w:ascii="Times New Roman" w:hAnsi="Times New Roman" w:cs="Times New Roman"/>
          <w:sz w:val="24"/>
        </w:rPr>
        <w:t xml:space="preserve">. </w:t>
      </w:r>
    </w:p>
    <w:p w14:paraId="39375AB1" w14:textId="449F3349" w:rsidR="00666B9C" w:rsidRDefault="006615CB" w:rsidP="00031635">
      <w:pPr>
        <w:spacing w:line="480" w:lineRule="auto"/>
        <w:ind w:firstLine="720"/>
        <w:rPr>
          <w:rFonts w:ascii="Times New Roman" w:hAnsi="Times New Roman" w:cs="Times New Roman"/>
          <w:sz w:val="24"/>
        </w:rPr>
      </w:pPr>
      <w:r w:rsidRPr="00F07DEB">
        <w:rPr>
          <w:rFonts w:ascii="Times New Roman" w:hAnsi="Times New Roman" w:cs="Times New Roman"/>
          <w:sz w:val="24"/>
        </w:rPr>
        <w:t>Mines in the Tar Creek Superfund Site generated massive quantities</w:t>
      </w:r>
      <w:r w:rsidR="00441CF2" w:rsidRPr="00F07DEB">
        <w:rPr>
          <w:rFonts w:ascii="Times New Roman" w:hAnsi="Times New Roman" w:cs="Times New Roman"/>
          <w:sz w:val="24"/>
        </w:rPr>
        <w:t xml:space="preserve"> of </w:t>
      </w:r>
      <w:proofErr w:type="spellStart"/>
      <w:r w:rsidR="009678A2">
        <w:rPr>
          <w:rFonts w:ascii="Times New Roman" w:hAnsi="Times New Roman" w:cs="Times New Roman"/>
          <w:sz w:val="24"/>
          <w:szCs w:val="24"/>
        </w:rPr>
        <w:t>Pb</w:t>
      </w:r>
      <w:proofErr w:type="spellEnd"/>
      <w:r w:rsidR="00441CF2" w:rsidRPr="00F07DEB">
        <w:rPr>
          <w:rFonts w:ascii="Times New Roman" w:hAnsi="Times New Roman" w:cs="Times New Roman"/>
          <w:sz w:val="24"/>
        </w:rPr>
        <w:t xml:space="preserve"> and </w:t>
      </w:r>
      <w:r w:rsidR="009678A2">
        <w:rPr>
          <w:rFonts w:ascii="Times New Roman" w:hAnsi="Times New Roman" w:cs="Times New Roman"/>
          <w:sz w:val="24"/>
        </w:rPr>
        <w:t>Zn</w:t>
      </w:r>
      <w:r w:rsidR="00441CF2" w:rsidRPr="00F07DEB">
        <w:rPr>
          <w:rFonts w:ascii="Times New Roman" w:hAnsi="Times New Roman" w:cs="Times New Roman"/>
          <w:sz w:val="24"/>
        </w:rPr>
        <w:t xml:space="preserve"> before operati</w:t>
      </w:r>
      <w:r w:rsidRPr="00F07DEB">
        <w:rPr>
          <w:rFonts w:ascii="Times New Roman" w:hAnsi="Times New Roman" w:cs="Times New Roman"/>
          <w:sz w:val="24"/>
        </w:rPr>
        <w:t>ons ceased.</w:t>
      </w:r>
      <w:r w:rsidR="001759B0" w:rsidRPr="00F07DEB">
        <w:rPr>
          <w:rFonts w:ascii="Times New Roman" w:hAnsi="Times New Roman" w:cs="Times New Roman"/>
          <w:sz w:val="24"/>
        </w:rPr>
        <w:t xml:space="preserve"> Whereas the former is </w:t>
      </w:r>
      <w:proofErr w:type="spellStart"/>
      <w:r w:rsidR="001759B0" w:rsidRPr="00F07DEB">
        <w:rPr>
          <w:rFonts w:ascii="Times New Roman" w:hAnsi="Times New Roman" w:cs="Times New Roman"/>
          <w:sz w:val="24"/>
        </w:rPr>
        <w:t>ecotoxic</w:t>
      </w:r>
      <w:proofErr w:type="spellEnd"/>
      <w:r w:rsidR="001759B0" w:rsidRPr="00F07DEB">
        <w:rPr>
          <w:rFonts w:ascii="Times New Roman" w:hAnsi="Times New Roman" w:cs="Times New Roman"/>
          <w:sz w:val="24"/>
        </w:rPr>
        <w:t xml:space="preserve"> at any concentration, </w:t>
      </w:r>
      <w:r w:rsidR="009678A2">
        <w:rPr>
          <w:rFonts w:ascii="Times New Roman" w:hAnsi="Times New Roman" w:cs="Times New Roman"/>
          <w:sz w:val="24"/>
        </w:rPr>
        <w:t>Zn</w:t>
      </w:r>
      <w:r w:rsidRPr="00F07DEB">
        <w:rPr>
          <w:rFonts w:ascii="Times New Roman" w:hAnsi="Times New Roman" w:cs="Times New Roman"/>
          <w:sz w:val="24"/>
        </w:rPr>
        <w:t xml:space="preserve"> is an essential nutrient for animal life</w:t>
      </w:r>
      <w:r w:rsidR="001759B0" w:rsidRPr="00F07DEB">
        <w:rPr>
          <w:rFonts w:ascii="Times New Roman" w:hAnsi="Times New Roman" w:cs="Times New Roman"/>
          <w:sz w:val="24"/>
        </w:rPr>
        <w:t>.</w:t>
      </w:r>
      <w:r w:rsidRPr="00F07DEB">
        <w:rPr>
          <w:rFonts w:ascii="Times New Roman" w:hAnsi="Times New Roman" w:cs="Times New Roman"/>
          <w:sz w:val="24"/>
        </w:rPr>
        <w:t xml:space="preserve"> </w:t>
      </w:r>
      <w:r w:rsidR="001759B0" w:rsidRPr="00F07DEB">
        <w:rPr>
          <w:rFonts w:ascii="Times New Roman" w:hAnsi="Times New Roman" w:cs="Times New Roman"/>
          <w:sz w:val="24"/>
        </w:rPr>
        <w:t>W</w:t>
      </w:r>
      <w:r w:rsidRPr="00F07DEB">
        <w:rPr>
          <w:rFonts w:ascii="Times New Roman" w:hAnsi="Times New Roman" w:cs="Times New Roman"/>
          <w:sz w:val="24"/>
        </w:rPr>
        <w:t>hile some sources list a</w:t>
      </w:r>
      <w:r w:rsidR="001759B0" w:rsidRPr="00F07DEB">
        <w:rPr>
          <w:rFonts w:ascii="Times New Roman" w:hAnsi="Times New Roman" w:cs="Times New Roman"/>
          <w:sz w:val="24"/>
        </w:rPr>
        <w:t xml:space="preserve"> </w:t>
      </w:r>
      <w:r w:rsidR="009678A2">
        <w:rPr>
          <w:rFonts w:ascii="Times New Roman" w:hAnsi="Times New Roman" w:cs="Times New Roman"/>
          <w:sz w:val="24"/>
        </w:rPr>
        <w:t>Zn</w:t>
      </w:r>
      <w:r w:rsidRPr="00F07DEB">
        <w:rPr>
          <w:rFonts w:ascii="Times New Roman" w:hAnsi="Times New Roman" w:cs="Times New Roman"/>
          <w:sz w:val="24"/>
        </w:rPr>
        <w:t xml:space="preserve"> MCL of 25 mg/L, the same sources also note that dietary </w:t>
      </w:r>
      <w:r w:rsidR="009678A2">
        <w:rPr>
          <w:rFonts w:ascii="Times New Roman" w:hAnsi="Times New Roman" w:cs="Times New Roman"/>
          <w:sz w:val="24"/>
        </w:rPr>
        <w:t>Zn</w:t>
      </w:r>
      <w:r w:rsidRPr="00F07DEB">
        <w:rPr>
          <w:rFonts w:ascii="Times New Roman" w:hAnsi="Times New Roman" w:cs="Times New Roman"/>
          <w:sz w:val="24"/>
        </w:rPr>
        <w:t xml:space="preserve"> consumption between 40 and 100 mg/</w:t>
      </w:r>
      <w:r w:rsidR="00C82740" w:rsidRPr="00F07DEB">
        <w:rPr>
          <w:rFonts w:ascii="Times New Roman" w:hAnsi="Times New Roman" w:cs="Times New Roman"/>
          <w:sz w:val="24"/>
        </w:rPr>
        <w:t>L is normal for cows (</w:t>
      </w:r>
      <w:proofErr w:type="spellStart"/>
      <w:r w:rsidR="00C82740" w:rsidRPr="00F07DEB">
        <w:rPr>
          <w:rFonts w:ascii="Times New Roman" w:hAnsi="Times New Roman" w:cs="Times New Roman"/>
          <w:sz w:val="24"/>
        </w:rPr>
        <w:t>Sallenave</w:t>
      </w:r>
      <w:proofErr w:type="spellEnd"/>
      <w:r w:rsidR="0016155F" w:rsidRPr="00F07DEB">
        <w:rPr>
          <w:rFonts w:ascii="Times New Roman" w:hAnsi="Times New Roman" w:cs="Times New Roman"/>
          <w:sz w:val="24"/>
        </w:rPr>
        <w:t>,</w:t>
      </w:r>
      <w:r w:rsidRPr="00F07DEB">
        <w:rPr>
          <w:rFonts w:ascii="Times New Roman" w:hAnsi="Times New Roman" w:cs="Times New Roman"/>
          <w:sz w:val="24"/>
        </w:rPr>
        <w:t xml:space="preserve"> 2016). </w:t>
      </w:r>
      <w:r w:rsidR="00B121A2" w:rsidRPr="00F07DEB">
        <w:rPr>
          <w:rFonts w:ascii="Times New Roman" w:hAnsi="Times New Roman" w:cs="Times New Roman"/>
          <w:sz w:val="24"/>
        </w:rPr>
        <w:t xml:space="preserve">Because </w:t>
      </w:r>
      <w:r w:rsidR="009678A2">
        <w:rPr>
          <w:rFonts w:ascii="Times New Roman" w:hAnsi="Times New Roman" w:cs="Times New Roman"/>
          <w:sz w:val="24"/>
        </w:rPr>
        <w:t>Zn</w:t>
      </w:r>
      <w:r w:rsidR="00B121A2" w:rsidRPr="00F07DEB">
        <w:rPr>
          <w:rFonts w:ascii="Times New Roman" w:hAnsi="Times New Roman" w:cs="Times New Roman"/>
          <w:sz w:val="24"/>
        </w:rPr>
        <w:t xml:space="preserve"> deficiency in cattle has been linked to decreased nutrient utilization, lethargy, and stunted growth, farmers sometimes opt for </w:t>
      </w:r>
      <w:r w:rsidR="009678A2">
        <w:rPr>
          <w:rFonts w:ascii="Times New Roman" w:hAnsi="Times New Roman" w:cs="Times New Roman"/>
          <w:sz w:val="24"/>
        </w:rPr>
        <w:t>Zn</w:t>
      </w:r>
      <w:r w:rsidR="00B121A2" w:rsidRPr="00F07DEB">
        <w:rPr>
          <w:rFonts w:ascii="Times New Roman" w:hAnsi="Times New Roman" w:cs="Times New Roman"/>
          <w:sz w:val="24"/>
        </w:rPr>
        <w:t xml:space="preserve"> supplements when the normal dietary supply is inadequate</w:t>
      </w:r>
      <w:r w:rsidR="00152D35" w:rsidRPr="00F07DEB">
        <w:rPr>
          <w:rFonts w:ascii="Times New Roman" w:hAnsi="Times New Roman" w:cs="Times New Roman"/>
          <w:sz w:val="24"/>
        </w:rPr>
        <w:t xml:space="preserve"> </w:t>
      </w:r>
      <w:r w:rsidR="00152D35" w:rsidRPr="00F07DEB">
        <w:rPr>
          <w:rFonts w:ascii="Times New Roman" w:hAnsi="Times New Roman" w:cs="Times New Roman"/>
          <w:sz w:val="24"/>
        </w:rPr>
        <w:fldChar w:fldCharType="begin"/>
      </w:r>
      <w:r w:rsidR="00271316" w:rsidRPr="00F07DEB">
        <w:rPr>
          <w:rFonts w:ascii="Times New Roman" w:hAnsi="Times New Roman" w:cs="Times New Roman"/>
          <w:sz w:val="24"/>
        </w:rPr>
        <w:instrText xml:space="preserve"> ADDIN ZOTERO_ITEM CSL_CITATION {"citationID":"JgD5OOSi","properties":{"formattedCitation":"(Miller, 1970)","plainCitation":"(Miller, 1970)","noteIndex":0},"citationItems":[{"id":719,"uris":["http://zotero.org/users/5446453/items/6XL3LG5F"],"uri":["http://zotero.org/users/5446453/items/6XL3LG5F"],"itemData":{"id":719,"type":"article-journal","abstract":"Zinc is an essential nutrient for animals, functioning largely or entirely in enzyme systems and being involved in protein synthesis, carbohydrate metabolism, and many other biochemical reactions. A severe zinc deficiency causes numerous pathological changes, including skin parakeratosis, reduced or cessation of growth, general debility, lethargy, and increased susceptibility to infection. However, the mechanism and routes by which specific enzymatic changes are responsible for the serious pathological alterations caused by the deficiency have not been elucidated. Recovery of calves from a severe zinc deficiency is rapid and dramatic. In studies involving special and purified diets, approximately 9ppm of zinc were adequate for normal health and performance of calves. However, in a few instances, 20 to 40ppm zinc in practical diets were not sufficient for optimum performance, but in others, such levels were adequate. Logical biological theories are presented for these differences, but proof is lacking. Cattle have a relatively high","container-title":"Journal of Dairy Science","DOI":"10.3168/jds.S0022-0302(70)86355-X","ISSN":"0022-0302","issue":"8","journalAbbreviation":"Journal of Dairy Science","language":"en","page":"1123-1135","source":"ScienceDirect","title":"Zinc Nutrition of Cattle: A Review","title-short":"Zinc Nutrition of Cattle","volume":"53","author":[{"family":"Miller","given":"W. J."}],"issued":{"date-parts":[["1970",8,1]]}}}],"schema":"https://github.com/citation-style-language/schema/raw/master/csl-citation.json"} </w:instrText>
      </w:r>
      <w:r w:rsidR="00152D35" w:rsidRPr="00F07DEB">
        <w:rPr>
          <w:rFonts w:ascii="Times New Roman" w:hAnsi="Times New Roman" w:cs="Times New Roman"/>
          <w:sz w:val="24"/>
        </w:rPr>
        <w:fldChar w:fldCharType="separate"/>
      </w:r>
      <w:r w:rsidR="00234033" w:rsidRPr="00234033">
        <w:rPr>
          <w:rFonts w:ascii="Times New Roman" w:hAnsi="Times New Roman" w:cs="Times New Roman"/>
          <w:sz w:val="24"/>
        </w:rPr>
        <w:t>(Miller, 1970)</w:t>
      </w:r>
      <w:r w:rsidR="00152D35" w:rsidRPr="00F07DEB">
        <w:rPr>
          <w:rFonts w:ascii="Times New Roman" w:hAnsi="Times New Roman" w:cs="Times New Roman"/>
          <w:sz w:val="24"/>
        </w:rPr>
        <w:fldChar w:fldCharType="end"/>
      </w:r>
      <w:r w:rsidR="00B121A2" w:rsidRPr="00F07DEB">
        <w:rPr>
          <w:rFonts w:ascii="Times New Roman" w:hAnsi="Times New Roman" w:cs="Times New Roman"/>
          <w:sz w:val="24"/>
        </w:rPr>
        <w:t xml:space="preserve">. </w:t>
      </w:r>
      <w:r w:rsidRPr="00F07DEB">
        <w:rPr>
          <w:rFonts w:ascii="Times New Roman" w:hAnsi="Times New Roman" w:cs="Times New Roman"/>
          <w:sz w:val="24"/>
        </w:rPr>
        <w:t xml:space="preserve">MRPTS removes almost 99% of influent </w:t>
      </w:r>
      <w:r w:rsidR="009678A2">
        <w:rPr>
          <w:rFonts w:ascii="Times New Roman" w:hAnsi="Times New Roman" w:cs="Times New Roman"/>
          <w:sz w:val="24"/>
        </w:rPr>
        <w:t>Zn</w:t>
      </w:r>
      <w:r w:rsidRPr="00F07DEB">
        <w:rPr>
          <w:rFonts w:ascii="Times New Roman" w:hAnsi="Times New Roman" w:cs="Times New Roman"/>
          <w:sz w:val="24"/>
        </w:rPr>
        <w:t xml:space="preserve">, resulting in </w:t>
      </w:r>
      <w:r w:rsidR="00A100E2">
        <w:rPr>
          <w:rFonts w:ascii="Times New Roman" w:hAnsi="Times New Roman" w:cs="Times New Roman"/>
          <w:sz w:val="24"/>
        </w:rPr>
        <w:t xml:space="preserve">relatively low </w:t>
      </w:r>
      <w:r w:rsidRPr="00F07DEB">
        <w:rPr>
          <w:rFonts w:ascii="Times New Roman" w:hAnsi="Times New Roman" w:cs="Times New Roman"/>
          <w:sz w:val="24"/>
        </w:rPr>
        <w:t xml:space="preserve">effluent </w:t>
      </w:r>
      <w:r w:rsidR="00A100E2">
        <w:rPr>
          <w:rFonts w:ascii="Times New Roman" w:hAnsi="Times New Roman" w:cs="Times New Roman"/>
          <w:sz w:val="24"/>
        </w:rPr>
        <w:t xml:space="preserve">Zn </w:t>
      </w:r>
      <w:r w:rsidRPr="00F07DEB">
        <w:rPr>
          <w:rFonts w:ascii="Times New Roman" w:hAnsi="Times New Roman" w:cs="Times New Roman"/>
          <w:sz w:val="24"/>
        </w:rPr>
        <w:t>concentrations around 0.</w:t>
      </w:r>
      <w:r w:rsidR="0057381F" w:rsidRPr="00F07DEB">
        <w:rPr>
          <w:rFonts w:ascii="Times New Roman" w:hAnsi="Times New Roman" w:cs="Times New Roman"/>
          <w:sz w:val="24"/>
        </w:rPr>
        <w:t>5</w:t>
      </w:r>
      <w:r w:rsidRPr="00F07DEB">
        <w:rPr>
          <w:rFonts w:ascii="Times New Roman" w:hAnsi="Times New Roman" w:cs="Times New Roman"/>
          <w:sz w:val="24"/>
        </w:rPr>
        <w:t xml:space="preserve"> mg/L</w:t>
      </w:r>
      <w:r w:rsidR="00187DC8" w:rsidRPr="00F07DEB">
        <w:rPr>
          <w:rFonts w:ascii="Times New Roman" w:hAnsi="Times New Roman" w:cs="Times New Roman"/>
          <w:sz w:val="24"/>
        </w:rPr>
        <w:t>.</w:t>
      </w:r>
      <w:r w:rsidRPr="00F07DEB">
        <w:rPr>
          <w:rFonts w:ascii="Times New Roman" w:hAnsi="Times New Roman" w:cs="Times New Roman"/>
          <w:sz w:val="24"/>
        </w:rPr>
        <w:t xml:space="preserve"> </w:t>
      </w:r>
      <w:r w:rsidR="003117FB" w:rsidRPr="00F07DEB">
        <w:rPr>
          <w:rFonts w:ascii="Times New Roman" w:hAnsi="Times New Roman" w:cs="Times New Roman"/>
          <w:sz w:val="24"/>
        </w:rPr>
        <w:t xml:space="preserve">Similar </w:t>
      </w:r>
      <w:r w:rsidR="009678A2">
        <w:rPr>
          <w:rFonts w:ascii="Times New Roman" w:hAnsi="Times New Roman" w:cs="Times New Roman"/>
          <w:sz w:val="24"/>
        </w:rPr>
        <w:t>Zn</w:t>
      </w:r>
      <w:r w:rsidR="003117FB" w:rsidRPr="00F07DEB">
        <w:rPr>
          <w:rFonts w:ascii="Times New Roman" w:hAnsi="Times New Roman" w:cs="Times New Roman"/>
          <w:sz w:val="24"/>
        </w:rPr>
        <w:t xml:space="preserve"> concentrations were </w:t>
      </w:r>
      <w:r w:rsidR="00152D35" w:rsidRPr="00F07DEB">
        <w:rPr>
          <w:rFonts w:ascii="Times New Roman" w:hAnsi="Times New Roman" w:cs="Times New Roman"/>
          <w:sz w:val="24"/>
        </w:rPr>
        <w:t>measured</w:t>
      </w:r>
      <w:r w:rsidR="003117FB" w:rsidRPr="00F07DEB">
        <w:rPr>
          <w:rFonts w:ascii="Times New Roman" w:hAnsi="Times New Roman" w:cs="Times New Roman"/>
          <w:sz w:val="24"/>
        </w:rPr>
        <w:t xml:space="preserve"> in the drinking water sampled from 39 California dairy farms</w:t>
      </w:r>
      <w:r w:rsidR="00152D35" w:rsidRPr="00F07DEB">
        <w:rPr>
          <w:rFonts w:ascii="Times New Roman" w:hAnsi="Times New Roman" w:cs="Times New Roman"/>
          <w:sz w:val="24"/>
        </w:rPr>
        <w:t xml:space="preserve"> </w:t>
      </w:r>
      <w:r w:rsidR="00152D35" w:rsidRPr="00F07DEB">
        <w:rPr>
          <w:rFonts w:ascii="Times New Roman" w:hAnsi="Times New Roman" w:cs="Times New Roman"/>
          <w:sz w:val="24"/>
        </w:rPr>
        <w:fldChar w:fldCharType="begin"/>
      </w:r>
      <w:r w:rsidR="00152D35" w:rsidRPr="00F07DEB">
        <w:rPr>
          <w:rFonts w:ascii="Times New Roman" w:hAnsi="Times New Roman" w:cs="Times New Roman"/>
          <w:sz w:val="24"/>
        </w:rPr>
        <w:instrText xml:space="preserve"> ADDIN ZOTERO_ITEM CSL_CITATION {"citationID":"te4gFExs","properties":{"formattedCitation":"(Castillo et al., 2013)","plainCitation":"(Castillo et al., 2013)","noteIndex":0},"citationItems":[{"id":722,"uris":["http://zotero.org/users/5446453/items/YD64MNZZ"],"uri":["http://zotero.org/users/5446453/items/YD64MNZZ"],"itemData":{"id":722,"type":"article-journal","abstract":"Thirty-nine commercial dairies in Merced County, California were enrolled in the present study to (1) compare lactating cow mineral intakes (via drinking water and total mixed ration) to the National Research Council (NRC) requirements, (2) evaluate the association between dietary concentrations of minerals with and without drinking water and adjusted for mineral concentrations in milk, and (3) compare 4 different methods to estimate excretion of minerals using either assays or estimations of milk mineral outputs and total daily mineral intake per cow with or without minerals coming from drinking water. Dairies were selected to represent a range of herd milk yields and a range of water mineral contents. Samples of total mixed ration, drinking water, and bulk tank milk were taken on 2 different days, 3 to 7d apart in each farm. Across-farm medians and percentile distributions were used to analyze results. The herd median milk yield interquartile ranged (10th to 90th percentile) from less than 25 to more than 39 kg/d and the concentration of total solids in water interquartile ranged from less than 200 to more than 1,490mg/L. Including drinking water minerals in the diets increased dietary concentrations by &lt;4% for all minerals except for Na and Cl, which increased by 9.3 and 6.5%, respectively. Concentrations of P and K in milk were essentially the same as the NRC value to estimate lactation requirements. However, NRC milk values of Ca, Cl, and Zn were 10 to 20% greater than dairy farm values; and Na, Cu, Fe, and Mn were no less than 36% below NRC values. Estimated excretion of minerals via manure varied substantially across farms. Farms in the 10th percentile did have 2 to 3 times less estimated mineral excretions than those in the 90th percentile (depending on the mineral). Although including water minerals increased excretion of most minerals, the actual median effect of Ca, Mg, S, Cu, Fe, and Mn was less than 5%, and about 8% for Na and Cl. Replacing assayed concentrations of minerals in milk with NRC constants resulted in reduced estimated excretion of Ca, Na, Cu, Fe, and Zn, but median differences were &lt;5% except for Na which was 7.5%. Results indicate that not including mineral intake via drinking water and not using assayed concentrations of milk minerals lead to errors in estimation manure excretion of minerals (e.g., Ca, Na, Cl, and S).","container-title":"Journal of Dairy Science","DOI":"10.3168/jds.2012-6121","ISSN":"0022-0302","issue":"5","journalAbbreviation":"Journal of Dairy Science","language":"en","page":"3388-3398","source":"ScienceDirect","title":"Mineral concentrations in diets, water, and milk and their value in estimating on-farm excretion of manure minerals in lactating dairy cows","volume":"96","author":[{"family":"Castillo","given":"A. R."},{"family":"St-Pierre","given":"N. R."},{"family":"Silva del Rio","given":"N."},{"family":"Weiss","given":"W. P."}],"issued":{"date-parts":[["2013",5,1]]}}}],"schema":"https://github.com/citation-style-language/schema/raw/master/csl-citation.json"} </w:instrText>
      </w:r>
      <w:r w:rsidR="00152D35" w:rsidRPr="00F07DEB">
        <w:rPr>
          <w:rFonts w:ascii="Times New Roman" w:hAnsi="Times New Roman" w:cs="Times New Roman"/>
          <w:sz w:val="24"/>
        </w:rPr>
        <w:fldChar w:fldCharType="separate"/>
      </w:r>
      <w:r w:rsidR="00234033" w:rsidRPr="00234033">
        <w:rPr>
          <w:rFonts w:ascii="Times New Roman" w:hAnsi="Times New Roman" w:cs="Times New Roman"/>
          <w:sz w:val="24"/>
        </w:rPr>
        <w:t>(Castillo et al., 2013)</w:t>
      </w:r>
      <w:r w:rsidR="00152D35" w:rsidRPr="00F07DEB">
        <w:rPr>
          <w:rFonts w:ascii="Times New Roman" w:hAnsi="Times New Roman" w:cs="Times New Roman"/>
          <w:sz w:val="24"/>
        </w:rPr>
        <w:fldChar w:fldCharType="end"/>
      </w:r>
      <w:r w:rsidRPr="00F07DEB">
        <w:rPr>
          <w:rFonts w:ascii="Times New Roman" w:hAnsi="Times New Roman" w:cs="Times New Roman"/>
          <w:sz w:val="24"/>
        </w:rPr>
        <w:t>.</w:t>
      </w:r>
      <w:r w:rsidR="00152D35" w:rsidRPr="00F07DEB">
        <w:rPr>
          <w:rFonts w:ascii="Times New Roman" w:hAnsi="Times New Roman" w:cs="Times New Roman"/>
          <w:sz w:val="24"/>
        </w:rPr>
        <w:t xml:space="preserve"> </w:t>
      </w:r>
      <w:r w:rsidR="00A100E2">
        <w:rPr>
          <w:rFonts w:ascii="Times New Roman" w:hAnsi="Times New Roman" w:cs="Times New Roman"/>
          <w:sz w:val="24"/>
        </w:rPr>
        <w:t>Therefore, a</w:t>
      </w:r>
      <w:r w:rsidR="00152D35" w:rsidRPr="00F07DEB">
        <w:rPr>
          <w:rFonts w:ascii="Times New Roman" w:hAnsi="Times New Roman" w:cs="Times New Roman"/>
          <w:sz w:val="24"/>
        </w:rPr>
        <w:t xml:space="preserve">s with most other livestock drinking water supplies, cattle relying on MRPTS effluent would obtain the necessary </w:t>
      </w:r>
      <w:r w:rsidR="009678A2">
        <w:rPr>
          <w:rFonts w:ascii="Times New Roman" w:hAnsi="Times New Roman" w:cs="Times New Roman"/>
          <w:sz w:val="24"/>
        </w:rPr>
        <w:t>Zn</w:t>
      </w:r>
      <w:r w:rsidR="00152D35" w:rsidRPr="00F07DEB">
        <w:rPr>
          <w:rFonts w:ascii="Times New Roman" w:hAnsi="Times New Roman" w:cs="Times New Roman"/>
          <w:sz w:val="24"/>
        </w:rPr>
        <w:t xml:space="preserve"> intake from some combination of feed, forage, incidental soil consumption, and dietary supplements.</w:t>
      </w:r>
      <w:r w:rsidRPr="00F07DEB">
        <w:rPr>
          <w:rFonts w:ascii="Times New Roman" w:hAnsi="Times New Roman" w:cs="Times New Roman"/>
          <w:sz w:val="24"/>
        </w:rPr>
        <w:t xml:space="preserve"> </w:t>
      </w:r>
    </w:p>
    <w:p w14:paraId="3CF5A9E0" w14:textId="2A4E3742" w:rsidR="00666B9C" w:rsidRDefault="006615CB" w:rsidP="00031635">
      <w:pPr>
        <w:spacing w:line="480" w:lineRule="auto"/>
        <w:ind w:firstLine="720"/>
        <w:rPr>
          <w:rFonts w:ascii="Times New Roman" w:hAnsi="Times New Roman" w:cs="Times New Roman"/>
          <w:sz w:val="24"/>
        </w:rPr>
      </w:pPr>
      <w:r w:rsidRPr="00F07DEB">
        <w:rPr>
          <w:rFonts w:ascii="Times New Roman" w:hAnsi="Times New Roman" w:cs="Times New Roman"/>
          <w:sz w:val="24"/>
        </w:rPr>
        <w:t xml:space="preserve">Whereas healthy steers can tolerate up to 2000 mg/L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sidRPr="009678A2">
        <w:rPr>
          <w:rFonts w:ascii="Times New Roman" w:hAnsi="Times New Roman" w:cs="Times New Roman"/>
          <w:sz w:val="24"/>
          <w:szCs w:val="24"/>
        </w:rPr>
        <w:t xml:space="preserve"> </w:t>
      </w:r>
      <w:r w:rsidRPr="00F07DEB">
        <w:rPr>
          <w:rFonts w:ascii="Times New Roman" w:hAnsi="Times New Roman" w:cs="Times New Roman"/>
          <w:sz w:val="24"/>
        </w:rPr>
        <w:t xml:space="preserve">in drinking water without harm, pregnant cows should not consume water with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sidRPr="009678A2">
        <w:rPr>
          <w:rFonts w:ascii="Times New Roman" w:hAnsi="Times New Roman" w:cs="Times New Roman"/>
          <w:sz w:val="24"/>
          <w:szCs w:val="24"/>
        </w:rPr>
        <w:t xml:space="preserve"> </w:t>
      </w:r>
      <w:r w:rsidRPr="00F07DEB">
        <w:rPr>
          <w:rFonts w:ascii="Times New Roman" w:hAnsi="Times New Roman" w:cs="Times New Roman"/>
          <w:sz w:val="24"/>
        </w:rPr>
        <w:t xml:space="preserve">concentrations exceeding 1000 </w:t>
      </w:r>
      <w:r w:rsidR="00C82740" w:rsidRPr="00F07DEB">
        <w:rPr>
          <w:rFonts w:ascii="Times New Roman" w:hAnsi="Times New Roman" w:cs="Times New Roman"/>
          <w:sz w:val="24"/>
        </w:rPr>
        <w:t>mg/L</w:t>
      </w:r>
      <w:r w:rsidR="00753225" w:rsidRPr="00F07DEB">
        <w:rPr>
          <w:rFonts w:ascii="Times New Roman" w:hAnsi="Times New Roman" w:cs="Times New Roman"/>
          <w:sz w:val="24"/>
        </w:rPr>
        <w:t xml:space="preserve"> </w:t>
      </w:r>
      <w:r w:rsidR="00753225" w:rsidRPr="00F07DEB">
        <w:rPr>
          <w:rFonts w:ascii="Times New Roman" w:hAnsi="Times New Roman" w:cs="Times New Roman"/>
          <w:sz w:val="24"/>
        </w:rPr>
        <w:fldChar w:fldCharType="begin"/>
      </w:r>
      <w:r w:rsidR="0085353D" w:rsidRPr="00F07DEB">
        <w:rPr>
          <w:rFonts w:ascii="Times New Roman" w:hAnsi="Times New Roman" w:cs="Times New Roman"/>
          <w:sz w:val="24"/>
        </w:rPr>
        <w:instrText xml:space="preserve"> ADDIN ZOTERO_ITEM CSL_CITATION {"citationID":"1aKXRMbK","properties":{"formattedCitation":"(Hunter et al., 2002)","plainCitation":"(Hunter et al., 2002)","noteIndex":0},"citationItems":[{"id":171,"uris":["http://zotero.org/users/5446453/items/CE4J5WIL"],"uri":["http://zotero.org/users/5446453/items/CE4J5WIL"],"itemData":{"id":171,"type":"article-journal","abstract":"This study examined the tolerance of pregnant and lactating beef cattle to elevated concentrations of sulphate (630, 1270 and 1910ppm sulphate) and other minerals in the drinking water. Feed intake, cow weight change during the first 12 weeks of lactation, calf growth rate and return to oestrus activity were all reduced appreciably when sulphate concentration was increased from 639 to 1270ppm. The study highlighted the greater sensitivity of breeding females, compared with published data for steers, to elevated concentrations of sulphate in the drinking water. It had been shown previously that steers could tolerate concentrations of up to 2000ppm without production loss. Further, the study provides evidence to support the Australian recommendation that 1000ppm sulphate should be the upper limit for sulphate concentration in the drinking water of cattle.","container-title":"Animal Production in Australia","language":"en","page":"105-108","source":"Zotero","title":"The effect of ingestion of coal mine pit water on the productivity of pregnant and lactating beef cows.","volume":"24","author":[{"family":"Hunter","given":"R A"},{"family":"Harper","given":"G S"},{"family":"Mccrabb","given":"G J"}],"issued":{"date-parts":[["2002"]]}}}],"schema":"https://github.com/citation-style-language/schema/raw/master/csl-citation.json"} </w:instrText>
      </w:r>
      <w:r w:rsidR="00753225" w:rsidRPr="00F07DEB">
        <w:rPr>
          <w:rFonts w:ascii="Times New Roman" w:hAnsi="Times New Roman" w:cs="Times New Roman"/>
          <w:sz w:val="24"/>
        </w:rPr>
        <w:fldChar w:fldCharType="separate"/>
      </w:r>
      <w:r w:rsidR="00234033" w:rsidRPr="00234033">
        <w:rPr>
          <w:rFonts w:ascii="Times New Roman" w:hAnsi="Times New Roman" w:cs="Times New Roman"/>
          <w:sz w:val="24"/>
        </w:rPr>
        <w:t>(Hunter et al., 2002)</w:t>
      </w:r>
      <w:r w:rsidR="00753225" w:rsidRPr="00F07DEB">
        <w:rPr>
          <w:rFonts w:ascii="Times New Roman" w:hAnsi="Times New Roman" w:cs="Times New Roman"/>
          <w:sz w:val="24"/>
        </w:rPr>
        <w:fldChar w:fldCharType="end"/>
      </w:r>
      <w:r w:rsidRPr="00F07DEB">
        <w:rPr>
          <w:rFonts w:ascii="Times New Roman" w:hAnsi="Times New Roman" w:cs="Times New Roman"/>
          <w:sz w:val="24"/>
        </w:rPr>
        <w:t xml:space="preserve">. The MRPTS effluent exhibits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sidRPr="009678A2">
        <w:rPr>
          <w:rFonts w:ascii="Times New Roman" w:hAnsi="Times New Roman" w:cs="Times New Roman"/>
          <w:sz w:val="24"/>
          <w:szCs w:val="24"/>
        </w:rPr>
        <w:t xml:space="preserve"> </w:t>
      </w:r>
      <w:r w:rsidRPr="00F07DEB">
        <w:rPr>
          <w:rFonts w:ascii="Times New Roman" w:hAnsi="Times New Roman" w:cs="Times New Roman"/>
          <w:sz w:val="24"/>
        </w:rPr>
        <w:t xml:space="preserve">concentrations exceeding both of these </w:t>
      </w:r>
      <w:r w:rsidRPr="00F07DEB">
        <w:rPr>
          <w:rFonts w:ascii="Times New Roman" w:hAnsi="Times New Roman" w:cs="Times New Roman"/>
          <w:sz w:val="24"/>
        </w:rPr>
        <w:lastRenderedPageBreak/>
        <w:t xml:space="preserve">criteria. </w:t>
      </w:r>
      <w:r w:rsidR="0029415E" w:rsidRPr="00F07DEB">
        <w:rPr>
          <w:rFonts w:ascii="Times New Roman" w:hAnsi="Times New Roman" w:cs="Times New Roman"/>
          <w:sz w:val="24"/>
        </w:rPr>
        <w:t>Moreover, a</w:t>
      </w:r>
      <w:r w:rsidR="0043731A" w:rsidRPr="00F07DEB">
        <w:rPr>
          <w:rFonts w:ascii="Times New Roman" w:hAnsi="Times New Roman" w:cs="Times New Roman"/>
          <w:sz w:val="24"/>
        </w:rPr>
        <w:t xml:space="preserve"> 2014</w:t>
      </w:r>
      <w:r w:rsidR="0029415E" w:rsidRPr="00F07DEB">
        <w:rPr>
          <w:rFonts w:ascii="Times New Roman" w:hAnsi="Times New Roman" w:cs="Times New Roman"/>
          <w:sz w:val="24"/>
        </w:rPr>
        <w:t xml:space="preserve"> live-</w:t>
      </w:r>
      <w:r w:rsidR="0043731A" w:rsidRPr="00F07DEB">
        <w:rPr>
          <w:rFonts w:ascii="Times New Roman" w:hAnsi="Times New Roman" w:cs="Times New Roman"/>
          <w:sz w:val="24"/>
        </w:rPr>
        <w:t>cow</w:t>
      </w:r>
      <w:r w:rsidR="0029415E" w:rsidRPr="00F07DEB">
        <w:rPr>
          <w:rFonts w:ascii="Times New Roman" w:hAnsi="Times New Roman" w:cs="Times New Roman"/>
          <w:sz w:val="24"/>
        </w:rPr>
        <w:t xml:space="preserve"> study </w:t>
      </w:r>
      <w:r w:rsidR="0043731A" w:rsidRPr="00F07DEB">
        <w:rPr>
          <w:rFonts w:ascii="Times New Roman" w:hAnsi="Times New Roman" w:cs="Times New Roman"/>
          <w:sz w:val="24"/>
        </w:rPr>
        <w:t xml:space="preserve">found that </w:t>
      </w:r>
      <w:r w:rsidR="0029415E" w:rsidRPr="00F07DEB">
        <w:rPr>
          <w:rFonts w:ascii="Times New Roman" w:hAnsi="Times New Roman" w:cs="Times New Roman"/>
          <w:sz w:val="24"/>
        </w:rPr>
        <w:t xml:space="preserve">high dietary </w:t>
      </w:r>
      <w:r w:rsidR="009678A2">
        <w:rPr>
          <w:rFonts w:ascii="Times New Roman" w:hAnsi="Times New Roman" w:cs="Times New Roman"/>
          <w:sz w:val="24"/>
        </w:rPr>
        <w:t>S</w:t>
      </w:r>
      <w:r w:rsidR="0029415E" w:rsidRPr="00F07DEB">
        <w:rPr>
          <w:rFonts w:ascii="Times New Roman" w:hAnsi="Times New Roman" w:cs="Times New Roman"/>
          <w:sz w:val="24"/>
        </w:rPr>
        <w:t xml:space="preserve"> </w:t>
      </w:r>
      <w:r w:rsidR="0043731A" w:rsidRPr="00F07DEB">
        <w:rPr>
          <w:rFonts w:ascii="Times New Roman" w:hAnsi="Times New Roman" w:cs="Times New Roman"/>
          <w:sz w:val="24"/>
        </w:rPr>
        <w:t xml:space="preserve">decreased retention of </w:t>
      </w:r>
      <w:r w:rsidR="009678A2">
        <w:rPr>
          <w:rFonts w:ascii="Times New Roman" w:hAnsi="Times New Roman" w:cs="Times New Roman"/>
          <w:sz w:val="24"/>
        </w:rPr>
        <w:t>Cu</w:t>
      </w:r>
      <w:r w:rsidR="0043731A" w:rsidRPr="00F07DEB">
        <w:rPr>
          <w:rFonts w:ascii="Times New Roman" w:hAnsi="Times New Roman" w:cs="Times New Roman"/>
          <w:sz w:val="24"/>
        </w:rPr>
        <w:t xml:space="preserve">, </w:t>
      </w:r>
      <w:proofErr w:type="spellStart"/>
      <w:r w:rsidR="009678A2">
        <w:rPr>
          <w:rFonts w:ascii="Times New Roman" w:hAnsi="Times New Roman" w:cs="Times New Roman"/>
          <w:sz w:val="24"/>
        </w:rPr>
        <w:t>Mn</w:t>
      </w:r>
      <w:proofErr w:type="spellEnd"/>
      <w:r w:rsidR="0043731A" w:rsidRPr="00F07DEB">
        <w:rPr>
          <w:rFonts w:ascii="Times New Roman" w:hAnsi="Times New Roman" w:cs="Times New Roman"/>
          <w:sz w:val="24"/>
        </w:rPr>
        <w:t xml:space="preserve">, and </w:t>
      </w:r>
      <w:r w:rsidR="009678A2">
        <w:rPr>
          <w:rFonts w:ascii="Times New Roman" w:hAnsi="Times New Roman" w:cs="Times New Roman"/>
          <w:sz w:val="24"/>
        </w:rPr>
        <w:t>Zn</w:t>
      </w:r>
      <w:r w:rsidR="0043731A" w:rsidRPr="00F07DEB">
        <w:rPr>
          <w:rFonts w:ascii="Times New Roman" w:hAnsi="Times New Roman" w:cs="Times New Roman"/>
          <w:sz w:val="24"/>
        </w:rPr>
        <w:t xml:space="preserve"> in cattle, potentially limiting long-term growth and productivity</w:t>
      </w:r>
      <w:r w:rsidR="00A66444" w:rsidRPr="00F07DEB">
        <w:rPr>
          <w:rFonts w:ascii="Times New Roman" w:hAnsi="Times New Roman" w:cs="Times New Roman"/>
          <w:sz w:val="24"/>
        </w:rPr>
        <w:t xml:space="preserve"> </w:t>
      </w:r>
      <w:r w:rsidR="00A66444" w:rsidRPr="00F07DEB">
        <w:rPr>
          <w:rFonts w:ascii="Times New Roman" w:hAnsi="Times New Roman" w:cs="Times New Roman"/>
          <w:sz w:val="24"/>
        </w:rPr>
        <w:fldChar w:fldCharType="begin"/>
      </w:r>
      <w:r w:rsidR="00A66444" w:rsidRPr="00F07DEB">
        <w:rPr>
          <w:rFonts w:ascii="Times New Roman" w:hAnsi="Times New Roman" w:cs="Times New Roman"/>
          <w:sz w:val="24"/>
        </w:rPr>
        <w:instrText xml:space="preserve"> ADDIN ZOTERO_ITEM CSL_CITATION {"citationID":"jfil9Em9","properties":{"formattedCitation":"(Pogge et al., 2014)","plainCitation":"(Pogge et al., 2014)","noteIndex":0},"citationItems":[{"id":292,"uris":["http://zotero.org/users/5446453/items/4SMCWMHU"],"uri":["http://zotero.org/users/5446453/items/4SMCWMHU"],"itemData":{"id":292,"type":"article-journal","abstract":"ABSTRACT: To examine the effects of dietary S on diet digestibility and apparent mineral absorption and retention, 16 steers [8 ruminally fistulated (368 ± 12 kg BW) and 8 unmodified (388 ± 10 kg BW)] were paired within modification status and BW, and within each of the 2 consecutive 28-d periods, 4 pairs of steers were randomly assigned to either a low-S (0.24%) or high-S (0.68%) pelleted diet. Bromegrass hay was fed at 5 or 7% of the diet, during periods 1 and 2, respectively. Sodium sulfate was used to increase the S content of the high-S diet. The low-S steers were fed the amount of feed their high-S counterpart consumed the previous day, while the high-S steers received 110% of the previous day’s intake. Steers were adapted to individual metabolism stalls for 4 d (d -3 to 0 of period), acclimated to diet for 7 d (d 1 to 7 of period), and after high-S steers were consuming ad libitum intake for 7 d (d 14 of period), total urine and feces were collected for 5 d. Feed intake and orts were recorded daily. Dry matter and OM digestibility were determined. Jugular blood was collected before and after each collection period on d 14 and 20, and liver biopsies were collected on d 0 and 27. Macromineral (Ca, K, Mg, and Na) and micromineral (Cu, Mn, and Zn) concentrations were determined for pellets and hay, orts, feces, urine, and plasma and liver samples from each steer via inductively coupled plasma spectrometry. Dry matter intake, DM and OM digestibility, and urine volume were not affected (P ≥ 0.11) by dietary treatment, but fecal output was greater (P = 0.02) in the low-S steers than the high-S steers. A high-S diet decreased plasma Cu (P = 0.04) and liver Zn (P = 0.03) compared to low-S steers. No differences (P ≥ 0.20) were noted among urinary excretion of Cu, Mn, and Zn. Sodium absorption was greater (P &lt; 0.01) and Cu, Mn, and Zn retention was lesser (P ≤ 0.01) in the high-S steers than the low-S steers. Apparent absorption of Ca, K, and Mg was not affected (P ≥ 0.18) by dietary treatment, while absorption of Cu, Mn, and Zn in the high-S treatment was lesser (P ≤ 0.06). In conclusion, consumption of a high-S diet for 28 d had limited effects on Ca, K, Mg, and Na absorption and retention, but decreased Cu, Mn, and Zn retention, which may limit growth and production of cattle consuming a high-S diet long-term.","container-title":"Journal of Animal Science","DOI":"10.2527/jas.2013-7481","ISSN":"0021-8812, 1525-3163","issue":"5","language":"en","page":"2182-2191","source":"DOI.org (Crossref)","title":"High dietary sulfur decreases the retention of copper, manganese, and zinc in steers","volume":"92","author":[{"family":"Pogge","given":"D. J."},{"family":"Drewnoski","given":"M. E."},{"family":"Hansen","given":"S. L."}],"issued":{"date-parts":[["2014",5,1]]}}}],"schema":"https://github.com/citation-style-language/schema/raw/master/csl-citation.json"} </w:instrText>
      </w:r>
      <w:r w:rsidR="00A66444" w:rsidRPr="00F07DEB">
        <w:rPr>
          <w:rFonts w:ascii="Times New Roman" w:hAnsi="Times New Roman" w:cs="Times New Roman"/>
          <w:sz w:val="24"/>
        </w:rPr>
        <w:fldChar w:fldCharType="separate"/>
      </w:r>
      <w:r w:rsidR="00234033" w:rsidRPr="00234033">
        <w:rPr>
          <w:rFonts w:ascii="Times New Roman" w:hAnsi="Times New Roman" w:cs="Times New Roman"/>
          <w:sz w:val="24"/>
        </w:rPr>
        <w:t>(Pogge et al., 2014)</w:t>
      </w:r>
      <w:r w:rsidR="00A66444" w:rsidRPr="00F07DEB">
        <w:rPr>
          <w:rFonts w:ascii="Times New Roman" w:hAnsi="Times New Roman" w:cs="Times New Roman"/>
          <w:sz w:val="24"/>
        </w:rPr>
        <w:fldChar w:fldCharType="end"/>
      </w:r>
      <w:r w:rsidR="00A66444" w:rsidRPr="00F07DEB">
        <w:rPr>
          <w:rFonts w:ascii="Times New Roman" w:hAnsi="Times New Roman" w:cs="Times New Roman"/>
          <w:sz w:val="24"/>
        </w:rPr>
        <w:t>.</w:t>
      </w:r>
      <w:r w:rsidR="0043731A" w:rsidRPr="00F07DEB">
        <w:rPr>
          <w:rFonts w:ascii="Times New Roman" w:hAnsi="Times New Roman" w:cs="Times New Roman"/>
          <w:sz w:val="24"/>
        </w:rPr>
        <w:t xml:space="preserve"> </w:t>
      </w:r>
    </w:p>
    <w:p w14:paraId="61688D4C" w14:textId="04549298" w:rsidR="006615CB" w:rsidRPr="00F07DEB" w:rsidRDefault="009678A2" w:rsidP="00031635">
      <w:pPr>
        <w:spacing w:line="480" w:lineRule="auto"/>
        <w:ind w:firstLine="720"/>
        <w:rPr>
          <w:rFonts w:ascii="Times New Roman" w:hAnsi="Times New Roman" w:cs="Times New Roman"/>
          <w:sz w:val="24"/>
        </w:rPr>
      </w:pPr>
      <w:proofErr w:type="spellStart"/>
      <w:r>
        <w:rPr>
          <w:rFonts w:ascii="Times New Roman" w:hAnsi="Times New Roman" w:cs="Times New Roman"/>
          <w:sz w:val="24"/>
        </w:rPr>
        <w:t>Mn</w:t>
      </w:r>
      <w:proofErr w:type="spellEnd"/>
      <w:r w:rsidR="006615CB" w:rsidRPr="00F07DEB">
        <w:rPr>
          <w:rFonts w:ascii="Times New Roman" w:hAnsi="Times New Roman" w:cs="Times New Roman"/>
          <w:sz w:val="24"/>
        </w:rPr>
        <w:t xml:space="preserve"> concentrations in the effluent are roughly 25 times greater than the human MCL, which was published by the UN Food and Agriculture Organization </w:t>
      </w:r>
      <w:r w:rsidR="00D00599" w:rsidRPr="00F07DEB">
        <w:rPr>
          <w:rFonts w:ascii="Times New Roman" w:hAnsi="Times New Roman" w:cs="Times New Roman"/>
          <w:sz w:val="24"/>
        </w:rPr>
        <w:t xml:space="preserve">(FAO) </w:t>
      </w:r>
      <w:r w:rsidR="006615CB" w:rsidRPr="00F07DEB">
        <w:rPr>
          <w:rFonts w:ascii="Times New Roman" w:hAnsi="Times New Roman" w:cs="Times New Roman"/>
          <w:sz w:val="24"/>
        </w:rPr>
        <w:t>in lieu of a still-undetermined cattle MCL</w:t>
      </w:r>
      <w:r w:rsidR="00E00426" w:rsidRPr="00F07DEB">
        <w:rPr>
          <w:rFonts w:ascii="Times New Roman" w:hAnsi="Times New Roman" w:cs="Times New Roman"/>
          <w:sz w:val="24"/>
        </w:rPr>
        <w:t xml:space="preserve"> </w:t>
      </w:r>
      <w:r w:rsidR="00E00426" w:rsidRPr="00F07DEB">
        <w:rPr>
          <w:rFonts w:ascii="Times New Roman" w:hAnsi="Times New Roman" w:cs="Times New Roman"/>
          <w:sz w:val="24"/>
        </w:rPr>
        <w:fldChar w:fldCharType="begin"/>
      </w:r>
      <w:r w:rsidR="004B13BE">
        <w:rPr>
          <w:rFonts w:ascii="Times New Roman" w:hAnsi="Times New Roman" w:cs="Times New Roman"/>
          <w:sz w:val="24"/>
        </w:rPr>
        <w:instrText xml:space="preserve"> ADDIN ZOTERO_ITEM CSL_CITATION {"citationID":"2fq51HIA","properties":{"formattedCitation":"(Ayers &amp; Westcot, 1985b)","plainCitation":"(Ayers &amp; Westcot, 1985b)","dontUpdate":true,"noteIndex":0},"citationItems":[{"id":163,"uris":["http://zotero.org/users/5446453/items/V27WFHEB"],"uri":["http://zotero.org/users/5446453/items/V27WFHEB"],"itemData":{"id":163,"type":"webpage","container-title":"Food and Agriculture Organization of the United Nations","title":"Water quality for livestock and poultry","title-short":"UN FAO","URL":"http://www.fao.org/3/t0234e/T0234E07.htm","author":[{"family":"Ayers","given":"R.S."},{"family":"Westcot","given":"D.W."}],"accessed":{"date-parts":[["2019",12,17]]},"issued":{"date-parts":[["1985"]]}}}],"schema":"https://github.com/citation-style-language/schema/raw/master/csl-citation.json"} </w:instrText>
      </w:r>
      <w:r w:rsidR="00E00426" w:rsidRPr="00F07DEB">
        <w:rPr>
          <w:rFonts w:ascii="Times New Roman" w:hAnsi="Times New Roman" w:cs="Times New Roman"/>
          <w:sz w:val="24"/>
        </w:rPr>
        <w:fldChar w:fldCharType="separate"/>
      </w:r>
      <w:r w:rsidR="00295BF1" w:rsidRPr="00F07DEB">
        <w:rPr>
          <w:rFonts w:ascii="Times New Roman" w:hAnsi="Times New Roman" w:cs="Times New Roman"/>
          <w:sz w:val="24"/>
        </w:rPr>
        <w:t xml:space="preserve">(Ayers </w:t>
      </w:r>
      <w:r w:rsidR="002A6AB5">
        <w:rPr>
          <w:rFonts w:ascii="Times New Roman" w:hAnsi="Times New Roman" w:cs="Times New Roman"/>
          <w:sz w:val="24"/>
        </w:rPr>
        <w:t>and</w:t>
      </w:r>
      <w:r w:rsidR="00295BF1" w:rsidRPr="00F07DEB">
        <w:rPr>
          <w:rFonts w:ascii="Times New Roman" w:hAnsi="Times New Roman" w:cs="Times New Roman"/>
          <w:sz w:val="24"/>
        </w:rPr>
        <w:t xml:space="preserve"> Westcot, 1985b)</w:t>
      </w:r>
      <w:r w:rsidR="00E00426" w:rsidRPr="00F07DEB">
        <w:rPr>
          <w:rFonts w:ascii="Times New Roman" w:hAnsi="Times New Roman" w:cs="Times New Roman"/>
          <w:sz w:val="24"/>
        </w:rPr>
        <w:fldChar w:fldCharType="end"/>
      </w:r>
      <w:r w:rsidR="006615CB" w:rsidRPr="00F07DEB">
        <w:rPr>
          <w:rFonts w:ascii="Times New Roman" w:hAnsi="Times New Roman" w:cs="Times New Roman"/>
          <w:sz w:val="24"/>
        </w:rPr>
        <w:t xml:space="preserve">. The FAO also noted that </w:t>
      </w:r>
      <w:proofErr w:type="spellStart"/>
      <w:r>
        <w:rPr>
          <w:rFonts w:ascii="Times New Roman" w:hAnsi="Times New Roman" w:cs="Times New Roman"/>
          <w:sz w:val="24"/>
          <w:szCs w:val="24"/>
        </w:rPr>
        <w:t>Pb</w:t>
      </w:r>
      <w:proofErr w:type="spellEnd"/>
      <w:r w:rsidR="006615CB" w:rsidRPr="00F07DEB">
        <w:rPr>
          <w:rFonts w:ascii="Times New Roman" w:hAnsi="Times New Roman" w:cs="Times New Roman"/>
          <w:sz w:val="24"/>
        </w:rPr>
        <w:t xml:space="preserve"> </w:t>
      </w:r>
      <w:proofErr w:type="spellStart"/>
      <w:r w:rsidR="006615CB" w:rsidRPr="00F07DEB">
        <w:rPr>
          <w:rFonts w:ascii="Times New Roman" w:hAnsi="Times New Roman" w:cs="Times New Roman"/>
          <w:sz w:val="24"/>
        </w:rPr>
        <w:t>bioaccumulates</w:t>
      </w:r>
      <w:proofErr w:type="spellEnd"/>
      <w:r w:rsidR="006615CB" w:rsidRPr="00F07DEB">
        <w:rPr>
          <w:rFonts w:ascii="Times New Roman" w:hAnsi="Times New Roman" w:cs="Times New Roman"/>
          <w:sz w:val="24"/>
        </w:rPr>
        <w:t xml:space="preserve"> and could be dangerous at a concentration of 0.05 mg/L, which is only around </w:t>
      </w:r>
      <w:r w:rsidR="0057381F" w:rsidRPr="00F07DEB">
        <w:rPr>
          <w:rFonts w:ascii="Times New Roman" w:hAnsi="Times New Roman" w:cs="Times New Roman"/>
          <w:sz w:val="24"/>
        </w:rPr>
        <w:t>1</w:t>
      </w:r>
      <w:r w:rsidR="006615CB" w:rsidRPr="00F07DEB">
        <w:rPr>
          <w:rFonts w:ascii="Times New Roman" w:hAnsi="Times New Roman" w:cs="Times New Roman"/>
          <w:sz w:val="24"/>
        </w:rPr>
        <w:t>.5 times greater than t</w:t>
      </w:r>
      <w:r w:rsidR="00E00426" w:rsidRPr="00F07DEB">
        <w:rPr>
          <w:rFonts w:ascii="Times New Roman" w:hAnsi="Times New Roman" w:cs="Times New Roman"/>
          <w:sz w:val="24"/>
        </w:rPr>
        <w:t xml:space="preserve">he effluent </w:t>
      </w:r>
      <w:proofErr w:type="spellStart"/>
      <w:r>
        <w:rPr>
          <w:rFonts w:ascii="Times New Roman" w:hAnsi="Times New Roman" w:cs="Times New Roman"/>
          <w:sz w:val="24"/>
          <w:szCs w:val="24"/>
        </w:rPr>
        <w:t>Pb</w:t>
      </w:r>
      <w:proofErr w:type="spellEnd"/>
      <w:r w:rsidR="00E00426" w:rsidRPr="00F07DEB">
        <w:rPr>
          <w:rFonts w:ascii="Times New Roman" w:hAnsi="Times New Roman" w:cs="Times New Roman"/>
          <w:sz w:val="24"/>
        </w:rPr>
        <w:t xml:space="preserve"> concentration</w:t>
      </w:r>
      <w:r w:rsidR="00D301C0" w:rsidRPr="00F07DEB">
        <w:rPr>
          <w:rFonts w:ascii="Times New Roman" w:hAnsi="Times New Roman" w:cs="Times New Roman"/>
          <w:sz w:val="24"/>
        </w:rPr>
        <w:t xml:space="preserve"> at MRPTS</w:t>
      </w:r>
      <w:r w:rsidR="00E00426" w:rsidRPr="00F07DEB">
        <w:rPr>
          <w:rFonts w:ascii="Times New Roman" w:hAnsi="Times New Roman" w:cs="Times New Roman"/>
          <w:sz w:val="24"/>
        </w:rPr>
        <w:t xml:space="preserve"> </w:t>
      </w:r>
      <w:r w:rsidR="00E00426" w:rsidRPr="00F07DEB">
        <w:rPr>
          <w:rFonts w:ascii="Times New Roman" w:hAnsi="Times New Roman" w:cs="Times New Roman"/>
          <w:sz w:val="24"/>
        </w:rPr>
        <w:fldChar w:fldCharType="begin"/>
      </w:r>
      <w:r w:rsidR="004B13BE">
        <w:rPr>
          <w:rFonts w:ascii="Times New Roman" w:hAnsi="Times New Roman" w:cs="Times New Roman"/>
          <w:sz w:val="24"/>
        </w:rPr>
        <w:instrText xml:space="preserve"> ADDIN ZOTERO_ITEM CSL_CITATION {"citationID":"OuDRvshM","properties":{"formattedCitation":"(Ayers &amp; Westcot, 1985b)","plainCitation":"(Ayers &amp; Westcot, 1985b)","dontUpdate":true,"noteIndex":0},"citationItems":[{"id":163,"uris":["http://zotero.org/users/5446453/items/V27WFHEB"],"uri":["http://zotero.org/users/5446453/items/V27WFHEB"],"itemData":{"id":163,"type":"webpage","container-title":"Food and Agriculture Organization of the United Nations","title":"Water quality for livestock and poultry","title-short":"UN FAO","URL":"http://www.fao.org/3/t0234e/T0234E07.htm","author":[{"family":"Ayers","given":"R.S."},{"family":"Westcot","given":"D.W."}],"accessed":{"date-parts":[["2019",12,17]]},"issued":{"date-parts":[["1985"]]}}}],"schema":"https://github.com/citation-style-language/schema/raw/master/csl-citation.json"} </w:instrText>
      </w:r>
      <w:r w:rsidR="00E00426" w:rsidRPr="00F07DEB">
        <w:rPr>
          <w:rFonts w:ascii="Times New Roman" w:hAnsi="Times New Roman" w:cs="Times New Roman"/>
          <w:sz w:val="24"/>
        </w:rPr>
        <w:fldChar w:fldCharType="separate"/>
      </w:r>
      <w:r w:rsidR="00295BF1" w:rsidRPr="00F07DEB">
        <w:rPr>
          <w:rFonts w:ascii="Times New Roman" w:hAnsi="Times New Roman" w:cs="Times New Roman"/>
          <w:sz w:val="24"/>
        </w:rPr>
        <w:t xml:space="preserve">(Ayers </w:t>
      </w:r>
      <w:r w:rsidR="002A6AB5">
        <w:rPr>
          <w:rFonts w:ascii="Times New Roman" w:hAnsi="Times New Roman" w:cs="Times New Roman"/>
          <w:sz w:val="24"/>
        </w:rPr>
        <w:t>and</w:t>
      </w:r>
      <w:r w:rsidR="00295BF1" w:rsidRPr="00F07DEB">
        <w:rPr>
          <w:rFonts w:ascii="Times New Roman" w:hAnsi="Times New Roman" w:cs="Times New Roman"/>
          <w:sz w:val="24"/>
        </w:rPr>
        <w:t xml:space="preserve"> Westcot, 1985b)</w:t>
      </w:r>
      <w:r w:rsidR="00E00426" w:rsidRPr="00F07DEB">
        <w:rPr>
          <w:rFonts w:ascii="Times New Roman" w:hAnsi="Times New Roman" w:cs="Times New Roman"/>
          <w:sz w:val="24"/>
        </w:rPr>
        <w:fldChar w:fldCharType="end"/>
      </w:r>
      <w:r w:rsidR="00E00426" w:rsidRPr="00F07DEB">
        <w:rPr>
          <w:rFonts w:ascii="Times New Roman" w:hAnsi="Times New Roman" w:cs="Times New Roman"/>
          <w:sz w:val="24"/>
        </w:rPr>
        <w:t xml:space="preserve">. </w:t>
      </w:r>
      <w:r w:rsidR="006615CB" w:rsidRPr="00F07DEB">
        <w:rPr>
          <w:rFonts w:ascii="Times New Roman" w:hAnsi="Times New Roman" w:cs="Times New Roman"/>
          <w:sz w:val="24"/>
        </w:rPr>
        <w:t xml:space="preserve">Nevertheless, the majority of water quality parameters and metal concentrations fall within the recommended cattle MCLs. </w:t>
      </w:r>
    </w:p>
    <w:p w14:paraId="4ABD49F6" w14:textId="6FAF2A8C" w:rsidR="00877C74" w:rsidRPr="00F07DEB" w:rsidRDefault="00877C74" w:rsidP="00031635">
      <w:pPr>
        <w:spacing w:line="480" w:lineRule="auto"/>
        <w:ind w:firstLine="720"/>
        <w:rPr>
          <w:rFonts w:ascii="Times New Roman" w:hAnsi="Times New Roman" w:cs="Times New Roman"/>
          <w:sz w:val="24"/>
        </w:rPr>
      </w:pPr>
      <w:r w:rsidRPr="00F07DEB">
        <w:rPr>
          <w:rFonts w:ascii="Times New Roman" w:hAnsi="Times New Roman" w:cs="Times New Roman"/>
          <w:sz w:val="24"/>
        </w:rPr>
        <w:t>T</w:t>
      </w:r>
      <w:r w:rsidR="00E53777" w:rsidRPr="00F07DEB">
        <w:rPr>
          <w:rFonts w:ascii="Times New Roman" w:hAnsi="Times New Roman" w:cs="Times New Roman"/>
          <w:sz w:val="24"/>
        </w:rPr>
        <w:t>o be economically sustainable, t</w:t>
      </w:r>
      <w:r w:rsidRPr="00F07DEB">
        <w:rPr>
          <w:rFonts w:ascii="Times New Roman" w:hAnsi="Times New Roman" w:cs="Times New Roman"/>
          <w:sz w:val="24"/>
        </w:rPr>
        <w:t xml:space="preserve">reated mine drainage reuse would </w:t>
      </w:r>
      <w:r w:rsidR="00F82DAD">
        <w:rPr>
          <w:rFonts w:ascii="Times New Roman" w:hAnsi="Times New Roman" w:cs="Times New Roman"/>
          <w:sz w:val="24"/>
        </w:rPr>
        <w:t>need to</w:t>
      </w:r>
      <w:r w:rsidR="00F82DAD" w:rsidRPr="00F07DEB">
        <w:rPr>
          <w:rFonts w:ascii="Times New Roman" w:hAnsi="Times New Roman" w:cs="Times New Roman"/>
          <w:sz w:val="24"/>
        </w:rPr>
        <w:t xml:space="preserve"> </w:t>
      </w:r>
      <w:r w:rsidRPr="00F07DEB">
        <w:rPr>
          <w:rFonts w:ascii="Times New Roman" w:hAnsi="Times New Roman" w:cs="Times New Roman"/>
          <w:sz w:val="24"/>
        </w:rPr>
        <w:t xml:space="preserve">be implemented close to the treatment site. Consequently, the analysis of the potential reuse of treated effluent in the Tar Creek Superfund Site will focus on local industries. MRPTS and SECPTS are located in Ottawa County, which was home to an estimated 54000 cattle and calves in 2019 </w:t>
      </w:r>
      <w:r w:rsidRPr="00F07DEB">
        <w:rPr>
          <w:rFonts w:ascii="Times New Roman" w:hAnsi="Times New Roman" w:cs="Times New Roman"/>
          <w:sz w:val="24"/>
        </w:rPr>
        <w:fldChar w:fldCharType="begin"/>
      </w:r>
      <w:r w:rsidR="0085353D" w:rsidRPr="00F07DEB">
        <w:rPr>
          <w:rFonts w:ascii="Times New Roman" w:hAnsi="Times New Roman" w:cs="Times New Roman"/>
          <w:sz w:val="24"/>
        </w:rPr>
        <w:instrText xml:space="preserve"> ADDIN ZOTERO_ITEM CSL_CITATION {"citationID":"45K3bb4S","properties":{"formattedCitation":"(USDA, n.d.)","plainCitation":"(USDA, n.d.)","noteIndex":0},"citationItems":[{"id":158,"uris":["http://zotero.org/users/5446453/items/65424MQ5"],"uri":["http://zotero.org/users/5446453/items/65424MQ5"],"itemData":{"id":158,"type":"webpage","container-title":"U.S. Department of Agriculture National Agricultural Statistics Service","genre":"Database","title":"USDA/NASS QuickStats Ad-hoc Query Tool","URL":"https://quickstats.nass.usda.gov/","author":[{"literal":"USDA"}],"accessed":{"date-parts":[["2019",12,17]]}}}],"schema":"https://github.com/citation-style-language/schema/raw/master/csl-citation.json"} </w:instrText>
      </w:r>
      <w:r w:rsidRPr="00F07DEB">
        <w:rPr>
          <w:rFonts w:ascii="Times New Roman" w:hAnsi="Times New Roman" w:cs="Times New Roman"/>
          <w:sz w:val="24"/>
        </w:rPr>
        <w:fldChar w:fldCharType="separate"/>
      </w:r>
      <w:r w:rsidR="00234033" w:rsidRPr="00234033">
        <w:rPr>
          <w:rFonts w:ascii="Times New Roman" w:hAnsi="Times New Roman" w:cs="Times New Roman"/>
          <w:sz w:val="24"/>
        </w:rPr>
        <w:t xml:space="preserve">(USDA, </w:t>
      </w:r>
      <w:proofErr w:type="spellStart"/>
      <w:r w:rsidR="00234033" w:rsidRPr="00234033">
        <w:rPr>
          <w:rFonts w:ascii="Times New Roman" w:hAnsi="Times New Roman" w:cs="Times New Roman"/>
          <w:sz w:val="24"/>
        </w:rPr>
        <w:t>n.d.</w:t>
      </w:r>
      <w:proofErr w:type="spellEnd"/>
      <w:r w:rsidR="00234033" w:rsidRPr="00234033">
        <w:rPr>
          <w:rFonts w:ascii="Times New Roman" w:hAnsi="Times New Roman" w:cs="Times New Roman"/>
          <w:sz w:val="24"/>
        </w:rPr>
        <w:t>)</w:t>
      </w:r>
      <w:r w:rsidRPr="00F07DEB">
        <w:rPr>
          <w:rFonts w:ascii="Times New Roman" w:hAnsi="Times New Roman" w:cs="Times New Roman"/>
          <w:sz w:val="24"/>
        </w:rPr>
        <w:fldChar w:fldCharType="end"/>
      </w:r>
      <w:r w:rsidRPr="00F07DEB">
        <w:rPr>
          <w:rFonts w:ascii="Times New Roman" w:hAnsi="Times New Roman" w:cs="Times New Roman"/>
          <w:sz w:val="24"/>
        </w:rPr>
        <w:t>. A</w:t>
      </w:r>
      <w:r w:rsidR="00271316" w:rsidRPr="00F07DEB">
        <w:rPr>
          <w:rFonts w:ascii="Times New Roman" w:hAnsi="Times New Roman" w:cs="Times New Roman"/>
          <w:sz w:val="24"/>
        </w:rPr>
        <w:t xml:space="preserve">s shown in Figure 3, </w:t>
      </w:r>
      <w:r w:rsidRPr="00F07DEB">
        <w:rPr>
          <w:rFonts w:ascii="Times New Roman" w:hAnsi="Times New Roman" w:cs="Times New Roman"/>
          <w:sz w:val="24"/>
        </w:rPr>
        <w:t>USDA’s National Agricultural Statistics Service (NASS)</w:t>
      </w:r>
      <w:r w:rsidR="00271316" w:rsidRPr="00F07DEB">
        <w:rPr>
          <w:rFonts w:ascii="Times New Roman" w:hAnsi="Times New Roman" w:cs="Times New Roman"/>
          <w:sz w:val="24"/>
        </w:rPr>
        <w:t xml:space="preserve"> estimated</w:t>
      </w:r>
      <w:r w:rsidRPr="00F07DEB">
        <w:rPr>
          <w:rFonts w:ascii="Times New Roman" w:hAnsi="Times New Roman" w:cs="Times New Roman"/>
          <w:sz w:val="24"/>
        </w:rPr>
        <w:t xml:space="preserve"> an average </w:t>
      </w:r>
      <w:r w:rsidR="00271316" w:rsidRPr="00F07DEB">
        <w:rPr>
          <w:rFonts w:ascii="Times New Roman" w:hAnsi="Times New Roman" w:cs="Times New Roman"/>
          <w:sz w:val="24"/>
        </w:rPr>
        <w:t xml:space="preserve">cattle </w:t>
      </w:r>
      <w:r w:rsidRPr="00F07DEB">
        <w:rPr>
          <w:rFonts w:ascii="Times New Roman" w:hAnsi="Times New Roman" w:cs="Times New Roman"/>
          <w:sz w:val="24"/>
        </w:rPr>
        <w:t>water demand of 10 GPD and a hot weather</w:t>
      </w:r>
      <w:r w:rsidR="00235DF8" w:rsidRPr="00F07DEB">
        <w:rPr>
          <w:rFonts w:ascii="Times New Roman" w:hAnsi="Times New Roman" w:cs="Times New Roman"/>
          <w:sz w:val="24"/>
        </w:rPr>
        <w:t xml:space="preserve"> water demand of 22.5 GPD </w:t>
      </w:r>
      <w:r w:rsidR="00235DF8" w:rsidRPr="00F07DEB">
        <w:rPr>
          <w:rFonts w:ascii="Times New Roman" w:hAnsi="Times New Roman" w:cs="Times New Roman"/>
          <w:sz w:val="24"/>
        </w:rPr>
        <w:fldChar w:fldCharType="begin"/>
      </w:r>
      <w:r w:rsidR="0031694C" w:rsidRPr="00F07DEB">
        <w:rPr>
          <w:rFonts w:ascii="Times New Roman" w:hAnsi="Times New Roman" w:cs="Times New Roman"/>
          <w:sz w:val="24"/>
        </w:rPr>
        <w:instrText xml:space="preserve"> ADDIN ZOTERO_ITEM CSL_CITATION {"citationID":"0A4lj1hl","properties":{"formattedCitation":"(R. W. Nairn &amp; Strevett, 2009)","plainCitation":"(R. W. Nairn &amp; Strevett, 2009)","dontUpdate":true,"noteIndex":0},"citationItems":[{"id":175,"uris":["http://zotero.org/users/5446453/items/QC7CPC4Y"],"uri":["http://zotero.org/users/5446453/items/QC7CPC4Y"],"itemData":{"id":175,"type":"article","title":"Evaluating Wastewater Reuse for Livestock Watering","author":[{"family":"Nairn","given":"R. W."},{"family":"Strevett","given":"K. A."}],"issued":{"date-parts":[["2009"]]}}}],"schema":"https://github.com/citation-style-language/schema/raw/master/csl-citation.json"} </w:instrText>
      </w:r>
      <w:r w:rsidR="00235DF8" w:rsidRPr="00F07DEB">
        <w:rPr>
          <w:rFonts w:ascii="Times New Roman" w:hAnsi="Times New Roman" w:cs="Times New Roman"/>
          <w:sz w:val="24"/>
        </w:rPr>
        <w:fldChar w:fldCharType="separate"/>
      </w:r>
      <w:r w:rsidR="008309DB" w:rsidRPr="00F07DEB">
        <w:rPr>
          <w:rFonts w:ascii="Times New Roman" w:hAnsi="Times New Roman" w:cs="Times New Roman"/>
          <w:sz w:val="24"/>
        </w:rPr>
        <w:t xml:space="preserve">(Nairn </w:t>
      </w:r>
      <w:r w:rsidR="002A6AB5">
        <w:rPr>
          <w:rFonts w:ascii="Times New Roman" w:hAnsi="Times New Roman" w:cs="Times New Roman"/>
          <w:sz w:val="24"/>
        </w:rPr>
        <w:t>and</w:t>
      </w:r>
      <w:r w:rsidR="008309DB" w:rsidRPr="00F07DEB">
        <w:rPr>
          <w:rFonts w:ascii="Times New Roman" w:hAnsi="Times New Roman" w:cs="Times New Roman"/>
          <w:sz w:val="24"/>
        </w:rPr>
        <w:t xml:space="preserve"> Strevett, 2009)</w:t>
      </w:r>
      <w:r w:rsidR="00235DF8" w:rsidRPr="00F07DEB">
        <w:rPr>
          <w:rFonts w:ascii="Times New Roman" w:hAnsi="Times New Roman" w:cs="Times New Roman"/>
          <w:sz w:val="24"/>
        </w:rPr>
        <w:fldChar w:fldCharType="end"/>
      </w:r>
      <w:r w:rsidRPr="00F07DEB">
        <w:rPr>
          <w:rFonts w:ascii="Times New Roman" w:hAnsi="Times New Roman" w:cs="Times New Roman"/>
          <w:sz w:val="24"/>
        </w:rPr>
        <w:t xml:space="preserve">. Therefore, the 2019 cattle population in Ottawa County represented an average water demand of 0.54 MGD and a hot weather water demand of 1.2 MGD. These numbers are likely overestimates, because juvenile cows are included in the Ottawa County totals but </w:t>
      </w:r>
      <w:r w:rsidR="00BF0F00" w:rsidRPr="00F07DEB">
        <w:rPr>
          <w:rFonts w:ascii="Times New Roman" w:hAnsi="Times New Roman" w:cs="Times New Roman"/>
          <w:sz w:val="24"/>
        </w:rPr>
        <w:t>do</w:t>
      </w:r>
      <w:r w:rsidRPr="00F07DEB">
        <w:rPr>
          <w:rFonts w:ascii="Times New Roman" w:hAnsi="Times New Roman" w:cs="Times New Roman"/>
          <w:sz w:val="24"/>
        </w:rPr>
        <w:t xml:space="preserve"> not require as much water as the adults. However, cows generally double their water consumption when lactating, so the presence of pregnant cattle drive</w:t>
      </w:r>
      <w:r w:rsidR="009417A5" w:rsidRPr="00F07DEB">
        <w:rPr>
          <w:rFonts w:ascii="Times New Roman" w:hAnsi="Times New Roman" w:cs="Times New Roman"/>
          <w:sz w:val="24"/>
        </w:rPr>
        <w:t>s</w:t>
      </w:r>
      <w:r w:rsidRPr="00F07DEB">
        <w:rPr>
          <w:rFonts w:ascii="Times New Roman" w:hAnsi="Times New Roman" w:cs="Times New Roman"/>
          <w:sz w:val="24"/>
        </w:rPr>
        <w:t xml:space="preserve"> the water demand closer to the stated estimate </w:t>
      </w:r>
      <w:r w:rsidRPr="00F07DEB">
        <w:rPr>
          <w:rFonts w:ascii="Times New Roman" w:hAnsi="Times New Roman" w:cs="Times New Roman"/>
          <w:sz w:val="24"/>
        </w:rPr>
        <w:fldChar w:fldCharType="begin"/>
      </w:r>
      <w:r w:rsidR="00C82740" w:rsidRPr="00F07DEB">
        <w:rPr>
          <w:rFonts w:ascii="Times New Roman" w:hAnsi="Times New Roman" w:cs="Times New Roman"/>
          <w:sz w:val="24"/>
        </w:rPr>
        <w:instrText xml:space="preserve"> ADDIN ZOTERO_ITEM CSL_CITATION {"citationID":"ax4BjY31","properties":{"formattedCitation":"(Rasby, n.d.)","plainCitation":"(Rasby, n.d.)","noteIndex":0},"citationItems":[{"id":156,"uris":["http://zotero.org/users/5446453/items/ZLKPTJND"],"uri":["http://zotero.org/users/5446453/items/ZLKPTJND"],"itemData":{"id":156,"type":"webpage","abstract":"Producer Question from 2016 Q. How much water do cows drink per day? (July 19, 2016) A. Water requirements for beef cattle depend on weight, stage of production (such as lactation), and temperature. As you increase weight, the amount of water needed also increases. Same holds true for temperature, as temperatures increase, so does water intake. Also, if the animal is","container-title":"UNL Beef","language":"en","title":"How much water do cows drink","URL":"https://beef.unl.edu/amountwatercowsdrink","author":[{"family":"Rasby","given":"Rick"}],"accessed":{"date-parts":[["2019",12,17]]}}}],"schema":"https://github.com/citation-style-language/schema/raw/master/csl-citation.json"} </w:instrText>
      </w:r>
      <w:r w:rsidRPr="00F07DEB">
        <w:rPr>
          <w:rFonts w:ascii="Times New Roman" w:hAnsi="Times New Roman" w:cs="Times New Roman"/>
          <w:sz w:val="24"/>
        </w:rPr>
        <w:fldChar w:fldCharType="separate"/>
      </w:r>
      <w:r w:rsidR="00234033" w:rsidRPr="00234033">
        <w:rPr>
          <w:rFonts w:ascii="Times New Roman" w:hAnsi="Times New Roman" w:cs="Times New Roman"/>
          <w:sz w:val="24"/>
        </w:rPr>
        <w:t xml:space="preserve">(Rasby, </w:t>
      </w:r>
      <w:proofErr w:type="spellStart"/>
      <w:r w:rsidR="00234033" w:rsidRPr="00234033">
        <w:rPr>
          <w:rFonts w:ascii="Times New Roman" w:hAnsi="Times New Roman" w:cs="Times New Roman"/>
          <w:sz w:val="24"/>
        </w:rPr>
        <w:t>n.d.</w:t>
      </w:r>
      <w:proofErr w:type="spellEnd"/>
      <w:r w:rsidR="00234033" w:rsidRPr="00234033">
        <w:rPr>
          <w:rFonts w:ascii="Times New Roman" w:hAnsi="Times New Roman" w:cs="Times New Roman"/>
          <w:sz w:val="24"/>
        </w:rPr>
        <w:t>)</w:t>
      </w:r>
      <w:r w:rsidRPr="00F07DEB">
        <w:rPr>
          <w:rFonts w:ascii="Times New Roman" w:hAnsi="Times New Roman" w:cs="Times New Roman"/>
          <w:sz w:val="24"/>
        </w:rPr>
        <w:fldChar w:fldCharType="end"/>
      </w:r>
      <w:r w:rsidRPr="00F07DEB">
        <w:rPr>
          <w:rFonts w:ascii="Times New Roman" w:hAnsi="Times New Roman" w:cs="Times New Roman"/>
          <w:sz w:val="24"/>
        </w:rPr>
        <w:t xml:space="preserve">. Other livestock such as hogs, pigs, chicken, and sheep were not considered when calculating Ottawa County’s livestock water demand, because NASS reported negligible numbers of these animals in Ottawa County </w:t>
      </w:r>
      <w:r w:rsidRPr="00F07DEB">
        <w:rPr>
          <w:rFonts w:ascii="Times New Roman" w:hAnsi="Times New Roman" w:cs="Times New Roman"/>
          <w:sz w:val="24"/>
        </w:rPr>
        <w:fldChar w:fldCharType="begin"/>
      </w:r>
      <w:r w:rsidR="0085353D" w:rsidRPr="00F07DEB">
        <w:rPr>
          <w:rFonts w:ascii="Times New Roman" w:hAnsi="Times New Roman" w:cs="Times New Roman"/>
          <w:sz w:val="24"/>
        </w:rPr>
        <w:instrText xml:space="preserve"> ADDIN ZOTERO_ITEM CSL_CITATION {"citationID":"HB3zsPAY","properties":{"formattedCitation":"(USDA, n.d.)","plainCitation":"(USDA, n.d.)","noteIndex":0},"citationItems":[{"id":158,"uris":["http://zotero.org/users/5446453/items/65424MQ5"],"uri":["http://zotero.org/users/5446453/items/65424MQ5"],"itemData":{"id":158,"type":"webpage","container-title":"U.S. Department of Agriculture National Agricultural Statistics Service","genre":"Database","title":"USDA/NASS QuickStats Ad-hoc Query Tool","URL":"https://quickstats.nass.usda.gov/","author":[{"literal":"USDA"}],"accessed":{"date-parts":[["2019",12,17]]}}}],"schema":"https://github.com/citation-style-language/schema/raw/master/csl-citation.json"} </w:instrText>
      </w:r>
      <w:r w:rsidRPr="00F07DEB">
        <w:rPr>
          <w:rFonts w:ascii="Times New Roman" w:hAnsi="Times New Roman" w:cs="Times New Roman"/>
          <w:sz w:val="24"/>
        </w:rPr>
        <w:fldChar w:fldCharType="separate"/>
      </w:r>
      <w:r w:rsidR="00234033" w:rsidRPr="00234033">
        <w:rPr>
          <w:rFonts w:ascii="Times New Roman" w:hAnsi="Times New Roman" w:cs="Times New Roman"/>
          <w:sz w:val="24"/>
        </w:rPr>
        <w:t xml:space="preserve">(USDA, </w:t>
      </w:r>
      <w:proofErr w:type="spellStart"/>
      <w:r w:rsidR="00234033" w:rsidRPr="00234033">
        <w:rPr>
          <w:rFonts w:ascii="Times New Roman" w:hAnsi="Times New Roman" w:cs="Times New Roman"/>
          <w:sz w:val="24"/>
        </w:rPr>
        <w:t>n.d.</w:t>
      </w:r>
      <w:proofErr w:type="spellEnd"/>
      <w:r w:rsidR="00234033" w:rsidRPr="00234033">
        <w:rPr>
          <w:rFonts w:ascii="Times New Roman" w:hAnsi="Times New Roman" w:cs="Times New Roman"/>
          <w:sz w:val="24"/>
        </w:rPr>
        <w:t>)</w:t>
      </w:r>
      <w:r w:rsidRPr="00F07DEB">
        <w:rPr>
          <w:rFonts w:ascii="Times New Roman" w:hAnsi="Times New Roman" w:cs="Times New Roman"/>
          <w:sz w:val="24"/>
        </w:rPr>
        <w:fldChar w:fldCharType="end"/>
      </w:r>
      <w:r w:rsidRPr="00F07DEB">
        <w:rPr>
          <w:rFonts w:ascii="Times New Roman" w:hAnsi="Times New Roman" w:cs="Times New Roman"/>
          <w:sz w:val="24"/>
        </w:rPr>
        <w:t>.</w:t>
      </w:r>
    </w:p>
    <w:p w14:paraId="55CEAAFD" w14:textId="05AF15C9" w:rsidR="00EA19E7" w:rsidRPr="00F07DEB" w:rsidRDefault="00D2743B" w:rsidP="00EA19E7">
      <w:pPr>
        <w:keepNext/>
        <w:spacing w:line="480" w:lineRule="auto"/>
        <w:jc w:val="center"/>
        <w:rPr>
          <w:rFonts w:ascii="Times New Roman" w:hAnsi="Times New Roman" w:cs="Times New Roman"/>
        </w:rPr>
      </w:pPr>
      <w:r w:rsidRPr="00F07DEB">
        <w:rPr>
          <w:rFonts w:ascii="Times New Roman" w:hAnsi="Times New Roman" w:cs="Times New Roman"/>
          <w:b/>
          <w:noProof/>
          <w:sz w:val="24"/>
          <w:lang w:eastAsia="en-US"/>
        </w:rPr>
        <w:lastRenderedPageBreak/>
        <w:drawing>
          <wp:inline distT="0" distB="0" distL="0" distR="0" wp14:anchorId="0CE49EA0" wp14:editId="14FC5D19">
            <wp:extent cx="3686175" cy="274320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259D57" w14:textId="4737DF9E" w:rsidR="00D2743B" w:rsidRPr="00F07DEB" w:rsidRDefault="00EA19E7" w:rsidP="00204C13">
      <w:pPr>
        <w:pStyle w:val="Caption"/>
      </w:pPr>
      <w:bookmarkStart w:id="9" w:name="_Toc58975213"/>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3</w:t>
      </w:r>
      <w:r w:rsidR="00DE3B90" w:rsidRPr="00F07DEB">
        <w:rPr>
          <w:noProof/>
        </w:rPr>
        <w:fldChar w:fldCharType="end"/>
      </w:r>
      <w:r w:rsidRPr="00F07DEB">
        <w:t xml:space="preserve">: Species-specific livestock </w:t>
      </w:r>
      <w:r w:rsidR="00235DF8" w:rsidRPr="00F07DEB">
        <w:t xml:space="preserve">water consumption for Oklahoma </w:t>
      </w:r>
      <w:r w:rsidR="00235DF8" w:rsidRPr="00F07DEB">
        <w:fldChar w:fldCharType="begin"/>
      </w:r>
      <w:r w:rsidR="0031694C" w:rsidRPr="00F07DEB">
        <w:instrText xml:space="preserve"> ADDIN ZOTERO_ITEM CSL_CITATION {"citationID":"PSqiOJp6","properties":{"formattedCitation":"(R. W. Nairn &amp; Strevett, 2009)","plainCitation":"(R. W. Nairn &amp; Strevett, 2009)","dontUpdate":true,"noteIndex":0},"citationItems":[{"id":175,"uris":["http://zotero.org/users/5446453/items/QC7CPC4Y"],"uri":["http://zotero.org/users/5446453/items/QC7CPC4Y"],"itemData":{"id":175,"type":"article","title":"Evaluating Wastewater Reuse for Livestock Watering","author":[{"family":"Nairn","given":"R. W."},{"family":"Strevett","given":"K. A."}],"issued":{"date-parts":[["2009"]]}}}],"schema":"https://github.com/citation-style-language/schema/raw/master/csl-citation.json"} </w:instrText>
      </w:r>
      <w:r w:rsidR="00235DF8" w:rsidRPr="00F07DEB">
        <w:fldChar w:fldCharType="separate"/>
      </w:r>
      <w:r w:rsidR="008309DB" w:rsidRPr="00F07DEB">
        <w:t xml:space="preserve">(Nairn </w:t>
      </w:r>
      <w:r w:rsidR="002A6AB5">
        <w:t>and</w:t>
      </w:r>
      <w:r w:rsidR="008309DB" w:rsidRPr="00F07DEB">
        <w:t xml:space="preserve"> Strevett, 2009)</w:t>
      </w:r>
      <w:bookmarkEnd w:id="9"/>
      <w:r w:rsidR="00235DF8" w:rsidRPr="00F07DEB">
        <w:fldChar w:fldCharType="end"/>
      </w:r>
    </w:p>
    <w:p w14:paraId="64D6700B" w14:textId="77777777" w:rsidR="00EA19E7" w:rsidRPr="00F07DEB" w:rsidRDefault="00EA19E7" w:rsidP="00EA19E7">
      <w:pPr>
        <w:rPr>
          <w:rFonts w:ascii="Times New Roman" w:hAnsi="Times New Roman" w:cs="Times New Roman"/>
        </w:rPr>
      </w:pPr>
    </w:p>
    <w:p w14:paraId="1D54B3B3" w14:textId="77777777" w:rsidR="008326B6" w:rsidRPr="00F07DEB" w:rsidRDefault="001B7F1C" w:rsidP="008326B6">
      <w:pPr>
        <w:pStyle w:val="Heading2"/>
        <w:spacing w:line="480" w:lineRule="auto"/>
      </w:pPr>
      <w:bookmarkStart w:id="10" w:name="_Toc58975151"/>
      <w:r w:rsidRPr="00F07DEB">
        <w:t>Reuse of Treated Wastewaters for Crop Irrigation</w:t>
      </w:r>
      <w:bookmarkEnd w:id="10"/>
    </w:p>
    <w:p w14:paraId="13ECEBCA" w14:textId="0B46E3E3" w:rsidR="00102C56" w:rsidRPr="00F07DEB" w:rsidRDefault="0038665F" w:rsidP="00F8101B">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Planned wastewater reuse in agriculture dates back to at least 5000 years to the Minoan civilization, which occupied Crete and other Aegean islands </w:t>
      </w:r>
      <w:r w:rsidR="00166978" w:rsidRPr="00F07DEB">
        <w:rPr>
          <w:rFonts w:ascii="Times New Roman" w:hAnsi="Times New Roman" w:cs="Times New Roman"/>
          <w:sz w:val="24"/>
          <w:szCs w:val="24"/>
        </w:rPr>
        <w:t>until around 1100 BC</w:t>
      </w:r>
      <w:r w:rsidR="00B21D87" w:rsidRPr="00F07DEB">
        <w:rPr>
          <w:rFonts w:ascii="Times New Roman" w:hAnsi="Times New Roman" w:cs="Times New Roman"/>
          <w:sz w:val="24"/>
          <w:szCs w:val="24"/>
        </w:rPr>
        <w:t xml:space="preserve"> </w:t>
      </w:r>
      <w:r w:rsidR="00B21D87"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{"citationID":"uZmAi2oR","properties":{"formattedCitation":"(Asano &amp; Levine, 1996)","plainCitation":"(Asano &amp; Levine, 1996)","dontUpdate":true,"noteIndex":0},"citationItems":[{"id":317,"uris":["http://zotero.org/users/5446453/items/CEK9STUR"],"uri":["http://zotero.org/users/5446453/items/CEK9STUR"],"itemData":{"id":317,"type":"article-journal","abstract":"The scientific basis for the current status of wastewater reclamation, recycling and reuse has evolved from developments in water and wastewater engineering coupled with increasing pressures on water resources. Milestone events that have led to the safe use of reclaimed wastewater are reviewed. The role of engineered systems associated with reclaimed wastewater is discussed in the context of the natural hydrologic cycle. A synopsis of the significant studies that form the basis for current regulatory approaches and technological innovations is presented. Current water reclamation strategies incorporate multiple measures to minimize health and environmental risks associated with various reuse applications. A combination of source control, advanced treatment process flowschemes, and other engineering controls provides a sound basis for increased implementation of water reuse applications. The feasibility of producing reclaimed water of a specified quality to fulfill multiple water use objectives is now a reality due to the progressive evolution of technologies and risk assessment procedures. Future water reuse directions are charted.","container-title":"Water Science and Technology; London","ISSN":"02731223","issue":"10-11","language":"English","note":"number-of-pages: 1-14\npublisher-place: London, United Kingdom, London\npublisher: IWA Publishing","page":"1-14","source":"ProQuest","title":"Wastewater reclamation, recycling and reuse: past, present, and future","title-short":"Wastewater reclamation, recycling and reuse","volume":"33","author":[{"family":"Asano","given":"Takashi"},{"family":"Levine","given":"Audrey D."}],"issued":{"date-parts":[["1996",5]]}}}],"schema":"https://github.com/citation-style-language/schema/raw/master/csl-citation.json"} </w:instrText>
      </w:r>
      <w:r w:rsidR="00B21D87" w:rsidRPr="00F07DEB">
        <w:rPr>
          <w:rFonts w:ascii="Times New Roman" w:hAnsi="Times New Roman" w:cs="Times New Roman"/>
          <w:sz w:val="24"/>
          <w:szCs w:val="24"/>
        </w:rPr>
        <w:fldChar w:fldCharType="separate"/>
      </w:r>
      <w:r w:rsidR="00B21D87" w:rsidRPr="00F07DEB">
        <w:rPr>
          <w:rFonts w:ascii="Times New Roman" w:hAnsi="Times New Roman" w:cs="Times New Roman"/>
          <w:sz w:val="24"/>
          <w:szCs w:val="24"/>
        </w:rPr>
        <w:t xml:space="preserve">(Asano </w:t>
      </w:r>
      <w:r w:rsidR="002A6AB5">
        <w:rPr>
          <w:rFonts w:ascii="Times New Roman" w:hAnsi="Times New Roman" w:cs="Times New Roman"/>
          <w:sz w:val="24"/>
          <w:szCs w:val="24"/>
        </w:rPr>
        <w:t>and</w:t>
      </w:r>
      <w:r w:rsidR="00B21D87" w:rsidRPr="00F07DEB">
        <w:rPr>
          <w:rFonts w:ascii="Times New Roman" w:hAnsi="Times New Roman" w:cs="Times New Roman"/>
          <w:sz w:val="24"/>
          <w:szCs w:val="24"/>
        </w:rPr>
        <w:t xml:space="preserve"> Levine, 1996)</w:t>
      </w:r>
      <w:r w:rsidR="00B21D87" w:rsidRPr="00F07DEB">
        <w:rPr>
          <w:rFonts w:ascii="Times New Roman" w:hAnsi="Times New Roman" w:cs="Times New Roman"/>
          <w:sz w:val="24"/>
          <w:szCs w:val="24"/>
        </w:rPr>
        <w:fldChar w:fldCharType="end"/>
      </w:r>
      <w:r w:rsidR="00166978" w:rsidRPr="00F07DEB">
        <w:rPr>
          <w:rFonts w:ascii="Times New Roman" w:hAnsi="Times New Roman" w:cs="Times New Roman"/>
          <w:sz w:val="24"/>
          <w:szCs w:val="24"/>
        </w:rPr>
        <w:t>.</w:t>
      </w:r>
      <w:r w:rsidRPr="00F07DEB">
        <w:rPr>
          <w:rFonts w:ascii="Times New Roman" w:hAnsi="Times New Roman" w:cs="Times New Roman"/>
          <w:sz w:val="24"/>
          <w:szCs w:val="24"/>
        </w:rPr>
        <w:t xml:space="preserve"> </w:t>
      </w:r>
      <w:r w:rsidR="004142D5" w:rsidRPr="00F07DEB">
        <w:rPr>
          <w:rFonts w:ascii="Times New Roman" w:hAnsi="Times New Roman" w:cs="Times New Roman"/>
          <w:sz w:val="24"/>
          <w:szCs w:val="24"/>
        </w:rPr>
        <w:t>In the mid-</w:t>
      </w:r>
      <w:r w:rsidR="00096479" w:rsidRPr="00F07DEB">
        <w:rPr>
          <w:rFonts w:ascii="Times New Roman" w:hAnsi="Times New Roman" w:cs="Times New Roman"/>
          <w:sz w:val="24"/>
          <w:szCs w:val="24"/>
        </w:rPr>
        <w:t>1800s</w:t>
      </w:r>
      <w:r w:rsidR="001C7731" w:rsidRPr="00F07DEB">
        <w:rPr>
          <w:rFonts w:ascii="Times New Roman" w:hAnsi="Times New Roman" w:cs="Times New Roman"/>
          <w:sz w:val="24"/>
          <w:szCs w:val="24"/>
        </w:rPr>
        <w:t xml:space="preserve">, England endorsed wastewater use and sludge application in agriculture as a response to the environmental and human health consequences of inadequate wastewater disposal capacity </w:t>
      </w:r>
      <w:r w:rsidR="001C7731" w:rsidRPr="00F07DEB">
        <w:rPr>
          <w:rFonts w:ascii="Times New Roman" w:hAnsi="Times New Roman" w:cs="Times New Roman"/>
          <w:sz w:val="24"/>
          <w:szCs w:val="24"/>
        </w:rPr>
        <w:fldChar w:fldCharType="begin"/>
      </w:r>
      <w:r w:rsidR="003E1065" w:rsidRPr="00F07DEB">
        <w:rPr>
          <w:rFonts w:ascii="Times New Roman" w:hAnsi="Times New Roman" w:cs="Times New Roman"/>
          <w:sz w:val="24"/>
          <w:szCs w:val="24"/>
        </w:rPr>
        <w:instrText xml:space="preserve"> ADDIN ZOTERO_ITEM CSL_CITATION {"citationID":"WBsMTAeh","properties":{"formattedCitation":"(Shuval, 1991a)","plainCitation":"(Shuval, 1991a)","noteIndex":0},"citationItems":[{"id":321,"uris":["http://zotero.org/users/5446453/items/LC3GEPRX"],"uri":["http://zotero.org/users/5446453/items/LC3GEPRX"],"itemData":{"id":321,"type":"article-journal","abstract":"While wastewater reuse has been practiced for well over a hundred years as an effective combined strategy for water conservation and water pollution prevention,","container-title":"Water Science and Technology","DOI":"10.2166/wst.1991.0663","ISSN":"0273-1223","issue":"10-12","journalAbbreviation":"Water Sci Technol","language":"en","note":"publisher: IWA Publishing","page":"2073-2080","source":"iwaponline.com","title":"Health Guidelines and Standards for Wastewater Reuse in Agriculture: Historical Perspectives","title-short":"Health Guidelines and Standards for Wastewater Reuse in Agriculture","volume":"23","author":[{"family":"Shuval","given":"H.I."}],"issued":{"date-parts":[["1991",5,1]]}}}],"schema":"https://github.com/citation-style-language/schema/raw/master/csl-citation.json"} </w:instrText>
      </w:r>
      <w:r w:rsidR="001C7731"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(Shuval, 1991a)</w:t>
      </w:r>
      <w:r w:rsidR="001C7731" w:rsidRPr="00F07DEB">
        <w:rPr>
          <w:rFonts w:ascii="Times New Roman" w:hAnsi="Times New Roman" w:cs="Times New Roman"/>
          <w:sz w:val="24"/>
          <w:szCs w:val="24"/>
        </w:rPr>
        <w:fldChar w:fldCharType="end"/>
      </w:r>
      <w:r w:rsidR="001C7731" w:rsidRPr="00F07DEB">
        <w:rPr>
          <w:rFonts w:ascii="Times New Roman" w:hAnsi="Times New Roman" w:cs="Times New Roman"/>
          <w:sz w:val="24"/>
          <w:szCs w:val="24"/>
        </w:rPr>
        <w:t xml:space="preserve">. </w:t>
      </w:r>
      <w:r w:rsidR="00096479" w:rsidRPr="00F07DEB">
        <w:rPr>
          <w:rFonts w:ascii="Times New Roman" w:hAnsi="Times New Roman" w:cs="Times New Roman"/>
          <w:sz w:val="24"/>
          <w:szCs w:val="24"/>
        </w:rPr>
        <w:t xml:space="preserve">A century later, wastewater reuse </w:t>
      </w:r>
      <w:r w:rsidR="002765AC" w:rsidRPr="00F07DEB">
        <w:rPr>
          <w:rFonts w:ascii="Times New Roman" w:hAnsi="Times New Roman" w:cs="Times New Roman"/>
          <w:sz w:val="24"/>
          <w:szCs w:val="24"/>
        </w:rPr>
        <w:t xml:space="preserve">regulations were present in some form on </w:t>
      </w:r>
      <w:r w:rsidR="00AB5AD5" w:rsidRPr="00F07DEB">
        <w:rPr>
          <w:rFonts w:ascii="Times New Roman" w:hAnsi="Times New Roman" w:cs="Times New Roman"/>
          <w:sz w:val="24"/>
          <w:szCs w:val="24"/>
        </w:rPr>
        <w:t>most</w:t>
      </w:r>
      <w:r w:rsidR="00906797" w:rsidRPr="00F07DEB">
        <w:rPr>
          <w:rFonts w:ascii="Times New Roman" w:hAnsi="Times New Roman" w:cs="Times New Roman"/>
          <w:sz w:val="24"/>
          <w:szCs w:val="24"/>
        </w:rPr>
        <w:t xml:space="preserve"> every continent </w:t>
      </w:r>
      <w:r w:rsidR="00906797"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{"citationID":"5OzS6O3a","properties":{"formattedCitation":"(Asano &amp; Levine, 1996; Pescod, 1992; Shuval, 1991a)","plainCitation":"(Asano &amp; Levine, 1996; Pescod, 1992; Shuval, 1991a)","dontUpdate":true,"noteIndex":0},"citationItems":[{"id":317,"uris":["http://zotero.org/users/5446453/items/CEK9STUR"],"uri":["http://zotero.org/users/5446453/items/CEK9STUR"],"itemData":{"id":317,"type":"article-journal","abstract":"The scientific basis for the current status of wastewater reclamation, recycling and reuse has evolved from developments in water and wastewater engineering coupled with increasing pressures on water resources. Milestone events that have led to the safe use of reclaimed wastewater are reviewed. The role of engineered systems associated with reclaimed wastewater is discussed in the context of the natural hydrologic cycle. A synopsis of the significant studies that form the basis for current regulatory approaches and technological innovations is presented. Current water reclamation strategies incorporate multiple measures to minimize health and environmental risks associated with various reuse applications. A combination of source control, advanced treatment process flowschemes, and other engineering controls provides a sound basis for increased implementation of water reuse applications. The feasibility of producing reclaimed water of a specified quality to fulfill multiple water use objectives is now a reality due to the progressive evolution of technologies and risk assessment procedures. Future water reuse directions are charted.","container-title":"Water Science and Technology; London","ISSN":"02731223","issue":"10-11","language":"English","note":"number-of-pages: 1-14\npublisher-place: London, United Kingdom, London\npublisher: IWA Publishing","page":"1-14","source":"ProQuest","title":"Wastewater reclamation, recycling and reuse: past, present, and future","title-short":"Wastewater reclamation, recycling and reuse","volume":"33","author":[{"family":"Asano","given":"Takashi"},{"family":"Levine","given":"Audrey D."}],"issued":{"date-parts":[["1996",5]]}}},{"id":315,"uris":["http://zotero.org/users/5446453/items/NEYTNK6R"],"uri":["http://zotero.org/users/5446453/items/NEYTNK6R"],"itemData":{"id":315,"type":"webpage","container-title":"Food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id":321,"uris":["http://zotero.org/users/5446453/items/LC3GEPRX"],"uri":["http://zotero.org/users/5446453/items/LC3GEPRX"],"itemData":{"id":321,"type":"article-journal","abstract":"While wastewater reuse has been practiced for well over a hundred years as an effective combined strategy for water conservation and water pollution prevention,","container-title":"Water Science and Technology","DOI":"10.2166/wst.1991.0663","ISSN":"0273-1223","issue":"10-12","journalAbbreviation":"Water Sci Technol","language":"en","note":"publisher: IWA Publishing","page":"2073-2080","source":"iwaponline.com","title":"Health Guidelines and Standards for Wastewater Reuse in Agriculture: Historical Perspectives","title-short":"Health Guidelines and Standards for Wastewater Reuse in Agriculture","volume":"23","author":[{"family":"Shuval","given":"H.I."}],"issued":{"date-parts":[["1991",5,1]]}}}],"schema":"https://github.com/citation-style-language/schema/raw/master/csl-citation.json"} </w:instrText>
      </w:r>
      <w:r w:rsidR="00906797" w:rsidRPr="00F07DEB">
        <w:rPr>
          <w:rFonts w:ascii="Times New Roman" w:hAnsi="Times New Roman" w:cs="Times New Roman"/>
          <w:sz w:val="24"/>
          <w:szCs w:val="24"/>
        </w:rPr>
        <w:fldChar w:fldCharType="separate"/>
      </w:r>
      <w:r w:rsidR="00426BD6" w:rsidRPr="00F07DEB">
        <w:rPr>
          <w:rFonts w:ascii="Times New Roman" w:hAnsi="Times New Roman" w:cs="Times New Roman"/>
          <w:sz w:val="24"/>
          <w:szCs w:val="24"/>
        </w:rPr>
        <w:t xml:space="preserve">(Asano </w:t>
      </w:r>
      <w:r w:rsidR="002A6AB5">
        <w:rPr>
          <w:rFonts w:ascii="Times New Roman" w:hAnsi="Times New Roman" w:cs="Times New Roman"/>
          <w:sz w:val="24"/>
          <w:szCs w:val="24"/>
        </w:rPr>
        <w:t>and</w:t>
      </w:r>
      <w:r w:rsidR="00426BD6" w:rsidRPr="00F07DEB">
        <w:rPr>
          <w:rFonts w:ascii="Times New Roman" w:hAnsi="Times New Roman" w:cs="Times New Roman"/>
          <w:sz w:val="24"/>
          <w:szCs w:val="24"/>
        </w:rPr>
        <w:t xml:space="preserve"> Levine, 1996; Pescod, 1992; Shuval, 1991a)</w:t>
      </w:r>
      <w:r w:rsidR="00906797" w:rsidRPr="00F07DEB">
        <w:rPr>
          <w:rFonts w:ascii="Times New Roman" w:hAnsi="Times New Roman" w:cs="Times New Roman"/>
          <w:sz w:val="24"/>
          <w:szCs w:val="24"/>
        </w:rPr>
        <w:fldChar w:fldCharType="end"/>
      </w:r>
      <w:r w:rsidR="00906797" w:rsidRPr="00F07DEB">
        <w:rPr>
          <w:rFonts w:ascii="Times New Roman" w:hAnsi="Times New Roman" w:cs="Times New Roman"/>
          <w:sz w:val="24"/>
          <w:szCs w:val="24"/>
        </w:rPr>
        <w:t>.</w:t>
      </w:r>
      <w:r w:rsidR="0089538F" w:rsidRPr="00F07DEB">
        <w:rPr>
          <w:rFonts w:ascii="Times New Roman" w:hAnsi="Times New Roman" w:cs="Times New Roman"/>
          <w:sz w:val="24"/>
          <w:szCs w:val="24"/>
        </w:rPr>
        <w:t xml:space="preserve"> </w:t>
      </w:r>
      <w:r w:rsidR="00C577A9" w:rsidRPr="00F07DEB">
        <w:rPr>
          <w:rFonts w:ascii="Times New Roman" w:hAnsi="Times New Roman" w:cs="Times New Roman"/>
          <w:sz w:val="24"/>
          <w:szCs w:val="24"/>
        </w:rPr>
        <w:t xml:space="preserve">However, </w:t>
      </w:r>
      <w:r w:rsidR="006E4610" w:rsidRPr="00F07DEB">
        <w:rPr>
          <w:rFonts w:ascii="Times New Roman" w:hAnsi="Times New Roman" w:cs="Times New Roman"/>
          <w:sz w:val="24"/>
          <w:szCs w:val="24"/>
        </w:rPr>
        <w:t xml:space="preserve">safe implementation of agricultural reuse was delayed by </w:t>
      </w:r>
      <w:r w:rsidR="00C577A9" w:rsidRPr="00F07DEB">
        <w:rPr>
          <w:rFonts w:ascii="Times New Roman" w:hAnsi="Times New Roman" w:cs="Times New Roman"/>
          <w:sz w:val="24"/>
          <w:szCs w:val="24"/>
        </w:rPr>
        <w:t xml:space="preserve">the widespread global adoption of California’s </w:t>
      </w:r>
      <w:r w:rsidR="002115C7" w:rsidRPr="00F07DEB">
        <w:rPr>
          <w:rFonts w:ascii="Times New Roman" w:hAnsi="Times New Roman" w:cs="Times New Roman"/>
          <w:sz w:val="24"/>
          <w:szCs w:val="24"/>
        </w:rPr>
        <w:t xml:space="preserve">stringent </w:t>
      </w:r>
      <w:r w:rsidR="006E4610" w:rsidRPr="00F07DEB">
        <w:rPr>
          <w:rFonts w:ascii="Times New Roman" w:hAnsi="Times New Roman" w:cs="Times New Roman"/>
          <w:sz w:val="24"/>
          <w:szCs w:val="24"/>
        </w:rPr>
        <w:t xml:space="preserve">1918 </w:t>
      </w:r>
      <w:r w:rsidR="00C577A9" w:rsidRPr="00F07DEB">
        <w:rPr>
          <w:rFonts w:ascii="Times New Roman" w:hAnsi="Times New Roman" w:cs="Times New Roman"/>
          <w:sz w:val="24"/>
          <w:szCs w:val="24"/>
        </w:rPr>
        <w:t>wastewater reuse regulations</w:t>
      </w:r>
      <w:r w:rsidR="006E4610" w:rsidRPr="00F07DEB">
        <w:rPr>
          <w:rFonts w:ascii="Times New Roman" w:hAnsi="Times New Roman" w:cs="Times New Roman"/>
          <w:sz w:val="24"/>
          <w:szCs w:val="24"/>
        </w:rPr>
        <w:t xml:space="preserve">, which </w:t>
      </w:r>
      <w:r w:rsidR="002115C7" w:rsidRPr="00F07DEB">
        <w:rPr>
          <w:rFonts w:ascii="Times New Roman" w:hAnsi="Times New Roman" w:cs="Times New Roman"/>
          <w:sz w:val="24"/>
          <w:szCs w:val="24"/>
        </w:rPr>
        <w:t>to this day</w:t>
      </w:r>
      <w:r w:rsidR="00D67293" w:rsidRPr="00F07DEB">
        <w:rPr>
          <w:rFonts w:ascii="Times New Roman" w:hAnsi="Times New Roman" w:cs="Times New Roman"/>
          <w:sz w:val="24"/>
          <w:szCs w:val="24"/>
        </w:rPr>
        <w:t xml:space="preserve"> </w:t>
      </w:r>
      <w:r w:rsidR="002115C7" w:rsidRPr="00F07DEB">
        <w:rPr>
          <w:rFonts w:ascii="Times New Roman" w:hAnsi="Times New Roman" w:cs="Times New Roman"/>
          <w:sz w:val="24"/>
          <w:szCs w:val="24"/>
        </w:rPr>
        <w:t>mandate</w:t>
      </w:r>
      <w:r w:rsidR="006E4610" w:rsidRPr="00F07DEB">
        <w:rPr>
          <w:rFonts w:ascii="Times New Roman" w:hAnsi="Times New Roman" w:cs="Times New Roman"/>
          <w:sz w:val="24"/>
          <w:szCs w:val="24"/>
        </w:rPr>
        <w:t xml:space="preserve"> a maximum </w:t>
      </w:r>
      <w:r w:rsidR="00FD682A" w:rsidRPr="00F07DEB">
        <w:rPr>
          <w:rFonts w:ascii="Times New Roman" w:hAnsi="Times New Roman" w:cs="Times New Roman"/>
          <w:sz w:val="24"/>
          <w:szCs w:val="24"/>
        </w:rPr>
        <w:t xml:space="preserve">total </w:t>
      </w:r>
      <w:r w:rsidR="006E4610" w:rsidRPr="00F07DEB">
        <w:rPr>
          <w:rFonts w:ascii="Times New Roman" w:hAnsi="Times New Roman" w:cs="Times New Roman"/>
          <w:sz w:val="24"/>
          <w:szCs w:val="24"/>
        </w:rPr>
        <w:t>coliform count of 2.2</w:t>
      </w:r>
      <w:r w:rsidR="002115C7" w:rsidRPr="00F07DEB">
        <w:rPr>
          <w:rFonts w:ascii="Times New Roman" w:hAnsi="Times New Roman" w:cs="Times New Roman"/>
          <w:sz w:val="24"/>
          <w:szCs w:val="24"/>
        </w:rPr>
        <w:t xml:space="preserve"> </w:t>
      </w:r>
      <w:proofErr w:type="spellStart"/>
      <w:r w:rsidR="002115C7" w:rsidRPr="00F07DEB">
        <w:rPr>
          <w:rFonts w:ascii="Times New Roman" w:hAnsi="Times New Roman" w:cs="Times New Roman"/>
          <w:sz w:val="24"/>
          <w:szCs w:val="24"/>
        </w:rPr>
        <w:t>cfu</w:t>
      </w:r>
      <w:proofErr w:type="spellEnd"/>
      <w:r w:rsidR="006E4610" w:rsidRPr="00F07DEB">
        <w:rPr>
          <w:rFonts w:ascii="Times New Roman" w:hAnsi="Times New Roman" w:cs="Times New Roman"/>
          <w:sz w:val="24"/>
          <w:szCs w:val="24"/>
        </w:rPr>
        <w:t xml:space="preserve">/100 mL for irrigation of produce to be eaten raw </w:t>
      </w:r>
      <w:r w:rsidR="006E4610"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{"citationID":"a1ahfd3an5c","properties":{"formattedCitation":"(Asano &amp; Levine, 1996; Shoushtarian &amp; Negahban-Azar, 2020; Shuval, 1991a; USEPA, 2012)","plainCitation":"(Asano &amp; Levine, 1996; Shoushtarian &amp; Negahban-Azar, 2020; Shuval, 1991a; USEPA, 2012)","noteIndex":0},"citationItems":[{"id":317,"uris":["http://zotero.org/users/5446453/items/CEK9STUR"],"uri":["http://zotero.org/users/5446453/items/CEK9STUR"],"itemData":{"id":317,"type":"article-journal","abstract":"The scientific basis for the current status of wastewater reclamation, recycling and reuse has evolved from developments in water and wastewater engineering coupled with increasing pressures on water resources. Milestone events that have led to the safe use of reclaimed wastewater are reviewed. The role of engineered systems associated with reclaimed wastewater is discussed in the context of the natural hydrologic cycle. A synopsis of the significant studies that form the basis for current regulatory approaches and technological innovations is presented. Current water reclamation strategies incorporate multiple measures to minimize health and environmental risks associated with various reuse applications. A combination of source control, advanced treatment process flowschemes, and other engineering controls provides a sound basis for increased implementation of water reuse applications. The feasibility of producing reclaimed water of a specified quality to fulfill multiple water use objectives is now a reality due to the progressive evolution of technologies and risk assessment procedures. Future water reuse directions are charted.","container-title":"Water Science and Technology; London","ISSN":"02731223","issue":"10-11","language":"English","note":"number-of-pages: 1-14\npublisher-place: London, United Kingdom, London\npublisher: IWA Publishing","page":"1-14","source":"ProQuest","title":"Wastewater reclamation, recycling and reuse: past, present, and future","title-short":"Wastewater reclamation, recycling and reuse","volume":"33","author":[{"family":"Asano","given":"Takashi"},{"family":"Levine","given":"Audrey D."}],"issued":{"date-parts":[["1996",5]]}}},{"id":929,"uris":["http://zotero.org/users/5446453/items/VG73QYW5"],"uri":["http://zotero.org/users/5446453/items/VG73QYW5"],"itemData":{"id":929,"type":"article-journal","abstract":"Water reuse is gaining momentum as a beneficial practice to address the water crisis, especially in the agricultural sector as the largest water consumer worldwide. With recent advancements in wastewater treatment technologies, it is possible to produce almost any water quality. However, the main human and environmental concerns are still to determine what constituents must be removed and to what extent. The main objectives of this study were to compile, evaluate, and compare the current agricultural water reuse regulations and guidelines worldwide, and identify the gaps. In total, 70 regulations and guidelines, including Environmental Protection Agency (EPA), International Organization for Standardization (ISO), Food and Agriculture Organization of the United Nations (FAO), World Health Organization (WHO), the United States (state by state), European Commission, Canada (all provinces), Australia, Mexico, Iran, Egypt, Tunisia, Jordan, Palestine, Oman, China, Kuwait, Israel, Saudi Arabia, France, Cyprus, Spain, Greece, Portugal, and Italy were investigated in this study. These regulations and guidelines were examined to compile a comprehensive database, including all of the water quality monitoring parameters, and necessary treatment processes. In summary, results showed that the regulations and guidelines are mainly human-health centered, insufficient regarding some of the potentially dangerous pollutants such as emerging constituents, and with large discrepancies when compared with each other. In addition, some of the important water quality parameters such as some of the pathogens, heavy metals, and salinity are only included in a small group of regulations and guidelines investigated in this study. Finally, specific treatment processes have been only mentioned in some of the regulations and guidelines, and with high levels of discrepancy.","container-title":"Water","DOI":"10.3390/w12040971","issue":"4","language":"en","note":"number: 4\npublisher: Multidisciplinary Digital Publishing Institute","page":"971","source":"www.mdpi.com","title":"Worldwide Regulations and Guidelines for Agricultural Water Reuse: A Critical Review","title-short":"Worldwide Regulations and Guidelines for Agricultural Water Reuse","volume":"12","author":[{"family":"Shoushtarian","given":"Farshid"},{"family":"Negahban-Azar","given":"Masoud"}],"issued":{"date-parts":[["2020",4]]}}},{"id":321,"uris":["http://zotero.org/users/5446453/items/LC3GEPRX"],"uri":["http://zotero.org/users/5446453/items/LC3GEPRX"],"itemData":{"id":321,"type":"article-journal","abstract":"While wastewater reuse has been practiced for well over a hundred years as an effective combined strategy for water conservation and water pollution prevention,","container-title":"Water Science and Technology","DOI":"10.2166/wst.1991.0663","ISSN":"0273-1223","issue":"10-12","journalAbbreviation":"Water Sci Technol","language":"en","note":"publisher: IWA Publishing","page":"2073-2080","source":"iwaponline.com","title":"Health Guidelines and Standards for Wastewater Reuse in Agriculture: Historical Perspectives","title-short":"Health Guidelines and Standards for Wastewater Reuse in Agriculture","volume":"23","author":[{"family":"Shuval","given":"H.I."}],"issued":{"date-parts":[["1991",5,1]]}}},{"id":410,"uris":["http://zotero.org/users/5446453/items/6AD5KZJC"],"uri":["http://zotero.org/users/5446453/items/6AD5KZJC"],"itemData":{"id":410,"type":"report","event-place":"Washington, D.C.","language":"en","number":"EPA/600/R-12/618","page":"643","publisher":"U.S. Environmental Protection Agency Office of Wastewater Management","publisher-place":"Washington, D.C.","source":"Zotero","title":"2012 Guidelines for Water Reuse","URL":"https://www3.epa.gov/region1/npdes/merrimackstation/pdfs/ar/AR-1530.pdf","author":[{"literal":"USEPA"}],"issued":{"date-parts":[["2012",9]]}}}],"schema":"https://github.com/citation-style-language/schema/raw/master/csl-citation.json"} </w:instrText>
      </w:r>
      <w:r w:rsidR="006E4610"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 xml:space="preserve">(Asano </w:t>
      </w:r>
      <w:r w:rsidR="00375B31">
        <w:rPr>
          <w:rFonts w:ascii="Times New Roman" w:hAnsi="Times New Roman" w:cs="Times New Roman"/>
          <w:sz w:val="24"/>
        </w:rPr>
        <w:t>and</w:t>
      </w:r>
      <w:r w:rsidR="00234033" w:rsidRPr="00234033">
        <w:rPr>
          <w:rFonts w:ascii="Times New Roman" w:hAnsi="Times New Roman" w:cs="Times New Roman"/>
          <w:sz w:val="24"/>
        </w:rPr>
        <w:t xml:space="preserve"> Levine, 1996; Shoushtarian </w:t>
      </w:r>
      <w:r w:rsidR="00375B31">
        <w:rPr>
          <w:rFonts w:ascii="Times New Roman" w:hAnsi="Times New Roman" w:cs="Times New Roman"/>
          <w:sz w:val="24"/>
        </w:rPr>
        <w:t>and</w:t>
      </w:r>
      <w:r w:rsidR="00234033" w:rsidRPr="00234033">
        <w:rPr>
          <w:rFonts w:ascii="Times New Roman" w:hAnsi="Times New Roman" w:cs="Times New Roman"/>
          <w:sz w:val="24"/>
        </w:rPr>
        <w:t xml:space="preserve"> Negahban-Azar, 2020; Shuval, 1991a; USEPA, 2012)</w:t>
      </w:r>
      <w:r w:rsidR="006E4610" w:rsidRPr="00F07DEB">
        <w:rPr>
          <w:rFonts w:ascii="Times New Roman" w:hAnsi="Times New Roman" w:cs="Times New Roman"/>
          <w:sz w:val="24"/>
          <w:szCs w:val="24"/>
        </w:rPr>
        <w:fldChar w:fldCharType="end"/>
      </w:r>
      <w:r w:rsidR="006E4610" w:rsidRPr="00F07DEB">
        <w:rPr>
          <w:rFonts w:ascii="Times New Roman" w:hAnsi="Times New Roman" w:cs="Times New Roman"/>
          <w:sz w:val="24"/>
          <w:szCs w:val="24"/>
        </w:rPr>
        <w:t xml:space="preserve">. </w:t>
      </w:r>
      <w:r w:rsidR="00991494" w:rsidRPr="00F07DEB">
        <w:rPr>
          <w:rFonts w:ascii="Times New Roman" w:hAnsi="Times New Roman" w:cs="Times New Roman"/>
          <w:sz w:val="24"/>
          <w:szCs w:val="24"/>
        </w:rPr>
        <w:t>Total c</w:t>
      </w:r>
      <w:r w:rsidR="00FD682A" w:rsidRPr="00F07DEB">
        <w:rPr>
          <w:rFonts w:ascii="Times New Roman" w:hAnsi="Times New Roman" w:cs="Times New Roman"/>
          <w:sz w:val="24"/>
          <w:szCs w:val="24"/>
        </w:rPr>
        <w:t xml:space="preserve">oliform </w:t>
      </w:r>
      <w:r w:rsidR="00991494" w:rsidRPr="00F07DEB">
        <w:rPr>
          <w:rFonts w:ascii="Times New Roman" w:hAnsi="Times New Roman" w:cs="Times New Roman"/>
          <w:sz w:val="24"/>
          <w:szCs w:val="24"/>
        </w:rPr>
        <w:t>bacteria serve as</w:t>
      </w:r>
      <w:r w:rsidR="00FD682A" w:rsidRPr="00F07DEB">
        <w:rPr>
          <w:rFonts w:ascii="Times New Roman" w:hAnsi="Times New Roman" w:cs="Times New Roman"/>
          <w:sz w:val="24"/>
          <w:szCs w:val="24"/>
        </w:rPr>
        <w:t xml:space="preserve"> </w:t>
      </w:r>
      <w:r w:rsidR="00991494" w:rsidRPr="00F07DEB">
        <w:rPr>
          <w:rFonts w:ascii="Times New Roman" w:hAnsi="Times New Roman" w:cs="Times New Roman"/>
          <w:sz w:val="24"/>
          <w:szCs w:val="24"/>
        </w:rPr>
        <w:t xml:space="preserve">an indicator for potential pathogenic contamination of water, but they are not usually harmful themselves, and numbered in the thousands or tens of </w:t>
      </w:r>
      <w:r w:rsidR="00991494" w:rsidRPr="00F07DEB">
        <w:rPr>
          <w:rFonts w:ascii="Times New Roman" w:hAnsi="Times New Roman" w:cs="Times New Roman"/>
          <w:sz w:val="24"/>
          <w:szCs w:val="24"/>
        </w:rPr>
        <w:lastRenderedPageBreak/>
        <w:t>thousands in European rivers that directly supplied irrigation water</w:t>
      </w:r>
      <w:r w:rsidR="00CF7773" w:rsidRPr="00F07DEB">
        <w:rPr>
          <w:rFonts w:ascii="Times New Roman" w:hAnsi="Times New Roman" w:cs="Times New Roman"/>
          <w:sz w:val="24"/>
          <w:szCs w:val="24"/>
        </w:rPr>
        <w:t xml:space="preserve"> </w:t>
      </w:r>
      <w:r w:rsidR="00CF7773" w:rsidRPr="00F07DEB">
        <w:rPr>
          <w:rFonts w:ascii="Times New Roman" w:hAnsi="Times New Roman" w:cs="Times New Roman"/>
          <w:sz w:val="24"/>
          <w:szCs w:val="24"/>
        </w:rPr>
        <w:fldChar w:fldCharType="begin"/>
      </w:r>
      <w:r w:rsidR="00823513" w:rsidRPr="00F07DEB">
        <w:rPr>
          <w:rFonts w:ascii="Times New Roman" w:hAnsi="Times New Roman" w:cs="Times New Roman"/>
          <w:sz w:val="24"/>
          <w:szCs w:val="24"/>
        </w:rPr>
        <w:instrText xml:space="preserve"> ADDIN ZOTERO_ITEM CSL_CITATION {"citationID":"D5wfV3hs","properties":{"formattedCitation":"(Shuval, 1991a; WSDH, 2016)","plainCitation":"(Shuval, 1991a; WSDH, 2016)","noteIndex":0},"citationItems":[{"id":325,"uris":["http://zotero.org/users/5446453/items/XBGMX875"],"uri":["http://zotero.org/users/5446453/items/XBGMX875"],"itemData":{"id":325,"type":"report","event-place":"Olympia, WA","language":"en","number":"DOH 331-181","page":"2","publisher":"Washington State Department of Health - Environmental Health Division - Office of Drinking Water","publisher-place":"Olympia, WA","source":"Zotero","title":"Coliform Bacteria and Drinking Water","author":[{"literal":"WSDH"}],"issued":{"date-parts":[["2016",4]]}}},{"id":321,"uris":["http://zotero.org/users/5446453/items/LC3GEPRX"],"uri":["http://zotero.org/users/5446453/items/LC3GEPRX"],"itemData":{"id":321,"type":"article-journal","abstract":"While wastewater reuse has been practiced for well over a hundred years as an effective combined strategy for water conservation and water pollution prevention,","container-title":"Water Science and Technology","DOI":"10.2166/wst.1991.0663","ISSN":"0273-1223","issue":"10-12","journalAbbreviation":"Water Sci Technol","language":"en","note":"publisher: IWA Publishing","page":"2073-2080","source":"iwaponline.com","title":"Health Guidelines and Standards for Wastewater Reuse in Agriculture: Historical Perspectives","title-short":"Health Guidelines and Standards for Wastewater Reuse in Agriculture","volume":"23","author":[{"family":"Shuval","given":"H.I."}],"issued":{"date-parts":[["1991",5,1]]}}}],"schema":"https://github.com/citation-style-language/schema/raw/master/csl-citation.json"} </w:instrText>
      </w:r>
      <w:r w:rsidR="00CF7773"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(Shuval, 1991a; WSDH, 2016)</w:t>
      </w:r>
      <w:r w:rsidR="00CF7773" w:rsidRPr="00F07DEB">
        <w:rPr>
          <w:rFonts w:ascii="Times New Roman" w:hAnsi="Times New Roman" w:cs="Times New Roman"/>
          <w:sz w:val="24"/>
          <w:szCs w:val="24"/>
        </w:rPr>
        <w:fldChar w:fldCharType="end"/>
      </w:r>
      <w:r w:rsidR="00991494" w:rsidRPr="00F07DEB">
        <w:rPr>
          <w:rFonts w:ascii="Times New Roman" w:hAnsi="Times New Roman" w:cs="Times New Roman"/>
          <w:sz w:val="24"/>
          <w:szCs w:val="24"/>
        </w:rPr>
        <w:t>.</w:t>
      </w:r>
      <w:r w:rsidR="00FD682A" w:rsidRPr="00F07DEB">
        <w:rPr>
          <w:rFonts w:ascii="Times New Roman" w:hAnsi="Times New Roman" w:cs="Times New Roman"/>
          <w:sz w:val="24"/>
          <w:szCs w:val="24"/>
        </w:rPr>
        <w:t xml:space="preserve"> </w:t>
      </w:r>
      <w:r w:rsidR="0091630D" w:rsidRPr="00F07DEB">
        <w:rPr>
          <w:rFonts w:ascii="Times New Roman" w:hAnsi="Times New Roman" w:cs="Times New Roman"/>
          <w:sz w:val="24"/>
          <w:szCs w:val="24"/>
        </w:rPr>
        <w:t>The California standard</w:t>
      </w:r>
      <w:r w:rsidR="00D7344F" w:rsidRPr="00F07DEB">
        <w:rPr>
          <w:rFonts w:ascii="Times New Roman" w:hAnsi="Times New Roman" w:cs="Times New Roman"/>
          <w:sz w:val="24"/>
          <w:szCs w:val="24"/>
        </w:rPr>
        <w:t>s were</w:t>
      </w:r>
      <w:r w:rsidR="0091630D" w:rsidRPr="00F07DEB">
        <w:rPr>
          <w:rFonts w:ascii="Times New Roman" w:hAnsi="Times New Roman" w:cs="Times New Roman"/>
          <w:sz w:val="24"/>
          <w:szCs w:val="24"/>
        </w:rPr>
        <w:t xml:space="preserve"> impractical or unattainable </w:t>
      </w:r>
      <w:r w:rsidR="00D7344F" w:rsidRPr="00F07DEB">
        <w:rPr>
          <w:rFonts w:ascii="Times New Roman" w:hAnsi="Times New Roman" w:cs="Times New Roman"/>
          <w:sz w:val="24"/>
          <w:szCs w:val="24"/>
        </w:rPr>
        <w:t>for</w:t>
      </w:r>
      <w:r w:rsidR="0091630D" w:rsidRPr="00F07DEB">
        <w:rPr>
          <w:rFonts w:ascii="Times New Roman" w:hAnsi="Times New Roman" w:cs="Times New Roman"/>
          <w:sz w:val="24"/>
          <w:szCs w:val="24"/>
        </w:rPr>
        <w:t xml:space="preserve"> most wastewater treatment facilities, but t</w:t>
      </w:r>
      <w:r w:rsidR="006E4610" w:rsidRPr="00F07DEB">
        <w:rPr>
          <w:rFonts w:ascii="Times New Roman" w:hAnsi="Times New Roman" w:cs="Times New Roman"/>
          <w:sz w:val="24"/>
          <w:szCs w:val="24"/>
        </w:rPr>
        <w:t xml:space="preserve">he first reuse </w:t>
      </w:r>
      <w:r w:rsidR="00C22954" w:rsidRPr="00F07DEB">
        <w:rPr>
          <w:rFonts w:ascii="Times New Roman" w:hAnsi="Times New Roman" w:cs="Times New Roman"/>
          <w:sz w:val="24"/>
          <w:szCs w:val="24"/>
        </w:rPr>
        <w:t>guidelines</w:t>
      </w:r>
      <w:r w:rsidR="006E4610" w:rsidRPr="00F07DEB">
        <w:rPr>
          <w:rFonts w:ascii="Times New Roman" w:hAnsi="Times New Roman" w:cs="Times New Roman"/>
          <w:sz w:val="24"/>
          <w:szCs w:val="24"/>
        </w:rPr>
        <w:t xml:space="preserve"> codified in the United States spread to many other states and countries</w:t>
      </w:r>
      <w:r w:rsidR="0091630D" w:rsidRPr="00F07DEB">
        <w:rPr>
          <w:rFonts w:ascii="Times New Roman" w:hAnsi="Times New Roman" w:cs="Times New Roman"/>
          <w:sz w:val="24"/>
          <w:szCs w:val="24"/>
        </w:rPr>
        <w:t xml:space="preserve"> nevertheless </w:t>
      </w:r>
      <w:r w:rsidR="0091630D" w:rsidRPr="00F07DEB">
        <w:rPr>
          <w:rFonts w:ascii="Times New Roman" w:hAnsi="Times New Roman" w:cs="Times New Roman"/>
          <w:sz w:val="24"/>
          <w:szCs w:val="24"/>
        </w:rPr>
        <w:fldChar w:fldCharType="begin"/>
      </w:r>
      <w:r w:rsidR="003E1065" w:rsidRPr="00F07DEB">
        <w:rPr>
          <w:rFonts w:ascii="Times New Roman" w:hAnsi="Times New Roman" w:cs="Times New Roman"/>
          <w:sz w:val="24"/>
          <w:szCs w:val="24"/>
        </w:rPr>
        <w:instrText xml:space="preserve"> ADDIN ZOTERO_ITEM CSL_CITATION {"citationID":"QONJbz6l","properties":{"formattedCitation":"(Shuval, 1991a)","plainCitation":"(Shuval, 1991a)","noteIndex":0},"citationItems":[{"id":321,"uris":["http://zotero.org/users/5446453/items/LC3GEPRX"],"uri":["http://zotero.org/users/5446453/items/LC3GEPRX"],"itemData":{"id":321,"type":"article-journal","abstract":"While wastewater reuse has been practiced for well over a hundred years as an effective combined strategy for water conservation and water pollution prevention,","container-title":"Water Science and Technology","DOI":"10.2166/wst.1991.0663","ISSN":"0273-1223","issue":"10-12","journalAbbreviation":"Water Sci Technol","language":"en","note":"publisher: IWA Publishing","page":"2073-2080","source":"iwaponline.com","title":"Health Guidelines and Standards for Wastewater Reuse in Agriculture: Historical Perspectives","title-short":"Health Guidelines and Standards for Wastewater Reuse in Agriculture","volume":"23","author":[{"family":"Shuval","given":"H.I."}],"issued":{"date-parts":[["1991",5,1]]}}}],"schema":"https://github.com/citation-style-language/schema/raw/master/csl-citation.json"} </w:instrText>
      </w:r>
      <w:r w:rsidR="0091630D"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(Shuval, 1991a)</w:t>
      </w:r>
      <w:r w:rsidR="0091630D" w:rsidRPr="00F07DEB">
        <w:rPr>
          <w:rFonts w:ascii="Times New Roman" w:hAnsi="Times New Roman" w:cs="Times New Roman"/>
          <w:sz w:val="24"/>
          <w:szCs w:val="24"/>
        </w:rPr>
        <w:fldChar w:fldCharType="end"/>
      </w:r>
      <w:r w:rsidR="0091630D" w:rsidRPr="00F07DEB">
        <w:rPr>
          <w:rFonts w:ascii="Times New Roman" w:hAnsi="Times New Roman" w:cs="Times New Roman"/>
          <w:sz w:val="24"/>
          <w:szCs w:val="24"/>
        </w:rPr>
        <w:t>.</w:t>
      </w:r>
      <w:r w:rsidR="00C22954" w:rsidRPr="00F07DEB">
        <w:rPr>
          <w:rFonts w:ascii="Times New Roman" w:hAnsi="Times New Roman" w:cs="Times New Roman"/>
          <w:sz w:val="24"/>
          <w:szCs w:val="24"/>
        </w:rPr>
        <w:t xml:space="preserve"> Consequently,</w:t>
      </w:r>
      <w:r w:rsidR="005679A7" w:rsidRPr="00F07DEB">
        <w:rPr>
          <w:rFonts w:ascii="Times New Roman" w:hAnsi="Times New Roman" w:cs="Times New Roman"/>
          <w:sz w:val="24"/>
          <w:szCs w:val="24"/>
        </w:rPr>
        <w:t xml:space="preserve"> </w:t>
      </w:r>
      <w:r w:rsidR="00B9209C" w:rsidRPr="00F07DEB">
        <w:rPr>
          <w:rFonts w:ascii="Times New Roman" w:hAnsi="Times New Roman" w:cs="Times New Roman"/>
          <w:sz w:val="24"/>
          <w:szCs w:val="24"/>
        </w:rPr>
        <w:t xml:space="preserve">either </w:t>
      </w:r>
      <w:r w:rsidR="00C22954" w:rsidRPr="00F07DEB">
        <w:rPr>
          <w:rFonts w:ascii="Times New Roman" w:hAnsi="Times New Roman" w:cs="Times New Roman"/>
          <w:sz w:val="24"/>
          <w:szCs w:val="24"/>
        </w:rPr>
        <w:t xml:space="preserve">wastewater reuse for irrigation did not happen </w:t>
      </w:r>
      <w:r w:rsidR="00B9209C" w:rsidRPr="00F07DEB">
        <w:rPr>
          <w:rFonts w:ascii="Times New Roman" w:hAnsi="Times New Roman" w:cs="Times New Roman"/>
          <w:sz w:val="24"/>
          <w:szCs w:val="24"/>
        </w:rPr>
        <w:t xml:space="preserve">in these areas </w:t>
      </w:r>
      <w:r w:rsidR="00C22954" w:rsidRPr="00F07DEB">
        <w:rPr>
          <w:rFonts w:ascii="Times New Roman" w:hAnsi="Times New Roman" w:cs="Times New Roman"/>
          <w:sz w:val="24"/>
          <w:szCs w:val="24"/>
        </w:rPr>
        <w:t>until new, more lenient regulations</w:t>
      </w:r>
      <w:r w:rsidR="00B9209C" w:rsidRPr="00F07DEB">
        <w:rPr>
          <w:rFonts w:ascii="Times New Roman" w:hAnsi="Times New Roman" w:cs="Times New Roman"/>
          <w:sz w:val="24"/>
          <w:szCs w:val="24"/>
        </w:rPr>
        <w:t xml:space="preserve"> were implemented, or farmers shirked the </w:t>
      </w:r>
      <w:r w:rsidR="0041707F" w:rsidRPr="00F07DEB">
        <w:rPr>
          <w:rFonts w:ascii="Times New Roman" w:hAnsi="Times New Roman" w:cs="Times New Roman"/>
          <w:sz w:val="24"/>
          <w:szCs w:val="24"/>
        </w:rPr>
        <w:t>prohibitively expensive requirements</w:t>
      </w:r>
      <w:r w:rsidR="00B9209C" w:rsidRPr="00F07DEB">
        <w:rPr>
          <w:rFonts w:ascii="Times New Roman" w:hAnsi="Times New Roman" w:cs="Times New Roman"/>
          <w:sz w:val="24"/>
          <w:szCs w:val="24"/>
        </w:rPr>
        <w:t xml:space="preserve"> and irrigated their fields with wastewater of variable quality as officials turned a blind eye; the latter practice grew out of economic necessity, especially in water-scar</w:t>
      </w:r>
      <w:r w:rsidR="00D04F79" w:rsidRPr="00F07DEB">
        <w:rPr>
          <w:rFonts w:ascii="Times New Roman" w:hAnsi="Times New Roman" w:cs="Times New Roman"/>
          <w:sz w:val="24"/>
          <w:szCs w:val="24"/>
        </w:rPr>
        <w:t>c</w:t>
      </w:r>
      <w:r w:rsidR="00B9209C" w:rsidRPr="00F07DEB">
        <w:rPr>
          <w:rFonts w:ascii="Times New Roman" w:hAnsi="Times New Roman" w:cs="Times New Roman"/>
          <w:sz w:val="24"/>
          <w:szCs w:val="24"/>
        </w:rPr>
        <w:t>e regions, and put consumers at risk</w:t>
      </w:r>
      <w:r w:rsidR="00002B9F" w:rsidRPr="00F07DEB">
        <w:rPr>
          <w:rFonts w:ascii="Times New Roman" w:hAnsi="Times New Roman" w:cs="Times New Roman"/>
          <w:sz w:val="24"/>
          <w:szCs w:val="24"/>
        </w:rPr>
        <w:t xml:space="preserve"> when produce </w:t>
      </w:r>
      <w:r w:rsidR="00E53777" w:rsidRPr="00F07DEB">
        <w:rPr>
          <w:rFonts w:ascii="Times New Roman" w:hAnsi="Times New Roman" w:cs="Times New Roman"/>
          <w:sz w:val="24"/>
          <w:szCs w:val="24"/>
        </w:rPr>
        <w:t xml:space="preserve">for direct human consumption </w:t>
      </w:r>
      <w:r w:rsidR="00113F6F">
        <w:rPr>
          <w:rFonts w:ascii="Times New Roman" w:hAnsi="Times New Roman" w:cs="Times New Roman"/>
          <w:sz w:val="24"/>
          <w:szCs w:val="24"/>
        </w:rPr>
        <w:t>wa</w:t>
      </w:r>
      <w:r w:rsidR="0041707F" w:rsidRPr="00F07DEB">
        <w:rPr>
          <w:rFonts w:ascii="Times New Roman" w:hAnsi="Times New Roman" w:cs="Times New Roman"/>
          <w:sz w:val="24"/>
          <w:szCs w:val="24"/>
        </w:rPr>
        <w:t>s</w:t>
      </w:r>
      <w:r w:rsidR="00002B9F" w:rsidRPr="00F07DEB">
        <w:rPr>
          <w:rFonts w:ascii="Times New Roman" w:hAnsi="Times New Roman" w:cs="Times New Roman"/>
          <w:sz w:val="24"/>
          <w:szCs w:val="24"/>
        </w:rPr>
        <w:t xml:space="preserve"> grown with raw or inadequately-treated </w:t>
      </w:r>
      <w:r w:rsidR="00E00426" w:rsidRPr="00F07DEB">
        <w:rPr>
          <w:rFonts w:ascii="Times New Roman" w:hAnsi="Times New Roman" w:cs="Times New Roman"/>
          <w:sz w:val="24"/>
          <w:szCs w:val="24"/>
        </w:rPr>
        <w:t>sewage</w:t>
      </w:r>
      <w:r w:rsidR="00A704E8" w:rsidRPr="00F07DEB">
        <w:rPr>
          <w:rFonts w:ascii="Times New Roman" w:hAnsi="Times New Roman" w:cs="Times New Roman"/>
          <w:sz w:val="24"/>
          <w:szCs w:val="24"/>
        </w:rPr>
        <w:t xml:space="preserve"> </w:t>
      </w:r>
      <w:r w:rsidR="00A704E8" w:rsidRPr="00F07DEB">
        <w:rPr>
          <w:rFonts w:ascii="Times New Roman" w:hAnsi="Times New Roman" w:cs="Times New Roman"/>
          <w:sz w:val="24"/>
          <w:szCs w:val="24"/>
        </w:rPr>
        <w:fldChar w:fldCharType="begin"/>
      </w:r>
      <w:r w:rsidR="00BE45F8" w:rsidRPr="00F07DEB">
        <w:rPr>
          <w:rFonts w:ascii="Times New Roman" w:hAnsi="Times New Roman" w:cs="Times New Roman"/>
          <w:sz w:val="24"/>
          <w:szCs w:val="24"/>
        </w:rPr>
        <w:instrText xml:space="preserve"> ADDIN ZOTERO_ITEM CSL_CITATION {"citationID":"zvLlbdqq","properties":{"formattedCitation":"(Shuval, 1991a; USEPA, 2012)","plainCitation":"(Shuval, 1991a; USEPA, 2012)","noteIndex":0},"citationItems":[{"id":321,"uris":["http://zotero.org/users/5446453/items/LC3GEPRX"],"uri":["http://zotero.org/users/5446453/items/LC3GEPRX"],"itemData":{"id":321,"type":"article-journal","abstract":"While wastewater reuse has been practiced for well over a hundred years as an effective combined strategy for water conservation and water pollution prevention,","container-title":"Water Science and Technology","DOI":"10.2166/wst.1991.0663","ISSN":"0273-1223","issue":"10-12","journalAbbreviation":"Water Sci Technol","language":"en","note":"publisher: IWA Publishing","page":"2073-2080","source":"iwaponline.com","title":"Health Guidelines and Standards for Wastewater Reuse in Agriculture: Historical Perspectives","title-short":"Health Guidelines and Standards for Wastewater Reuse in Agriculture","volume":"23","author":[{"family":"Shuval","given":"H.I."}],"issued":{"date-parts":[["1991",5,1]]}}},{"id":410,"uris":["http://zotero.org/users/5446453/items/6AD5KZJC"],"uri":["http://zotero.org/users/5446453/items/6AD5KZJC"],"itemData":{"id":410,"type":"report","event-place":"Washington, D.C.","language":"en","number":"EPA/600/R-12/618","page":"643","publisher":"U.S. Environmental Protection Agency Office of Wastewater Management","publisher-place":"Washington, D.C.","source":"Zotero","title":"2012 Guidelines for Water Reuse","URL":"https://www3.epa.gov/region1/npdes/merrimackstation/pdfs/ar/AR-1530.pdf","author":[{"literal":"USEPA"}],"issued":{"date-parts":[["2012",9]]}}}],"schema":"https://github.com/citation-style-language/schema/raw/master/csl-citation.json"} </w:instrText>
      </w:r>
      <w:r w:rsidR="00A704E8"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(Shuval, 1991a; USEPA, 2012)</w:t>
      </w:r>
      <w:r w:rsidR="00A704E8" w:rsidRPr="00F07DEB">
        <w:rPr>
          <w:rFonts w:ascii="Times New Roman" w:hAnsi="Times New Roman" w:cs="Times New Roman"/>
          <w:sz w:val="24"/>
          <w:szCs w:val="24"/>
        </w:rPr>
        <w:fldChar w:fldCharType="end"/>
      </w:r>
      <w:r w:rsidR="00B9209C" w:rsidRPr="00F07DEB">
        <w:rPr>
          <w:rFonts w:ascii="Times New Roman" w:hAnsi="Times New Roman" w:cs="Times New Roman"/>
          <w:sz w:val="24"/>
          <w:szCs w:val="24"/>
        </w:rPr>
        <w:t>.</w:t>
      </w:r>
      <w:r w:rsidR="00A704E8" w:rsidRPr="00F07DEB">
        <w:rPr>
          <w:rFonts w:ascii="Times New Roman" w:hAnsi="Times New Roman" w:cs="Times New Roman"/>
          <w:sz w:val="24"/>
          <w:szCs w:val="24"/>
        </w:rPr>
        <w:t xml:space="preserve"> </w:t>
      </w:r>
      <w:r w:rsidR="00E00426" w:rsidRPr="00F07DEB">
        <w:rPr>
          <w:rFonts w:ascii="Times New Roman" w:hAnsi="Times New Roman" w:cs="Times New Roman"/>
          <w:sz w:val="24"/>
          <w:szCs w:val="24"/>
        </w:rPr>
        <w:t xml:space="preserve">Agricultural reuse of wastewater developed more rapidly in some countries that chose not to adopt the California standards. </w:t>
      </w:r>
      <w:r w:rsidR="006B7818" w:rsidRPr="00F07DEB">
        <w:rPr>
          <w:rFonts w:ascii="Times New Roman" w:hAnsi="Times New Roman" w:cs="Times New Roman"/>
          <w:sz w:val="24"/>
          <w:szCs w:val="24"/>
        </w:rPr>
        <w:t xml:space="preserve">The Chinese government </w:t>
      </w:r>
      <w:r w:rsidR="00E338CE" w:rsidRPr="00F07DEB">
        <w:rPr>
          <w:rFonts w:ascii="Times New Roman" w:hAnsi="Times New Roman" w:cs="Times New Roman"/>
          <w:sz w:val="24"/>
          <w:szCs w:val="24"/>
        </w:rPr>
        <w:t>elevated</w:t>
      </w:r>
      <w:r w:rsidR="00E00426" w:rsidRPr="00F07DEB">
        <w:rPr>
          <w:rFonts w:ascii="Times New Roman" w:hAnsi="Times New Roman" w:cs="Times New Roman"/>
          <w:sz w:val="24"/>
          <w:szCs w:val="24"/>
        </w:rPr>
        <w:t xml:space="preserve"> wastewater </w:t>
      </w:r>
      <w:r w:rsidR="006B7818" w:rsidRPr="00F07DEB">
        <w:rPr>
          <w:rFonts w:ascii="Times New Roman" w:hAnsi="Times New Roman" w:cs="Times New Roman"/>
          <w:sz w:val="24"/>
          <w:szCs w:val="24"/>
        </w:rPr>
        <w:t xml:space="preserve">reuse </w:t>
      </w:r>
      <w:r w:rsidR="00E00426" w:rsidRPr="00F07DEB">
        <w:rPr>
          <w:rFonts w:ascii="Times New Roman" w:hAnsi="Times New Roman" w:cs="Times New Roman"/>
          <w:sz w:val="24"/>
          <w:szCs w:val="24"/>
        </w:rPr>
        <w:t xml:space="preserve">in </w:t>
      </w:r>
      <w:r w:rsidR="006B7818" w:rsidRPr="00F07DEB">
        <w:rPr>
          <w:rFonts w:ascii="Times New Roman" w:hAnsi="Times New Roman" w:cs="Times New Roman"/>
          <w:sz w:val="24"/>
          <w:szCs w:val="24"/>
        </w:rPr>
        <w:t xml:space="preserve">agriculture </w:t>
      </w:r>
      <w:r w:rsidR="00E338CE" w:rsidRPr="00F07DEB">
        <w:rPr>
          <w:rFonts w:ascii="Times New Roman" w:hAnsi="Times New Roman" w:cs="Times New Roman"/>
          <w:sz w:val="24"/>
          <w:szCs w:val="24"/>
        </w:rPr>
        <w:t>to</w:t>
      </w:r>
      <w:r w:rsidR="006B7818" w:rsidRPr="00F07DEB">
        <w:rPr>
          <w:rFonts w:ascii="Times New Roman" w:hAnsi="Times New Roman" w:cs="Times New Roman"/>
          <w:sz w:val="24"/>
          <w:szCs w:val="24"/>
        </w:rPr>
        <w:t xml:space="preserve"> a national development priority by the late 1960s</w:t>
      </w:r>
      <w:r w:rsidR="00E00426" w:rsidRPr="00F07DEB">
        <w:rPr>
          <w:rFonts w:ascii="Times New Roman" w:hAnsi="Times New Roman" w:cs="Times New Roman"/>
          <w:sz w:val="24"/>
          <w:szCs w:val="24"/>
        </w:rPr>
        <w:t xml:space="preserve">, and </w:t>
      </w:r>
      <w:r w:rsidR="006B7818" w:rsidRPr="00F07DEB">
        <w:rPr>
          <w:rFonts w:ascii="Times New Roman" w:hAnsi="Times New Roman" w:cs="Times New Roman"/>
          <w:sz w:val="24"/>
          <w:szCs w:val="24"/>
        </w:rPr>
        <w:t xml:space="preserve">farmers in China </w:t>
      </w:r>
      <w:r w:rsidR="00E00426" w:rsidRPr="00F07DEB">
        <w:rPr>
          <w:rFonts w:ascii="Times New Roman" w:hAnsi="Times New Roman" w:cs="Times New Roman"/>
          <w:sz w:val="24"/>
          <w:szCs w:val="24"/>
        </w:rPr>
        <w:t xml:space="preserve">now irrigate more than 1.3 million hectares of farmland </w:t>
      </w:r>
      <w:r w:rsidR="00275F66" w:rsidRPr="00F07DEB">
        <w:rPr>
          <w:rFonts w:ascii="Times New Roman" w:hAnsi="Times New Roman" w:cs="Times New Roman"/>
          <w:sz w:val="24"/>
          <w:szCs w:val="24"/>
        </w:rPr>
        <w:t xml:space="preserve">this way </w:t>
      </w:r>
      <w:r w:rsidR="00552F22" w:rsidRPr="00F07DEB">
        <w:rPr>
          <w:rFonts w:ascii="Times New Roman" w:hAnsi="Times New Roman" w:cs="Times New Roman"/>
          <w:sz w:val="24"/>
          <w:szCs w:val="24"/>
        </w:rPr>
        <w:fldChar w:fldCharType="begin"/>
      </w:r>
      <w:r w:rsidR="0085353D" w:rsidRPr="00F07DEB">
        <w:rPr>
          <w:rFonts w:ascii="Times New Roman" w:hAnsi="Times New Roman" w:cs="Times New Roman"/>
          <w:sz w:val="24"/>
          <w:szCs w:val="24"/>
        </w:rPr>
        <w:instrText xml:space="preserve"> ADDIN ZOTERO_ITEM CSL_CITATION {"citationID":"tZFQ2azB","properties":{"formattedCitation":"(Lili et al., 2011; Pescod, 1992)","plainCitation":"(Lili et al., 2011; Pescod, 1992)","noteIndex":0},"citationItems":[{"id":732,"uris":["http://zotero.org/users/5446453/items/YBPWYZ69"],"uri":["http://zotero.org/users/5446453/items/YBPWYZ69"],"itemData":{"id":732,"type":"article-journal","abstract":"China is facing severe water problems including scarcity and pollution which are now becoming key factors restricting developments. Creating an alternative water resource and reducing effluent discharges, water reuse has been recognized as an integral part of water and wastewater management scheme in China. The government has launched nationwide efforts to optimize the benefits of utilizing reclaimed water. This article reviewed the water reuse activities in China, including: (1) application history and current status; (2) potentials of reclaimed water reuse; (3) laws, policies and regulations governing reclaimed water reuse; (4) risks associated with reclaimed water reuse; (5) issues in reclaimed water reuse. Reclaimed water in Beijing and Tianjin were given as examples. Suggestions for improving the efficiencies of reusing urban wastewater were advanced. Being the largest user of reclaimed wastewater in the world, China's experience can benefit the development of water reuse in other regions.","container-title":"Journal of environmental sciences (China)","DOI":"10.1016/S1001-0742(10)60627-4","journalAbbreviation":"Journal of environmental sciences (China)","page":"1585-1593","source":"ResearchGate","title":"An overview of reclaimed water reuse in China","volume":"23","author":[{"family":"Lili","given":"Yi"},{"family":"Jiao","given":"Wentao"},{"family":"Chen","given":"Xiaoning"},{"family":"Chen","given":"Weiping"}],"issued":{"date-parts":[["2011",10,1]]}}},{"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schema":"https://github.com/citation-style-language/schema/raw/master/csl-citation.json"} </w:instrText>
      </w:r>
      <w:r w:rsidR="00552F22"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(Lili et al., 2011; Pescod, 1992)</w:t>
      </w:r>
      <w:r w:rsidR="00552F22" w:rsidRPr="00F07DEB">
        <w:rPr>
          <w:rFonts w:ascii="Times New Roman" w:hAnsi="Times New Roman" w:cs="Times New Roman"/>
          <w:sz w:val="24"/>
          <w:szCs w:val="24"/>
        </w:rPr>
        <w:fldChar w:fldCharType="end"/>
      </w:r>
      <w:r w:rsidR="00E00426" w:rsidRPr="00F07DEB">
        <w:rPr>
          <w:rFonts w:ascii="Times New Roman" w:hAnsi="Times New Roman" w:cs="Times New Roman"/>
          <w:sz w:val="24"/>
          <w:szCs w:val="24"/>
        </w:rPr>
        <w:t xml:space="preserve">. </w:t>
      </w:r>
      <w:r w:rsidR="002765AC" w:rsidRPr="00F07DEB">
        <w:rPr>
          <w:rFonts w:ascii="Times New Roman" w:hAnsi="Times New Roman" w:cs="Times New Roman"/>
          <w:sz w:val="24"/>
          <w:szCs w:val="24"/>
        </w:rPr>
        <w:t xml:space="preserve">The </w:t>
      </w:r>
      <w:r w:rsidR="00E00426" w:rsidRPr="00F07DEB">
        <w:rPr>
          <w:rFonts w:ascii="Times New Roman" w:hAnsi="Times New Roman" w:cs="Times New Roman"/>
          <w:sz w:val="24"/>
          <w:szCs w:val="24"/>
        </w:rPr>
        <w:t xml:space="preserve">World Health Organization </w:t>
      </w:r>
      <w:r w:rsidR="002765AC" w:rsidRPr="00F07DEB">
        <w:rPr>
          <w:rFonts w:ascii="Times New Roman" w:hAnsi="Times New Roman" w:cs="Times New Roman"/>
          <w:sz w:val="24"/>
          <w:szCs w:val="24"/>
        </w:rPr>
        <w:t xml:space="preserve">(WHO) and US EPA </w:t>
      </w:r>
      <w:r w:rsidR="00E87DDD" w:rsidRPr="00F07DEB">
        <w:rPr>
          <w:rFonts w:ascii="Times New Roman" w:hAnsi="Times New Roman" w:cs="Times New Roman"/>
          <w:sz w:val="24"/>
          <w:szCs w:val="24"/>
        </w:rPr>
        <w:t xml:space="preserve">first </w:t>
      </w:r>
      <w:r w:rsidR="002765AC" w:rsidRPr="00F07DEB">
        <w:rPr>
          <w:rFonts w:ascii="Times New Roman" w:hAnsi="Times New Roman" w:cs="Times New Roman"/>
          <w:sz w:val="24"/>
          <w:szCs w:val="24"/>
        </w:rPr>
        <w:t xml:space="preserve">published </w:t>
      </w:r>
      <w:r w:rsidR="00E87DDD" w:rsidRPr="00F07DEB">
        <w:rPr>
          <w:rFonts w:ascii="Times New Roman" w:hAnsi="Times New Roman" w:cs="Times New Roman"/>
          <w:sz w:val="24"/>
          <w:szCs w:val="24"/>
        </w:rPr>
        <w:t>notable</w:t>
      </w:r>
      <w:r w:rsidR="002765AC" w:rsidRPr="00F07DEB">
        <w:rPr>
          <w:rFonts w:ascii="Times New Roman" w:hAnsi="Times New Roman" w:cs="Times New Roman"/>
          <w:sz w:val="24"/>
          <w:szCs w:val="24"/>
        </w:rPr>
        <w:t xml:space="preserve"> guidelines on wastewater reuse for agriculture in 1989 and 1992</w:t>
      </w:r>
      <w:r w:rsidR="009612DD" w:rsidRPr="00F07DEB">
        <w:rPr>
          <w:rFonts w:ascii="Times New Roman" w:hAnsi="Times New Roman" w:cs="Times New Roman"/>
          <w:sz w:val="24"/>
          <w:szCs w:val="24"/>
        </w:rPr>
        <w:t xml:space="preserve">, respectively, which </w:t>
      </w:r>
      <w:r w:rsidR="008059F0" w:rsidRPr="00F07DEB">
        <w:rPr>
          <w:rFonts w:ascii="Times New Roman" w:hAnsi="Times New Roman" w:cs="Times New Roman"/>
          <w:sz w:val="24"/>
          <w:szCs w:val="24"/>
        </w:rPr>
        <w:t>reflected</w:t>
      </w:r>
      <w:r w:rsidR="00A86E7A" w:rsidRPr="00F07DEB">
        <w:rPr>
          <w:rFonts w:ascii="Times New Roman" w:hAnsi="Times New Roman" w:cs="Times New Roman"/>
          <w:sz w:val="24"/>
          <w:szCs w:val="24"/>
        </w:rPr>
        <w:t xml:space="preserve"> realistic assessments</w:t>
      </w:r>
      <w:r w:rsidR="00FD682A" w:rsidRPr="00F07DEB">
        <w:rPr>
          <w:rFonts w:ascii="Times New Roman" w:hAnsi="Times New Roman" w:cs="Times New Roman"/>
          <w:sz w:val="24"/>
          <w:szCs w:val="24"/>
        </w:rPr>
        <w:t xml:space="preserve"> of the </w:t>
      </w:r>
      <w:r w:rsidR="002765AC" w:rsidRPr="00F07DEB">
        <w:rPr>
          <w:rFonts w:ascii="Times New Roman" w:hAnsi="Times New Roman" w:cs="Times New Roman"/>
          <w:sz w:val="24"/>
          <w:szCs w:val="24"/>
        </w:rPr>
        <w:t xml:space="preserve">microbial </w:t>
      </w:r>
      <w:r w:rsidR="00D67293" w:rsidRPr="00F07DEB">
        <w:rPr>
          <w:rFonts w:ascii="Times New Roman" w:hAnsi="Times New Roman" w:cs="Times New Roman"/>
          <w:sz w:val="24"/>
          <w:szCs w:val="24"/>
        </w:rPr>
        <w:t>risks associated with municipal w</w:t>
      </w:r>
      <w:r w:rsidR="009612DD" w:rsidRPr="00F07DEB">
        <w:rPr>
          <w:rFonts w:ascii="Times New Roman" w:hAnsi="Times New Roman" w:cs="Times New Roman"/>
          <w:sz w:val="24"/>
          <w:szCs w:val="24"/>
        </w:rPr>
        <w:t xml:space="preserve">astewater reuse in agriculture </w:t>
      </w:r>
      <w:r w:rsidR="009612DD"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{"citationID":"0FQZTsI6","properties":{"formattedCitation":"(Asano &amp; Levine, 1996; Shuval, 1991a)","plainCitation":"(Asano &amp; Levine, 1996; Shuval, 1991a)","dontUpdate":true,"noteIndex":0},"citationItems":[{"id":317,"uris":["http://zotero.org/users/5446453/items/CEK9STUR"],"uri":["http://zotero.org/users/5446453/items/CEK9STUR"],"itemData":{"id":317,"type":"article-journal","abstract":"The scientific basis for the current status of wastewater reclamation, recycling and reuse has evolved from developments in water and wastewater engineering coupled with increasing pressures on water resources. Milestone events that have led to the safe use of reclaimed wastewater are reviewed. The role of engineered systems associated with reclaimed wastewater is discussed in the context of the natural hydrologic cycle. A synopsis of the significant studies that form the basis for current regulatory approaches and technological innovations is presented. Current water reclamation strategies incorporate multiple measures to minimize health and environmental risks associated with various reuse applications. A combination of source control, advanced treatment process flowschemes, and other engineering controls provides a sound basis for increased implementation of water reuse applications. The feasibility of producing reclaimed water of a specified quality to fulfill multiple water use objectives is now a reality due to the progressive evolution of technologies and risk assessment procedures. Future water reuse directions are charted.","container-title":"Water Science and Technology; London","ISSN":"02731223","issue":"10-11","language":"English","note":"number-of-pages: 1-14\npublisher-place: London, United Kingdom, London\npublisher: IWA Publishing","page":"1-14","source":"ProQuest","title":"Wastewater reclamation, recycling and reuse: past, present, and future","title-short":"Wastewater reclamation, recycling and reuse","volume":"33","author":[{"family":"Asano","given":"Takashi"},{"family":"Levine","given":"Audrey D."}],"issued":{"date-parts":[["1996",5]]}}},{"id":321,"uris":["http://zotero.org/users/5446453/items/LC3GEPRX"],"uri":["http://zotero.org/users/5446453/items/LC3GEPRX"],"itemData":{"id":321,"type":"article-journal","abstract":"While wastewater reuse has been practiced for well over a hundred years as an effective combined strategy for water conservation and water pollution prevention,","container-title":"Water Science and Technology","DOI":"10.2166/wst.1991.0663","ISSN":"0273-1223","issue":"10-12","journalAbbreviation":"Water Sci Technol","language":"en","note":"publisher: IWA Publishing","page":"2073-2080","source":"iwaponline.com","title":"Health Guidelines and Standards for Wastewater Reuse in Agriculture: Historical Perspectives","title-short":"Health Guidelines and Standards for Wastewater Reuse in Agriculture","volume":"23","author":[{"family":"Shuval","given":"H.I."}],"issued":{"date-parts":[["1991",5,1]]}}}],"schema":"https://github.com/citation-style-language/schema/raw/master/csl-citation.json"} </w:instrText>
      </w:r>
      <w:r w:rsidR="009612DD" w:rsidRPr="00F07DEB">
        <w:rPr>
          <w:rFonts w:ascii="Times New Roman" w:hAnsi="Times New Roman" w:cs="Times New Roman"/>
          <w:sz w:val="24"/>
          <w:szCs w:val="24"/>
        </w:rPr>
        <w:fldChar w:fldCharType="separate"/>
      </w:r>
      <w:r w:rsidR="009612DD" w:rsidRPr="00F07DEB">
        <w:rPr>
          <w:rFonts w:ascii="Times New Roman" w:hAnsi="Times New Roman" w:cs="Times New Roman"/>
          <w:sz w:val="24"/>
          <w:szCs w:val="24"/>
        </w:rPr>
        <w:t xml:space="preserve">(Asano </w:t>
      </w:r>
      <w:r w:rsidR="002A6AB5">
        <w:rPr>
          <w:rFonts w:ascii="Times New Roman" w:hAnsi="Times New Roman" w:cs="Times New Roman"/>
          <w:sz w:val="24"/>
          <w:szCs w:val="24"/>
        </w:rPr>
        <w:t>and</w:t>
      </w:r>
      <w:r w:rsidR="009612DD" w:rsidRPr="00F07DEB">
        <w:rPr>
          <w:rFonts w:ascii="Times New Roman" w:hAnsi="Times New Roman" w:cs="Times New Roman"/>
          <w:sz w:val="24"/>
          <w:szCs w:val="24"/>
        </w:rPr>
        <w:t xml:space="preserve"> Levine, 1996; Shuval, 1991a)</w:t>
      </w:r>
      <w:r w:rsidR="009612DD" w:rsidRPr="00F07DEB">
        <w:rPr>
          <w:rFonts w:ascii="Times New Roman" w:hAnsi="Times New Roman" w:cs="Times New Roman"/>
          <w:sz w:val="24"/>
          <w:szCs w:val="24"/>
        </w:rPr>
        <w:fldChar w:fldCharType="end"/>
      </w:r>
      <w:r w:rsidR="009612DD" w:rsidRPr="00F07DEB">
        <w:rPr>
          <w:rFonts w:ascii="Times New Roman" w:hAnsi="Times New Roman" w:cs="Times New Roman"/>
          <w:sz w:val="24"/>
          <w:szCs w:val="24"/>
        </w:rPr>
        <w:t xml:space="preserve">. </w:t>
      </w:r>
      <w:r w:rsidR="00D04CA7" w:rsidRPr="00F07DEB">
        <w:rPr>
          <w:rFonts w:ascii="Times New Roman" w:hAnsi="Times New Roman" w:cs="Times New Roman"/>
          <w:sz w:val="24"/>
          <w:szCs w:val="24"/>
        </w:rPr>
        <w:t xml:space="preserve">The primary microbial contaminants in domestic wastewater are helminths </w:t>
      </w:r>
      <w:r w:rsidR="00D67293" w:rsidRPr="00F07DEB">
        <w:rPr>
          <w:rFonts w:ascii="Times New Roman" w:hAnsi="Times New Roman" w:cs="Times New Roman"/>
          <w:sz w:val="24"/>
          <w:szCs w:val="24"/>
        </w:rPr>
        <w:t>and enteric bacteria</w:t>
      </w:r>
      <w:r w:rsidR="00E00426" w:rsidRPr="00F07DEB">
        <w:rPr>
          <w:rFonts w:ascii="Times New Roman" w:hAnsi="Times New Roman" w:cs="Times New Roman"/>
          <w:sz w:val="24"/>
          <w:szCs w:val="24"/>
        </w:rPr>
        <w:t xml:space="preserve"> and viruses</w:t>
      </w:r>
      <w:r w:rsidR="00D04CA7" w:rsidRPr="00F07DEB">
        <w:rPr>
          <w:rFonts w:ascii="Times New Roman" w:hAnsi="Times New Roman" w:cs="Times New Roman"/>
          <w:sz w:val="24"/>
          <w:szCs w:val="24"/>
        </w:rPr>
        <w:t>, which are effectively removed in stabilization ponds over sufficiently long detention times</w:t>
      </w:r>
      <w:r w:rsidR="00E87DDD" w:rsidRPr="00F07DEB">
        <w:rPr>
          <w:rFonts w:ascii="Times New Roman" w:hAnsi="Times New Roman" w:cs="Times New Roman"/>
          <w:sz w:val="24"/>
          <w:szCs w:val="24"/>
        </w:rPr>
        <w:t xml:space="preserve"> </w:t>
      </w:r>
      <w:r w:rsidR="00E87DDD" w:rsidRPr="00F07DEB">
        <w:rPr>
          <w:rFonts w:ascii="Times New Roman" w:hAnsi="Times New Roman" w:cs="Times New Roman"/>
          <w:sz w:val="24"/>
          <w:szCs w:val="24"/>
        </w:rPr>
        <w:fldChar w:fldCharType="begin"/>
      </w:r>
      <w:r w:rsidR="003E1065" w:rsidRPr="00F07DEB">
        <w:rPr>
          <w:rFonts w:ascii="Times New Roman" w:hAnsi="Times New Roman" w:cs="Times New Roman"/>
          <w:sz w:val="24"/>
          <w:szCs w:val="24"/>
        </w:rPr>
        <w:instrText xml:space="preserve"> ADDIN ZOTERO_ITEM CSL_CITATION {"citationID":"YKivb7qN","properties":{"formattedCitation":"(Shuval, 1991a)","plainCitation":"(Shuval, 1991a)","noteIndex":0},"citationItems":[{"id":321,"uris":["http://zotero.org/users/5446453/items/LC3GEPRX"],"uri":["http://zotero.org/users/5446453/items/LC3GEPRX"],"itemData":{"id":321,"type":"article-journal","abstract":"While wastewater reuse has been practiced for well over a hundred years as an effective combined strategy for water conservation and water pollution prevention,","container-title":"Water Science and Technology","DOI":"10.2166/wst.1991.0663","ISSN":"0273-1223","issue":"10-12","journalAbbreviation":"Water Sci Technol","language":"en","note":"publisher: IWA Publishing","page":"2073-2080","source":"iwaponline.com","title":"Health Guidelines and Standards for Wastewater Reuse in Agriculture: Historical Perspectives","title-short":"Health Guidelines and Standards for Wastewater Reuse in Agriculture","volume":"23","author":[{"family":"Shuval","given":"H.I."}],"issued":{"date-parts":[["1991",5,1]]}}}],"schema":"https://github.com/citation-style-language/schema/raw/master/csl-citation.json"} </w:instrText>
      </w:r>
      <w:r w:rsidR="00E87DDD"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(Shuval, 1991a)</w:t>
      </w:r>
      <w:r w:rsidR="00E87DDD" w:rsidRPr="00F07DEB">
        <w:rPr>
          <w:rFonts w:ascii="Times New Roman" w:hAnsi="Times New Roman" w:cs="Times New Roman"/>
          <w:sz w:val="24"/>
          <w:szCs w:val="24"/>
        </w:rPr>
        <w:fldChar w:fldCharType="end"/>
      </w:r>
      <w:r w:rsidR="008832CC" w:rsidRPr="00F07DEB">
        <w:rPr>
          <w:rFonts w:ascii="Times New Roman" w:hAnsi="Times New Roman" w:cs="Times New Roman"/>
          <w:sz w:val="24"/>
          <w:szCs w:val="24"/>
        </w:rPr>
        <w:t xml:space="preserve">. Microbial contamination is typically monitored </w:t>
      </w:r>
      <w:r w:rsidR="007E02A0" w:rsidRPr="00F07DEB">
        <w:rPr>
          <w:rFonts w:ascii="Times New Roman" w:hAnsi="Times New Roman" w:cs="Times New Roman"/>
          <w:sz w:val="24"/>
          <w:szCs w:val="24"/>
        </w:rPr>
        <w:t>with</w:t>
      </w:r>
      <w:r w:rsidR="008832CC" w:rsidRPr="00F07DEB">
        <w:rPr>
          <w:rFonts w:ascii="Times New Roman" w:hAnsi="Times New Roman" w:cs="Times New Roman"/>
          <w:sz w:val="24"/>
          <w:szCs w:val="24"/>
        </w:rPr>
        <w:t xml:space="preserve"> some combination of total coliform, fecal coliform, </w:t>
      </w:r>
      <w:r w:rsidR="008832CC" w:rsidRPr="00F07DEB">
        <w:rPr>
          <w:rFonts w:ascii="Times New Roman" w:hAnsi="Times New Roman" w:cs="Times New Roman"/>
          <w:i/>
          <w:sz w:val="24"/>
          <w:szCs w:val="24"/>
        </w:rPr>
        <w:t>E. coli</w:t>
      </w:r>
      <w:r w:rsidR="008832CC" w:rsidRPr="00F07DEB">
        <w:rPr>
          <w:rFonts w:ascii="Times New Roman" w:hAnsi="Times New Roman" w:cs="Times New Roman"/>
          <w:sz w:val="24"/>
          <w:szCs w:val="24"/>
        </w:rPr>
        <w:t xml:space="preserve">, and helminth egg counts in a standardized volume of water, but the indicators, standards, and </w:t>
      </w:r>
      <w:r w:rsidR="00271D34" w:rsidRPr="00F07DEB">
        <w:rPr>
          <w:rFonts w:ascii="Times New Roman" w:hAnsi="Times New Roman" w:cs="Times New Roman"/>
          <w:sz w:val="24"/>
          <w:szCs w:val="24"/>
        </w:rPr>
        <w:t xml:space="preserve">resulting </w:t>
      </w:r>
      <w:r w:rsidR="008832CC" w:rsidRPr="00F07DEB">
        <w:rPr>
          <w:rFonts w:ascii="Times New Roman" w:hAnsi="Times New Roman" w:cs="Times New Roman"/>
          <w:sz w:val="24"/>
          <w:szCs w:val="24"/>
        </w:rPr>
        <w:t>implications for</w:t>
      </w:r>
      <w:r w:rsidR="007E02A0" w:rsidRPr="00F07DEB">
        <w:rPr>
          <w:rFonts w:ascii="Times New Roman" w:hAnsi="Times New Roman" w:cs="Times New Roman"/>
          <w:sz w:val="24"/>
          <w:szCs w:val="24"/>
        </w:rPr>
        <w:t xml:space="preserve"> agricultural</w:t>
      </w:r>
      <w:r w:rsidR="008832CC" w:rsidRPr="00F07DEB">
        <w:rPr>
          <w:rFonts w:ascii="Times New Roman" w:hAnsi="Times New Roman" w:cs="Times New Roman"/>
          <w:sz w:val="24"/>
          <w:szCs w:val="24"/>
        </w:rPr>
        <w:t xml:space="preserve"> reuse vary widely throughout the world</w:t>
      </w:r>
      <w:r w:rsidR="007E02A0" w:rsidRPr="00F07DEB">
        <w:rPr>
          <w:rFonts w:ascii="Times New Roman" w:hAnsi="Times New Roman" w:cs="Times New Roman"/>
          <w:sz w:val="24"/>
          <w:szCs w:val="24"/>
        </w:rPr>
        <w:t xml:space="preserve"> and within countries </w:t>
      </w:r>
      <w:r w:rsidR="007E02A0" w:rsidRPr="00F07DEB">
        <w:rPr>
          <w:rFonts w:ascii="Times New Roman" w:hAnsi="Times New Roman" w:cs="Times New Roman"/>
          <w:sz w:val="24"/>
          <w:szCs w:val="24"/>
        </w:rPr>
        <w:fldChar w:fldCharType="begin"/>
      </w:r>
      <w:r w:rsidR="00BE45F8" w:rsidRPr="00F07DEB">
        <w:rPr>
          <w:rFonts w:ascii="Times New Roman" w:hAnsi="Times New Roman" w:cs="Times New Roman"/>
          <w:sz w:val="24"/>
          <w:szCs w:val="24"/>
        </w:rPr>
        <w:instrText xml:space="preserve"> ADDIN ZOTERO_ITEM CSL_CITATION {"citationID":"1jasx3Bz","properties":{"formattedCitation":"(Shuval, 1991a; USEPA, 2012)","plainCitation":"(Shuval, 1991a; USEPA, 2012)","noteIndex":0},"citationItems":[{"id":321,"uris":["http://zotero.org/users/5446453/items/LC3GEPRX"],"uri":["http://zotero.org/users/5446453/items/LC3GEPRX"],"itemData":{"id":321,"type":"article-journal","abstract":"While wastewater reuse has been practiced for well over a hundred years as an effective combined strategy for water conservation and water pollution prevention,","container-title":"Water Science and Technology","DOI":"10.2166/wst.1991.0663","ISSN":"0273-1223","issue":"10-12","journalAbbreviation":"Water Sci Technol","language":"en","note":"publisher: IWA Publishing","page":"2073-2080","source":"iwaponline.com","title":"Health Guidelines and Standards for Wastewater Reuse in Agriculture: Historical Perspectives","title-short":"Health Guidelines and Standards for Wastewater Reuse in Agriculture","volume":"23","author":[{"family":"Shuval","given":"H.I."}],"issued":{"date-parts":[["1991",5,1]]}}},{"id":410,"uris":["http://zotero.org/users/5446453/items/6AD5KZJC"],"uri":["http://zotero.org/users/5446453/items/6AD5KZJC"],"itemData":{"id":410,"type":"report","event-place":"Washington, D.C.","language":"en","number":"EPA/600/R-12/618","page":"643","publisher":"U.S. Environmental Protection Agency Office of Wastewater Management","publisher-place":"Washington, D.C.","source":"Zotero","title":"2012 Guidelines for Water Reuse","URL":"https://www3.epa.gov/region1/npdes/merrimackstation/pdfs/ar/AR-1530.pdf","author":[{"literal":"USEPA"}],"issued":{"date-parts":[["2012",9]]}}}],"schema":"https://github.com/citation-style-language/schema/raw/master/csl-citation.json"} </w:instrText>
      </w:r>
      <w:r w:rsidR="007E02A0"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(Shuval, 1991a; USEPA, 2012)</w:t>
      </w:r>
      <w:r w:rsidR="007E02A0" w:rsidRPr="00F07DEB">
        <w:rPr>
          <w:rFonts w:ascii="Times New Roman" w:hAnsi="Times New Roman" w:cs="Times New Roman"/>
          <w:sz w:val="24"/>
          <w:szCs w:val="24"/>
        </w:rPr>
        <w:fldChar w:fldCharType="end"/>
      </w:r>
      <w:r w:rsidR="008832CC" w:rsidRPr="00F07DEB">
        <w:rPr>
          <w:rFonts w:ascii="Times New Roman" w:hAnsi="Times New Roman" w:cs="Times New Roman"/>
          <w:sz w:val="24"/>
          <w:szCs w:val="24"/>
        </w:rPr>
        <w:t>.</w:t>
      </w:r>
      <w:r w:rsidR="007E02A0" w:rsidRPr="00F07DEB">
        <w:rPr>
          <w:rFonts w:ascii="Times New Roman" w:hAnsi="Times New Roman" w:cs="Times New Roman"/>
          <w:sz w:val="24"/>
          <w:szCs w:val="24"/>
        </w:rPr>
        <w:t xml:space="preserve"> </w:t>
      </w:r>
    </w:p>
    <w:p w14:paraId="4840B341" w14:textId="2F2DDCCE" w:rsidR="005B1A04" w:rsidRPr="00F07DEB" w:rsidRDefault="00924CFE" w:rsidP="00F8101B">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lastRenderedPageBreak/>
        <w:t>Researchers have supplemented regulatory guidelines</w:t>
      </w:r>
      <w:r w:rsidR="00357F87" w:rsidRPr="00F07DEB">
        <w:rPr>
          <w:rFonts w:ascii="Times New Roman" w:hAnsi="Times New Roman" w:cs="Times New Roman"/>
          <w:sz w:val="24"/>
          <w:szCs w:val="24"/>
        </w:rPr>
        <w:t xml:space="preserve"> for reclaimed wastewater irrigation</w:t>
      </w:r>
      <w:r w:rsidRPr="00F07DEB">
        <w:rPr>
          <w:rFonts w:ascii="Times New Roman" w:hAnsi="Times New Roman" w:cs="Times New Roman"/>
          <w:sz w:val="24"/>
          <w:szCs w:val="24"/>
        </w:rPr>
        <w:t xml:space="preserve">, which in most cases were developed to safeguard plant health during </w:t>
      </w:r>
      <w:r w:rsidR="00954E4A" w:rsidRPr="00F07DEB">
        <w:rPr>
          <w:rFonts w:ascii="Times New Roman" w:hAnsi="Times New Roman" w:cs="Times New Roman"/>
          <w:sz w:val="24"/>
          <w:szCs w:val="24"/>
        </w:rPr>
        <w:t xml:space="preserve">generalized </w:t>
      </w:r>
      <w:r w:rsidRPr="00F07DEB">
        <w:rPr>
          <w:rFonts w:ascii="Times New Roman" w:hAnsi="Times New Roman" w:cs="Times New Roman"/>
          <w:sz w:val="24"/>
          <w:szCs w:val="24"/>
        </w:rPr>
        <w:t>wastewater reuse scenarios, with numerou</w:t>
      </w:r>
      <w:r w:rsidR="00954E4A" w:rsidRPr="00F07DEB">
        <w:rPr>
          <w:rFonts w:ascii="Times New Roman" w:hAnsi="Times New Roman" w:cs="Times New Roman"/>
          <w:sz w:val="24"/>
          <w:szCs w:val="24"/>
        </w:rPr>
        <w:t xml:space="preserve">s studies assessing the plant and human health risks of wastewater irrigation under local conditions </w:t>
      </w:r>
      <w:r w:rsidR="00954E4A" w:rsidRPr="00F07DEB">
        <w:rPr>
          <w:rFonts w:ascii="Times New Roman" w:hAnsi="Times New Roman" w:cs="Times New Roman"/>
          <w:sz w:val="24"/>
          <w:szCs w:val="24"/>
        </w:rPr>
        <w:fldChar w:fldCharType="begin"/>
      </w:r>
      <w:r w:rsidR="00C2564D">
        <w:rPr>
          <w:rFonts w:ascii="Times New Roman" w:hAnsi="Times New Roman" w:cs="Times New Roman"/>
          <w:sz w:val="24"/>
          <w:szCs w:val="24"/>
        </w:rPr>
        <w:instrText xml:space="preserve"> ADDIN ZOTERO_ITEM CSL_CITATION {"citationID":"hzN5c3vl","properties":{"formattedCitation":"(Chang et al., 2001)","plainCitation":"(Chang et al., 2001)","noteIndex":0},"citationItems":[{"id":412,"uris":["http://zotero.org/users/5446453/items/QM4Z8T66"],"uri":["http://zotero.org/users/5446453/items/QM4Z8T66"],"itemData":{"id":412,"type":"report","number":"No. WHO/EOS/95.20","page":"13","publisher":"World Health Organization European Environmental Bureau","source":"ResearchGate","title":"Developing human health-related chemical guidelines for reclaimed water and sewage sludge applications in agriculture","author":[{"family":"Chang","given":"Andrew"},{"family":"Pan","given":"Genxing"},{"family":"Page","given":"Albert"},{"family":"Asano","given":"Takashi"}],"issued":{"date-parts":[["2001",1,1]]}}}],"schema":"https://github.com/citation-style-language/schema/raw/master/csl-citation.json"} </w:instrText>
      </w:r>
      <w:r w:rsidR="00954E4A"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(Chang et al., 2001)</w:t>
      </w:r>
      <w:r w:rsidR="00954E4A" w:rsidRPr="00F07DEB">
        <w:rPr>
          <w:rFonts w:ascii="Times New Roman" w:hAnsi="Times New Roman" w:cs="Times New Roman"/>
          <w:sz w:val="24"/>
          <w:szCs w:val="24"/>
        </w:rPr>
        <w:fldChar w:fldCharType="end"/>
      </w:r>
      <w:r w:rsidR="00954E4A" w:rsidRPr="00F07DEB">
        <w:rPr>
          <w:rFonts w:ascii="Times New Roman" w:hAnsi="Times New Roman" w:cs="Times New Roman"/>
          <w:sz w:val="24"/>
          <w:szCs w:val="24"/>
        </w:rPr>
        <w:t xml:space="preserve">. </w:t>
      </w:r>
      <w:r w:rsidR="00004B6D" w:rsidRPr="00F07DEB">
        <w:rPr>
          <w:rFonts w:ascii="Times New Roman" w:hAnsi="Times New Roman" w:cs="Times New Roman"/>
          <w:sz w:val="24"/>
          <w:szCs w:val="24"/>
        </w:rPr>
        <w:t>Despite its role in propagating prohibitively strict wastewater reuse standards, California played host to a five-year experiment evaluating vegetable irrigation with terti</w:t>
      </w:r>
      <w:r w:rsidR="00F12F2C" w:rsidRPr="00F07DEB">
        <w:rPr>
          <w:rFonts w:ascii="Times New Roman" w:hAnsi="Times New Roman" w:cs="Times New Roman"/>
          <w:sz w:val="24"/>
          <w:szCs w:val="24"/>
        </w:rPr>
        <w:t>ary-</w:t>
      </w:r>
      <w:r w:rsidR="00004B6D" w:rsidRPr="00F07DEB">
        <w:rPr>
          <w:rFonts w:ascii="Times New Roman" w:hAnsi="Times New Roman" w:cs="Times New Roman"/>
          <w:sz w:val="24"/>
          <w:szCs w:val="24"/>
        </w:rPr>
        <w:t xml:space="preserve">treated </w:t>
      </w:r>
      <w:r w:rsidR="000A2D5A" w:rsidRPr="00F07DEB">
        <w:rPr>
          <w:rFonts w:ascii="Times New Roman" w:hAnsi="Times New Roman" w:cs="Times New Roman"/>
          <w:sz w:val="24"/>
          <w:szCs w:val="24"/>
        </w:rPr>
        <w:t xml:space="preserve">domestic </w:t>
      </w:r>
      <w:r w:rsidR="00004B6D" w:rsidRPr="00F07DEB">
        <w:rPr>
          <w:rFonts w:ascii="Times New Roman" w:hAnsi="Times New Roman" w:cs="Times New Roman"/>
          <w:sz w:val="24"/>
          <w:szCs w:val="24"/>
        </w:rPr>
        <w:t xml:space="preserve">wastewater in water-strapped Monterey County </w:t>
      </w:r>
      <w:r w:rsidR="00004B6D" w:rsidRPr="00F07DEB">
        <w:rPr>
          <w:rFonts w:ascii="Times New Roman" w:hAnsi="Times New Roman" w:cs="Times New Roman"/>
          <w:sz w:val="24"/>
          <w:szCs w:val="24"/>
        </w:rPr>
        <w:fldChar w:fldCharType="begin"/>
      </w:r>
      <w:r w:rsidR="00823513" w:rsidRPr="00F07DEB">
        <w:rPr>
          <w:rFonts w:ascii="Times New Roman" w:hAnsi="Times New Roman" w:cs="Times New Roman"/>
          <w:sz w:val="24"/>
          <w:szCs w:val="24"/>
        </w:rPr>
        <w:instrText xml:space="preserve"> ADDIN ZOTERO_ITEM CSL_CITATION {"citationID":"VfS8GHIW","properties":{"formattedCitation":"(Burau et al., 1987)","plainCitation":"(Burau et al., 1987)","noteIndex":0},"citationItems":[{"id":418,"uris":["http://zotero.org/users/5446453/items/MNPWFHEW"],"uri":["http://zotero.org/users/5446453/items/MNPWFHEW"],"itemData":{"id":418,"type":"article-journal","container-title":"California Agriculture","issue":"July-August","language":"en","page":"4-7","source":"Zotero","title":"Reclaimed water for irrigation of vegetables eaten raw","author":[{"family":"Burau","given":"Richard G"},{"family":"Sheikh","given":"Bahman"},{"family":"Cort","given":"Robin P"},{"family":"Cooper","given":"Robert C"},{"family":"Ririe","given":"David"}],"issued":{"date-parts":[["1987"]]}}}],"schema":"https://github.com/citation-style-language/schema/raw/master/csl-citation.json"} </w:instrText>
      </w:r>
      <w:r w:rsidR="00004B6D"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(Burau et al., 1987)</w:t>
      </w:r>
      <w:r w:rsidR="00004B6D" w:rsidRPr="00F07DEB">
        <w:rPr>
          <w:rFonts w:ascii="Times New Roman" w:hAnsi="Times New Roman" w:cs="Times New Roman"/>
          <w:sz w:val="24"/>
          <w:szCs w:val="24"/>
        </w:rPr>
        <w:fldChar w:fldCharType="end"/>
      </w:r>
      <w:r w:rsidR="00004B6D" w:rsidRPr="00F07DEB">
        <w:rPr>
          <w:rFonts w:ascii="Times New Roman" w:hAnsi="Times New Roman" w:cs="Times New Roman"/>
          <w:sz w:val="24"/>
          <w:szCs w:val="24"/>
        </w:rPr>
        <w:t xml:space="preserve">. </w:t>
      </w:r>
      <w:r w:rsidR="000A2D5A" w:rsidRPr="00F07DEB">
        <w:rPr>
          <w:rFonts w:ascii="Times New Roman" w:hAnsi="Times New Roman" w:cs="Times New Roman"/>
          <w:sz w:val="24"/>
          <w:szCs w:val="24"/>
        </w:rPr>
        <w:t xml:space="preserve">The irrigation of six crops </w:t>
      </w:r>
      <w:r w:rsidR="006021AB" w:rsidRPr="00F07DEB">
        <w:rPr>
          <w:rFonts w:ascii="Times New Roman" w:hAnsi="Times New Roman" w:cs="Times New Roman"/>
          <w:sz w:val="24"/>
          <w:szCs w:val="24"/>
        </w:rPr>
        <w:t xml:space="preserve">grown for raw consumption </w:t>
      </w:r>
      <w:r w:rsidR="000A2D5A" w:rsidRPr="00F07DEB">
        <w:rPr>
          <w:rFonts w:ascii="Times New Roman" w:hAnsi="Times New Roman" w:cs="Times New Roman"/>
          <w:sz w:val="24"/>
          <w:szCs w:val="24"/>
        </w:rPr>
        <w:t xml:space="preserve">with well water and two types of highly treated wastewater was closely monitored through extensive water, soil, and plant quality data collection </w:t>
      </w:r>
      <w:r w:rsidR="000A2D5A" w:rsidRPr="00F07DEB">
        <w:rPr>
          <w:rFonts w:ascii="Times New Roman" w:hAnsi="Times New Roman" w:cs="Times New Roman"/>
          <w:sz w:val="24"/>
          <w:szCs w:val="24"/>
        </w:rPr>
        <w:fldChar w:fldCharType="begin"/>
      </w:r>
      <w:r w:rsidR="00823513" w:rsidRPr="00F07DEB">
        <w:rPr>
          <w:rFonts w:ascii="Times New Roman" w:hAnsi="Times New Roman" w:cs="Times New Roman"/>
          <w:sz w:val="24"/>
          <w:szCs w:val="24"/>
        </w:rPr>
        <w:instrText xml:space="preserve"> ADDIN ZOTERO_ITEM CSL_CITATION {"citationID":"DTnvH0Wr","properties":{"formattedCitation":"(Burau et al., 1987)","plainCitation":"(Burau et al., 1987)","noteIndex":0},"citationItems":[{"id":418,"uris":["http://zotero.org/users/5446453/items/MNPWFHEW"],"uri":["http://zotero.org/users/5446453/items/MNPWFHEW"],"itemData":{"id":418,"type":"article-journal","container-title":"California Agriculture","issue":"July-August","language":"en","page":"4-7","source":"Zotero","title":"Reclaimed water for irrigation of vegetables eaten raw","author":[{"family":"Burau","given":"Richard G"},{"family":"Sheikh","given":"Bahman"},{"family":"Cort","given":"Robin P"},{"family":"Cooper","given":"Robert C"},{"family":"Ririe","given":"David"}],"issued":{"date-parts":[["1987"]]}}}],"schema":"https://github.com/citation-style-language/schema/raw/master/csl-citation.json"} </w:instrText>
      </w:r>
      <w:r w:rsidR="000A2D5A"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(Burau et al., 1987)</w:t>
      </w:r>
      <w:r w:rsidR="000A2D5A" w:rsidRPr="00F07DEB">
        <w:rPr>
          <w:rFonts w:ascii="Times New Roman" w:hAnsi="Times New Roman" w:cs="Times New Roman"/>
          <w:sz w:val="24"/>
          <w:szCs w:val="24"/>
        </w:rPr>
        <w:fldChar w:fldCharType="end"/>
      </w:r>
      <w:r w:rsidR="000A2D5A" w:rsidRPr="00F07DEB">
        <w:rPr>
          <w:rFonts w:ascii="Times New Roman" w:hAnsi="Times New Roman" w:cs="Times New Roman"/>
          <w:sz w:val="24"/>
          <w:szCs w:val="24"/>
        </w:rPr>
        <w:t xml:space="preserve">. </w:t>
      </w:r>
      <w:r w:rsidR="006021AB" w:rsidRPr="00F07DEB">
        <w:rPr>
          <w:rFonts w:ascii="Times New Roman" w:hAnsi="Times New Roman" w:cs="Times New Roman"/>
          <w:sz w:val="24"/>
          <w:szCs w:val="24"/>
        </w:rPr>
        <w:t>The researchers concluded that irrigation with reclaimed wastewater posed no significant threat to crop</w:t>
      </w:r>
      <w:r w:rsidR="00924967" w:rsidRPr="00F07DEB">
        <w:rPr>
          <w:rFonts w:ascii="Times New Roman" w:hAnsi="Times New Roman" w:cs="Times New Roman"/>
          <w:sz w:val="24"/>
          <w:szCs w:val="24"/>
        </w:rPr>
        <w:t xml:space="preserve"> development, </w:t>
      </w:r>
      <w:r w:rsidR="006021AB" w:rsidRPr="00F07DEB">
        <w:rPr>
          <w:rFonts w:ascii="Times New Roman" w:hAnsi="Times New Roman" w:cs="Times New Roman"/>
          <w:sz w:val="24"/>
          <w:szCs w:val="24"/>
        </w:rPr>
        <w:t xml:space="preserve">soil quality, </w:t>
      </w:r>
      <w:r w:rsidR="00924967" w:rsidRPr="00F07DEB">
        <w:rPr>
          <w:rFonts w:ascii="Times New Roman" w:hAnsi="Times New Roman" w:cs="Times New Roman"/>
          <w:sz w:val="24"/>
          <w:szCs w:val="24"/>
        </w:rPr>
        <w:t xml:space="preserve">or </w:t>
      </w:r>
      <w:r w:rsidR="006021AB" w:rsidRPr="00F07DEB">
        <w:rPr>
          <w:rFonts w:ascii="Times New Roman" w:hAnsi="Times New Roman" w:cs="Times New Roman"/>
          <w:sz w:val="24"/>
          <w:szCs w:val="24"/>
        </w:rPr>
        <w:t>human health</w:t>
      </w:r>
      <w:r w:rsidR="00924967" w:rsidRPr="00F07DEB">
        <w:rPr>
          <w:rFonts w:ascii="Times New Roman" w:hAnsi="Times New Roman" w:cs="Times New Roman"/>
          <w:sz w:val="24"/>
          <w:szCs w:val="24"/>
        </w:rPr>
        <w:t xml:space="preserve">, and that by most metrics the three water treatments produced statistically indistinguishable outcomes </w:t>
      </w:r>
      <w:r w:rsidR="00924967" w:rsidRPr="00F07DEB">
        <w:rPr>
          <w:rFonts w:ascii="Times New Roman" w:hAnsi="Times New Roman" w:cs="Times New Roman"/>
          <w:sz w:val="24"/>
          <w:szCs w:val="24"/>
        </w:rPr>
        <w:fldChar w:fldCharType="begin"/>
      </w:r>
      <w:r w:rsidR="00823513" w:rsidRPr="00F07DEB">
        <w:rPr>
          <w:rFonts w:ascii="Times New Roman" w:hAnsi="Times New Roman" w:cs="Times New Roman"/>
          <w:sz w:val="24"/>
          <w:szCs w:val="24"/>
        </w:rPr>
        <w:instrText xml:space="preserve"> ADDIN ZOTERO_ITEM CSL_CITATION {"citationID":"0bllX2zv","properties":{"formattedCitation":"(Burau et al., 1987)","plainCitation":"(Burau et al., 1987)","noteIndex":0},"citationItems":[{"id":418,"uris":["http://zotero.org/users/5446453/items/MNPWFHEW"],"uri":["http://zotero.org/users/5446453/items/MNPWFHEW"],"itemData":{"id":418,"type":"article-journal","container-title":"California Agriculture","issue":"July-August","language":"en","page":"4-7","source":"Zotero","title":"Reclaimed water for irrigation of vegetables eaten raw","author":[{"family":"Burau","given":"Richard G"},{"family":"Sheikh","given":"Bahman"},{"family":"Cort","given":"Robin P"},{"family":"Cooper","given":"Robert C"},{"family":"Ririe","given":"David"}],"issued":{"date-parts":[["1987"]]}}}],"schema":"https://github.com/citation-style-language/schema/raw/master/csl-citation.json"} </w:instrText>
      </w:r>
      <w:r w:rsidR="00924967"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(Burau et al., 1987)</w:t>
      </w:r>
      <w:r w:rsidR="00924967" w:rsidRPr="00F07DEB">
        <w:rPr>
          <w:rFonts w:ascii="Times New Roman" w:hAnsi="Times New Roman" w:cs="Times New Roman"/>
          <w:sz w:val="24"/>
          <w:szCs w:val="24"/>
        </w:rPr>
        <w:fldChar w:fldCharType="end"/>
      </w:r>
      <w:r w:rsidR="00924967" w:rsidRPr="00F07DEB">
        <w:rPr>
          <w:rFonts w:ascii="Times New Roman" w:hAnsi="Times New Roman" w:cs="Times New Roman"/>
          <w:sz w:val="24"/>
          <w:szCs w:val="24"/>
        </w:rPr>
        <w:t>.</w:t>
      </w:r>
      <w:r w:rsidR="00A418CA" w:rsidRPr="00F07DEB">
        <w:rPr>
          <w:rFonts w:ascii="Times New Roman" w:hAnsi="Times New Roman" w:cs="Times New Roman"/>
          <w:sz w:val="24"/>
          <w:szCs w:val="24"/>
        </w:rPr>
        <w:t xml:space="preserve"> T</w:t>
      </w:r>
      <w:r w:rsidR="00031536" w:rsidRPr="00F07DEB">
        <w:rPr>
          <w:rFonts w:ascii="Times New Roman" w:hAnsi="Times New Roman" w:cs="Times New Roman"/>
          <w:sz w:val="24"/>
          <w:szCs w:val="24"/>
        </w:rPr>
        <w:t>he</w:t>
      </w:r>
      <w:r w:rsidR="00A418CA" w:rsidRPr="00F07DEB">
        <w:rPr>
          <w:rFonts w:ascii="Times New Roman" w:hAnsi="Times New Roman" w:cs="Times New Roman"/>
          <w:sz w:val="24"/>
          <w:szCs w:val="24"/>
        </w:rPr>
        <w:t xml:space="preserve"> Monterey County wastewater treatment provider touts the study a</w:t>
      </w:r>
      <w:r w:rsidR="00E17F7B" w:rsidRPr="00F07DEB">
        <w:rPr>
          <w:rFonts w:ascii="Times New Roman" w:hAnsi="Times New Roman" w:cs="Times New Roman"/>
          <w:sz w:val="24"/>
          <w:szCs w:val="24"/>
        </w:rPr>
        <w:t xml:space="preserve">s proof that </w:t>
      </w:r>
      <w:r w:rsidR="007C2902" w:rsidRPr="00F07DEB">
        <w:rPr>
          <w:rFonts w:ascii="Times New Roman" w:hAnsi="Times New Roman" w:cs="Times New Roman"/>
          <w:sz w:val="24"/>
          <w:szCs w:val="24"/>
        </w:rPr>
        <w:t>recycled</w:t>
      </w:r>
      <w:r w:rsidR="00A418CA" w:rsidRPr="00F07DEB">
        <w:rPr>
          <w:rFonts w:ascii="Times New Roman" w:hAnsi="Times New Roman" w:cs="Times New Roman"/>
          <w:sz w:val="24"/>
          <w:szCs w:val="24"/>
        </w:rPr>
        <w:t xml:space="preserve"> wastewater </w:t>
      </w:r>
      <w:r w:rsidR="00E17F7B" w:rsidRPr="00F07DEB">
        <w:rPr>
          <w:rFonts w:ascii="Times New Roman" w:hAnsi="Times New Roman" w:cs="Times New Roman"/>
          <w:sz w:val="24"/>
          <w:szCs w:val="24"/>
        </w:rPr>
        <w:t>resulted in greater yields and higher quality plants</w:t>
      </w:r>
      <w:r w:rsidR="00031536" w:rsidRPr="00F07DEB">
        <w:rPr>
          <w:rFonts w:ascii="Times New Roman" w:hAnsi="Times New Roman" w:cs="Times New Roman"/>
          <w:sz w:val="24"/>
          <w:szCs w:val="24"/>
        </w:rPr>
        <w:t xml:space="preserve"> compared to groundwater irrigation</w:t>
      </w:r>
      <w:r w:rsidR="00E17F7B" w:rsidRPr="00F07DEB">
        <w:rPr>
          <w:rFonts w:ascii="Times New Roman" w:hAnsi="Times New Roman" w:cs="Times New Roman"/>
          <w:sz w:val="24"/>
          <w:szCs w:val="24"/>
        </w:rPr>
        <w:t xml:space="preserve">, but </w:t>
      </w:r>
      <w:r w:rsidR="00031536" w:rsidRPr="00F07DEB">
        <w:rPr>
          <w:rFonts w:ascii="Times New Roman" w:hAnsi="Times New Roman" w:cs="Times New Roman"/>
          <w:sz w:val="24"/>
          <w:szCs w:val="24"/>
        </w:rPr>
        <w:t>it is important to note the local conditions that made this possible</w:t>
      </w:r>
      <w:r w:rsidR="00BD48D5" w:rsidRPr="00F07DEB">
        <w:rPr>
          <w:rFonts w:ascii="Times New Roman" w:hAnsi="Times New Roman" w:cs="Times New Roman"/>
          <w:sz w:val="24"/>
          <w:szCs w:val="24"/>
        </w:rPr>
        <w:t xml:space="preserve">, and that </w:t>
      </w:r>
      <w:r w:rsidR="00050F5B" w:rsidRPr="00F07DEB">
        <w:rPr>
          <w:rFonts w:ascii="Times New Roman" w:hAnsi="Times New Roman" w:cs="Times New Roman"/>
          <w:sz w:val="24"/>
          <w:szCs w:val="24"/>
        </w:rPr>
        <w:t>limit</w:t>
      </w:r>
      <w:r w:rsidR="00BD48D5" w:rsidRPr="00F07DEB">
        <w:rPr>
          <w:rFonts w:ascii="Times New Roman" w:hAnsi="Times New Roman" w:cs="Times New Roman"/>
          <w:sz w:val="24"/>
          <w:szCs w:val="24"/>
        </w:rPr>
        <w:t xml:space="preserve"> the </w:t>
      </w:r>
      <w:r w:rsidR="00050F5B" w:rsidRPr="00F07DEB">
        <w:rPr>
          <w:rFonts w:ascii="Times New Roman" w:hAnsi="Times New Roman" w:cs="Times New Roman"/>
          <w:sz w:val="24"/>
          <w:szCs w:val="24"/>
        </w:rPr>
        <w:t>widespread application of such conclusions</w:t>
      </w:r>
      <w:r w:rsidR="00ED3609" w:rsidRPr="00F07DEB">
        <w:rPr>
          <w:rFonts w:ascii="Times New Roman" w:hAnsi="Times New Roman" w:cs="Times New Roman"/>
          <w:sz w:val="24"/>
          <w:szCs w:val="24"/>
        </w:rPr>
        <w:t xml:space="preserve"> for other regions and wastewater streams </w:t>
      </w:r>
      <w:r w:rsidR="00031536" w:rsidRPr="00F07DEB">
        <w:rPr>
          <w:rFonts w:ascii="Times New Roman" w:hAnsi="Times New Roman" w:cs="Times New Roman"/>
          <w:sz w:val="24"/>
          <w:szCs w:val="24"/>
        </w:rPr>
        <w:fldChar w:fldCharType="begin"/>
      </w:r>
      <w:r w:rsidR="00A539A8" w:rsidRPr="00F07DEB">
        <w:rPr>
          <w:rFonts w:ascii="Times New Roman" w:hAnsi="Times New Roman" w:cs="Times New Roman"/>
          <w:sz w:val="24"/>
          <w:szCs w:val="24"/>
        </w:rPr>
        <w:instrText xml:space="preserve"> ADDIN ZOTERO_ITEM CSL_CITATION {"citationID":"C0J3itFp","properties":{"formattedCitation":"(M1W, 2020)","plainCitation":"(M1W, 2020)","noteIndex":0},"citationItems":[{"id":421,"uris":["http://zotero.org/users/5446453/items/VAU9PX8E"],"uri":["http://zotero.org/users/5446453/items/VAU9PX8E"],"itemData":{"id":421,"type":"webpage","container-title":"Monterey One Water","title":"Monterey One Water History","URL":"https://montereyonewater.org/about_history.html","author":[{"literal":"M1W"}],"accessed":{"date-parts":[["2020",4,30]]},"issued":{"date-parts":[["2020"]]}}}],"schema":"https://github.com/citation-style-language/schema/raw/master/csl-citation.json"} </w:instrText>
      </w:r>
      <w:r w:rsidR="00031536"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(M1W, 2020)</w:t>
      </w:r>
      <w:r w:rsidR="00031536" w:rsidRPr="00F07DEB">
        <w:rPr>
          <w:rFonts w:ascii="Times New Roman" w:hAnsi="Times New Roman" w:cs="Times New Roman"/>
          <w:sz w:val="24"/>
          <w:szCs w:val="24"/>
        </w:rPr>
        <w:fldChar w:fldCharType="end"/>
      </w:r>
      <w:r w:rsidR="00031536" w:rsidRPr="00F07DEB">
        <w:rPr>
          <w:rFonts w:ascii="Times New Roman" w:hAnsi="Times New Roman" w:cs="Times New Roman"/>
          <w:sz w:val="24"/>
          <w:szCs w:val="24"/>
        </w:rPr>
        <w:t>.</w:t>
      </w:r>
      <w:r w:rsidR="00A418CA" w:rsidRPr="00F07DEB">
        <w:rPr>
          <w:rFonts w:ascii="Times New Roman" w:hAnsi="Times New Roman" w:cs="Times New Roman"/>
          <w:sz w:val="24"/>
          <w:szCs w:val="24"/>
        </w:rPr>
        <w:t xml:space="preserve"> </w:t>
      </w:r>
      <w:r w:rsidR="00031536" w:rsidRPr="00F07DEB">
        <w:rPr>
          <w:rFonts w:ascii="Times New Roman" w:hAnsi="Times New Roman" w:cs="Times New Roman"/>
          <w:sz w:val="24"/>
          <w:szCs w:val="24"/>
        </w:rPr>
        <w:t xml:space="preserve">The municipality’s ability to harness the high nutrient concentrations from reclaimed domestic wastewater while negating the microbial </w:t>
      </w:r>
      <w:r w:rsidR="00514C63" w:rsidRPr="00F07DEB">
        <w:rPr>
          <w:rFonts w:ascii="Times New Roman" w:hAnsi="Times New Roman" w:cs="Times New Roman"/>
          <w:sz w:val="24"/>
          <w:szCs w:val="24"/>
        </w:rPr>
        <w:t xml:space="preserve">and chemical </w:t>
      </w:r>
      <w:r w:rsidR="00031536" w:rsidRPr="00F07DEB">
        <w:rPr>
          <w:rFonts w:ascii="Times New Roman" w:hAnsi="Times New Roman" w:cs="Times New Roman"/>
          <w:sz w:val="24"/>
          <w:szCs w:val="24"/>
        </w:rPr>
        <w:t xml:space="preserve">risk was made possible </w:t>
      </w:r>
      <w:r w:rsidR="004E7AFB" w:rsidRPr="00F07DEB">
        <w:rPr>
          <w:rFonts w:ascii="Times New Roman" w:hAnsi="Times New Roman" w:cs="Times New Roman"/>
          <w:sz w:val="24"/>
          <w:szCs w:val="24"/>
        </w:rPr>
        <w:t xml:space="preserve">by a $150 million wastewater treatment plant, which ensures that </w:t>
      </w:r>
      <w:r w:rsidR="00CA07FD" w:rsidRPr="00F07DEB">
        <w:rPr>
          <w:rFonts w:ascii="Times New Roman" w:hAnsi="Times New Roman" w:cs="Times New Roman"/>
          <w:sz w:val="24"/>
          <w:szCs w:val="24"/>
        </w:rPr>
        <w:t>a</w:t>
      </w:r>
      <w:r w:rsidR="00593FF5" w:rsidRPr="00F07DEB">
        <w:rPr>
          <w:rFonts w:ascii="Times New Roman" w:hAnsi="Times New Roman" w:cs="Times New Roman"/>
          <w:sz w:val="24"/>
          <w:szCs w:val="24"/>
        </w:rPr>
        <w:t xml:space="preserve">verage metal concentrations in the </w:t>
      </w:r>
      <w:r w:rsidR="00F12F2C" w:rsidRPr="00F07DEB">
        <w:rPr>
          <w:rFonts w:ascii="Times New Roman" w:hAnsi="Times New Roman" w:cs="Times New Roman"/>
          <w:sz w:val="24"/>
          <w:szCs w:val="24"/>
        </w:rPr>
        <w:t>tertiary-</w:t>
      </w:r>
      <w:r w:rsidR="00593FF5" w:rsidRPr="00F07DEB">
        <w:rPr>
          <w:rFonts w:ascii="Times New Roman" w:hAnsi="Times New Roman" w:cs="Times New Roman"/>
          <w:sz w:val="24"/>
          <w:szCs w:val="24"/>
        </w:rPr>
        <w:t>treated w</w:t>
      </w:r>
      <w:r w:rsidR="008E31CA" w:rsidRPr="00F07DEB">
        <w:rPr>
          <w:rFonts w:ascii="Times New Roman" w:hAnsi="Times New Roman" w:cs="Times New Roman"/>
          <w:sz w:val="24"/>
          <w:szCs w:val="24"/>
        </w:rPr>
        <w:t>astewaters satisfy</w:t>
      </w:r>
      <w:r w:rsidR="00593FF5" w:rsidRPr="00F07DEB">
        <w:rPr>
          <w:rFonts w:ascii="Times New Roman" w:hAnsi="Times New Roman" w:cs="Times New Roman"/>
          <w:sz w:val="24"/>
          <w:szCs w:val="24"/>
        </w:rPr>
        <w:t xml:space="preserve"> California’s drinking water regulations</w:t>
      </w:r>
      <w:r w:rsidR="00E41C08" w:rsidRPr="00F07DEB">
        <w:rPr>
          <w:rFonts w:ascii="Times New Roman" w:hAnsi="Times New Roman" w:cs="Times New Roman"/>
          <w:sz w:val="24"/>
          <w:szCs w:val="24"/>
        </w:rPr>
        <w:t xml:space="preserve"> </w:t>
      </w:r>
      <w:r w:rsidR="00E41C08" w:rsidRPr="00F07DEB">
        <w:rPr>
          <w:rFonts w:ascii="Times New Roman" w:hAnsi="Times New Roman" w:cs="Times New Roman"/>
          <w:sz w:val="24"/>
          <w:szCs w:val="24"/>
        </w:rPr>
        <w:fldChar w:fldCharType="begin"/>
      </w:r>
      <w:r w:rsidR="00823513" w:rsidRPr="00F07DEB">
        <w:rPr>
          <w:rFonts w:ascii="Times New Roman" w:hAnsi="Times New Roman" w:cs="Times New Roman"/>
          <w:sz w:val="24"/>
          <w:szCs w:val="24"/>
        </w:rPr>
        <w:instrText xml:space="preserve"> ADDIN ZOTERO_ITEM CSL_CITATION {"citationID":"SeADOCab","properties":{"formattedCitation":"(Burau et al., 1987; M1W, 2020)","plainCitation":"(Burau et al., 1987; M1W, 2020)","noteIndex":0},"citationItems":[{"id":418,"uris":["http://zotero.org/users/5446453/items/MNPWFHEW"],"uri":["http://zotero.org/users/5446453/items/MNPWFHEW"],"itemData":{"id":418,"type":"article-journal","container-title":"California Agriculture","issue":"July-August","language":"en","page":"4-7","source":"Zotero","title":"Reclaimed water for irrigation of vegetables eaten raw","author":[{"family":"Burau","given":"Richard G"},{"family":"Sheikh","given":"Bahman"},{"family":"Cort","given":"Robin P"},{"family":"Cooper","given":"Robert C"},{"family":"Ririe","given":"David"}],"issued":{"date-parts":[["1987"]]}}},{"id":421,"uris":["http://zotero.org/users/5446453/items/VAU9PX8E"],"uri":["http://zotero.org/users/5446453/items/VAU9PX8E"],"itemData":{"id":421,"type":"webpage","container-title":"Monterey One Water","title":"Monterey One Water History","URL":"https://montereyonewater.org/about_history.html","author":[{"literal":"M1W"}],"accessed":{"date-parts":[["2020",4,30]]},"issued":{"date-parts":[["2020"]]}}}],"schema":"https://github.com/citation-style-language/schema/raw/master/csl-citation.json"} </w:instrText>
      </w:r>
      <w:r w:rsidR="00E41C08"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(Burau et al., 1987; M1W, 2020)</w:t>
      </w:r>
      <w:r w:rsidR="00E41C08" w:rsidRPr="00F07DEB">
        <w:rPr>
          <w:rFonts w:ascii="Times New Roman" w:hAnsi="Times New Roman" w:cs="Times New Roman"/>
          <w:sz w:val="24"/>
          <w:szCs w:val="24"/>
        </w:rPr>
        <w:fldChar w:fldCharType="end"/>
      </w:r>
      <w:r w:rsidR="00E41C08" w:rsidRPr="00F07DEB">
        <w:rPr>
          <w:rFonts w:ascii="Times New Roman" w:hAnsi="Times New Roman" w:cs="Times New Roman"/>
          <w:sz w:val="24"/>
          <w:szCs w:val="24"/>
        </w:rPr>
        <w:t>.</w:t>
      </w:r>
      <w:r w:rsidR="00450A42" w:rsidRPr="00F07DEB">
        <w:rPr>
          <w:rFonts w:ascii="Times New Roman" w:hAnsi="Times New Roman" w:cs="Times New Roman"/>
          <w:sz w:val="24"/>
          <w:szCs w:val="24"/>
        </w:rPr>
        <w:t xml:space="preserve"> M</w:t>
      </w:r>
      <w:r w:rsidR="00E41C08" w:rsidRPr="00F07DEB">
        <w:rPr>
          <w:rFonts w:ascii="Times New Roman" w:hAnsi="Times New Roman" w:cs="Times New Roman"/>
          <w:sz w:val="24"/>
          <w:szCs w:val="24"/>
        </w:rPr>
        <w:t xml:space="preserve">any communities </w:t>
      </w:r>
      <w:r w:rsidR="00450A42" w:rsidRPr="00F07DEB">
        <w:rPr>
          <w:rFonts w:ascii="Times New Roman" w:hAnsi="Times New Roman" w:cs="Times New Roman"/>
          <w:sz w:val="24"/>
          <w:szCs w:val="24"/>
        </w:rPr>
        <w:t xml:space="preserve">that would benefit from wastewater reclamation cannot </w:t>
      </w:r>
      <w:r w:rsidR="002A5105" w:rsidRPr="00F07DEB">
        <w:rPr>
          <w:rFonts w:ascii="Times New Roman" w:hAnsi="Times New Roman" w:cs="Times New Roman"/>
          <w:sz w:val="24"/>
          <w:szCs w:val="24"/>
        </w:rPr>
        <w:t>afford such a steep investment; this widespread reality has prompted</w:t>
      </w:r>
      <w:r w:rsidR="00450A42" w:rsidRPr="00F07DEB">
        <w:rPr>
          <w:rFonts w:ascii="Times New Roman" w:hAnsi="Times New Roman" w:cs="Times New Roman"/>
          <w:sz w:val="24"/>
          <w:szCs w:val="24"/>
        </w:rPr>
        <w:t xml:space="preserve"> </w:t>
      </w:r>
      <w:r w:rsidR="002A5105" w:rsidRPr="00F07DEB">
        <w:rPr>
          <w:rFonts w:ascii="Times New Roman" w:hAnsi="Times New Roman" w:cs="Times New Roman"/>
          <w:sz w:val="24"/>
          <w:szCs w:val="24"/>
        </w:rPr>
        <w:t>studies of lower cost wastewater reuse alternatives.</w:t>
      </w:r>
    </w:p>
    <w:p w14:paraId="38CC9D22" w14:textId="07170FA3" w:rsidR="00ED51B7" w:rsidRPr="00F07DEB" w:rsidRDefault="00AC42F6" w:rsidP="00F8101B">
      <w:pPr>
        <w:spacing w:line="480" w:lineRule="auto"/>
        <w:ind w:firstLine="720"/>
        <w:rPr>
          <w:rFonts w:ascii="Times New Roman" w:hAnsi="Times New Roman" w:cs="Times New Roman"/>
          <w:sz w:val="24"/>
          <w:szCs w:val="24"/>
        </w:rPr>
      </w:pPr>
      <w:proofErr w:type="spellStart"/>
      <w:r w:rsidRPr="00F07DEB">
        <w:rPr>
          <w:rFonts w:ascii="Times New Roman" w:hAnsi="Times New Roman" w:cs="Times New Roman"/>
          <w:sz w:val="24"/>
          <w:szCs w:val="24"/>
        </w:rPr>
        <w:lastRenderedPageBreak/>
        <w:t>Pescod’s</w:t>
      </w:r>
      <w:proofErr w:type="spellEnd"/>
      <w:r w:rsidRPr="00F07DEB">
        <w:rPr>
          <w:rFonts w:ascii="Times New Roman" w:hAnsi="Times New Roman" w:cs="Times New Roman"/>
          <w:sz w:val="24"/>
          <w:szCs w:val="24"/>
        </w:rPr>
        <w:t xml:space="preserve"> guide to </w:t>
      </w:r>
      <w:r w:rsidR="00CF26B8" w:rsidRPr="00F07DEB">
        <w:rPr>
          <w:rFonts w:ascii="Times New Roman" w:hAnsi="Times New Roman" w:cs="Times New Roman"/>
          <w:sz w:val="24"/>
          <w:szCs w:val="24"/>
        </w:rPr>
        <w:t>reclaiming</w:t>
      </w:r>
      <w:r w:rsidRPr="00F07DEB">
        <w:rPr>
          <w:rFonts w:ascii="Times New Roman" w:hAnsi="Times New Roman" w:cs="Times New Roman"/>
          <w:sz w:val="24"/>
          <w:szCs w:val="24"/>
        </w:rPr>
        <w:t xml:space="preserve"> and reusing wastewater in agriculture provides a thorough explanation of wastewater treatment methods, reuse guidelines, irrigation practices, and a selection of case studies throughout the world</w:t>
      </w:r>
      <w:r w:rsidR="000271BD" w:rsidRPr="00F07DEB">
        <w:rPr>
          <w:rFonts w:ascii="Times New Roman" w:hAnsi="Times New Roman" w:cs="Times New Roman"/>
          <w:sz w:val="24"/>
          <w:szCs w:val="24"/>
        </w:rPr>
        <w:t xml:space="preserve"> </w:t>
      </w:r>
      <w:r w:rsidR="000271BD" w:rsidRPr="00F07DEB">
        <w:rPr>
          <w:rFonts w:ascii="Times New Roman" w:hAnsi="Times New Roman" w:cs="Times New Roman"/>
          <w:sz w:val="24"/>
          <w:szCs w:val="24"/>
        </w:rPr>
        <w:fldChar w:fldCharType="begin"/>
      </w:r>
      <w:r w:rsidR="00E434EF" w:rsidRPr="00F07DEB">
        <w:rPr>
          <w:rFonts w:ascii="Times New Roman" w:hAnsi="Times New Roman" w:cs="Times New Roman"/>
          <w:sz w:val="24"/>
          <w:szCs w:val="24"/>
        </w:rPr>
        <w:instrText xml:space="preserve"> ADDIN ZOTERO_ITEM CSL_CITATION {"citationID":"T1y7CzVd","properties":{"formattedCitation":"(Pescod, 1992)","plainCitation":"(Pescod, 1992)","dontUpdate":true,"noteIndex":0},"citationItems":[{"id":315,"uris":["http://zotero.org/users/5446453/items/NEYTNK6R"],"uri":["http://zotero.org/users/5446453/items/NEYTNK6R"],"itemData":{"id":315,"type":"webpage","container-title":"Food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schema":"https://github.com/citation-style-language/schema/raw/master/csl-citation.json"} </w:instrText>
      </w:r>
      <w:r w:rsidR="000271BD" w:rsidRPr="00F07DEB">
        <w:rPr>
          <w:rFonts w:ascii="Times New Roman" w:hAnsi="Times New Roman" w:cs="Times New Roman"/>
          <w:sz w:val="24"/>
          <w:szCs w:val="24"/>
        </w:rPr>
        <w:fldChar w:fldCharType="separate"/>
      </w:r>
      <w:r w:rsidR="000271BD" w:rsidRPr="00F07DEB">
        <w:rPr>
          <w:rFonts w:ascii="Times New Roman" w:hAnsi="Times New Roman" w:cs="Times New Roman"/>
          <w:sz w:val="24"/>
          <w:szCs w:val="24"/>
        </w:rPr>
        <w:t>(1992)</w:t>
      </w:r>
      <w:r w:rsidR="000271BD" w:rsidRPr="00F07DEB">
        <w:rPr>
          <w:rFonts w:ascii="Times New Roman" w:hAnsi="Times New Roman" w:cs="Times New Roman"/>
          <w:sz w:val="24"/>
          <w:szCs w:val="24"/>
        </w:rPr>
        <w:fldChar w:fldCharType="end"/>
      </w:r>
      <w:r w:rsidRPr="00F07DEB">
        <w:rPr>
          <w:rFonts w:ascii="Times New Roman" w:hAnsi="Times New Roman" w:cs="Times New Roman"/>
          <w:sz w:val="24"/>
          <w:szCs w:val="24"/>
        </w:rPr>
        <w:t>.</w:t>
      </w:r>
      <w:r w:rsidR="000271BD" w:rsidRPr="00F07DEB">
        <w:rPr>
          <w:rFonts w:ascii="Times New Roman" w:hAnsi="Times New Roman" w:cs="Times New Roman"/>
          <w:sz w:val="24"/>
          <w:szCs w:val="24"/>
        </w:rPr>
        <w:t xml:space="preserve"> </w:t>
      </w:r>
      <w:r w:rsidR="009F32CF" w:rsidRPr="00F07DEB">
        <w:rPr>
          <w:rFonts w:ascii="Times New Roman" w:hAnsi="Times New Roman" w:cs="Times New Roman"/>
          <w:sz w:val="24"/>
          <w:szCs w:val="24"/>
        </w:rPr>
        <w:t xml:space="preserve">Tunisian farms have employed </w:t>
      </w:r>
      <w:r w:rsidR="008113FB" w:rsidRPr="00F07DEB">
        <w:rPr>
          <w:rFonts w:ascii="Times New Roman" w:hAnsi="Times New Roman" w:cs="Times New Roman"/>
          <w:sz w:val="24"/>
          <w:szCs w:val="24"/>
        </w:rPr>
        <w:t xml:space="preserve">secondary-treated </w:t>
      </w:r>
      <w:r w:rsidR="00AA0551" w:rsidRPr="00F07DEB">
        <w:rPr>
          <w:rFonts w:ascii="Times New Roman" w:hAnsi="Times New Roman" w:cs="Times New Roman"/>
          <w:sz w:val="24"/>
          <w:szCs w:val="24"/>
        </w:rPr>
        <w:t>wastewater</w:t>
      </w:r>
      <w:r w:rsidR="009F32CF" w:rsidRPr="00F07DEB">
        <w:rPr>
          <w:rFonts w:ascii="Times New Roman" w:hAnsi="Times New Roman" w:cs="Times New Roman"/>
          <w:sz w:val="24"/>
          <w:szCs w:val="24"/>
        </w:rPr>
        <w:t xml:space="preserve"> in irrigation for over half a century</w:t>
      </w:r>
      <w:r w:rsidR="003B45FB" w:rsidRPr="00F07DEB">
        <w:rPr>
          <w:rFonts w:ascii="Times New Roman" w:hAnsi="Times New Roman" w:cs="Times New Roman"/>
          <w:sz w:val="24"/>
          <w:szCs w:val="24"/>
        </w:rPr>
        <w:t xml:space="preserve">, and many of the country’s wastewater treatment plants supply effluent to be mixed with groundwater for irrigation at citrus tree farms and forage crop operations </w:t>
      </w:r>
      <w:r w:rsidR="003B45FB" w:rsidRPr="00F07DEB">
        <w:rPr>
          <w:rFonts w:ascii="Times New Roman" w:hAnsi="Times New Roman" w:cs="Times New Roman"/>
          <w:sz w:val="24"/>
          <w:szCs w:val="24"/>
        </w:rPr>
        <w:fldChar w:fldCharType="begin"/>
      </w:r>
      <w:r w:rsidR="003B45FB" w:rsidRPr="00F07DEB">
        <w:rPr>
          <w:rFonts w:ascii="Times New Roman" w:hAnsi="Times New Roman" w:cs="Times New Roman"/>
          <w:sz w:val="24"/>
          <w:szCs w:val="24"/>
        </w:rPr>
        <w:instrText xml:space="preserve"> ADDIN ZOTERO_ITEM CSL_CITATION {"citationID":"x0dzgFn8","properties":{"formattedCitation":"(Pescod, 1992)","plainCitation":"(Pescod, 1992)","noteIndex":0},"citationItems":[{"id":315,"uris":["http://zotero.org/users/5446453/items/NEYTNK6R"],"uri":["http://zotero.org/users/5446453/items/NEYTNK6R"],"itemData":{"id":315,"type":"webpage","container-title":"Food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schema":"https://github.com/citation-style-language/schema/raw/master/csl-citation.json"} </w:instrText>
      </w:r>
      <w:r w:rsidR="003B45FB"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(Pescod, 1992)</w:t>
      </w:r>
      <w:r w:rsidR="003B45FB" w:rsidRPr="00F07DEB">
        <w:rPr>
          <w:rFonts w:ascii="Times New Roman" w:hAnsi="Times New Roman" w:cs="Times New Roman"/>
          <w:sz w:val="24"/>
          <w:szCs w:val="24"/>
        </w:rPr>
        <w:fldChar w:fldCharType="end"/>
      </w:r>
      <w:r w:rsidR="003B45FB" w:rsidRPr="00F07DEB">
        <w:rPr>
          <w:rFonts w:ascii="Times New Roman" w:hAnsi="Times New Roman" w:cs="Times New Roman"/>
          <w:sz w:val="24"/>
          <w:szCs w:val="24"/>
        </w:rPr>
        <w:t xml:space="preserve">. </w:t>
      </w:r>
      <w:r w:rsidR="00B16F99" w:rsidRPr="00F07DEB">
        <w:rPr>
          <w:rFonts w:ascii="Times New Roman" w:hAnsi="Times New Roman" w:cs="Times New Roman"/>
          <w:sz w:val="24"/>
          <w:szCs w:val="24"/>
        </w:rPr>
        <w:t>The Tunisian government actively regulates agricultural reuse and oversees research in the sector; g</w:t>
      </w:r>
      <w:r w:rsidR="003B45FB" w:rsidRPr="00F07DEB">
        <w:rPr>
          <w:rFonts w:ascii="Times New Roman" w:hAnsi="Times New Roman" w:cs="Times New Roman"/>
          <w:sz w:val="24"/>
          <w:szCs w:val="24"/>
        </w:rPr>
        <w:t xml:space="preserve">overnment-sponsored studies determined that wastewater </w:t>
      </w:r>
      <w:r w:rsidR="008113FB" w:rsidRPr="00F07DEB">
        <w:rPr>
          <w:rFonts w:ascii="Times New Roman" w:hAnsi="Times New Roman" w:cs="Times New Roman"/>
          <w:sz w:val="24"/>
          <w:szCs w:val="24"/>
        </w:rPr>
        <w:t xml:space="preserve">from existing, economical activated sludge plants </w:t>
      </w:r>
      <w:r w:rsidR="003B45FB" w:rsidRPr="00F07DEB">
        <w:rPr>
          <w:rFonts w:ascii="Times New Roman" w:hAnsi="Times New Roman" w:cs="Times New Roman"/>
          <w:sz w:val="24"/>
          <w:szCs w:val="24"/>
        </w:rPr>
        <w:t xml:space="preserve">produced higher </w:t>
      </w:r>
      <w:r w:rsidR="00C05580" w:rsidRPr="00F07DEB">
        <w:rPr>
          <w:rFonts w:ascii="Times New Roman" w:hAnsi="Times New Roman" w:cs="Times New Roman"/>
          <w:sz w:val="24"/>
          <w:szCs w:val="24"/>
        </w:rPr>
        <w:t xml:space="preserve">crop </w:t>
      </w:r>
      <w:r w:rsidR="003B45FB" w:rsidRPr="00F07DEB">
        <w:rPr>
          <w:rFonts w:ascii="Times New Roman" w:hAnsi="Times New Roman" w:cs="Times New Roman"/>
          <w:sz w:val="24"/>
          <w:szCs w:val="24"/>
        </w:rPr>
        <w:t>yields than groundwater</w:t>
      </w:r>
      <w:r w:rsidR="00FB47CE" w:rsidRPr="00F07DEB">
        <w:rPr>
          <w:rFonts w:ascii="Times New Roman" w:hAnsi="Times New Roman" w:cs="Times New Roman"/>
          <w:sz w:val="24"/>
          <w:szCs w:val="24"/>
        </w:rPr>
        <w:t>,</w:t>
      </w:r>
      <w:r w:rsidR="003B45FB" w:rsidRPr="00F07DEB">
        <w:rPr>
          <w:rFonts w:ascii="Times New Roman" w:hAnsi="Times New Roman" w:cs="Times New Roman"/>
          <w:sz w:val="24"/>
          <w:szCs w:val="24"/>
        </w:rPr>
        <w:t xml:space="preserve"> without </w:t>
      </w:r>
      <w:r w:rsidR="00B8041B" w:rsidRPr="00F07DEB">
        <w:rPr>
          <w:rFonts w:ascii="Times New Roman" w:hAnsi="Times New Roman" w:cs="Times New Roman"/>
          <w:sz w:val="24"/>
          <w:szCs w:val="24"/>
        </w:rPr>
        <w:t xml:space="preserve">significantly impacting </w:t>
      </w:r>
      <w:r w:rsidR="00B16F99" w:rsidRPr="00F07DEB">
        <w:rPr>
          <w:rFonts w:ascii="Times New Roman" w:hAnsi="Times New Roman" w:cs="Times New Roman"/>
          <w:sz w:val="24"/>
          <w:szCs w:val="24"/>
        </w:rPr>
        <w:t xml:space="preserve">shallow groundwater quality </w:t>
      </w:r>
      <w:r w:rsidR="00B16F99" w:rsidRPr="00F07DEB">
        <w:rPr>
          <w:rFonts w:ascii="Times New Roman" w:hAnsi="Times New Roman" w:cs="Times New Roman"/>
          <w:sz w:val="24"/>
          <w:szCs w:val="24"/>
        </w:rPr>
        <w:fldChar w:fldCharType="begin"/>
      </w:r>
      <w:r w:rsidR="00B16F99" w:rsidRPr="00F07DEB">
        <w:rPr>
          <w:rFonts w:ascii="Times New Roman" w:hAnsi="Times New Roman" w:cs="Times New Roman"/>
          <w:sz w:val="24"/>
          <w:szCs w:val="24"/>
        </w:rPr>
        <w:instrText xml:space="preserve"> ADDIN ZOTERO_ITEM CSL_CITATION {"citationID":"7OyuVCLe","properties":{"formattedCitation":"(Pescod, 1992)","plainCitation":"(Pescod, 1992)","noteIndex":0},"citationItems":[{"id":315,"uris":["http://zotero.org/users/5446453/items/NEYTNK6R"],"uri":["http://zotero.org/users/5446453/items/NEYTNK6R"],"itemData":{"id":315,"type":"webpage","container-title":"Food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schema":"https://github.com/citation-style-language/schema/raw/master/csl-citation.json"} </w:instrText>
      </w:r>
      <w:r w:rsidR="00B16F99"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(Pescod, 1992)</w:t>
      </w:r>
      <w:r w:rsidR="00B16F99" w:rsidRPr="00F07DEB">
        <w:rPr>
          <w:rFonts w:ascii="Times New Roman" w:hAnsi="Times New Roman" w:cs="Times New Roman"/>
          <w:sz w:val="24"/>
          <w:szCs w:val="24"/>
        </w:rPr>
        <w:fldChar w:fldCharType="end"/>
      </w:r>
      <w:r w:rsidR="00B16F99" w:rsidRPr="00F07DEB">
        <w:rPr>
          <w:rFonts w:ascii="Times New Roman" w:hAnsi="Times New Roman" w:cs="Times New Roman"/>
          <w:sz w:val="24"/>
          <w:szCs w:val="24"/>
        </w:rPr>
        <w:t xml:space="preserve">. </w:t>
      </w:r>
      <w:r w:rsidR="00F30DBA" w:rsidRPr="00F07DEB">
        <w:rPr>
          <w:rFonts w:ascii="Times New Roman" w:hAnsi="Times New Roman" w:cs="Times New Roman"/>
          <w:sz w:val="24"/>
          <w:szCs w:val="24"/>
        </w:rPr>
        <w:t>Indeed, the e</w:t>
      </w:r>
      <w:r w:rsidR="008F2CC5" w:rsidRPr="00F07DEB">
        <w:rPr>
          <w:rFonts w:ascii="Times New Roman" w:hAnsi="Times New Roman" w:cs="Times New Roman"/>
          <w:sz w:val="24"/>
          <w:szCs w:val="24"/>
        </w:rPr>
        <w:t xml:space="preserve">levated nutrient levels in treated </w:t>
      </w:r>
      <w:r w:rsidR="00F30DBA" w:rsidRPr="00F07DEB">
        <w:rPr>
          <w:rFonts w:ascii="Times New Roman" w:hAnsi="Times New Roman" w:cs="Times New Roman"/>
          <w:sz w:val="24"/>
          <w:szCs w:val="24"/>
        </w:rPr>
        <w:t xml:space="preserve">domestic </w:t>
      </w:r>
      <w:r w:rsidR="008F2CC5" w:rsidRPr="00F07DEB">
        <w:rPr>
          <w:rFonts w:ascii="Times New Roman" w:hAnsi="Times New Roman" w:cs="Times New Roman"/>
          <w:sz w:val="24"/>
          <w:szCs w:val="24"/>
        </w:rPr>
        <w:t xml:space="preserve">wastewater </w:t>
      </w:r>
      <w:r w:rsidR="00F30DBA" w:rsidRPr="00F07DEB">
        <w:rPr>
          <w:rFonts w:ascii="Times New Roman" w:hAnsi="Times New Roman" w:cs="Times New Roman"/>
          <w:sz w:val="24"/>
          <w:szCs w:val="24"/>
        </w:rPr>
        <w:t xml:space="preserve">have been widely credited </w:t>
      </w:r>
      <w:r w:rsidR="005B72BE" w:rsidRPr="00F07DEB">
        <w:rPr>
          <w:rFonts w:ascii="Times New Roman" w:hAnsi="Times New Roman" w:cs="Times New Roman"/>
          <w:sz w:val="24"/>
          <w:szCs w:val="24"/>
        </w:rPr>
        <w:t>with</w:t>
      </w:r>
      <w:r w:rsidR="00F30DBA" w:rsidRPr="00F07DEB">
        <w:rPr>
          <w:rFonts w:ascii="Times New Roman" w:hAnsi="Times New Roman" w:cs="Times New Roman"/>
          <w:sz w:val="24"/>
          <w:szCs w:val="24"/>
        </w:rPr>
        <w:t xml:space="preserve"> increasing crop yields and biomass, and allow farmers to reduce fertilizer application</w:t>
      </w:r>
      <w:r w:rsidR="007D04F9" w:rsidRPr="00F07DEB">
        <w:rPr>
          <w:rFonts w:ascii="Times New Roman" w:hAnsi="Times New Roman" w:cs="Times New Roman"/>
          <w:sz w:val="24"/>
          <w:szCs w:val="24"/>
        </w:rPr>
        <w:t xml:space="preserve">, although excessive nutrients can degrade crop and environment quality </w:t>
      </w:r>
      <w:r w:rsidR="00930B18"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{"citationID":"vEfrVosH","properties":{"formattedCitation":"(Asano &amp; Pettygrove, 1987; Libutti et al., 2018; Pescod, 1992; Urbano et al., 2017)","plainCitation":"(Asano &amp; Pettygrove, 1987; Libutti et al., 2018; Pescod, 1992; Urbano et al., 2017)","dontUpdate":true,"noteIndex":0},"citationItems":[{"id":434,"uris":["http://zotero.org/users/5446453/items/SQS7R9S7"],"uri":["http://zotero.org/users/5446453/items/SQS7R9S7"],"itemData":{"id":434,"type":"article-journal","container-title":"California Agriculture","language":"en","page":"15-18","source":"Zotero","title":"Using reclaimed municipal wastewater for irrigation","author":[{"family":"Asano","given":"Takashi"},{"family":"Pettygrove","given":"G Stuart"}],"issued":{"date-parts":[["1987",4]]}}},{"id":428,"uris":["http://zotero.org/users/5446453/items/Z72JP4F2"],"uri":["http://zotero.org/users/5446453/items/Z72JP4F2"],"itemData":{"id":428,"type":"article-journal","abstract":"In many countries of the Mediterranean region, characterized by frequent drought periods, agricultural production often occurs under water deficiency or conditions that cause the depletion of the existing water resources. In these areas, the reuse of reclaimed wastewater for crop irrigation could contribute to mitigate/decrease water shortage, support the agriculture sector and protect groundwater resources. In 1.5-year field experiments in Southern Italy (Apulia Region), the effects of irrigation with treated agro-industrial wastewater on soil properties, crops yield and qualitative traits of crop products, including their microbiological safety, were assessed. Groundwater (GW), secondary treated wastewater (SW) and tertiary treated wastewater (TW) from an innovative “on-demand” UV disinfection system were used to irrigate tomato and broccoli, cultivated in succession. The three irrigation water sources and the corresponding irrigated soils, plants and crop products were analyzed for the main physico-chemical characteristics, quali-quantitative parameters and fecal indicators. SW and TW showed higher values of the main physico-chemical parameters than GW. SW irrigated soil resulted in a significant increase of NH4-N, Na+, SAR, EC (below the threshold value beyond which a soil is defined as saline) during the first tomato crop cycle, and of pH during the broccoli growing season. Irrigation with treated wastewater did not significantly affect the marketable yield nor the qualitative traits of tomato and broccoli crops, except for the Na+ and NO3− content (below the threshold levels defined by the European guidelines for vegetables). High levels of E. coli (above the Italian limit for reuse), Fecal coliforms and Fecal enterococci (up to 104 CFU 100ml−1) were observed in the SW and, when chlorination was not done, in the TW. Nevertheless, E. coli was not isolated from any sample of soil, plant and crop product, probably due to its rapid die-off. Moreover, low concentrations of Fecal coliforms and Total heterotrophic count were found in plant and crop product. The drip irrigation system used, which avoided the close contact between water and plant, may have contributed to this. Under the conditions applied in this study, the reuse of treated agro-industrial wastewater for irrigation can be considered an effective way to cope with agricultural water shortage in the Mediterranean area.","container-title":"Agricultural Water Management","DOI":"10.1016/j.agwat.2017.10.015","ISSN":"0378-3774","journalAbbreviation":"Agricultural Water Management","language":"en","page":"1-14","source":"ScienceDirect","title":"Agro-industrial wastewater reuse for irrigation of a vegetable crop succession under Mediterranean conditions","volume":"196","author":[{"family":"Libutti","given":"Angela"},{"family":"Gatta","given":"Giuseppe"},{"family":"Gagliardi","given":"Anna"},{"family":"Vergine","given":"Pompilio"},{"family":"Pollice","given":"Alfieri"},{"family":"Beneduce","given":"Luciano"},{"family":"Disciglio","given":"Grazia"},{"family":"Tarantino","given":"Emanuele"}],"issued":{"date-parts":[["2018",1,31]]}}},{"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id":426,"uris":["http://zotero.org/users/5446453/items/ZPET2UCP"],"uri":["http://zotero.org/users/5446453/items/ZPET2UCP"],"itemData":{"id":426,"type":"article-journal","abstract":"Domestic effluents may contain important nutrients for agricultural crop development, and reusing this effluent on irrigation can reduce the potable water demand, recycle nutrients, and decrease effluent discharges on water bodies. This study evaluated the changes on physical, chemical and microbiological characteristics of a Dusky Red Latosol, the yield and the quality of lettuce after cultivation with treated wastewater on irrigation. In a greenhouse, lettuces were irrigated using drinking water with conventional fertilization (T1) and treated wastewater with partial conventional fertilization (T2). After the lettuce harvest, the physical, chemical and microbiological properties of soil, the nutrients, and the microbiological quality of lettuce leaves were evaluated. Sodium adsorption ratio, magnesium, calcium, sodium, potassium, nitrate, chlorate, pH, electrical conductivity, total coliforms, Escherichia coli, chemical and biochemical oxygen demand were analyzed in irrigation water. The concentration of some soil nutrients (K, Ca, H, Al, and S) increased after irrigation with T2, and the presence of E. coli bacteria was not observed on lettuce leaves or in the soil. The T2 did not damage the physical properties of soil and increased its nutrients. Lettuce production (in terms of fresh weight) was higher in lettuce cultivated on T2 than that cultivated on T1. The treated wastewater quality was appropriate for lettuce drip irrigation.","container-title":"Agricultural Water Management","DOI":"10.1016/j.agwat.2016.12.001","ISSN":"0378-3774","journalAbbreviation":"Agricultural Water Management","language":"en","page":"108-115","source":"ScienceDirect","title":"Effects of treated wastewater irrigation on soil properties and lettuce yield","volume":"181","author":[{"family":"Urbano","given":"Vanessa Ribeiro"},{"family":"Mendonça","given":"Thaís Grandizoli"},{"family":"Bastos","given":"Reinaldo Gaspar"},{"family":"Souza","given":"Claudinei Fonseca"}],"issued":{"date-parts":[["2017",2,1]]}}}],"schema":"https://github.com/citation-style-language/schema/raw/master/csl-citation.json"} </w:instrText>
      </w:r>
      <w:r w:rsidR="00930B18" w:rsidRPr="00F07DEB">
        <w:rPr>
          <w:rFonts w:ascii="Times New Roman" w:hAnsi="Times New Roman" w:cs="Times New Roman"/>
          <w:sz w:val="24"/>
          <w:szCs w:val="24"/>
        </w:rPr>
        <w:fldChar w:fldCharType="separate"/>
      </w:r>
      <w:r w:rsidR="007D04F9" w:rsidRPr="00F07DEB">
        <w:rPr>
          <w:rFonts w:ascii="Times New Roman" w:hAnsi="Times New Roman" w:cs="Times New Roman"/>
          <w:sz w:val="24"/>
          <w:szCs w:val="24"/>
        </w:rPr>
        <w:t xml:space="preserve">(Asano </w:t>
      </w:r>
      <w:r w:rsidR="002A6AB5">
        <w:rPr>
          <w:rFonts w:ascii="Times New Roman" w:hAnsi="Times New Roman" w:cs="Times New Roman"/>
          <w:sz w:val="24"/>
          <w:szCs w:val="24"/>
        </w:rPr>
        <w:t>and</w:t>
      </w:r>
      <w:r w:rsidR="007D04F9" w:rsidRPr="00F07DEB">
        <w:rPr>
          <w:rFonts w:ascii="Times New Roman" w:hAnsi="Times New Roman" w:cs="Times New Roman"/>
          <w:sz w:val="24"/>
          <w:szCs w:val="24"/>
        </w:rPr>
        <w:t xml:space="preserve"> Pettygrove, 1987; Libutti et al., 2018; Pescod, 1992; Urbano et al., 2017)</w:t>
      </w:r>
      <w:r w:rsidR="00930B18" w:rsidRPr="00F07DEB">
        <w:rPr>
          <w:rFonts w:ascii="Times New Roman" w:hAnsi="Times New Roman" w:cs="Times New Roman"/>
          <w:sz w:val="24"/>
          <w:szCs w:val="24"/>
        </w:rPr>
        <w:fldChar w:fldCharType="end"/>
      </w:r>
      <w:r w:rsidR="00930B18" w:rsidRPr="00F07DEB">
        <w:rPr>
          <w:rFonts w:ascii="Times New Roman" w:hAnsi="Times New Roman" w:cs="Times New Roman"/>
          <w:sz w:val="24"/>
          <w:szCs w:val="24"/>
        </w:rPr>
        <w:t>.</w:t>
      </w:r>
      <w:r w:rsidR="00F30DBA" w:rsidRPr="00F07DEB">
        <w:rPr>
          <w:rFonts w:ascii="Times New Roman" w:hAnsi="Times New Roman" w:cs="Times New Roman"/>
          <w:sz w:val="24"/>
          <w:szCs w:val="24"/>
        </w:rPr>
        <w:t xml:space="preserve"> </w:t>
      </w:r>
      <w:r w:rsidR="00F12F2C" w:rsidRPr="00F07DEB">
        <w:rPr>
          <w:rFonts w:ascii="Times New Roman" w:hAnsi="Times New Roman" w:cs="Times New Roman"/>
          <w:sz w:val="24"/>
          <w:szCs w:val="24"/>
        </w:rPr>
        <w:t>Kuwait planned to water 12000 hectares of intensive agriculture and forests with tertiary-</w:t>
      </w:r>
      <w:r w:rsidR="008113FB" w:rsidRPr="00F07DEB">
        <w:rPr>
          <w:rFonts w:ascii="Times New Roman" w:hAnsi="Times New Roman" w:cs="Times New Roman"/>
          <w:sz w:val="24"/>
          <w:szCs w:val="24"/>
        </w:rPr>
        <w:t xml:space="preserve"> and advanced-</w:t>
      </w:r>
      <w:r w:rsidR="00F12F2C" w:rsidRPr="00F07DEB">
        <w:rPr>
          <w:rFonts w:ascii="Times New Roman" w:hAnsi="Times New Roman" w:cs="Times New Roman"/>
          <w:sz w:val="24"/>
          <w:szCs w:val="24"/>
        </w:rPr>
        <w:t xml:space="preserve">treated municipal wastewater by 2010, much of which materialized, but some have raised concerns that the arid country needs to consider expanding reuse in other sectors as well, such as groundwater recharge or domestic and industrial water supply </w:t>
      </w:r>
      <w:r w:rsidR="00F12F2C"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{"citationID":"De6M88ZE","properties":{"formattedCitation":"(Abusam &amp; Shahalam, 2013; Pescod, 1992)","plainCitation":"(Abusam &amp; Shahalam, 2013; Pescod, 1992)","dontUpdate":true,"noteIndex":0},"citationItems":[{"id":423,"uris":["http://zotero.org/users/5446453/items/PJAD2PHA"],"uri":["http://zotero.org/users/5446453/items/PJAD2PHA"],"itemData":{"id":423,"type":"article-journal","abstract":"Availability of adequate water resources is a fundamental requirement for sustainable development. Because of its very limited amounts of freshwater resources, Kuwait has depended on the expensive desalination of seawater for many years to satisfy almost all of its water demands. In order to cope with its water scarcity problems, over the last two decades, Kuwait has vigorously implemented a plan to reuse treated municipal wastewater. This paper assesses the qualities of municipal and industrial wastewater in Kuwait, and focuses on the main opportunities and constraints to wastewater reclamation and reuse in Kuwait. The paper also provides recommendations that will help surmount the constraints.","container-title":"WIT Transactions on Ecology and the Environment","DOI":"10.2495/SC130632","page":"745-754","source":"ResearchGate","title":"Wastewater reuse in Kuwait: Opportunities and constraints","title-short":"Wastewater reuse in Kuwait","volume":"179","author":[{"family":"Abusam","given":"A."},{"family":"Shahalam","given":"A."}],"issued":{"date-parts":[["2013",12,3]]}}},{"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schema":"https://github.com/citation-style-language/schema/raw/master/csl-citation.json"} </w:instrText>
      </w:r>
      <w:r w:rsidR="00F12F2C" w:rsidRPr="00F07DEB">
        <w:rPr>
          <w:rFonts w:ascii="Times New Roman" w:hAnsi="Times New Roman" w:cs="Times New Roman"/>
          <w:sz w:val="24"/>
          <w:szCs w:val="24"/>
        </w:rPr>
        <w:fldChar w:fldCharType="separate"/>
      </w:r>
      <w:r w:rsidR="00F12F2C" w:rsidRPr="00F07DEB">
        <w:rPr>
          <w:rFonts w:ascii="Times New Roman" w:hAnsi="Times New Roman" w:cs="Times New Roman"/>
          <w:sz w:val="24"/>
          <w:szCs w:val="24"/>
        </w:rPr>
        <w:t xml:space="preserve">(Abusam </w:t>
      </w:r>
      <w:r w:rsidR="002A6AB5">
        <w:rPr>
          <w:rFonts w:ascii="Times New Roman" w:hAnsi="Times New Roman" w:cs="Times New Roman"/>
          <w:sz w:val="24"/>
          <w:szCs w:val="24"/>
        </w:rPr>
        <w:t>and</w:t>
      </w:r>
      <w:r w:rsidR="00F12F2C" w:rsidRPr="00F07DEB">
        <w:rPr>
          <w:rFonts w:ascii="Times New Roman" w:hAnsi="Times New Roman" w:cs="Times New Roman"/>
          <w:sz w:val="24"/>
          <w:szCs w:val="24"/>
        </w:rPr>
        <w:t xml:space="preserve"> Shahalam, 2013; Pescod, 1992)</w:t>
      </w:r>
      <w:r w:rsidR="00F12F2C" w:rsidRPr="00F07DEB">
        <w:rPr>
          <w:rFonts w:ascii="Times New Roman" w:hAnsi="Times New Roman" w:cs="Times New Roman"/>
          <w:sz w:val="24"/>
          <w:szCs w:val="24"/>
        </w:rPr>
        <w:fldChar w:fldCharType="end"/>
      </w:r>
      <w:r w:rsidR="00F12F2C" w:rsidRPr="00F07DEB">
        <w:rPr>
          <w:rFonts w:ascii="Times New Roman" w:hAnsi="Times New Roman" w:cs="Times New Roman"/>
          <w:sz w:val="24"/>
          <w:szCs w:val="24"/>
        </w:rPr>
        <w:t xml:space="preserve">. </w:t>
      </w:r>
      <w:r w:rsidR="003247A7" w:rsidRPr="00F07DEB">
        <w:rPr>
          <w:rFonts w:ascii="Times New Roman" w:hAnsi="Times New Roman" w:cs="Times New Roman"/>
          <w:sz w:val="24"/>
          <w:szCs w:val="24"/>
        </w:rPr>
        <w:t xml:space="preserve">In contrast with more conservative approaches to wastewater reclamation, </w:t>
      </w:r>
      <w:r w:rsidR="00EE2C98" w:rsidRPr="00F07DEB">
        <w:rPr>
          <w:rFonts w:ascii="Times New Roman" w:hAnsi="Times New Roman" w:cs="Times New Roman"/>
          <w:sz w:val="24"/>
          <w:szCs w:val="24"/>
        </w:rPr>
        <w:t xml:space="preserve">Mexican farmers in the </w:t>
      </w:r>
      <w:proofErr w:type="spellStart"/>
      <w:r w:rsidR="00EE2C98" w:rsidRPr="00F07DEB">
        <w:rPr>
          <w:rFonts w:ascii="Times New Roman" w:hAnsi="Times New Roman" w:cs="Times New Roman"/>
          <w:sz w:val="24"/>
          <w:szCs w:val="24"/>
        </w:rPr>
        <w:t>Mezquital</w:t>
      </w:r>
      <w:proofErr w:type="spellEnd"/>
      <w:r w:rsidR="00EE2C98" w:rsidRPr="00F07DEB">
        <w:rPr>
          <w:rFonts w:ascii="Times New Roman" w:hAnsi="Times New Roman" w:cs="Times New Roman"/>
          <w:sz w:val="24"/>
          <w:szCs w:val="24"/>
        </w:rPr>
        <w:t xml:space="preserve"> Valley began irrigating with raw sewage as early as 1886, and other communities that experience unreliable rainfall followed suit</w:t>
      </w:r>
      <w:r w:rsidR="007F4FCF" w:rsidRPr="00F07DEB">
        <w:rPr>
          <w:rFonts w:ascii="Times New Roman" w:hAnsi="Times New Roman" w:cs="Times New Roman"/>
          <w:sz w:val="24"/>
          <w:szCs w:val="24"/>
        </w:rPr>
        <w:t xml:space="preserve"> </w:t>
      </w:r>
      <w:r w:rsidR="007F4FCF" w:rsidRPr="00F07DEB">
        <w:rPr>
          <w:rFonts w:ascii="Times New Roman" w:hAnsi="Times New Roman" w:cs="Times New Roman"/>
          <w:sz w:val="24"/>
          <w:szCs w:val="24"/>
        </w:rPr>
        <w:fldChar w:fldCharType="begin"/>
      </w:r>
      <w:r w:rsidR="007F4FCF" w:rsidRPr="00F07DEB">
        <w:rPr>
          <w:rFonts w:ascii="Times New Roman" w:hAnsi="Times New Roman" w:cs="Times New Roman"/>
          <w:sz w:val="24"/>
          <w:szCs w:val="24"/>
        </w:rPr>
        <w:instrText xml:space="preserve"> ADDIN ZOTERO_ITEM CSL_CITATION {"citationID":"mGa2dcaA","properties":{"formattedCitation":"(Pescod, 1992)","plainCitation":"(Pescod, 1992)","noteIndex":0},"citationItems":[{"id":315,"uris":["http://zotero.org/users/5446453/items/NEYTNK6R"],"uri":["http://zotero.org/users/5446453/items/NEYTNK6R"],"itemData":{"id":315,"type":"webpage","container-title":"Food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schema":"https://github.com/citation-style-language/schema/raw/master/csl-citation.json"} </w:instrText>
      </w:r>
      <w:r w:rsidR="007F4FCF"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(Pescod, 1992)</w:t>
      </w:r>
      <w:r w:rsidR="007F4FCF" w:rsidRPr="00F07DEB">
        <w:rPr>
          <w:rFonts w:ascii="Times New Roman" w:hAnsi="Times New Roman" w:cs="Times New Roman"/>
          <w:sz w:val="24"/>
          <w:szCs w:val="24"/>
        </w:rPr>
        <w:fldChar w:fldCharType="end"/>
      </w:r>
      <w:r w:rsidR="00EE2C98" w:rsidRPr="00F07DEB">
        <w:rPr>
          <w:rFonts w:ascii="Times New Roman" w:hAnsi="Times New Roman" w:cs="Times New Roman"/>
          <w:sz w:val="24"/>
          <w:szCs w:val="24"/>
        </w:rPr>
        <w:t>.</w:t>
      </w:r>
      <w:r w:rsidR="007F4FCF" w:rsidRPr="00F07DEB">
        <w:rPr>
          <w:rFonts w:ascii="Times New Roman" w:hAnsi="Times New Roman" w:cs="Times New Roman"/>
          <w:sz w:val="24"/>
          <w:szCs w:val="24"/>
        </w:rPr>
        <w:t xml:space="preserve"> The Mexican government </w:t>
      </w:r>
      <w:r w:rsidR="0056150F" w:rsidRPr="00F07DEB">
        <w:rPr>
          <w:rFonts w:ascii="Times New Roman" w:hAnsi="Times New Roman" w:cs="Times New Roman"/>
          <w:sz w:val="24"/>
          <w:szCs w:val="24"/>
        </w:rPr>
        <w:t xml:space="preserve">determined which crops could be safely irrigated with the raw sewage, and studies observing community health deemed this approach to be sufficient for protecting the public, although farm workers were exposed to enhanced risk when working with raw sewage </w:t>
      </w:r>
      <w:r w:rsidR="0056150F" w:rsidRPr="00F07DEB">
        <w:rPr>
          <w:rFonts w:ascii="Times New Roman" w:hAnsi="Times New Roman" w:cs="Times New Roman"/>
          <w:sz w:val="24"/>
          <w:szCs w:val="24"/>
        </w:rPr>
        <w:fldChar w:fldCharType="begin"/>
      </w:r>
      <w:r w:rsidR="0056150F" w:rsidRPr="00F07DEB">
        <w:rPr>
          <w:rFonts w:ascii="Times New Roman" w:hAnsi="Times New Roman" w:cs="Times New Roman"/>
          <w:sz w:val="24"/>
          <w:szCs w:val="24"/>
        </w:rPr>
        <w:instrText xml:space="preserve"> ADDIN ZOTERO_ITEM CSL_CITATION {"citationID":"2FJVRhIs","properties":{"formattedCitation":"(Pescod, 1992)","plainCitation":"(Pescod, 1992)","noteIndex":0},"citationItems":[{"id":315,"uris":["http://zotero.org/users/5446453/items/NEYTNK6R"],"uri":["http://zotero.org/users/5446453/items/NEYTNK6R"],"itemData":{"id":315,"type":"webpage","container-title":"Food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schema":"https://github.com/citation-style-language/schema/raw/master/csl-citation.json"} </w:instrText>
      </w:r>
      <w:r w:rsidR="0056150F"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(Pescod, 1992)</w:t>
      </w:r>
      <w:r w:rsidR="0056150F" w:rsidRPr="00F07DEB">
        <w:rPr>
          <w:rFonts w:ascii="Times New Roman" w:hAnsi="Times New Roman" w:cs="Times New Roman"/>
          <w:sz w:val="24"/>
          <w:szCs w:val="24"/>
        </w:rPr>
        <w:fldChar w:fldCharType="end"/>
      </w:r>
      <w:r w:rsidR="0056150F" w:rsidRPr="00F07DEB">
        <w:rPr>
          <w:rFonts w:ascii="Times New Roman" w:hAnsi="Times New Roman" w:cs="Times New Roman"/>
          <w:sz w:val="24"/>
          <w:szCs w:val="24"/>
        </w:rPr>
        <w:t>.</w:t>
      </w:r>
      <w:r w:rsidR="004B4E9B" w:rsidRPr="00F07DEB">
        <w:rPr>
          <w:rFonts w:ascii="Times New Roman" w:hAnsi="Times New Roman" w:cs="Times New Roman"/>
          <w:sz w:val="24"/>
          <w:szCs w:val="24"/>
        </w:rPr>
        <w:t xml:space="preserve"> </w:t>
      </w:r>
      <w:r w:rsidR="00FB2F30" w:rsidRPr="00F07DEB">
        <w:rPr>
          <w:rFonts w:ascii="Times New Roman" w:hAnsi="Times New Roman" w:cs="Times New Roman"/>
          <w:sz w:val="24"/>
          <w:szCs w:val="24"/>
        </w:rPr>
        <w:lastRenderedPageBreak/>
        <w:t xml:space="preserve">Contaminated or </w:t>
      </w:r>
      <w:r w:rsidR="00FB47CE" w:rsidRPr="00F07DEB">
        <w:rPr>
          <w:rFonts w:ascii="Times New Roman" w:hAnsi="Times New Roman" w:cs="Times New Roman"/>
          <w:sz w:val="24"/>
          <w:szCs w:val="24"/>
        </w:rPr>
        <w:t>poorly treated</w:t>
      </w:r>
      <w:r w:rsidR="00FB2F30" w:rsidRPr="00F07DEB">
        <w:rPr>
          <w:rFonts w:ascii="Times New Roman" w:hAnsi="Times New Roman" w:cs="Times New Roman"/>
          <w:sz w:val="24"/>
          <w:szCs w:val="24"/>
        </w:rPr>
        <w:t xml:space="preserve"> municipal wastewater can be a vector for pathogens, but </w:t>
      </w:r>
      <w:r w:rsidR="00761811" w:rsidRPr="00F07DEB">
        <w:rPr>
          <w:rFonts w:ascii="Times New Roman" w:hAnsi="Times New Roman" w:cs="Times New Roman"/>
          <w:sz w:val="24"/>
          <w:szCs w:val="24"/>
        </w:rPr>
        <w:t xml:space="preserve">the benefits of wastewater reclamation in agriculture </w:t>
      </w:r>
      <w:r w:rsidR="00514C63" w:rsidRPr="00F07DEB">
        <w:rPr>
          <w:rFonts w:ascii="Times New Roman" w:hAnsi="Times New Roman" w:cs="Times New Roman"/>
          <w:sz w:val="24"/>
          <w:szCs w:val="24"/>
        </w:rPr>
        <w:t>fueled research and implementation on a global scale.</w:t>
      </w:r>
      <w:r w:rsidR="00761811" w:rsidRPr="00F07DEB">
        <w:rPr>
          <w:rFonts w:ascii="Times New Roman" w:hAnsi="Times New Roman" w:cs="Times New Roman"/>
          <w:sz w:val="24"/>
          <w:szCs w:val="24"/>
        </w:rPr>
        <w:t xml:space="preserve"> </w:t>
      </w:r>
    </w:p>
    <w:p w14:paraId="7E25F378" w14:textId="1048A1E0" w:rsidR="00436254" w:rsidRPr="00F07DEB" w:rsidRDefault="001C607F" w:rsidP="00F8101B">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Microbial contamination, the primary threat in municipal wastewater, can </w:t>
      </w:r>
      <w:r w:rsidR="00822CBC" w:rsidRPr="00F07DEB">
        <w:rPr>
          <w:rFonts w:ascii="Times New Roman" w:hAnsi="Times New Roman" w:cs="Times New Roman"/>
          <w:sz w:val="24"/>
          <w:szCs w:val="24"/>
        </w:rPr>
        <w:t xml:space="preserve">generally </w:t>
      </w:r>
      <w:r w:rsidRPr="00F07DEB">
        <w:rPr>
          <w:rFonts w:ascii="Times New Roman" w:hAnsi="Times New Roman" w:cs="Times New Roman"/>
          <w:sz w:val="24"/>
          <w:szCs w:val="24"/>
        </w:rPr>
        <w:t xml:space="preserve">be eliminated or sufficiently reduced </w:t>
      </w:r>
      <w:r w:rsidR="00822CBC" w:rsidRPr="00F07DEB">
        <w:rPr>
          <w:rFonts w:ascii="Times New Roman" w:hAnsi="Times New Roman" w:cs="Times New Roman"/>
          <w:sz w:val="24"/>
          <w:szCs w:val="24"/>
        </w:rPr>
        <w:t xml:space="preserve">for agricultural reuse </w:t>
      </w:r>
      <w:r w:rsidRPr="00F07DEB">
        <w:rPr>
          <w:rFonts w:ascii="Times New Roman" w:hAnsi="Times New Roman" w:cs="Times New Roman"/>
          <w:sz w:val="24"/>
          <w:szCs w:val="24"/>
        </w:rPr>
        <w:t>through adequate</w:t>
      </w:r>
      <w:r w:rsidR="00FB2F30" w:rsidRPr="00F07DEB">
        <w:rPr>
          <w:rFonts w:ascii="Times New Roman" w:hAnsi="Times New Roman" w:cs="Times New Roman"/>
          <w:sz w:val="24"/>
          <w:szCs w:val="24"/>
        </w:rPr>
        <w:t xml:space="preserve"> treatment </w:t>
      </w:r>
      <w:r w:rsidRPr="00F07DEB">
        <w:rPr>
          <w:rFonts w:ascii="Times New Roman" w:hAnsi="Times New Roman" w:cs="Times New Roman"/>
          <w:sz w:val="24"/>
          <w:szCs w:val="24"/>
        </w:rPr>
        <w:t>with</w:t>
      </w:r>
      <w:r w:rsidR="00FB2F30" w:rsidRPr="00F07DEB">
        <w:rPr>
          <w:rFonts w:ascii="Times New Roman" w:hAnsi="Times New Roman" w:cs="Times New Roman"/>
          <w:sz w:val="24"/>
          <w:szCs w:val="24"/>
        </w:rPr>
        <w:t xml:space="preserve"> activated sludge, stabilization basins, or </w:t>
      </w:r>
      <w:r w:rsidR="007E1430" w:rsidRPr="00F07DEB">
        <w:rPr>
          <w:rFonts w:ascii="Times New Roman" w:hAnsi="Times New Roman" w:cs="Times New Roman"/>
          <w:sz w:val="24"/>
          <w:szCs w:val="24"/>
        </w:rPr>
        <w:t xml:space="preserve">similar </w:t>
      </w:r>
      <w:r w:rsidRPr="00F07DEB">
        <w:rPr>
          <w:rFonts w:ascii="Times New Roman" w:hAnsi="Times New Roman" w:cs="Times New Roman"/>
          <w:sz w:val="24"/>
          <w:szCs w:val="24"/>
        </w:rPr>
        <w:t>practices</w:t>
      </w:r>
      <w:r w:rsidR="00822CBC" w:rsidRPr="00F07DEB">
        <w:rPr>
          <w:rFonts w:ascii="Times New Roman" w:hAnsi="Times New Roman" w:cs="Times New Roman"/>
          <w:sz w:val="24"/>
          <w:szCs w:val="24"/>
        </w:rPr>
        <w:t xml:space="preserve"> that encourage long detention times, particle settling, and disinfection</w:t>
      </w:r>
      <w:r w:rsidRPr="00F07DEB">
        <w:rPr>
          <w:rFonts w:ascii="Times New Roman" w:hAnsi="Times New Roman" w:cs="Times New Roman"/>
          <w:sz w:val="24"/>
          <w:szCs w:val="24"/>
        </w:rPr>
        <w:t xml:space="preserve">. </w:t>
      </w:r>
      <w:r w:rsidR="00005974" w:rsidRPr="00F07DEB">
        <w:rPr>
          <w:rFonts w:ascii="Times New Roman" w:hAnsi="Times New Roman" w:cs="Times New Roman"/>
          <w:sz w:val="24"/>
          <w:szCs w:val="24"/>
        </w:rPr>
        <w:t>However, irrigation with domestic wastewater can create permeability and toxicity problems for soil and plants over time if low levels of inorganic pollution a</w:t>
      </w:r>
      <w:r w:rsidR="00F14B26" w:rsidRPr="00F07DEB">
        <w:rPr>
          <w:rFonts w:ascii="Times New Roman" w:hAnsi="Times New Roman" w:cs="Times New Roman"/>
          <w:sz w:val="24"/>
          <w:szCs w:val="24"/>
        </w:rPr>
        <w:t>re not appropriately managed and</w:t>
      </w:r>
      <w:r w:rsidR="00005974" w:rsidRPr="00F07DEB">
        <w:rPr>
          <w:rFonts w:ascii="Times New Roman" w:hAnsi="Times New Roman" w:cs="Times New Roman"/>
          <w:sz w:val="24"/>
          <w:szCs w:val="24"/>
        </w:rPr>
        <w:t xml:space="preserve"> salts and specific ions accumulate in the soil</w:t>
      </w:r>
      <w:r w:rsidR="00E434EF" w:rsidRPr="00F07DEB">
        <w:rPr>
          <w:rFonts w:ascii="Times New Roman" w:hAnsi="Times New Roman" w:cs="Times New Roman"/>
          <w:sz w:val="24"/>
          <w:szCs w:val="24"/>
        </w:rPr>
        <w:t xml:space="preserve"> </w:t>
      </w:r>
      <w:r w:rsidR="00E434EF"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{"citationID":"ITVDhWp4","properties":{"formattedCitation":"(Asano &amp; Pettygrove, 1987; Bauder et al., 2014; Shakir et al., 2017)","plainCitation":"(Asano &amp; Pettygrove, 1987; Bauder et al., 2014; Shakir et al., 2017)","dontUpdate":true,"noteIndex":0},"citationItems":[{"id":434,"uris":["http://zotero.org/users/5446453/items/SQS7R9S7"],"uri":["http://zotero.org/users/5446453/items/SQS7R9S7"],"itemData":{"id":434,"type":"article-journal","container-title":"California Agriculture","language":"en","page":"15-18","source":"Zotero","title":"Using reclaimed municipal wastewater for irrigation","author":[{"family":"Asano","given":"Takashi"},{"family":"Pettygrove","given":"G Stuart"}],"issued":{"date-parts":[["1987",4]]}}},{"id":431,"uris":["http://zotero.org/users/5446453/items/TC3X8D44"],"uri":["http://zotero.org/users/5446453/items/TC3X8D44"],"itemData":{"id":431,"type":"webpage","container-title":"Colorado State University Extension","language":"en-US","note":"source: extension.colostate.edu","title":"Irrigation Water Quality Criteria","URL":"https://extension.colostate.edu/topic-areas/agriculture/irrigation-water-quality-criteria-0-506/","author":[{"family":"Bauder","given":"T.A."},{"family":"Waskom","given":"R.M."},{"family":"Sutherland","given":"P.L."},{"family":"Davis","given":"J.G."}],"accessed":{"date-parts":[["2020",4,30]]},"issued":{"date-parts":[["2014",10]]}}},{"id":444,"uris":["http://zotero.org/users/5446453/items/MRHUF5U3"],"uri":["http://zotero.org/users/5446453/items/MRHUF5U3"],"itemData":{"id":444,"type":"article-journal","abstract":"The present study focuses on the environmental and health risks associated with the use of treated wastewater produced from Al-Rustamia third extension plant for irrigation. The measured data are used to evaluate comprehensive pollution index (CPI) and organic pollution index (OPI). The average CPI was found as 0.69 which indicated to be slightly polluted for all seasons and a similar result was also obtained with OPI, which is found to slightly vary in the range 1.29–1.60 which indicates as being to be contaminated. Also to evaluate its suitability for irrigation purposes, Sodium Adsorption Ratio (SAR), Soluble Sodium Percentage (SSP) and Residual Sodium Carbonate (RSC) were calculated following standard equations and found experimentally as (8.70), (74.76) and (2.68) respectively. Irrigation water classes are used for Salinity hazard (EC) and Sodium hazard (SAR) to assess water suitability for irrigation, and it is found that samples in summer and autumn in the class of C3-S1, indicate high salinity and low sodium water, while in spring and winter in the class of C4-S1, they indicate very high-salinity. Furthermore, the data indicate a slight to moderate degree of restriction on the use of this treated wastewater in irrigation due to chloride hazard. RSC value is more than 1.25 at all seasons, indicating that samples in summer and autumn are doubtful for irrigation purposes, while the samples in spring and winter are unsuitable for irrigation.","container-title":"Egyptian Journal of Petroleum","DOI":"10.1016/j.ejpe.2016.01.003","ISSN":"11100621","issue":"1","journalAbbreviation":"Egyptian Journal of Petroleum","language":"en","page":"95-102","source":"DOI.org (Crossref)","title":"Environmental and health risks associated with reuse of wastewater for irrigation","volume":"26","author":[{"family":"Shakir","given":"Eman"},{"family":"Zahraw","given":"Zahraa"},{"family":"Al-Obaidy","given":"Abdul Hameed M.J."}],"issued":{"date-parts":[["2017",3]]}}}],"schema":"https://github.com/citation-style-language/schema/raw/master/csl-citation.json"} </w:instrText>
      </w:r>
      <w:r w:rsidR="00E434EF" w:rsidRPr="00F07DEB">
        <w:rPr>
          <w:rFonts w:ascii="Times New Roman" w:hAnsi="Times New Roman" w:cs="Times New Roman"/>
          <w:sz w:val="24"/>
          <w:szCs w:val="24"/>
        </w:rPr>
        <w:fldChar w:fldCharType="separate"/>
      </w:r>
      <w:r w:rsidR="00023527" w:rsidRPr="00F07DEB">
        <w:rPr>
          <w:rFonts w:ascii="Times New Roman" w:hAnsi="Times New Roman" w:cs="Times New Roman"/>
          <w:sz w:val="24"/>
        </w:rPr>
        <w:t xml:space="preserve">(Asano </w:t>
      </w:r>
      <w:r w:rsidR="002A6AB5">
        <w:rPr>
          <w:rFonts w:ascii="Times New Roman" w:hAnsi="Times New Roman" w:cs="Times New Roman"/>
          <w:sz w:val="24"/>
        </w:rPr>
        <w:t>and</w:t>
      </w:r>
      <w:r w:rsidR="00023527" w:rsidRPr="00F07DEB">
        <w:rPr>
          <w:rFonts w:ascii="Times New Roman" w:hAnsi="Times New Roman" w:cs="Times New Roman"/>
          <w:sz w:val="24"/>
        </w:rPr>
        <w:t xml:space="preserve"> Pettygrove, 1987; Bauder et al., 2014; Shakir et al., 2017)</w:t>
      </w:r>
      <w:r w:rsidR="00E434EF" w:rsidRPr="00F07DEB">
        <w:rPr>
          <w:rFonts w:ascii="Times New Roman" w:hAnsi="Times New Roman" w:cs="Times New Roman"/>
          <w:sz w:val="24"/>
          <w:szCs w:val="24"/>
        </w:rPr>
        <w:fldChar w:fldCharType="end"/>
      </w:r>
      <w:r w:rsidR="00005974" w:rsidRPr="00F07DEB">
        <w:rPr>
          <w:rFonts w:ascii="Times New Roman" w:hAnsi="Times New Roman" w:cs="Times New Roman"/>
          <w:sz w:val="24"/>
          <w:szCs w:val="24"/>
        </w:rPr>
        <w:t xml:space="preserve">. </w:t>
      </w:r>
      <w:r w:rsidR="00642A10" w:rsidRPr="00F07DEB">
        <w:rPr>
          <w:rFonts w:ascii="Times New Roman" w:hAnsi="Times New Roman" w:cs="Times New Roman"/>
          <w:sz w:val="24"/>
          <w:szCs w:val="24"/>
        </w:rPr>
        <w:t xml:space="preserve">Inorganic pollutants are of even greater concern in industrial wastewaters, which typically contain higher concentrations of salts and metals than domestic wastewater. </w:t>
      </w:r>
      <w:r w:rsidR="008C0CB9" w:rsidRPr="00F07DEB">
        <w:rPr>
          <w:rFonts w:ascii="Times New Roman" w:hAnsi="Times New Roman" w:cs="Times New Roman"/>
          <w:sz w:val="24"/>
          <w:szCs w:val="24"/>
        </w:rPr>
        <w:t xml:space="preserve">Compared to biochemical oxygen demand (BOD) and total suspended solids (TSS), which are common metrics for </w:t>
      </w:r>
      <w:r w:rsidR="00005974" w:rsidRPr="00F07DEB">
        <w:rPr>
          <w:rFonts w:ascii="Times New Roman" w:hAnsi="Times New Roman" w:cs="Times New Roman"/>
          <w:sz w:val="24"/>
          <w:szCs w:val="24"/>
        </w:rPr>
        <w:t>evaluating</w:t>
      </w:r>
      <w:r w:rsidR="008C0CB9" w:rsidRPr="00F07DEB">
        <w:rPr>
          <w:rFonts w:ascii="Times New Roman" w:hAnsi="Times New Roman" w:cs="Times New Roman"/>
          <w:sz w:val="24"/>
          <w:szCs w:val="24"/>
        </w:rPr>
        <w:t xml:space="preserve"> wastewater treatment, the concentrations of salts, chemicals, and metals are less </w:t>
      </w:r>
      <w:r w:rsidR="00005974" w:rsidRPr="00F07DEB">
        <w:rPr>
          <w:rFonts w:ascii="Times New Roman" w:hAnsi="Times New Roman" w:cs="Times New Roman"/>
          <w:sz w:val="24"/>
          <w:szCs w:val="24"/>
        </w:rPr>
        <w:t xml:space="preserve">likely to be monitored </w:t>
      </w:r>
      <w:r w:rsidR="00576C35" w:rsidRPr="00F07DEB">
        <w:rPr>
          <w:rFonts w:ascii="Times New Roman" w:hAnsi="Times New Roman" w:cs="Times New Roman"/>
          <w:sz w:val="24"/>
          <w:szCs w:val="24"/>
        </w:rPr>
        <w:t xml:space="preserve">during wastewater treatment and are far more important </w:t>
      </w:r>
      <w:r w:rsidR="00784C16" w:rsidRPr="00F07DEB">
        <w:rPr>
          <w:rFonts w:ascii="Times New Roman" w:hAnsi="Times New Roman" w:cs="Times New Roman"/>
          <w:sz w:val="24"/>
          <w:szCs w:val="24"/>
        </w:rPr>
        <w:t xml:space="preserve">determinants of irrigation water quality </w:t>
      </w:r>
      <w:r w:rsidR="00784C16"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{"citationID":"XeD528eX","properties":{"formattedCitation":"(Asano &amp; Pettygrove, 1987; Shakir et al., 2017)","plainCitation":"(Asano &amp; Pettygrove, 1987; Shakir et al., 2017)","dontUpdate":true,"noteIndex":0},"citationItems":[{"id":434,"uris":["http://zotero.org/users/5446453/items/SQS7R9S7"],"uri":["http://zotero.org/users/5446453/items/SQS7R9S7"],"itemData":{"id":434,"type":"article-journal","container-title":"California Agriculture","language":"en","page":"15-18","source":"Zotero","title":"Using reclaimed municipal wastewater for irrigation","author":[{"family":"Asano","given":"Takashi"},{"family":"Pettygrove","given":"G Stuart"}],"issued":{"date-parts":[["1987",4]]}}},{"id":444,"uris":["http://zotero.org/users/5446453/items/MRHUF5U3"],"uri":["http://zotero.org/users/5446453/items/MRHUF5U3"],"itemData":{"id":444,"type":"article-journal","abstract":"The present study focuses on the environmental and health risks associated with the use of treated wastewater produced from Al-Rustamia third extension plant for irrigation. The measured data are used to evaluate comprehensive pollution index (CPI) and organic pollution index (OPI). The average CPI was found as 0.69 which indicated to be slightly polluted for all seasons and a similar result was also obtained with OPI, which is found to slightly vary in the range 1.29–1.60 which indicates as being to be contaminated. Also to evaluate its suitability for irrigation purposes, Sodium Adsorption Ratio (SAR), Soluble Sodium Percentage (SSP) and Residual Sodium Carbonate (RSC) were calculated following standard equations and found experimentally as (8.70), (74.76) and (2.68) respectively. Irrigation water classes are used for Salinity hazard (EC) and Sodium hazard (SAR) to assess water suitability for irrigation, and it is found that samples in summer and autumn in the class of C3-S1, indicate high salinity and low sodium water, while in spring and winter in the class of C4-S1, they indicate very high-salinity. Furthermore, the data indicate a slight to moderate degree of restriction on the use of this treated wastewater in irrigation due to chloride hazard. RSC value is more than 1.25 at all seasons, indicating that samples in summer and autumn are doubtful for irrigation purposes, while the samples in spring and winter are unsuitable for irrigation.","container-title":"Egyptian Journal of Petroleum","DOI":"10.1016/j.ejpe.2016.01.003","ISSN":"11100621","issue":"1","journalAbbreviation":"Egyptian Journal of Petroleum","language":"en","page":"95-102","source":"DOI.org (Crossref)","title":"Environmental and health risks associated with reuse of wastewater for irrigation","volume":"26","author":[{"family":"Shakir","given":"Eman"},{"family":"Zahraw","given":"Zahraa"},{"family":"Al-Obaidy","given":"Abdul Hameed M.J."}],"issued":{"date-parts":[["2017",3]]}}}],"schema":"https://github.com/citation-style-language/schema/raw/master/csl-citation.json"} </w:instrText>
      </w:r>
      <w:r w:rsidR="00784C16" w:rsidRPr="00F07DEB">
        <w:rPr>
          <w:rFonts w:ascii="Times New Roman" w:hAnsi="Times New Roman" w:cs="Times New Roman"/>
          <w:sz w:val="24"/>
          <w:szCs w:val="24"/>
        </w:rPr>
        <w:fldChar w:fldCharType="separate"/>
      </w:r>
      <w:r w:rsidR="00023527" w:rsidRPr="00F07DEB">
        <w:rPr>
          <w:rFonts w:ascii="Times New Roman" w:hAnsi="Times New Roman" w:cs="Times New Roman"/>
          <w:sz w:val="24"/>
        </w:rPr>
        <w:t xml:space="preserve">(Asano </w:t>
      </w:r>
      <w:r w:rsidR="002A6AB5">
        <w:rPr>
          <w:rFonts w:ascii="Times New Roman" w:hAnsi="Times New Roman" w:cs="Times New Roman"/>
          <w:sz w:val="24"/>
        </w:rPr>
        <w:t>and</w:t>
      </w:r>
      <w:r w:rsidR="00023527" w:rsidRPr="00F07DEB">
        <w:rPr>
          <w:rFonts w:ascii="Times New Roman" w:hAnsi="Times New Roman" w:cs="Times New Roman"/>
          <w:sz w:val="24"/>
        </w:rPr>
        <w:t xml:space="preserve"> Pettygrove, 1987; Shakir et al., 2017)</w:t>
      </w:r>
      <w:r w:rsidR="00784C16" w:rsidRPr="00F07DEB">
        <w:rPr>
          <w:rFonts w:ascii="Times New Roman" w:hAnsi="Times New Roman" w:cs="Times New Roman"/>
          <w:sz w:val="24"/>
          <w:szCs w:val="24"/>
        </w:rPr>
        <w:fldChar w:fldCharType="end"/>
      </w:r>
      <w:r w:rsidR="00784C16" w:rsidRPr="00F07DEB">
        <w:rPr>
          <w:rFonts w:ascii="Times New Roman" w:hAnsi="Times New Roman" w:cs="Times New Roman"/>
          <w:sz w:val="24"/>
          <w:szCs w:val="24"/>
        </w:rPr>
        <w:t>.</w:t>
      </w:r>
      <w:r w:rsidR="00986E0D" w:rsidRPr="00F07DEB">
        <w:rPr>
          <w:rFonts w:ascii="Times New Roman" w:hAnsi="Times New Roman" w:cs="Times New Roman"/>
          <w:sz w:val="24"/>
          <w:szCs w:val="24"/>
        </w:rPr>
        <w:t xml:space="preserve"> </w:t>
      </w:r>
      <w:r w:rsidR="0088447F" w:rsidRPr="00F07DEB">
        <w:rPr>
          <w:rFonts w:ascii="Times New Roman" w:hAnsi="Times New Roman" w:cs="Times New Roman"/>
          <w:sz w:val="24"/>
          <w:szCs w:val="24"/>
        </w:rPr>
        <w:t xml:space="preserve">The issue of </w:t>
      </w:r>
      <w:r w:rsidR="00D23CD0" w:rsidRPr="00F07DEB">
        <w:rPr>
          <w:rFonts w:ascii="Times New Roman" w:hAnsi="Times New Roman" w:cs="Times New Roman"/>
          <w:sz w:val="24"/>
          <w:szCs w:val="24"/>
        </w:rPr>
        <w:t xml:space="preserve">inorganic contamination </w:t>
      </w:r>
      <w:r w:rsidR="0088447F" w:rsidRPr="00F07DEB">
        <w:rPr>
          <w:rFonts w:ascii="Times New Roman" w:hAnsi="Times New Roman" w:cs="Times New Roman"/>
          <w:sz w:val="24"/>
          <w:szCs w:val="24"/>
        </w:rPr>
        <w:t>going</w:t>
      </w:r>
      <w:r w:rsidR="00D23CD0" w:rsidRPr="00F07DEB">
        <w:rPr>
          <w:rFonts w:ascii="Times New Roman" w:hAnsi="Times New Roman" w:cs="Times New Roman"/>
          <w:sz w:val="24"/>
          <w:szCs w:val="24"/>
        </w:rPr>
        <w:t xml:space="preserve"> unaddressed during treatment</w:t>
      </w:r>
      <w:r w:rsidR="0088447F" w:rsidRPr="00F07DEB">
        <w:rPr>
          <w:rFonts w:ascii="Times New Roman" w:hAnsi="Times New Roman" w:cs="Times New Roman"/>
          <w:sz w:val="24"/>
          <w:szCs w:val="24"/>
        </w:rPr>
        <w:t xml:space="preserve"> is exacerbated by the massive quantities of wastewater that receive little to no treatment</w:t>
      </w:r>
      <w:r w:rsidR="002E27F5" w:rsidRPr="00F07DEB">
        <w:rPr>
          <w:rFonts w:ascii="Times New Roman" w:hAnsi="Times New Roman" w:cs="Times New Roman"/>
          <w:sz w:val="24"/>
          <w:szCs w:val="24"/>
        </w:rPr>
        <w:t>.</w:t>
      </w:r>
      <w:r w:rsidR="00D23CD0" w:rsidRPr="00F07DEB">
        <w:rPr>
          <w:rFonts w:ascii="Times New Roman" w:hAnsi="Times New Roman" w:cs="Times New Roman"/>
          <w:sz w:val="24"/>
          <w:szCs w:val="24"/>
        </w:rPr>
        <w:t xml:space="preserve"> </w:t>
      </w:r>
      <w:proofErr w:type="spellStart"/>
      <w:r w:rsidR="006B2F73" w:rsidRPr="00F07DEB">
        <w:rPr>
          <w:rFonts w:ascii="Times New Roman" w:hAnsi="Times New Roman" w:cs="Times New Roman"/>
          <w:sz w:val="24"/>
          <w:szCs w:val="24"/>
        </w:rPr>
        <w:t>Flörke</w:t>
      </w:r>
      <w:proofErr w:type="spellEnd"/>
      <w:r w:rsidR="006B2F73" w:rsidRPr="00F07DEB">
        <w:rPr>
          <w:rFonts w:ascii="Times New Roman" w:hAnsi="Times New Roman" w:cs="Times New Roman"/>
          <w:sz w:val="24"/>
          <w:szCs w:val="24"/>
        </w:rPr>
        <w:t xml:space="preserve"> et al. estimated that 47% of domestic and manufacturing wastewater flows go untreated</w:t>
      </w:r>
      <w:r w:rsidR="002E27F5" w:rsidRPr="00F07DEB">
        <w:rPr>
          <w:rFonts w:ascii="Times New Roman" w:hAnsi="Times New Roman" w:cs="Times New Roman"/>
          <w:sz w:val="24"/>
          <w:szCs w:val="24"/>
        </w:rPr>
        <w:t xml:space="preserve">, but the true proportion could be much higher: researchers conducting a global spatial analysis of wastewater irrigation reported that </w:t>
      </w:r>
      <w:r w:rsidR="008441E3" w:rsidRPr="00F07DEB">
        <w:rPr>
          <w:rFonts w:ascii="Times New Roman" w:hAnsi="Times New Roman" w:cs="Times New Roman"/>
          <w:sz w:val="24"/>
          <w:szCs w:val="24"/>
        </w:rPr>
        <w:t>the average country</w:t>
      </w:r>
      <w:r w:rsidR="002E27F5" w:rsidRPr="00F07DEB">
        <w:rPr>
          <w:rFonts w:ascii="Times New Roman" w:hAnsi="Times New Roman" w:cs="Times New Roman"/>
          <w:sz w:val="24"/>
          <w:szCs w:val="24"/>
        </w:rPr>
        <w:t xml:space="preserve"> treat</w:t>
      </w:r>
      <w:r w:rsidR="00E837B5" w:rsidRPr="00F07DEB">
        <w:rPr>
          <w:rFonts w:ascii="Times New Roman" w:hAnsi="Times New Roman" w:cs="Times New Roman"/>
          <w:sz w:val="24"/>
          <w:szCs w:val="24"/>
        </w:rPr>
        <w:t>s only</w:t>
      </w:r>
      <w:r w:rsidR="002E27F5" w:rsidRPr="00F07DEB">
        <w:rPr>
          <w:rFonts w:ascii="Times New Roman" w:hAnsi="Times New Roman" w:cs="Times New Roman"/>
          <w:sz w:val="24"/>
          <w:szCs w:val="24"/>
        </w:rPr>
        <w:t xml:space="preserve"> </w:t>
      </w:r>
      <w:r w:rsidR="00E837B5" w:rsidRPr="00F07DEB">
        <w:rPr>
          <w:rFonts w:ascii="Times New Roman" w:hAnsi="Times New Roman" w:cs="Times New Roman"/>
          <w:sz w:val="24"/>
          <w:szCs w:val="24"/>
        </w:rPr>
        <w:t>24</w:t>
      </w:r>
      <w:r w:rsidR="002E27F5" w:rsidRPr="00F07DEB">
        <w:rPr>
          <w:rFonts w:ascii="Times New Roman" w:hAnsi="Times New Roman" w:cs="Times New Roman"/>
          <w:sz w:val="24"/>
          <w:szCs w:val="24"/>
        </w:rPr>
        <w:t xml:space="preserve">% of </w:t>
      </w:r>
      <w:r w:rsidR="008441E3" w:rsidRPr="00F07DEB">
        <w:rPr>
          <w:rFonts w:ascii="Times New Roman" w:hAnsi="Times New Roman" w:cs="Times New Roman"/>
          <w:sz w:val="24"/>
          <w:szCs w:val="24"/>
        </w:rPr>
        <w:t>its</w:t>
      </w:r>
      <w:r w:rsidR="002E27F5" w:rsidRPr="00F07DEB">
        <w:rPr>
          <w:rFonts w:ascii="Times New Roman" w:hAnsi="Times New Roman" w:cs="Times New Roman"/>
          <w:sz w:val="24"/>
          <w:szCs w:val="24"/>
        </w:rPr>
        <w:t xml:space="preserve"> wastewater </w:t>
      </w:r>
      <w:r w:rsidR="00F500B4" w:rsidRPr="00F07DEB">
        <w:rPr>
          <w:rFonts w:ascii="Times New Roman" w:hAnsi="Times New Roman" w:cs="Times New Roman"/>
          <w:sz w:val="24"/>
          <w:szCs w:val="24"/>
        </w:rPr>
        <w:fldChar w:fldCharType="begin"/>
      </w:r>
      <w:r w:rsidR="002E27F5" w:rsidRPr="00F07DEB">
        <w:rPr>
          <w:rFonts w:ascii="Times New Roman" w:hAnsi="Times New Roman" w:cs="Times New Roman"/>
          <w:sz w:val="24"/>
          <w:szCs w:val="24"/>
        </w:rPr>
        <w:instrText xml:space="preserve"> ADDIN ZOTERO_ITEM CSL_CITATION {"citationID":"pGkbo6C8","properties":{"formattedCitation":"(Fl\\uc0\\u246{}rke et al., 2013; Thebo et al., 2017)","plainCitation":"(Flörke et al., 2013; Thebo et al., 2017)","noteIndex":0},"citationItems":[{"id":446,"uris":["http://zotero.org/users/5446453/items/VAMQLFRR"],"uri":["http://zotero.org/users/5446453/items/VAMQLFRR"],"itemData":{"id":446,"type":"article-journal","abstract":"To enhance global water use assessment, the WaterGAP3 model was improved for back-calculating domestic, manufacturing and thermoelectric water uses until 1950 for 177 countries. Model simulations were carried-out on a national scale to estimate water withdrawals and consumption as well as cooling water required for industrial processes and electricity production. Additionally, the amount of treated and untreated wastewater as generated by the domestic and manufacturing sectors was modeled. In the view of data availability, model simulations are based on key socio-economic driving forces and thermal electricity production. Technological change rates were derived from statistical records in order to consider developments in water use efficiency, which turned out to have a crucial role in water use dynamics. Simulated domestic and industrial water uses increased from ca. 300km3 in 1950 to 1345km3 in 2010, 12% of which were consumed and 88% of which were discharged back into freshwater bodies. The amount of domestic and manufacturing wastewater increased considerably over the last decade, but only half of it was untreated. The downscaling of the untreated wastewater volume to river basin scale indicates a matter of concern in East and Southeast Asia, Northern Africa, and Eastern and Southern Europe. In order to reach the Millennium Development Goals, securing water supply and the reduction of untreated wastewater discharges should be amongst the priority actions to be undertaken. Population growth and increased prosperity have led to increasing water demands. However, societal and political transformation processes as well as policy regulations resulting in new water-saving technologies and improvements counteract this development by slowing down and even reducing global domestic and industrial water uses.","container-title":"Global Environmental Change","DOI":"10.1016/j.gloenvcha.2012.10.018","ISSN":"0959-3780","issue":"1","journalAbbreviation":"Global Environmental Change","language":"en","page":"144-156","source":"ScienceDirect","title":"Domestic and industrial water uses of the past 60 years as a mirror of socio-economic development: A global simulation study","title-short":"Domestic and industrial water uses of the past 60 years as a mirror of socio-economic development","volume":"23","author":[{"family":"Flörke","given":"Martina"},{"family":"Kynast","given":"Ellen"},{"family":"Bärlund","given":"Ilona"},{"family":"Eisner","given":"Stephanie"},{"family":"Wimmer","given":"Florian"},{"family":"Alcamo","given":"Joseph"}],"issued":{"date-parts":[["2013",2,1]]}}},{"id":449,"uris":["http://zotero.org/users/5446453/items/NZGI8FVI"],"uri":["http://zotero.org/users/5446453/items/NZGI8FVI"],"itemData":{"id":449,"type":"article-journal","abstract":"When urban areas expand without concomitant increases in wastewater treatment capacity, vast quantities of wastewater are released to surface waters with little or no treatment. Downstream of many urban areas are large areas of irrigated croplands reliant on these same surface water sources. Case studies document the widespread use of untreated wastewater in irrigated agriculture, but due to the practical and political challenges of conducting a true census of this practice, its global extent is not well known except where reuse has been planned. This study used GIS-based modeling methods to develop the first spatially-explicit estimate of the global extent of irrigated croplands influenced by urban wastewater flows, including indirect wastewater use. These croplands were further classified by their likelihood of using poor quality water based on the spatial proximity of croplands to urban areas, urban wastewater return flow ratios, and proportion of wastewater treated. This study found that 65% (35.9 Mha) of downstream irrigated croplands were located in catchments with high levels of dependence on urban wastewater flows. These same catchments were home to 1.37 billion urban residents. Of these croplands, 29.3 Mha were located in countries with low levels of wastewater treatment and home to 885 million urban residents. These figures provide insight into the key role that water reuse plays in meeting the water and food needs of people around the world, and the need to invest in wastewater treatment to protect public health.","container-title":"Environmental Research Letters","DOI":"10.1088/1748-9326/aa75d1","ISSN":"1748-9326","issue":"7","journalAbbreviation":"Environ. Res. Lett.","language":"en","note":"publisher: IOP Publishing","page":"074008","source":"Institute of Physics","title":"A global, spatially-explicit assessment of irrigated croplands influenced by urban wastewater flows","volume":"12","author":[{"family":"Thebo","given":"A. L."},{"family":"Drechsel","given":"P."},{"family":"Lambin","given":"E. F."},{"family":"Nelson","given":"K. L."}],"issued":{"date-parts":[["2017",7]]}}}],"schema":"https://github.com/citation-style-language/schema/raw/master/csl-citation.json"} </w:instrText>
      </w:r>
      <w:r w:rsidR="00F500B4" w:rsidRPr="00F07DEB">
        <w:rPr>
          <w:rFonts w:ascii="Times New Roman" w:hAnsi="Times New Roman" w:cs="Times New Roman"/>
          <w:sz w:val="24"/>
          <w:szCs w:val="24"/>
        </w:rPr>
        <w:fldChar w:fldCharType="separate"/>
      </w:r>
      <w:r w:rsidR="00234033" w:rsidRPr="00234033">
        <w:rPr>
          <w:rFonts w:ascii="Times New Roman" w:hAnsi="Times New Roman" w:cs="Times New Roman"/>
          <w:sz w:val="24"/>
          <w:szCs w:val="24"/>
        </w:rPr>
        <w:t>(Flörke et al., 2013; Thebo et al., 2017)</w:t>
      </w:r>
      <w:r w:rsidR="00F500B4" w:rsidRPr="00F07DEB">
        <w:rPr>
          <w:rFonts w:ascii="Times New Roman" w:hAnsi="Times New Roman" w:cs="Times New Roman"/>
          <w:sz w:val="24"/>
          <w:szCs w:val="24"/>
        </w:rPr>
        <w:fldChar w:fldCharType="end"/>
      </w:r>
      <w:r w:rsidR="006B2F73" w:rsidRPr="00F07DEB">
        <w:rPr>
          <w:rFonts w:ascii="Times New Roman" w:hAnsi="Times New Roman" w:cs="Times New Roman"/>
          <w:sz w:val="24"/>
          <w:szCs w:val="24"/>
        </w:rPr>
        <w:t xml:space="preserve">. </w:t>
      </w:r>
      <w:r w:rsidR="00D5039C" w:rsidRPr="00F07DEB">
        <w:rPr>
          <w:rFonts w:ascii="Times New Roman" w:hAnsi="Times New Roman" w:cs="Times New Roman"/>
          <w:sz w:val="24"/>
          <w:szCs w:val="24"/>
        </w:rPr>
        <w:t xml:space="preserve">This same spatial analysis found that as many as 36 </w:t>
      </w:r>
      <w:proofErr w:type="spellStart"/>
      <w:r w:rsidR="00D5039C" w:rsidRPr="00F07DEB">
        <w:rPr>
          <w:rFonts w:ascii="Times New Roman" w:hAnsi="Times New Roman" w:cs="Times New Roman"/>
          <w:sz w:val="24"/>
          <w:szCs w:val="24"/>
        </w:rPr>
        <w:t>Mha</w:t>
      </w:r>
      <w:proofErr w:type="spellEnd"/>
      <w:r w:rsidR="00D5039C" w:rsidRPr="00F07DEB">
        <w:rPr>
          <w:rFonts w:ascii="Times New Roman" w:hAnsi="Times New Roman" w:cs="Times New Roman"/>
          <w:sz w:val="24"/>
          <w:szCs w:val="24"/>
        </w:rPr>
        <w:t xml:space="preserve"> of cropland worldwide are supplied with </w:t>
      </w:r>
      <w:r w:rsidR="00DD3CFF" w:rsidRPr="00F07DEB">
        <w:rPr>
          <w:rFonts w:ascii="Times New Roman" w:hAnsi="Times New Roman" w:cs="Times New Roman"/>
          <w:sz w:val="24"/>
          <w:szCs w:val="24"/>
        </w:rPr>
        <w:t xml:space="preserve">treated, partially-treated, or raw </w:t>
      </w:r>
      <w:r w:rsidR="00D5039C" w:rsidRPr="00F07DEB">
        <w:rPr>
          <w:rFonts w:ascii="Times New Roman" w:hAnsi="Times New Roman" w:cs="Times New Roman"/>
          <w:sz w:val="24"/>
          <w:szCs w:val="24"/>
        </w:rPr>
        <w:t>wastewater</w:t>
      </w:r>
      <w:r w:rsidR="00EE617B" w:rsidRPr="00F07DEB">
        <w:rPr>
          <w:rFonts w:ascii="Times New Roman" w:hAnsi="Times New Roman" w:cs="Times New Roman"/>
          <w:sz w:val="24"/>
          <w:szCs w:val="24"/>
        </w:rPr>
        <w:t>, a practice often born out of environmental or economic necessity</w:t>
      </w:r>
      <w:r w:rsidR="00794AF8" w:rsidRPr="00F07DEB">
        <w:rPr>
          <w:rFonts w:ascii="Times New Roman" w:hAnsi="Times New Roman" w:cs="Times New Roman"/>
          <w:sz w:val="24"/>
          <w:szCs w:val="24"/>
        </w:rPr>
        <w:t xml:space="preserve"> </w:t>
      </w:r>
      <w:r w:rsidR="00794AF8" w:rsidRPr="00F07DEB">
        <w:rPr>
          <w:rFonts w:ascii="Times New Roman" w:hAnsi="Times New Roman" w:cs="Times New Roman"/>
          <w:sz w:val="24"/>
          <w:szCs w:val="24"/>
        </w:rPr>
        <w:fldChar w:fldCharType="begin"/>
      </w:r>
      <w:r w:rsidR="00794AF8" w:rsidRPr="00F07DEB">
        <w:rPr>
          <w:rFonts w:ascii="Times New Roman" w:hAnsi="Times New Roman" w:cs="Times New Roman"/>
          <w:sz w:val="24"/>
          <w:szCs w:val="24"/>
        </w:rPr>
        <w:instrText xml:space="preserve"> ADDIN ZOTERO_ITEM CSL_CITATION {"citationID":"pUS4qnVC","properties":{"formattedCitation":"(Thebo et al., 2017)","plainCitation":"(Thebo et al., 2017)","noteIndex":0},"citationItems":[{"id":449,"uris":["http://zotero.org/users/5446453/items/NZGI8FVI"],"uri":["http://zotero.org/users/5446453/items/NZGI8FVI"],"itemData":{"id":449,"type":"article-journal","abstract":"When urban areas expand without concomitant increases in wastewater treatment capacity, vast quantities of wastewater are released to surface waters with little or no treatment. Downstream of many urban areas are large areas of irrigated croplands reliant on these same surface water sources. Case studies document the widespread use of untreated wastewater in irrigated agriculture, but due to the practical and political challenges of conducting a true census of this practice, its global extent is not well known except where reuse has been planned. This study used GIS-based modeling methods to develop the first spatially-explicit estimate of the global extent of irrigated croplands influenced by urban wastewater flows, including indirect wastewater use. These croplands were further classified by their likelihood of using poor quality water based on the spatial proximity of croplands to urban areas, urban wastewater return flow ratios, and proportion of wastewater treated. This study found that 65% (35.9 Mha) of downstream irrigated croplands were located in catchments with high levels of dependence on urban wastewater flows. These same catchments were home to 1.37 billion urban residents. Of these croplands, 29.3 Mha were located in countries with low levels of wastewater treatment and home to 885 million urban residents. These figures provide insight into the key role that water reuse plays in meeting the water and food needs of people around the world, and the need to invest in wastewater treatment to protect public health.","container-title":"Environmental Research Letters","DOI":"10.1088/1748-9326/aa75d1","ISSN":"1748-9326","issue":"7","journalAbbreviation":"Environ. Res. Lett.","language":"en","note":"publisher: IOP Publishing","page":"074008","source":"Institute of Physics","title":"A global, spatially-explicit assessment of irrigated croplands influenced by urban wastewater flows","volume":"12","author":[{"family":"Thebo","given":"A. L."},{"family":"Drechsel","given":"P."},{"family":"Lambin","given":"E. F."},{"family":"Nelson","given":"K. L."}],"issued":{"date-parts":[["2017",7]]}}}],"schema":"https://github.com/citation-style-language/schema/raw/master/csl-citation.json"} </w:instrText>
      </w:r>
      <w:r w:rsidR="00794AF8"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 xml:space="preserve">(Thebo et al., </w:t>
      </w:r>
      <w:r w:rsidR="00234033" w:rsidRPr="00234033">
        <w:rPr>
          <w:rFonts w:ascii="Times New Roman" w:hAnsi="Times New Roman" w:cs="Times New Roman"/>
          <w:sz w:val="24"/>
        </w:rPr>
        <w:lastRenderedPageBreak/>
        <w:t>2017)</w:t>
      </w:r>
      <w:r w:rsidR="00794AF8" w:rsidRPr="00F07DEB">
        <w:rPr>
          <w:rFonts w:ascii="Times New Roman" w:hAnsi="Times New Roman" w:cs="Times New Roman"/>
          <w:sz w:val="24"/>
          <w:szCs w:val="24"/>
        </w:rPr>
        <w:fldChar w:fldCharType="end"/>
      </w:r>
      <w:r w:rsidR="00DD3CFF" w:rsidRPr="00F07DEB">
        <w:rPr>
          <w:rFonts w:ascii="Times New Roman" w:hAnsi="Times New Roman" w:cs="Times New Roman"/>
          <w:sz w:val="24"/>
          <w:szCs w:val="24"/>
        </w:rPr>
        <w:t xml:space="preserve">. </w:t>
      </w:r>
      <w:r w:rsidR="002D13DA" w:rsidRPr="00F07DEB">
        <w:rPr>
          <w:rFonts w:ascii="Times New Roman" w:hAnsi="Times New Roman" w:cs="Times New Roman"/>
          <w:sz w:val="24"/>
          <w:szCs w:val="24"/>
        </w:rPr>
        <w:t xml:space="preserve">Scientists in </w:t>
      </w:r>
      <w:r w:rsidR="00A02456" w:rsidRPr="00F07DEB">
        <w:rPr>
          <w:rFonts w:ascii="Times New Roman" w:hAnsi="Times New Roman" w:cs="Times New Roman"/>
          <w:sz w:val="24"/>
          <w:szCs w:val="24"/>
        </w:rPr>
        <w:t>numerous countries</w:t>
      </w:r>
      <w:r w:rsidR="002D13DA" w:rsidRPr="00F07DEB">
        <w:rPr>
          <w:rFonts w:ascii="Times New Roman" w:hAnsi="Times New Roman" w:cs="Times New Roman"/>
          <w:sz w:val="24"/>
          <w:szCs w:val="24"/>
        </w:rPr>
        <w:t xml:space="preserve"> have connected </w:t>
      </w:r>
      <w:r w:rsidR="00FB47CE" w:rsidRPr="00F07DEB">
        <w:rPr>
          <w:rFonts w:ascii="Times New Roman" w:hAnsi="Times New Roman" w:cs="Times New Roman"/>
          <w:sz w:val="24"/>
          <w:szCs w:val="24"/>
        </w:rPr>
        <w:t xml:space="preserve">trace </w:t>
      </w:r>
      <w:r w:rsidR="002D13DA" w:rsidRPr="00F07DEB">
        <w:rPr>
          <w:rFonts w:ascii="Times New Roman" w:hAnsi="Times New Roman" w:cs="Times New Roman"/>
          <w:sz w:val="24"/>
          <w:szCs w:val="24"/>
        </w:rPr>
        <w:t>metal contamination of soil and plants to</w:t>
      </w:r>
      <w:r w:rsidR="00CD2C30" w:rsidRPr="00F07DEB">
        <w:rPr>
          <w:rFonts w:ascii="Times New Roman" w:hAnsi="Times New Roman" w:cs="Times New Roman"/>
          <w:sz w:val="24"/>
          <w:szCs w:val="24"/>
        </w:rPr>
        <w:t xml:space="preserve"> </w:t>
      </w:r>
      <w:r w:rsidR="00023527" w:rsidRPr="00F07DEB">
        <w:rPr>
          <w:rFonts w:ascii="Times New Roman" w:hAnsi="Times New Roman" w:cs="Times New Roman"/>
          <w:sz w:val="24"/>
          <w:szCs w:val="24"/>
        </w:rPr>
        <w:t xml:space="preserve">the </w:t>
      </w:r>
      <w:r w:rsidR="00CD2C30" w:rsidRPr="00F07DEB">
        <w:rPr>
          <w:rFonts w:ascii="Times New Roman" w:hAnsi="Times New Roman" w:cs="Times New Roman"/>
          <w:sz w:val="24"/>
          <w:szCs w:val="24"/>
        </w:rPr>
        <w:t xml:space="preserve">regulated or unsanctioned </w:t>
      </w:r>
      <w:r w:rsidR="002D13DA" w:rsidRPr="00F07DEB">
        <w:rPr>
          <w:rFonts w:ascii="Times New Roman" w:hAnsi="Times New Roman" w:cs="Times New Roman"/>
          <w:sz w:val="24"/>
          <w:szCs w:val="24"/>
        </w:rPr>
        <w:t>irrigation</w:t>
      </w:r>
      <w:r w:rsidR="00A02456" w:rsidRPr="00F07DEB">
        <w:rPr>
          <w:rFonts w:ascii="Times New Roman" w:hAnsi="Times New Roman" w:cs="Times New Roman"/>
          <w:sz w:val="24"/>
          <w:szCs w:val="24"/>
        </w:rPr>
        <w:t xml:space="preserve"> with raw sewage and treated domestic or industrial wastewater</w:t>
      </w:r>
      <w:r w:rsidR="00CD2C30" w:rsidRPr="00F07DEB">
        <w:rPr>
          <w:rFonts w:ascii="Times New Roman" w:hAnsi="Times New Roman" w:cs="Times New Roman"/>
          <w:sz w:val="24"/>
          <w:szCs w:val="24"/>
        </w:rPr>
        <w:t xml:space="preserve"> </w:t>
      </w:r>
      <w:r w:rsidR="002D13DA" w:rsidRPr="00F07DEB">
        <w:rPr>
          <w:rFonts w:ascii="Times New Roman" w:hAnsi="Times New Roman" w:cs="Times New Roman"/>
          <w:sz w:val="24"/>
          <w:szCs w:val="24"/>
        </w:rPr>
        <w:fldChar w:fldCharType="begin"/>
      </w:r>
      <w:r w:rsidR="00C2564D">
        <w:rPr>
          <w:rFonts w:ascii="Times New Roman" w:hAnsi="Times New Roman" w:cs="Times New Roman"/>
          <w:sz w:val="24"/>
          <w:szCs w:val="24"/>
        </w:rPr>
        <w:instrText xml:space="preserve"> ADDIN ZOTERO_ITEM CSL_CITATION {"citationID":"0ShU4SRh","properties":{"formattedCitation":"(Chang et al., 2001; Khan et al., 2008; Liu et al., 2005; Tiwari et al., 2011)","plainCitation":"(Chang et al., 2001; Khan et al., 2008; Liu et al., 2005; Tiwari et al., 2011)","noteIndex":0},"citationItems":[{"id":412,"uris":["http://zotero.org/users/5446453/items/QM4Z8T66"],"uri":["http://zotero.org/users/5446453/items/QM4Z8T66"],"itemData":{"id":412,"type":"report","number":"No. WHO/EOS/95.20","page":"13","publisher":"World Health Organization European Environmental Bureau","source":"ResearchGate","title":"Developing human health-related chemical guidelines for reclaimed water and sewage sludge applications in agriculture","author":[{"family":"Chang","given":"Andrew"},{"family":"Pan","given":"Genxing"},{"family":"Page","given":"Albert"},{"family":"Asano","given":"Takashi"}],"issued":{"date-parts":[["2001",1,1]]}}},{"id":438,"uris":["http://zotero.org/users/5446453/items/AUCJCRR4"],"uri":["http://zotero.org/users/5446453/items/AUCJCRR4"],"itemData":{"id":438,"type":"article-journal","abstract":"Consumption of food crops contaminated with heavy metals is a major food chain route for human exposure. We studied the health risks of heavy metals in contaminated food crops irrigated with wastewater. Results indicate that there is a substantial buildup of heavy metals in wastewater-irrigated soils, collected from Beijing, China. Heavy metal concentrations in plants grown in wastewater-irrigated soils were signiﬁcantly higher (P 0.001) than in plants grown in the reference soil, and exceeded the permissible limits set by the State Environmental Protection Administration (SEPA) in China and the World Health Organization (WHO). Furthermore, this study highlights that both adults and children consuming food crops grown in wastewater-irrigated soils ingest signiﬁcant amount of the metals studied. However, health risk index values of less than 1 indicate a relative absence of health risks associated with the ingestion of contaminated vegetables.","container-title":"Environmental Pollution","DOI":"10.1016/j.envpol.2007.06.056","ISSN":"02697491","issue":"3","journalAbbreviation":"Environmental Pollution","language":"en","page":"686-692","source":"DOI.org (Crossref)","title":"Health risks of heavy metals in contaminated soils and food crops irrigated with wastewater in Beijing, China","volume":"152","author":[{"family":"Khan","given":"S."},{"family":"Cao","given":"Q."},{"family":"Zheng","given":"Y.M."},{"family":"Huang","given":"Y.Z."},{"family":"Zhu","given":"Y.G."}],"issued":{"date-parts":[["2008",4]]}}},{"id":435,"uris":["http://zotero.org/users/5446453/items/G4LL8RQK"],"uri":["http://zotero.org/users/5446453/items/G4LL8RQK"],"itemData":{"id":435,"type":"article-journal","abstract":"A potential hazard to Beijing was revealed due to the accumulation trend of heavy metals in agricultural soils with sewage irrigation, which results in metal contamination and human exposure risk. Samples including soils and plants were collected to assess the impacts of sewage irrigation on the irrigated farming area of Beijing. Concentrations of the five elements Cd, Cr, Cu, Zn, and Pb were determined in samples to calculate the accumulation factor and to establish a basis for environmental protection and the suitability of sewage irrigation for particular land use in the urban–rural interaction area of Beijing. Using reference values provided by the Beijing Background Research Cooperative Group in the 1970s, the pollution load index (PLI), enrichment factor (EF), and contamination factor (CF) of these metals were calculated. The pollution load indices (sewage irrigation land 3.49) of soils indicated that metal contamination occurred in these sites. The metal enrichment (EF of Cd 1.8, Cr 1.7, Cu 2.3, Zn 2.0, Pb 1.9) and the metal contamination (CF of Cd 2.6, Cr 1.5, Cu 2.0, Zn 1.7, Pb 1.6) showed that the accumulation trend of the five toxic metals increased during the sewage irrigation as compared with the lower reference values than other region in China and world average, and that pollution with Cd, Cu, Zn, and Pb was exacerbated in soils. The distributions of these metals were homogeneous in the irrigation area, but small-scale heterogeneous spatial distribution was observed. Irrigation sources were found to affect heavy metal distributions in soils. It was suggested that heavy metal transfer from soils to plants was a key pathway to human health exposure to metal contamination. However, with the expansion of urban areas in Beijing, soil inhalation and ingestion may become important pathways of human exposure to metal contamination.","collection-title":"Soil Contamination and Environmental Health","container-title":"Environment International","DOI":"10.1016/j.envint.2005.05.042","ISSN":"0160-4120","issue":"6","journalAbbreviation":"Environment International","language":"en","page":"805-812","source":"ScienceDirect","title":"Impacts of sewage irrigation on heavy metal distribution and contamination in Beijing, China","volume":"31","author":[{"family":"Liu","given":"Wen-hua"},{"family":"Zhao","given":"Jing-zhu"},{"family":"Ouyang","given":"Zhi-yun"},{"family":"Söderlund","given":"Leif"},{"family":"Liu","given":"Guo-hua"}],"issued":{"date-parts":[["2005",8,1]]}}},{"id":442,"uris":["http://zotero.org/users/5446453/items/TQT2KFDV"],"uri":["http://zotero.org/users/5446453/items/TQT2KFDV"],"itemData":{"id":442,"type":"article-journal","abstract":"The present investigation was carried out to evaluate metals concentration in ten vegetable crops growing in mixed industrial efﬂuent irrigated agricultural ﬁeld near Vadodara, Gujarat, India. Differential accumulation and translocation of various metals in selected vegetables plant species was observed. A higher concentration of metals were found in order of Fe 4Mn 4 Zn4 Cd 4Cu 4 Pb 4Cr 4 As in soil irrigated with industrial efﬂuent than soil irrigated with tube well water; however, the concentration of As, Cr and Pb found below detection limit in tube well water irrigated soil. Metal accumulation in root and top of vegetables varied signiﬁcantly both in relations to metal concentration in the soil and the plant genotype. Among ten vegetable species studied ﬁve vegetable species, i.e. Spinach, Radish, Tomato, Chili and Cabbage growing in mixed industrial efﬂuent irrigated agricultural ﬁeld showed high accumulation and translocation of toxic metals (As, Cd, Cr, Pb and Ni) in their edible parts, thus, their cultivation are unsafe with respect to possible transfer in food chain and health hazards. However, it is suggested that vegetable crops restricting toxic metal in non-edible port may be recommended for cultivation in such metal contaminated agricultural ﬁeld.","container-title":"Ecotoxicology and Environmental Safety","DOI":"10.1016/j.ecoenv.2011.04.029","ISSN":"01476513","issue":"6","journalAbbreviation":"Ecotoxicology and Environmental Safety","language":"en","page":"1670-1677","source":"DOI.org (Crossref)","title":"Metal contamination of soil and translocation in vegetables growing under industrial wastewater irrigated agricultural field of Vadodara, Gujarat, India","volume":"74","author":[{"family":"Tiwari","given":"K.K."},{"family":"Singh","given":"N.K."},{"family":"Patel","given":"M.P."},{"family":"Tiwari","given":"M.R."},{"family":"Rai","given":"U.N."}],"issued":{"date-parts":[["2011",9]]}}}],"schema":"https://github.com/citation-style-language/schema/raw/master/csl-citation.json"} </w:instrText>
      </w:r>
      <w:r w:rsidR="002D13DA"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(Chang et al., 2001; Khan et al., 2008; Liu et al., 2005; Tiwari et al., 2011)</w:t>
      </w:r>
      <w:r w:rsidR="002D13DA" w:rsidRPr="00F07DEB">
        <w:rPr>
          <w:rFonts w:ascii="Times New Roman" w:hAnsi="Times New Roman" w:cs="Times New Roman"/>
          <w:sz w:val="24"/>
          <w:szCs w:val="24"/>
        </w:rPr>
        <w:fldChar w:fldCharType="end"/>
      </w:r>
      <w:r w:rsidR="007A5486" w:rsidRPr="00F07DEB">
        <w:rPr>
          <w:rFonts w:ascii="Times New Roman" w:hAnsi="Times New Roman" w:cs="Times New Roman"/>
          <w:sz w:val="24"/>
          <w:szCs w:val="24"/>
        </w:rPr>
        <w:t>. Vegetables watered with biologically-treated wastewater at</w:t>
      </w:r>
      <w:r w:rsidR="002D13DA" w:rsidRPr="00F07DEB">
        <w:rPr>
          <w:rFonts w:ascii="Times New Roman" w:hAnsi="Times New Roman" w:cs="Times New Roman"/>
          <w:sz w:val="24"/>
          <w:szCs w:val="24"/>
        </w:rPr>
        <w:t xml:space="preserve"> farms outside of Beijing exhibited levels of Cd, Cr, Cu, Ni, Zn, and </w:t>
      </w:r>
      <w:proofErr w:type="spellStart"/>
      <w:r w:rsidR="002D13DA" w:rsidRPr="00F07DEB">
        <w:rPr>
          <w:rFonts w:ascii="Times New Roman" w:hAnsi="Times New Roman" w:cs="Times New Roman"/>
          <w:sz w:val="24"/>
          <w:szCs w:val="24"/>
        </w:rPr>
        <w:t>Pb</w:t>
      </w:r>
      <w:proofErr w:type="spellEnd"/>
      <w:r w:rsidR="002D13DA" w:rsidRPr="00F07DEB">
        <w:rPr>
          <w:rFonts w:ascii="Times New Roman" w:hAnsi="Times New Roman" w:cs="Times New Roman"/>
          <w:sz w:val="24"/>
          <w:szCs w:val="24"/>
        </w:rPr>
        <w:t xml:space="preserve"> above the WHO permissible limits</w:t>
      </w:r>
      <w:r w:rsidR="00C6224C" w:rsidRPr="00F07DEB">
        <w:rPr>
          <w:rFonts w:ascii="Times New Roman" w:hAnsi="Times New Roman" w:cs="Times New Roman"/>
          <w:sz w:val="24"/>
          <w:szCs w:val="24"/>
        </w:rPr>
        <w:t>;</w:t>
      </w:r>
      <w:r w:rsidR="002D13DA" w:rsidRPr="00F07DEB">
        <w:rPr>
          <w:rFonts w:ascii="Times New Roman" w:hAnsi="Times New Roman" w:cs="Times New Roman"/>
          <w:sz w:val="24"/>
          <w:szCs w:val="24"/>
        </w:rPr>
        <w:t xml:space="preserve"> a human health risk assessment </w:t>
      </w:r>
      <w:r w:rsidR="00C6224C" w:rsidRPr="00F07DEB">
        <w:rPr>
          <w:rFonts w:ascii="Times New Roman" w:hAnsi="Times New Roman" w:cs="Times New Roman"/>
          <w:sz w:val="24"/>
          <w:szCs w:val="24"/>
        </w:rPr>
        <w:t xml:space="preserve">deemed the contaminated vegetables safe for consumption, but failed to account for other exposure pathways like dust inhalation and ingestion </w:t>
      </w:r>
      <w:r w:rsidR="00C6224C" w:rsidRPr="00F07DEB">
        <w:rPr>
          <w:rFonts w:ascii="Times New Roman" w:hAnsi="Times New Roman" w:cs="Times New Roman"/>
          <w:sz w:val="24"/>
          <w:szCs w:val="24"/>
        </w:rPr>
        <w:fldChar w:fldCharType="begin"/>
      </w:r>
      <w:r w:rsidR="00C6224C" w:rsidRPr="00F07DEB">
        <w:rPr>
          <w:rFonts w:ascii="Times New Roman" w:hAnsi="Times New Roman" w:cs="Times New Roman"/>
          <w:sz w:val="24"/>
          <w:szCs w:val="24"/>
        </w:rPr>
        <w:instrText xml:space="preserve"> ADDIN ZOTERO_ITEM CSL_CITATION {"citationID":"wbky8P8Y","properties":{"formattedCitation":"(Khan et al., 2008)","plainCitation":"(Khan et al., 2008)","noteIndex":0},"citationItems":[{"id":438,"uris":["http://zotero.org/users/5446453/items/AUCJCRR4"],"uri":["http://zotero.org/users/5446453/items/AUCJCRR4"],"itemData":{"id":438,"type":"article-journal","abstract":"Consumption of food crops contaminated with heavy metals is a major food chain route for human exposure. We studied the health risks of heavy metals in contaminated food crops irrigated with wastewater. Results indicate that there is a substantial buildup of heavy metals in wastewater-irrigated soils, collected from Beijing, China. Heavy metal concentrations in plants grown in wastewater-irrigated soils were signiﬁcantly higher (P 0.001) than in plants grown in the reference soil, and exceeded the permissible limits set by the State Environmental Protection Administration (SEPA) in China and the World Health Organization (WHO). Furthermore, this study highlights that both adults and children consuming food crops grown in wastewater-irrigated soils ingest signiﬁcant amount of the metals studied. However, health risk index values of less than 1 indicate a relative absence of health risks associated with the ingestion of contaminated vegetables.","container-title":"Environmental Pollution","DOI":"10.1016/j.envpol.2007.06.056","ISSN":"02697491","issue":"3","journalAbbreviation":"Environmental Pollution","language":"en","page":"686-692","source":"DOI.org (Crossref)","title":"Health risks of heavy metals in contaminated soils and food crops irrigated with wastewater in Beijing, China","volume":"152","author":[{"family":"Khan","given":"S."},{"family":"Cao","given":"Q."},{"family":"Zheng","given":"Y.M."},{"family":"Huang","given":"Y.Z."},{"family":"Zhu","given":"Y.G."}],"issued":{"date-parts":[["2008",4]]}}}],"schema":"https://github.com/citation-style-language/schema/raw/master/csl-citation.json"} </w:instrText>
      </w:r>
      <w:r w:rsidR="00C6224C"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(Khan et al., 2008)</w:t>
      </w:r>
      <w:r w:rsidR="00C6224C" w:rsidRPr="00F07DEB">
        <w:rPr>
          <w:rFonts w:ascii="Times New Roman" w:hAnsi="Times New Roman" w:cs="Times New Roman"/>
          <w:sz w:val="24"/>
          <w:szCs w:val="24"/>
        </w:rPr>
        <w:fldChar w:fldCharType="end"/>
      </w:r>
      <w:r w:rsidR="00C6224C" w:rsidRPr="00F07DEB">
        <w:rPr>
          <w:rFonts w:ascii="Times New Roman" w:hAnsi="Times New Roman" w:cs="Times New Roman"/>
          <w:sz w:val="24"/>
          <w:szCs w:val="24"/>
        </w:rPr>
        <w:t xml:space="preserve">. </w:t>
      </w:r>
      <w:r w:rsidR="000816B0" w:rsidRPr="00F07DEB">
        <w:rPr>
          <w:rFonts w:ascii="Times New Roman" w:hAnsi="Times New Roman" w:cs="Times New Roman"/>
          <w:sz w:val="24"/>
          <w:szCs w:val="24"/>
        </w:rPr>
        <w:t>In India, a</w:t>
      </w:r>
      <w:r w:rsidR="00D84453" w:rsidRPr="00F07DEB">
        <w:rPr>
          <w:rFonts w:ascii="Times New Roman" w:hAnsi="Times New Roman" w:cs="Times New Roman"/>
          <w:sz w:val="24"/>
          <w:szCs w:val="24"/>
        </w:rPr>
        <w:t xml:space="preserve"> similar study of </w:t>
      </w:r>
      <w:r w:rsidR="000816B0" w:rsidRPr="00F07DEB">
        <w:rPr>
          <w:rFonts w:ascii="Times New Roman" w:hAnsi="Times New Roman" w:cs="Times New Roman"/>
          <w:sz w:val="24"/>
          <w:szCs w:val="24"/>
        </w:rPr>
        <w:t xml:space="preserve">vegetable irrigation with treated and raw industrial effluent identified elevated concentrations of As, Cd, Cr, Ni, and </w:t>
      </w:r>
      <w:proofErr w:type="spellStart"/>
      <w:r w:rsidR="000816B0" w:rsidRPr="00F07DEB">
        <w:rPr>
          <w:rFonts w:ascii="Times New Roman" w:hAnsi="Times New Roman" w:cs="Times New Roman"/>
          <w:sz w:val="24"/>
          <w:szCs w:val="24"/>
        </w:rPr>
        <w:t>Pb</w:t>
      </w:r>
      <w:proofErr w:type="spellEnd"/>
      <w:r w:rsidR="000816B0" w:rsidRPr="00F07DEB">
        <w:rPr>
          <w:rFonts w:ascii="Times New Roman" w:hAnsi="Times New Roman" w:cs="Times New Roman"/>
          <w:sz w:val="24"/>
          <w:szCs w:val="24"/>
        </w:rPr>
        <w:t xml:space="preserve"> in the edible portions of half of the ten study species</w:t>
      </w:r>
      <w:r w:rsidR="00226445" w:rsidRPr="00F07DEB">
        <w:rPr>
          <w:rFonts w:ascii="Times New Roman" w:hAnsi="Times New Roman" w:cs="Times New Roman"/>
          <w:sz w:val="24"/>
          <w:szCs w:val="24"/>
        </w:rPr>
        <w:t xml:space="preserve"> </w:t>
      </w:r>
      <w:r w:rsidR="00226445" w:rsidRPr="00F07DEB">
        <w:rPr>
          <w:rFonts w:ascii="Times New Roman" w:hAnsi="Times New Roman" w:cs="Times New Roman"/>
          <w:sz w:val="24"/>
          <w:szCs w:val="24"/>
        </w:rPr>
        <w:fldChar w:fldCharType="begin"/>
      </w:r>
      <w:r w:rsidR="00226445" w:rsidRPr="00F07DEB">
        <w:rPr>
          <w:rFonts w:ascii="Times New Roman" w:hAnsi="Times New Roman" w:cs="Times New Roman"/>
          <w:sz w:val="24"/>
          <w:szCs w:val="24"/>
        </w:rPr>
        <w:instrText xml:space="preserve"> ADDIN ZOTERO_ITEM CSL_CITATION {"citationID":"zFkLBkpq","properties":{"formattedCitation":"(Tiwari et al., 2011)","plainCitation":"(Tiwari et al., 2011)","noteIndex":0},"citationItems":[{"id":442,"uris":["http://zotero.org/users/5446453/items/TQT2KFDV"],"uri":["http://zotero.org/users/5446453/items/TQT2KFDV"],"itemData":{"id":442,"type":"article-journal","abstract":"The present investigation was carried out to evaluate metals concentration in ten vegetable crops growing in mixed industrial efﬂuent irrigated agricultural ﬁeld near Vadodara, Gujarat, India. Differential accumulation and translocation of various metals in selected vegetables plant species was observed. A higher concentration of metals were found in order of Fe 4Mn 4 Zn4 Cd 4Cu 4 Pb 4Cr 4 As in soil irrigated with industrial efﬂuent than soil irrigated with tube well water; however, the concentration of As, Cr and Pb found below detection limit in tube well water irrigated soil. Metal accumulation in root and top of vegetables varied signiﬁcantly both in relations to metal concentration in the soil and the plant genotype. Among ten vegetable species studied ﬁve vegetable species, i.e. Spinach, Radish, Tomato, Chili and Cabbage growing in mixed industrial efﬂuent irrigated agricultural ﬁeld showed high accumulation and translocation of toxic metals (As, Cd, Cr, Pb and Ni) in their edible parts, thus, their cultivation are unsafe with respect to possible transfer in food chain and health hazards. However, it is suggested that vegetable crops restricting toxic metal in non-edible port may be recommended for cultivation in such metal contaminated agricultural ﬁeld.","container-title":"Ecotoxicology and Environmental Safety","DOI":"10.1016/j.ecoenv.2011.04.029","ISSN":"01476513","issue":"6","journalAbbreviation":"Ecotoxicology and Environmental Safety","language":"en","page":"1670-1677","source":"DOI.org (Crossref)","title":"Metal contamination of soil and translocation in vegetables growing under industrial wastewater irrigated agricultural field of Vadodara, Gujarat, India","volume":"74","author":[{"family":"Tiwari","given":"K.K."},{"family":"Singh","given":"N.K."},{"family":"Patel","given":"M.P."},{"family":"Tiwari","given":"M.R."},{"family":"Rai","given":"U.N."}],"issued":{"date-parts":[["2011",9]]}}}],"schema":"https://github.com/citation-style-language/schema/raw/master/csl-citation.json"} </w:instrText>
      </w:r>
      <w:r w:rsidR="00226445"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(Tiwari et al., 2011)</w:t>
      </w:r>
      <w:r w:rsidR="00226445" w:rsidRPr="00F07DEB">
        <w:rPr>
          <w:rFonts w:ascii="Times New Roman" w:hAnsi="Times New Roman" w:cs="Times New Roman"/>
          <w:sz w:val="24"/>
          <w:szCs w:val="24"/>
        </w:rPr>
        <w:fldChar w:fldCharType="end"/>
      </w:r>
      <w:r w:rsidR="00226445" w:rsidRPr="00F07DEB">
        <w:rPr>
          <w:rFonts w:ascii="Times New Roman" w:hAnsi="Times New Roman" w:cs="Times New Roman"/>
          <w:sz w:val="24"/>
          <w:szCs w:val="24"/>
        </w:rPr>
        <w:t xml:space="preserve">. </w:t>
      </w:r>
      <w:r w:rsidR="00A24354" w:rsidRPr="00F07DEB">
        <w:rPr>
          <w:rFonts w:ascii="Times New Roman" w:hAnsi="Times New Roman" w:cs="Times New Roman"/>
          <w:sz w:val="24"/>
          <w:szCs w:val="24"/>
        </w:rPr>
        <w:t>Despite their propensity for bioaccumulation, all five of the aforementioned metals were present in the soil at lo</w:t>
      </w:r>
      <w:r w:rsidR="00BE13BC" w:rsidRPr="00F07DEB">
        <w:rPr>
          <w:rFonts w:ascii="Times New Roman" w:hAnsi="Times New Roman" w:cs="Times New Roman"/>
          <w:sz w:val="24"/>
          <w:szCs w:val="24"/>
        </w:rPr>
        <w:t xml:space="preserve">wer levels than Fe, </w:t>
      </w:r>
      <w:proofErr w:type="spellStart"/>
      <w:r w:rsidR="00BE13BC" w:rsidRPr="00F07DEB">
        <w:rPr>
          <w:rFonts w:ascii="Times New Roman" w:hAnsi="Times New Roman" w:cs="Times New Roman"/>
          <w:sz w:val="24"/>
          <w:szCs w:val="24"/>
        </w:rPr>
        <w:t>Mn</w:t>
      </w:r>
      <w:proofErr w:type="spellEnd"/>
      <w:r w:rsidR="00BE13BC" w:rsidRPr="00F07DEB">
        <w:rPr>
          <w:rFonts w:ascii="Times New Roman" w:hAnsi="Times New Roman" w:cs="Times New Roman"/>
          <w:sz w:val="24"/>
          <w:szCs w:val="24"/>
        </w:rPr>
        <w:t>, and Zn, indicating that</w:t>
      </w:r>
      <w:r w:rsidR="00A24354" w:rsidRPr="00F07DEB">
        <w:rPr>
          <w:rFonts w:ascii="Times New Roman" w:hAnsi="Times New Roman" w:cs="Times New Roman"/>
          <w:sz w:val="24"/>
          <w:szCs w:val="24"/>
        </w:rPr>
        <w:t xml:space="preserve"> </w:t>
      </w:r>
      <w:r w:rsidR="00BE13BC" w:rsidRPr="00F07DEB">
        <w:rPr>
          <w:rFonts w:ascii="Times New Roman" w:hAnsi="Times New Roman" w:cs="Times New Roman"/>
          <w:sz w:val="24"/>
          <w:szCs w:val="24"/>
        </w:rPr>
        <w:t xml:space="preserve">plant uptake of metals depends on a combination of soil </w:t>
      </w:r>
      <w:r w:rsidR="00D43C9F" w:rsidRPr="00F07DEB">
        <w:rPr>
          <w:rFonts w:ascii="Times New Roman" w:hAnsi="Times New Roman" w:cs="Times New Roman"/>
          <w:sz w:val="24"/>
          <w:szCs w:val="24"/>
        </w:rPr>
        <w:t>makeup</w:t>
      </w:r>
      <w:r w:rsidR="00BE13BC" w:rsidRPr="00F07DEB">
        <w:rPr>
          <w:rFonts w:ascii="Times New Roman" w:hAnsi="Times New Roman" w:cs="Times New Roman"/>
          <w:sz w:val="24"/>
          <w:szCs w:val="24"/>
        </w:rPr>
        <w:t xml:space="preserve">, contaminant solubility, and plant type </w:t>
      </w:r>
      <w:r w:rsidR="00BE13BC" w:rsidRPr="00F07DEB">
        <w:rPr>
          <w:rFonts w:ascii="Times New Roman" w:hAnsi="Times New Roman" w:cs="Times New Roman"/>
          <w:sz w:val="24"/>
          <w:szCs w:val="24"/>
        </w:rPr>
        <w:fldChar w:fldCharType="begin"/>
      </w:r>
      <w:r w:rsidR="00BE13BC" w:rsidRPr="00F07DEB">
        <w:rPr>
          <w:rFonts w:ascii="Times New Roman" w:hAnsi="Times New Roman" w:cs="Times New Roman"/>
          <w:sz w:val="24"/>
          <w:szCs w:val="24"/>
        </w:rPr>
        <w:instrText xml:space="preserve"> ADDIN ZOTERO_ITEM CSL_CITATION {"citationID":"LWoQp5Q8","properties":{"formattedCitation":"(Tiwari et al., 2011)","plainCitation":"(Tiwari et al., 2011)","noteIndex":0},"citationItems":[{"id":442,"uris":["http://zotero.org/users/5446453/items/TQT2KFDV"],"uri":["http://zotero.org/users/5446453/items/TQT2KFDV"],"itemData":{"id":442,"type":"article-journal","abstract":"The present investigation was carried out to evaluate metals concentration in ten vegetable crops growing in mixed industrial efﬂuent irrigated agricultural ﬁeld near Vadodara, Gujarat, India. Differential accumulation and translocation of various metals in selected vegetables plant species was observed. A higher concentration of metals were found in order of Fe 4Mn 4 Zn4 Cd 4Cu 4 Pb 4Cr 4 As in soil irrigated with industrial efﬂuent than soil irrigated with tube well water; however, the concentration of As, Cr and Pb found below detection limit in tube well water irrigated soil. Metal accumulation in root and top of vegetables varied signiﬁcantly both in relations to metal concentration in the soil and the plant genotype. Among ten vegetable species studied ﬁve vegetable species, i.e. Spinach, Radish, Tomato, Chili and Cabbage growing in mixed industrial efﬂuent irrigated agricultural ﬁeld showed high accumulation and translocation of toxic metals (As, Cd, Cr, Pb and Ni) in their edible parts, thus, their cultivation are unsafe with respect to possible transfer in food chain and health hazards. However, it is suggested that vegetable crops restricting toxic metal in non-edible port may be recommended for cultivation in such metal contaminated agricultural ﬁeld.","container-title":"Ecotoxicology and Environmental Safety","DOI":"10.1016/j.ecoenv.2011.04.029","ISSN":"01476513","issue":"6","journalAbbreviation":"Ecotoxicology and Environmental Safety","language":"en","page":"1670-1677","source":"DOI.org (Crossref)","title":"Metal contamination of soil and translocation in vegetables growing under industrial wastewater irrigated agricultural field of Vadodara, Gujarat, India","volume":"74","author":[{"family":"Tiwari","given":"K.K."},{"family":"Singh","given":"N.K."},{"family":"Patel","given":"M.P."},{"family":"Tiwari","given":"M.R."},{"family":"Rai","given":"U.N."}],"issued":{"date-parts":[["2011",9]]}}}],"schema":"https://github.com/citation-style-language/schema/raw/master/csl-citation.json"} </w:instrText>
      </w:r>
      <w:r w:rsidR="00BE13BC"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(Tiwari et al., 2011)</w:t>
      </w:r>
      <w:r w:rsidR="00BE13BC" w:rsidRPr="00F07DEB">
        <w:rPr>
          <w:rFonts w:ascii="Times New Roman" w:hAnsi="Times New Roman" w:cs="Times New Roman"/>
          <w:sz w:val="24"/>
          <w:szCs w:val="24"/>
        </w:rPr>
        <w:fldChar w:fldCharType="end"/>
      </w:r>
      <w:r w:rsidR="00BE13BC" w:rsidRPr="00F07DEB">
        <w:rPr>
          <w:rFonts w:ascii="Times New Roman" w:hAnsi="Times New Roman" w:cs="Times New Roman"/>
          <w:sz w:val="24"/>
          <w:szCs w:val="24"/>
        </w:rPr>
        <w:t>.</w:t>
      </w:r>
      <w:r w:rsidR="000816B0" w:rsidRPr="00F07DEB">
        <w:rPr>
          <w:rFonts w:ascii="Times New Roman" w:hAnsi="Times New Roman" w:cs="Times New Roman"/>
          <w:sz w:val="24"/>
          <w:szCs w:val="24"/>
        </w:rPr>
        <w:t xml:space="preserve"> </w:t>
      </w:r>
      <w:r w:rsidR="002B01BE" w:rsidRPr="00F07DEB">
        <w:rPr>
          <w:rFonts w:ascii="Times New Roman" w:hAnsi="Times New Roman" w:cs="Times New Roman"/>
          <w:sz w:val="24"/>
          <w:szCs w:val="24"/>
        </w:rPr>
        <w:t xml:space="preserve">Even in the absence of </w:t>
      </w:r>
      <w:r w:rsidR="00A11CCC" w:rsidRPr="00F07DEB">
        <w:rPr>
          <w:rFonts w:ascii="Times New Roman" w:hAnsi="Times New Roman" w:cs="Times New Roman"/>
          <w:sz w:val="24"/>
          <w:szCs w:val="24"/>
        </w:rPr>
        <w:t xml:space="preserve">significant </w:t>
      </w:r>
      <w:r w:rsidR="002B01BE" w:rsidRPr="00F07DEB">
        <w:rPr>
          <w:rFonts w:ascii="Times New Roman" w:hAnsi="Times New Roman" w:cs="Times New Roman"/>
          <w:sz w:val="24"/>
          <w:szCs w:val="24"/>
        </w:rPr>
        <w:t xml:space="preserve">microbial and metal contamination, treated wastewater irrigation can irreversibly damage soil and diminish yields, as was the case during one study in Burkina Faso. </w:t>
      </w:r>
      <w:r w:rsidR="00A11CCC" w:rsidRPr="00F07DEB">
        <w:rPr>
          <w:rFonts w:ascii="Times New Roman" w:hAnsi="Times New Roman" w:cs="Times New Roman"/>
          <w:sz w:val="24"/>
          <w:szCs w:val="24"/>
        </w:rPr>
        <w:t xml:space="preserve">Treated alkaline industrial effluent collapsed the soil structure, drove the soil pH up, and deposited </w:t>
      </w:r>
      <w:r w:rsidR="00E91B3E" w:rsidRPr="00F07DEB">
        <w:rPr>
          <w:rFonts w:ascii="Times New Roman" w:hAnsi="Times New Roman" w:cs="Times New Roman"/>
          <w:sz w:val="24"/>
          <w:szCs w:val="24"/>
        </w:rPr>
        <w:t xml:space="preserve">excessive </w:t>
      </w:r>
      <w:r w:rsidR="009678A2">
        <w:rPr>
          <w:rFonts w:ascii="Times New Roman" w:hAnsi="Times New Roman" w:cs="Times New Roman"/>
          <w:sz w:val="24"/>
          <w:szCs w:val="24"/>
        </w:rPr>
        <w:t>Na</w:t>
      </w:r>
      <w:r w:rsidR="00E91B3E" w:rsidRPr="00F07DEB">
        <w:rPr>
          <w:rFonts w:ascii="Times New Roman" w:hAnsi="Times New Roman" w:cs="Times New Roman"/>
          <w:sz w:val="24"/>
          <w:szCs w:val="24"/>
        </w:rPr>
        <w:t xml:space="preserve"> and bicarbonate, which led to soil </w:t>
      </w:r>
      <w:proofErr w:type="spellStart"/>
      <w:r w:rsidR="00E91B3E" w:rsidRPr="00F07DEB">
        <w:rPr>
          <w:rFonts w:ascii="Times New Roman" w:hAnsi="Times New Roman" w:cs="Times New Roman"/>
          <w:sz w:val="24"/>
          <w:szCs w:val="24"/>
        </w:rPr>
        <w:t>sodification</w:t>
      </w:r>
      <w:proofErr w:type="spellEnd"/>
      <w:r w:rsidR="00E91B3E" w:rsidRPr="00F07DEB">
        <w:rPr>
          <w:rFonts w:ascii="Times New Roman" w:hAnsi="Times New Roman" w:cs="Times New Roman"/>
          <w:sz w:val="24"/>
          <w:szCs w:val="24"/>
        </w:rPr>
        <w:t xml:space="preserve"> and cut eggplant yields in half </w:t>
      </w:r>
      <w:r w:rsidR="00E91B3E" w:rsidRPr="00F07DEB">
        <w:rPr>
          <w:rFonts w:ascii="Times New Roman" w:hAnsi="Times New Roman" w:cs="Times New Roman"/>
          <w:sz w:val="24"/>
          <w:szCs w:val="24"/>
        </w:rPr>
        <w:fldChar w:fldCharType="begin"/>
      </w:r>
      <w:r w:rsidR="00E91B3E" w:rsidRPr="00F07DEB">
        <w:rPr>
          <w:rFonts w:ascii="Times New Roman" w:hAnsi="Times New Roman" w:cs="Times New Roman"/>
          <w:sz w:val="24"/>
          <w:szCs w:val="24"/>
        </w:rPr>
        <w:instrText xml:space="preserve"> ADDIN ZOTERO_ITEM CSL_CITATION {"citationID":"GzwgiZDh","properties":{"formattedCitation":"(Sou/Dakour\\uc0\\u233{} et al., 2013)","plainCitation":"(Sou/Dakouré et al., 2013)","noteIndex":0},"citationItems":[{"id":440,"uris":["http://zotero.org/users/5446453/items/UJR9YTTI"],"uri":["http://zotero.org/users/5446453/items/UJR9YTTI"],"itemData":{"id":440,"type":"article-journal","abstract":"Wastewater reuse in agriculture is a widespread practice in developing countries, especially in urban areas where water shortage and poverty encourage people to use that marginal resource. Raw or treated wastewaters are used by farmers, but even treated wastewaters frequently do not meet WHO and FAO standards for irrigation water. Such practices may lead to health hazards, relatively well documented in the literature and to environmental damages. Adverse environmental impacts such as soil degradation and groundwater contamination are frequently associated with the use of wastewater from industrial sources. Previous studies have demonstrated that wastewater irrigation may decrease soil hydraulic conductivity and inﬁltration rate. Nevertheless, the effects on soil structural and chemical behaviors have been little studied so far and need further investigations.","container-title":"Geoderma","DOI":"10.1016/j.geoderma.2013.02.008","ISSN":"00167061","journalAbbreviation":"Geoderma","language":"en","page":"31-39","source":"DOI.org (Crossref)","title":"Impacts of irrigation with industrial treated wastewater on soil properties","volume":"200-201","author":[{"family":"Sou/Dakouré","given":"Mariam Y."},{"family":"Mermoud","given":"André"},{"family":"Yacouba","given":"Hamma"},{"family":"Boivin","given":"Pascal"}],"issued":{"date-parts":[["2013",6]]}}}],"schema":"https://github.com/citation-style-language/schema/raw/master/csl-citation.json"} </w:instrText>
      </w:r>
      <w:r w:rsidR="00E91B3E" w:rsidRPr="00F07DEB">
        <w:rPr>
          <w:rFonts w:ascii="Times New Roman" w:hAnsi="Times New Roman" w:cs="Times New Roman"/>
          <w:sz w:val="24"/>
          <w:szCs w:val="24"/>
        </w:rPr>
        <w:fldChar w:fldCharType="separate"/>
      </w:r>
      <w:r w:rsidR="00234033" w:rsidRPr="00234033">
        <w:rPr>
          <w:rFonts w:ascii="Times New Roman" w:hAnsi="Times New Roman" w:cs="Times New Roman"/>
          <w:sz w:val="24"/>
          <w:szCs w:val="24"/>
        </w:rPr>
        <w:t>(Sou/Dakouré et al., 2013)</w:t>
      </w:r>
      <w:r w:rsidR="00E91B3E" w:rsidRPr="00F07DEB">
        <w:rPr>
          <w:rFonts w:ascii="Times New Roman" w:hAnsi="Times New Roman" w:cs="Times New Roman"/>
          <w:sz w:val="24"/>
          <w:szCs w:val="24"/>
        </w:rPr>
        <w:fldChar w:fldCharType="end"/>
      </w:r>
      <w:r w:rsidR="00E91B3E" w:rsidRPr="00F07DEB">
        <w:rPr>
          <w:rFonts w:ascii="Times New Roman" w:hAnsi="Times New Roman" w:cs="Times New Roman"/>
          <w:sz w:val="24"/>
          <w:szCs w:val="24"/>
        </w:rPr>
        <w:t>.</w:t>
      </w:r>
      <w:r w:rsidR="006C5BA6" w:rsidRPr="00F07DEB">
        <w:rPr>
          <w:rFonts w:ascii="Times New Roman" w:hAnsi="Times New Roman" w:cs="Times New Roman"/>
          <w:sz w:val="24"/>
          <w:szCs w:val="24"/>
        </w:rPr>
        <w:t xml:space="preserve"> </w:t>
      </w:r>
    </w:p>
    <w:p w14:paraId="2EFB9024" w14:textId="5AAE1F1C" w:rsidR="00060232" w:rsidRPr="00F07DEB" w:rsidRDefault="00906EE8" w:rsidP="00F8101B">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Oklahoma </w:t>
      </w:r>
      <w:r w:rsidR="00527A1A" w:rsidRPr="00F07DEB">
        <w:rPr>
          <w:rFonts w:ascii="Times New Roman" w:hAnsi="Times New Roman" w:cs="Times New Roman"/>
          <w:sz w:val="24"/>
          <w:szCs w:val="24"/>
        </w:rPr>
        <w:t xml:space="preserve">provides an extensive framework for municipalities and permittees to reuse treated </w:t>
      </w:r>
      <w:r w:rsidR="001E236C" w:rsidRPr="00F07DEB">
        <w:rPr>
          <w:rFonts w:ascii="Times New Roman" w:hAnsi="Times New Roman" w:cs="Times New Roman"/>
          <w:sz w:val="24"/>
          <w:szCs w:val="24"/>
        </w:rPr>
        <w:t xml:space="preserve">municipal </w:t>
      </w:r>
      <w:r w:rsidR="00527A1A" w:rsidRPr="00F07DEB">
        <w:rPr>
          <w:rFonts w:ascii="Times New Roman" w:hAnsi="Times New Roman" w:cs="Times New Roman"/>
          <w:sz w:val="24"/>
          <w:szCs w:val="24"/>
        </w:rPr>
        <w:t xml:space="preserve">wastewater for irrigation. </w:t>
      </w:r>
      <w:r w:rsidR="004537EA" w:rsidRPr="00F07DEB">
        <w:rPr>
          <w:rFonts w:ascii="Times New Roman" w:hAnsi="Times New Roman" w:cs="Times New Roman"/>
          <w:sz w:val="24"/>
          <w:szCs w:val="24"/>
        </w:rPr>
        <w:t>In the Oklahoma Administrative Code, Title 252, Chapter 656, t</w:t>
      </w:r>
      <w:r w:rsidR="00527A1A" w:rsidRPr="00F07DEB">
        <w:rPr>
          <w:rFonts w:ascii="Times New Roman" w:hAnsi="Times New Roman" w:cs="Times New Roman"/>
          <w:sz w:val="24"/>
          <w:szCs w:val="24"/>
        </w:rPr>
        <w:t>he Oklahoma Department of Environmental Quality (ODEQ)</w:t>
      </w:r>
      <w:r w:rsidR="004537EA" w:rsidRPr="00F07DEB">
        <w:rPr>
          <w:rFonts w:ascii="Times New Roman" w:hAnsi="Times New Roman" w:cs="Times New Roman"/>
          <w:sz w:val="24"/>
          <w:szCs w:val="24"/>
        </w:rPr>
        <w:t xml:space="preserve"> identifies six categories of reclaimed water, which are each afforded specific beneficial reuses based on the associated level of treatment. </w:t>
      </w:r>
      <w:r w:rsidR="00693F69" w:rsidRPr="00F07DEB">
        <w:rPr>
          <w:rFonts w:ascii="Times New Roman" w:hAnsi="Times New Roman" w:cs="Times New Roman"/>
          <w:sz w:val="24"/>
          <w:szCs w:val="24"/>
        </w:rPr>
        <w:t>As treatment requirements increase from primary to tertiary</w:t>
      </w:r>
      <w:r w:rsidR="00DE4CF3" w:rsidRPr="00F07DEB">
        <w:rPr>
          <w:rFonts w:ascii="Times New Roman" w:hAnsi="Times New Roman" w:cs="Times New Roman"/>
          <w:sz w:val="24"/>
          <w:szCs w:val="24"/>
        </w:rPr>
        <w:t xml:space="preserve"> and the range of allowable uses expands</w:t>
      </w:r>
      <w:r w:rsidR="00693F69" w:rsidRPr="00F07DEB">
        <w:rPr>
          <w:rFonts w:ascii="Times New Roman" w:hAnsi="Times New Roman" w:cs="Times New Roman"/>
          <w:sz w:val="24"/>
          <w:szCs w:val="24"/>
        </w:rPr>
        <w:t xml:space="preserve">, </w:t>
      </w:r>
      <w:r w:rsidR="00F556F2" w:rsidRPr="00F07DEB">
        <w:rPr>
          <w:rFonts w:ascii="Times New Roman" w:hAnsi="Times New Roman" w:cs="Times New Roman"/>
          <w:sz w:val="24"/>
          <w:szCs w:val="24"/>
        </w:rPr>
        <w:t xml:space="preserve">the </w:t>
      </w:r>
      <w:r w:rsidR="00DE4CF3" w:rsidRPr="00F07DEB">
        <w:rPr>
          <w:rFonts w:ascii="Times New Roman" w:hAnsi="Times New Roman" w:cs="Times New Roman"/>
          <w:sz w:val="24"/>
          <w:szCs w:val="24"/>
        </w:rPr>
        <w:t xml:space="preserve">monitoring requirements </w:t>
      </w:r>
      <w:r w:rsidR="00F556F2" w:rsidRPr="00F07DEB">
        <w:rPr>
          <w:rFonts w:ascii="Times New Roman" w:hAnsi="Times New Roman" w:cs="Times New Roman"/>
          <w:sz w:val="24"/>
          <w:szCs w:val="24"/>
        </w:rPr>
        <w:t xml:space="preserve">outlined in Title 252, Chapter 627 </w:t>
      </w:r>
      <w:r w:rsidR="00DE4CF3" w:rsidRPr="00F07DEB">
        <w:rPr>
          <w:rFonts w:ascii="Times New Roman" w:hAnsi="Times New Roman" w:cs="Times New Roman"/>
          <w:sz w:val="24"/>
          <w:szCs w:val="24"/>
        </w:rPr>
        <w:lastRenderedPageBreak/>
        <w:t xml:space="preserve">also become more stringent. Whereas wastewaters that have undergone </w:t>
      </w:r>
      <w:r w:rsidR="00000D69" w:rsidRPr="00F07DEB">
        <w:rPr>
          <w:rFonts w:ascii="Times New Roman" w:hAnsi="Times New Roman" w:cs="Times New Roman"/>
          <w:sz w:val="24"/>
          <w:szCs w:val="24"/>
        </w:rPr>
        <w:t>primary treatment in a wastewater lagoon can irrigate timber and certain pastures, seeds, and forages</w:t>
      </w:r>
      <w:r w:rsidR="005F028C" w:rsidRPr="00F07DEB">
        <w:rPr>
          <w:rFonts w:ascii="Times New Roman" w:hAnsi="Times New Roman" w:cs="Times New Roman"/>
          <w:sz w:val="24"/>
          <w:szCs w:val="24"/>
        </w:rPr>
        <w:t xml:space="preserve"> so long as the water supplier provides ODEQ with a monthly report of volume, weather, and irrigated plant type, tertiary-treated </w:t>
      </w:r>
      <w:r w:rsidR="00C634AA" w:rsidRPr="00F07DEB">
        <w:rPr>
          <w:rFonts w:ascii="Times New Roman" w:hAnsi="Times New Roman" w:cs="Times New Roman"/>
          <w:sz w:val="24"/>
          <w:szCs w:val="24"/>
        </w:rPr>
        <w:t>wastewater</w:t>
      </w:r>
      <w:r w:rsidR="000348CF" w:rsidRPr="00F07DEB">
        <w:rPr>
          <w:rFonts w:ascii="Times New Roman" w:hAnsi="Times New Roman" w:cs="Times New Roman"/>
          <w:sz w:val="24"/>
          <w:szCs w:val="24"/>
        </w:rPr>
        <w:t>s</w:t>
      </w:r>
      <w:r w:rsidR="00913B6E">
        <w:rPr>
          <w:rFonts w:ascii="Times New Roman" w:hAnsi="Times New Roman" w:cs="Times New Roman"/>
          <w:sz w:val="24"/>
          <w:szCs w:val="24"/>
        </w:rPr>
        <w:t xml:space="preserve"> can water range cattle, spray </w:t>
      </w:r>
      <w:r w:rsidR="00C634AA" w:rsidRPr="00F07DEB">
        <w:rPr>
          <w:rFonts w:ascii="Times New Roman" w:hAnsi="Times New Roman" w:cs="Times New Roman"/>
          <w:sz w:val="24"/>
          <w:szCs w:val="24"/>
        </w:rPr>
        <w:t>irrigate landscape</w:t>
      </w:r>
      <w:r w:rsidR="001E236C" w:rsidRPr="00F07DEB">
        <w:rPr>
          <w:rFonts w:ascii="Times New Roman" w:hAnsi="Times New Roman" w:cs="Times New Roman"/>
          <w:sz w:val="24"/>
          <w:szCs w:val="24"/>
        </w:rPr>
        <w:t>s</w:t>
      </w:r>
      <w:r w:rsidR="00C634AA" w:rsidRPr="00F07DEB">
        <w:rPr>
          <w:rFonts w:ascii="Times New Roman" w:hAnsi="Times New Roman" w:cs="Times New Roman"/>
          <w:sz w:val="24"/>
          <w:szCs w:val="24"/>
        </w:rPr>
        <w:t xml:space="preserve">, and drip irrigate orchards and vineyards </w:t>
      </w:r>
      <w:r w:rsidR="000348CF" w:rsidRPr="00F07DEB">
        <w:rPr>
          <w:rFonts w:ascii="Times New Roman" w:hAnsi="Times New Roman" w:cs="Times New Roman"/>
          <w:sz w:val="24"/>
          <w:szCs w:val="24"/>
        </w:rPr>
        <w:fldChar w:fldCharType="begin"/>
      </w:r>
      <w:r w:rsidR="00F359D5" w:rsidRPr="00F07DEB">
        <w:rPr>
          <w:rFonts w:ascii="Times New Roman" w:hAnsi="Times New Roman" w:cs="Times New Roman"/>
          <w:sz w:val="24"/>
          <w:szCs w:val="24"/>
        </w:rPr>
        <w:instrText xml:space="preserve"> ADDIN ZOTERO_ITEM CSL_CITATION {"citationID":"LM4PyBJk","properties":{"formattedCitation":"(ODEQ, 2015a)","plainCitation":"(ODEQ, 2015a)","noteIndex":0},"citationItems":[{"id":737,"uris":["http://zotero.org/users/5446453/items/Q6QZX3TA"],"uri":["http://zotero.org/users/5446453/items/Q6QZX3TA"],"itemData":{"id":737,"type":"report","collection-title":"Oklahoma Administrative Code","event-place":"Oklahoma","number":"Title 252, Chapter 627","page":"11","publisher":"Oklahoma Department of Environmental Quality (ODEQ)","publisher-place":"Oklahoma","title":"627.pdf","URL":"https://www.deq.ok.gov/wp-content/uploads/deqmainresources/627.pdf","author":[{"literal":"ODEQ"}],"accessed":{"date-parts":[["2020",8,4]]},"issued":{"date-parts":[["2015",9,15]]}}}],"schema":"https://github.com/citation-style-language/schema/raw/master/csl-citation.json"} </w:instrText>
      </w:r>
      <w:r w:rsidR="000348CF"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(ODEQ, 2015a)</w:t>
      </w:r>
      <w:r w:rsidR="000348CF" w:rsidRPr="00F07DEB">
        <w:rPr>
          <w:rFonts w:ascii="Times New Roman" w:hAnsi="Times New Roman" w:cs="Times New Roman"/>
          <w:sz w:val="24"/>
          <w:szCs w:val="24"/>
        </w:rPr>
        <w:fldChar w:fldCharType="end"/>
      </w:r>
      <w:r w:rsidR="00C634AA" w:rsidRPr="00F07DEB">
        <w:rPr>
          <w:rFonts w:ascii="Times New Roman" w:hAnsi="Times New Roman" w:cs="Times New Roman"/>
          <w:sz w:val="24"/>
          <w:szCs w:val="24"/>
        </w:rPr>
        <w:t>.</w:t>
      </w:r>
      <w:r w:rsidR="000348CF" w:rsidRPr="00F07DEB">
        <w:rPr>
          <w:rFonts w:ascii="Times New Roman" w:hAnsi="Times New Roman" w:cs="Times New Roman"/>
          <w:sz w:val="24"/>
          <w:szCs w:val="24"/>
        </w:rPr>
        <w:t xml:space="preserve"> In addition to the monthly operating report, these tertiary-treated waters are subjected to continuous chlorine and turbidity monitoring, daily fecal coliform tests, and other weekly and monthly water quality assessments </w:t>
      </w:r>
      <w:r w:rsidR="000348CF" w:rsidRPr="00F07DEB">
        <w:rPr>
          <w:rFonts w:ascii="Times New Roman" w:hAnsi="Times New Roman" w:cs="Times New Roman"/>
          <w:sz w:val="24"/>
          <w:szCs w:val="24"/>
        </w:rPr>
        <w:fldChar w:fldCharType="begin"/>
      </w:r>
      <w:r w:rsidR="00F359D5" w:rsidRPr="00F07DEB">
        <w:rPr>
          <w:rFonts w:ascii="Times New Roman" w:hAnsi="Times New Roman" w:cs="Times New Roman"/>
          <w:sz w:val="24"/>
          <w:szCs w:val="24"/>
        </w:rPr>
        <w:instrText xml:space="preserve"> ADDIN ZOTERO_ITEM CSL_CITATION {"citationID":"TElT8Sog","properties":{"formattedCitation":"(ODEQ, 2015a)","plainCitation":"(ODEQ, 2015a)","noteIndex":0},"citationItems":[{"id":737,"uris":["http://zotero.org/users/5446453/items/Q6QZX3TA"],"uri":["http://zotero.org/users/5446453/items/Q6QZX3TA"],"itemData":{"id":737,"type":"report","collection-title":"Oklahoma Administrative Code","event-place":"Oklahoma","number":"Title 252, Chapter 627","page":"11","publisher":"Oklahoma Department of Environmental Quality (ODEQ)","publisher-place":"Oklahoma","title":"627.pdf","URL":"https://www.deq.ok.gov/wp-content/uploads/deqmainresources/627.pdf","author":[{"literal":"ODEQ"}],"accessed":{"date-parts":[["2020",8,4]]},"issued":{"date-parts":[["2015",9,15]]}}}],"schema":"https://github.com/citation-style-language/schema/raw/master/csl-citation.json"} </w:instrText>
      </w:r>
      <w:r w:rsidR="000348CF"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(ODEQ, 2015a)</w:t>
      </w:r>
      <w:r w:rsidR="000348CF" w:rsidRPr="00F07DEB">
        <w:rPr>
          <w:rFonts w:ascii="Times New Roman" w:hAnsi="Times New Roman" w:cs="Times New Roman"/>
          <w:sz w:val="24"/>
          <w:szCs w:val="24"/>
        </w:rPr>
        <w:fldChar w:fldCharType="end"/>
      </w:r>
      <w:r w:rsidR="000348CF" w:rsidRPr="00F07DEB">
        <w:rPr>
          <w:rFonts w:ascii="Times New Roman" w:hAnsi="Times New Roman" w:cs="Times New Roman"/>
          <w:sz w:val="24"/>
          <w:szCs w:val="24"/>
        </w:rPr>
        <w:t xml:space="preserve">. </w:t>
      </w:r>
      <w:r w:rsidR="00F359D5" w:rsidRPr="00F07DEB">
        <w:rPr>
          <w:rFonts w:ascii="Times New Roman" w:hAnsi="Times New Roman" w:cs="Times New Roman"/>
          <w:sz w:val="24"/>
          <w:szCs w:val="24"/>
        </w:rPr>
        <w:t xml:space="preserve">No level of treatment certifies reclaimed wastewaters for any irrigation of crops to be eaten raw, spray irrigation of orchards and vineyards, or foods that will be harvested within the month and processed for human consumption </w:t>
      </w:r>
      <w:r w:rsidR="00F359D5" w:rsidRPr="00F07DEB">
        <w:rPr>
          <w:rFonts w:ascii="Times New Roman" w:hAnsi="Times New Roman" w:cs="Times New Roman"/>
          <w:sz w:val="24"/>
          <w:szCs w:val="24"/>
        </w:rPr>
        <w:fldChar w:fldCharType="begin"/>
      </w:r>
      <w:r w:rsidR="00F359D5" w:rsidRPr="00F07DEB">
        <w:rPr>
          <w:rFonts w:ascii="Times New Roman" w:hAnsi="Times New Roman" w:cs="Times New Roman"/>
          <w:sz w:val="24"/>
          <w:szCs w:val="24"/>
        </w:rPr>
        <w:instrText xml:space="preserve"> ADDIN ZOTERO_ITEM CSL_CITATION {"citationID":"9776nTEm","properties":{"formattedCitation":"(ODEQ, 2015b)","plainCitation":"(ODEQ, 2015b)","noteIndex":0},"citationItems":[{"id":738,"uris":["http://zotero.org/users/5446453/items/ENPJBBVJ"],"uri":["http://zotero.org/users/5446453/items/ENPJBBVJ"],"itemData":{"id":738,"type":"report","collection-title":"Oklahoma Administrative Code","event-place":"Oklahoma","number":"Title 252, Chapter 656","page":"63","publisher":"Oklahoma Department of Environmental Quality (ODEQ)","publisher-place":"Oklahoma","title":"656.pdf","URL":"https://www.deq.ok.gov/wp-content/uploads/deqmainresources/656.pdf","author":[{"literal":"ODEQ"}],"accessed":{"date-parts":[["2020",8,4]]},"issued":{"date-parts":[["2015",9,15]]}}}],"schema":"https://github.com/citation-style-language/schema/raw/master/csl-citation.json"} </w:instrText>
      </w:r>
      <w:r w:rsidR="00F359D5"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(ODEQ, 2015b)</w:t>
      </w:r>
      <w:r w:rsidR="00F359D5" w:rsidRPr="00F07DEB">
        <w:rPr>
          <w:rFonts w:ascii="Times New Roman" w:hAnsi="Times New Roman" w:cs="Times New Roman"/>
          <w:sz w:val="24"/>
          <w:szCs w:val="24"/>
        </w:rPr>
        <w:fldChar w:fldCharType="end"/>
      </w:r>
      <w:r w:rsidR="00934DC9" w:rsidRPr="00F07DEB">
        <w:rPr>
          <w:rFonts w:ascii="Times New Roman" w:hAnsi="Times New Roman" w:cs="Times New Roman"/>
          <w:sz w:val="24"/>
          <w:szCs w:val="24"/>
        </w:rPr>
        <w:t>. ODEQ also restricts reuse based on a plethora of point-of-use concerns</w:t>
      </w:r>
      <w:r w:rsidR="003F7E94" w:rsidRPr="00F07DEB">
        <w:rPr>
          <w:rFonts w:ascii="Times New Roman" w:hAnsi="Times New Roman" w:cs="Times New Roman"/>
          <w:sz w:val="24"/>
          <w:szCs w:val="24"/>
        </w:rPr>
        <w:t xml:space="preserve">. </w:t>
      </w:r>
      <w:r w:rsidR="00750710" w:rsidRPr="00F07DEB">
        <w:rPr>
          <w:rFonts w:ascii="Times New Roman" w:hAnsi="Times New Roman" w:cs="Times New Roman"/>
          <w:sz w:val="24"/>
          <w:szCs w:val="24"/>
        </w:rPr>
        <w:t>Land application of reclaimed wastewater cannot exceed crop nutrient uptake rates, result in ponding, or take place during precipitation events or on</w:t>
      </w:r>
      <w:r w:rsidR="0075678A" w:rsidRPr="00F07DEB">
        <w:rPr>
          <w:rFonts w:ascii="Times New Roman" w:hAnsi="Times New Roman" w:cs="Times New Roman"/>
          <w:sz w:val="24"/>
          <w:szCs w:val="24"/>
        </w:rPr>
        <w:t xml:space="preserve"> excessive slopes or</w:t>
      </w:r>
      <w:r w:rsidR="00750710" w:rsidRPr="00F07DEB">
        <w:rPr>
          <w:rFonts w:ascii="Times New Roman" w:hAnsi="Times New Roman" w:cs="Times New Roman"/>
          <w:sz w:val="24"/>
          <w:szCs w:val="24"/>
        </w:rPr>
        <w:t xml:space="preserve"> frozen soil</w:t>
      </w:r>
      <w:r w:rsidR="00750710" w:rsidRPr="00F07DEB">
        <w:rPr>
          <w:rFonts w:ascii="Times New Roman" w:hAnsi="Times New Roman" w:cs="Times New Roman"/>
          <w:sz w:val="24"/>
        </w:rPr>
        <w:t xml:space="preserve"> </w:t>
      </w:r>
      <w:r w:rsidR="00750710" w:rsidRPr="00F07DEB">
        <w:rPr>
          <w:rFonts w:ascii="Times New Roman" w:hAnsi="Times New Roman" w:cs="Times New Roman"/>
          <w:sz w:val="24"/>
        </w:rPr>
        <w:fldChar w:fldCharType="begin"/>
      </w:r>
      <w:r w:rsidR="00750710" w:rsidRPr="00F07DEB">
        <w:rPr>
          <w:rFonts w:ascii="Times New Roman" w:hAnsi="Times New Roman" w:cs="Times New Roman"/>
          <w:sz w:val="24"/>
        </w:rPr>
        <w:instrText xml:space="preserve"> ADDIN ZOTERO_ITEM CSL_CITATION {"citationID":"i1aGVzx1","properties":{"formattedCitation":"(ODEQ, 2015a)","plainCitation":"(ODEQ, 2015a)","noteIndex":0},"citationItems":[{"id":737,"uris":["http://zotero.org/users/5446453/items/Q6QZX3TA"],"uri":["http://zotero.org/users/5446453/items/Q6QZX3TA"],"itemData":{"id":737,"type":"report","collection-title":"Oklahoma Administrative Code","event-place":"Oklahoma","number":"Title 252, Chapter 627","page":"11","publisher":"Oklahoma Department of Environmental Quality (ODEQ)","publisher-place":"Oklahoma","title":"627.pdf","URL":"https://www.deq.ok.gov/wp-content/uploads/deqmainresources/627.pdf","author":[{"literal":"ODEQ"}],"accessed":{"date-parts":[["2020",8,4]]},"issued":{"date-parts":[["2015",9,15]]}}}],"schema":"https://github.com/citation-style-language/schema/raw/master/csl-citation.json"} </w:instrText>
      </w:r>
      <w:r w:rsidR="00750710" w:rsidRPr="00F07DEB">
        <w:rPr>
          <w:rFonts w:ascii="Times New Roman" w:hAnsi="Times New Roman" w:cs="Times New Roman"/>
          <w:sz w:val="24"/>
        </w:rPr>
        <w:fldChar w:fldCharType="separate"/>
      </w:r>
      <w:r w:rsidR="00234033" w:rsidRPr="00234033">
        <w:rPr>
          <w:rFonts w:ascii="Times New Roman" w:hAnsi="Times New Roman" w:cs="Times New Roman"/>
          <w:sz w:val="24"/>
        </w:rPr>
        <w:t>(ODEQ, 2015a)</w:t>
      </w:r>
      <w:r w:rsidR="00750710" w:rsidRPr="00F07DEB">
        <w:rPr>
          <w:rFonts w:ascii="Times New Roman" w:hAnsi="Times New Roman" w:cs="Times New Roman"/>
          <w:sz w:val="24"/>
        </w:rPr>
        <w:fldChar w:fldCharType="end"/>
      </w:r>
      <w:r w:rsidR="00750710" w:rsidRPr="00F07DEB">
        <w:rPr>
          <w:rFonts w:ascii="Times New Roman" w:hAnsi="Times New Roman" w:cs="Times New Roman"/>
          <w:sz w:val="24"/>
          <w:szCs w:val="24"/>
        </w:rPr>
        <w:t xml:space="preserve">. These restrictions, among others, are designed to protect human health, the environment, and water supplies from the </w:t>
      </w:r>
      <w:r w:rsidR="009C22AA" w:rsidRPr="00F07DEB">
        <w:rPr>
          <w:rFonts w:ascii="Times New Roman" w:hAnsi="Times New Roman" w:cs="Times New Roman"/>
          <w:sz w:val="24"/>
          <w:szCs w:val="24"/>
        </w:rPr>
        <w:t>dangers of wastewater pollution</w:t>
      </w:r>
      <w:r w:rsidR="002817C9" w:rsidRPr="00F07DEB">
        <w:rPr>
          <w:rFonts w:ascii="Times New Roman" w:hAnsi="Times New Roman" w:cs="Times New Roman"/>
          <w:sz w:val="24"/>
          <w:szCs w:val="24"/>
        </w:rPr>
        <w:t xml:space="preserve"> while </w:t>
      </w:r>
      <w:r w:rsidR="00554D66" w:rsidRPr="00F07DEB">
        <w:rPr>
          <w:rFonts w:ascii="Times New Roman" w:hAnsi="Times New Roman" w:cs="Times New Roman"/>
          <w:sz w:val="24"/>
          <w:szCs w:val="24"/>
        </w:rPr>
        <w:t xml:space="preserve">simultaneously </w:t>
      </w:r>
      <w:r w:rsidR="00276111" w:rsidRPr="00F07DEB">
        <w:rPr>
          <w:rFonts w:ascii="Times New Roman" w:hAnsi="Times New Roman" w:cs="Times New Roman"/>
          <w:sz w:val="24"/>
          <w:szCs w:val="24"/>
        </w:rPr>
        <w:t>encouraging</w:t>
      </w:r>
      <w:r w:rsidR="002817C9" w:rsidRPr="00F07DEB">
        <w:rPr>
          <w:rFonts w:ascii="Times New Roman" w:hAnsi="Times New Roman" w:cs="Times New Roman"/>
          <w:sz w:val="24"/>
          <w:szCs w:val="24"/>
        </w:rPr>
        <w:t xml:space="preserve"> </w:t>
      </w:r>
      <w:r w:rsidR="00276111" w:rsidRPr="00F07DEB">
        <w:rPr>
          <w:rFonts w:ascii="Times New Roman" w:hAnsi="Times New Roman" w:cs="Times New Roman"/>
          <w:sz w:val="24"/>
          <w:szCs w:val="24"/>
        </w:rPr>
        <w:t>sustainable water management practices.</w:t>
      </w:r>
      <w:r w:rsidR="00554D66" w:rsidRPr="00F07DEB">
        <w:rPr>
          <w:rFonts w:ascii="Times New Roman" w:hAnsi="Times New Roman" w:cs="Times New Roman"/>
          <w:sz w:val="24"/>
          <w:szCs w:val="24"/>
        </w:rPr>
        <w:t xml:space="preserve"> </w:t>
      </w:r>
      <w:r w:rsidR="0075678A" w:rsidRPr="00F07DEB">
        <w:rPr>
          <w:rFonts w:ascii="Times New Roman" w:hAnsi="Times New Roman" w:cs="Times New Roman"/>
          <w:sz w:val="24"/>
          <w:szCs w:val="24"/>
        </w:rPr>
        <w:t xml:space="preserve">The University of Oklahoma </w:t>
      </w:r>
      <w:r w:rsidR="00221CD8" w:rsidRPr="00F07DEB">
        <w:rPr>
          <w:rFonts w:ascii="Times New Roman" w:hAnsi="Times New Roman" w:cs="Times New Roman"/>
          <w:sz w:val="24"/>
          <w:szCs w:val="24"/>
        </w:rPr>
        <w:t>waters</w:t>
      </w:r>
      <w:r w:rsidR="0075678A" w:rsidRPr="00F07DEB">
        <w:rPr>
          <w:rFonts w:ascii="Times New Roman" w:hAnsi="Times New Roman" w:cs="Times New Roman"/>
          <w:sz w:val="24"/>
          <w:szCs w:val="24"/>
        </w:rPr>
        <w:t xml:space="preserve"> its golf course with treated municipal wastewater from the City of Norman, and farmers in Guymon, OK irrigate grain and forage crops with reclaimed wastewater in the agricultural center of the state</w:t>
      </w:r>
      <w:r w:rsidR="00221CD8" w:rsidRPr="00F07DEB">
        <w:rPr>
          <w:rFonts w:ascii="Times New Roman" w:hAnsi="Times New Roman" w:cs="Times New Roman"/>
          <w:sz w:val="24"/>
          <w:szCs w:val="24"/>
        </w:rPr>
        <w:t xml:space="preserve"> </w:t>
      </w:r>
      <w:r w:rsidR="00221CD8" w:rsidRPr="00F07DEB">
        <w:rPr>
          <w:rFonts w:ascii="Times New Roman" w:hAnsi="Times New Roman" w:cs="Times New Roman"/>
          <w:sz w:val="24"/>
          <w:szCs w:val="24"/>
        </w:rPr>
        <w:fldChar w:fldCharType="begin"/>
      </w:r>
      <w:r w:rsidR="00221CD8" w:rsidRPr="00F07DEB">
        <w:rPr>
          <w:rFonts w:ascii="Times New Roman" w:hAnsi="Times New Roman" w:cs="Times New Roman"/>
          <w:sz w:val="24"/>
          <w:szCs w:val="24"/>
        </w:rPr>
        <w:instrText xml:space="preserve"> ADDIN ZOTERO_ITEM CSL_CITATION {"citationID":"2veN6Teu","properties":{"formattedCitation":"(OWRB, 2020)","plainCitation":"(OWRB, 2020)","noteIndex":0},"citationItems":[{"id":740,"uris":["http://zotero.org/users/5446453/items/B48SZTL4"],"uri":["http://zotero.org/users/5446453/items/B48SZTL4"],"itemData":{"id":740,"type":"webpage","container-title":"Oklahoma Water Resources Board","title":"Water for 2060: Water Reuse","URL":"https://www.owrb.ok.gov/2060/pdf/Reuse.pdf","author":[{"literal":"OWRB"}],"accessed":{"date-parts":[["2020",8,5]]},"issued":{"date-parts":[["2020"]]}}}],"schema":"https://github.com/citation-style-language/schema/raw/master/csl-citation.json"} </w:instrText>
      </w:r>
      <w:r w:rsidR="00221CD8"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(OWRB, 2020)</w:t>
      </w:r>
      <w:r w:rsidR="00221CD8" w:rsidRPr="00F07DEB">
        <w:rPr>
          <w:rFonts w:ascii="Times New Roman" w:hAnsi="Times New Roman" w:cs="Times New Roman"/>
          <w:sz w:val="24"/>
          <w:szCs w:val="24"/>
        </w:rPr>
        <w:fldChar w:fldCharType="end"/>
      </w:r>
      <w:r w:rsidR="0075678A" w:rsidRPr="00F07DEB">
        <w:rPr>
          <w:rFonts w:ascii="Times New Roman" w:hAnsi="Times New Roman" w:cs="Times New Roman"/>
          <w:sz w:val="24"/>
          <w:szCs w:val="24"/>
        </w:rPr>
        <w:t xml:space="preserve">. Reuse will continue to proliferate as Oklahoma grapples with growing water demands and a changing climate. </w:t>
      </w:r>
    </w:p>
    <w:p w14:paraId="7B3373DC" w14:textId="1A261166" w:rsidR="00BD7BCA" w:rsidRDefault="009873DD" w:rsidP="00F8101B">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Thus far, </w:t>
      </w:r>
      <w:r w:rsidR="00016FD0" w:rsidRPr="00F07DEB">
        <w:rPr>
          <w:rFonts w:ascii="Times New Roman" w:hAnsi="Times New Roman" w:cs="Times New Roman"/>
          <w:sz w:val="24"/>
          <w:szCs w:val="24"/>
        </w:rPr>
        <w:t xml:space="preserve">the </w:t>
      </w:r>
      <w:r w:rsidR="00AC5EEE" w:rsidRPr="00F07DEB">
        <w:rPr>
          <w:rFonts w:ascii="Times New Roman" w:hAnsi="Times New Roman" w:cs="Times New Roman"/>
          <w:sz w:val="24"/>
          <w:szCs w:val="24"/>
        </w:rPr>
        <w:t xml:space="preserve">discussion of wastewater reclamation </w:t>
      </w:r>
      <w:r w:rsidR="00F74904" w:rsidRPr="00F07DEB">
        <w:rPr>
          <w:rFonts w:ascii="Times New Roman" w:hAnsi="Times New Roman" w:cs="Times New Roman"/>
          <w:sz w:val="24"/>
          <w:szCs w:val="24"/>
        </w:rPr>
        <w:t xml:space="preserve">for </w:t>
      </w:r>
      <w:r w:rsidR="00AC5EEE" w:rsidRPr="00F07DEB">
        <w:rPr>
          <w:rFonts w:ascii="Times New Roman" w:hAnsi="Times New Roman" w:cs="Times New Roman"/>
          <w:sz w:val="24"/>
          <w:szCs w:val="24"/>
        </w:rPr>
        <w:t xml:space="preserve">irrigation has focused on </w:t>
      </w:r>
      <w:r w:rsidR="00FB2826" w:rsidRPr="00F07DEB">
        <w:rPr>
          <w:rFonts w:ascii="Times New Roman" w:hAnsi="Times New Roman" w:cs="Times New Roman"/>
          <w:sz w:val="24"/>
          <w:szCs w:val="24"/>
        </w:rPr>
        <w:t xml:space="preserve">the reuse of </w:t>
      </w:r>
      <w:r w:rsidR="00016FD0" w:rsidRPr="00F07DEB">
        <w:rPr>
          <w:rFonts w:ascii="Times New Roman" w:hAnsi="Times New Roman" w:cs="Times New Roman"/>
          <w:sz w:val="24"/>
          <w:szCs w:val="24"/>
        </w:rPr>
        <w:t xml:space="preserve">domestic and industrial </w:t>
      </w:r>
      <w:r w:rsidR="00FB2826" w:rsidRPr="00F07DEB">
        <w:rPr>
          <w:rFonts w:ascii="Times New Roman" w:hAnsi="Times New Roman" w:cs="Times New Roman"/>
          <w:sz w:val="24"/>
          <w:szCs w:val="24"/>
        </w:rPr>
        <w:t>flows</w:t>
      </w:r>
      <w:r w:rsidR="00F74904" w:rsidRPr="00F07DEB">
        <w:rPr>
          <w:rFonts w:ascii="Times New Roman" w:hAnsi="Times New Roman" w:cs="Times New Roman"/>
          <w:sz w:val="24"/>
          <w:szCs w:val="24"/>
        </w:rPr>
        <w:t xml:space="preserve">, which </w:t>
      </w:r>
      <w:r w:rsidR="00FB2826" w:rsidRPr="00F07DEB">
        <w:rPr>
          <w:rFonts w:ascii="Times New Roman" w:hAnsi="Times New Roman" w:cs="Times New Roman"/>
          <w:sz w:val="24"/>
          <w:szCs w:val="24"/>
        </w:rPr>
        <w:t>has</w:t>
      </w:r>
      <w:r w:rsidR="00F74904" w:rsidRPr="00F07DEB">
        <w:rPr>
          <w:rFonts w:ascii="Times New Roman" w:hAnsi="Times New Roman" w:cs="Times New Roman"/>
          <w:sz w:val="24"/>
          <w:szCs w:val="24"/>
        </w:rPr>
        <w:t xml:space="preserve"> been studied for </w:t>
      </w:r>
      <w:r w:rsidR="00AC5EEE" w:rsidRPr="00F07DEB">
        <w:rPr>
          <w:rFonts w:ascii="Times New Roman" w:hAnsi="Times New Roman" w:cs="Times New Roman"/>
          <w:sz w:val="24"/>
          <w:szCs w:val="24"/>
        </w:rPr>
        <w:t xml:space="preserve">decades </w:t>
      </w:r>
      <w:r w:rsidR="00FB2826" w:rsidRPr="00F07DEB">
        <w:rPr>
          <w:rFonts w:ascii="Times New Roman" w:hAnsi="Times New Roman" w:cs="Times New Roman"/>
          <w:sz w:val="24"/>
          <w:szCs w:val="24"/>
        </w:rPr>
        <w:t xml:space="preserve">and </w:t>
      </w:r>
      <w:r w:rsidR="00F74904" w:rsidRPr="00F07DEB">
        <w:rPr>
          <w:rFonts w:ascii="Times New Roman" w:hAnsi="Times New Roman" w:cs="Times New Roman"/>
          <w:sz w:val="24"/>
          <w:szCs w:val="24"/>
        </w:rPr>
        <w:t>practiced for centuries</w:t>
      </w:r>
      <w:r w:rsidR="00AC5EEE" w:rsidRPr="00F07DEB">
        <w:rPr>
          <w:rFonts w:ascii="Times New Roman" w:hAnsi="Times New Roman" w:cs="Times New Roman"/>
          <w:sz w:val="24"/>
          <w:szCs w:val="24"/>
        </w:rPr>
        <w:t xml:space="preserve">. </w:t>
      </w:r>
      <w:r w:rsidR="00EA16D6" w:rsidRPr="00F07DEB">
        <w:rPr>
          <w:rFonts w:ascii="Times New Roman" w:hAnsi="Times New Roman" w:cs="Times New Roman"/>
          <w:sz w:val="24"/>
          <w:szCs w:val="24"/>
        </w:rPr>
        <w:t>The same cannot be said for mining-impacted surface and ground</w:t>
      </w:r>
      <w:r w:rsidR="00A7650A" w:rsidRPr="00F07DEB">
        <w:rPr>
          <w:rFonts w:ascii="Times New Roman" w:hAnsi="Times New Roman" w:cs="Times New Roman"/>
          <w:sz w:val="24"/>
          <w:szCs w:val="24"/>
        </w:rPr>
        <w:t>water</w:t>
      </w:r>
      <w:r w:rsidR="00830560" w:rsidRPr="00F07DEB">
        <w:rPr>
          <w:rFonts w:ascii="Times New Roman" w:hAnsi="Times New Roman" w:cs="Times New Roman"/>
          <w:sz w:val="24"/>
          <w:szCs w:val="24"/>
        </w:rPr>
        <w:t xml:space="preserve">, which is generally characterized by elevated metal, salt, and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sidRPr="009678A2">
        <w:rPr>
          <w:rFonts w:ascii="Times New Roman" w:hAnsi="Times New Roman" w:cs="Times New Roman"/>
          <w:sz w:val="24"/>
          <w:szCs w:val="24"/>
        </w:rPr>
        <w:t xml:space="preserve"> </w:t>
      </w:r>
      <w:r w:rsidR="00830560" w:rsidRPr="00F07DEB">
        <w:rPr>
          <w:rFonts w:ascii="Times New Roman" w:hAnsi="Times New Roman" w:cs="Times New Roman"/>
          <w:sz w:val="24"/>
          <w:szCs w:val="24"/>
        </w:rPr>
        <w:t xml:space="preserve">concentrations </w:t>
      </w:r>
      <w:r w:rsidR="00830560" w:rsidRPr="00F07DEB">
        <w:rPr>
          <w:rFonts w:ascii="Times New Roman" w:hAnsi="Times New Roman" w:cs="Times New Roman"/>
          <w:sz w:val="24"/>
          <w:szCs w:val="24"/>
        </w:rPr>
        <w:fldChar w:fldCharType="begin"/>
      </w:r>
      <w:r w:rsidR="00830560" w:rsidRPr="00F07DEB">
        <w:rPr>
          <w:rFonts w:ascii="Times New Roman" w:hAnsi="Times New Roman" w:cs="Times New Roman"/>
          <w:sz w:val="24"/>
          <w:szCs w:val="24"/>
        </w:rPr>
        <w:instrText xml:space="preserve"> ADDIN ZOTERO_ITEM CSL_CITATION {"citationID":"yz7AiNV9","properties":{"formattedCitation":"(Lottermoser, 2011)","plainCitation":"(Lottermoser, 2011)","noteIndex":0},"citationItems":[{"id":462,"uris":["http://zotero.org/users/5446453/items/DJW3FVWV"],"uri":["http://zotero.org/users/5446453/items/DJW3FVWV"],"itemData":{"id":462,"type":"article-journal","container-title":"Elements","DOI":"10.2113/gselements.7.6.405","ISSN":"1811-5209, 1811-5217","issue":"6","journalAbbreviation":"Elements","language":"en","page":"405-410","source":"DOI.org (Crossref)","title":"Recycling, Reuse and Rehabilitation of Mine Wastes","volume":"7","author":[{"family":"Lottermoser","given":"B. G."}],"issued":{"date-parts":[["2011",12,1]]}}}],"schema":"https://github.com/citation-style-language/schema/raw/master/csl-citation.json"} </w:instrText>
      </w:r>
      <w:r w:rsidR="00830560"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(Lottermoser, 2011)</w:t>
      </w:r>
      <w:r w:rsidR="00830560" w:rsidRPr="00F07DEB">
        <w:rPr>
          <w:rFonts w:ascii="Times New Roman" w:hAnsi="Times New Roman" w:cs="Times New Roman"/>
          <w:sz w:val="24"/>
          <w:szCs w:val="24"/>
        </w:rPr>
        <w:fldChar w:fldCharType="end"/>
      </w:r>
      <w:r w:rsidR="00A7650A" w:rsidRPr="00F07DEB">
        <w:rPr>
          <w:rFonts w:ascii="Times New Roman" w:hAnsi="Times New Roman" w:cs="Times New Roman"/>
          <w:sz w:val="24"/>
          <w:szCs w:val="24"/>
        </w:rPr>
        <w:t xml:space="preserve">. However, </w:t>
      </w:r>
      <w:r w:rsidR="00A7650A" w:rsidRPr="00F07DEB">
        <w:rPr>
          <w:rFonts w:ascii="Times New Roman" w:hAnsi="Times New Roman" w:cs="Times New Roman"/>
          <w:sz w:val="24"/>
          <w:szCs w:val="24"/>
        </w:rPr>
        <w:lastRenderedPageBreak/>
        <w:t xml:space="preserve">there is a growing body of literature on the potential reuses of treated mine water that merits examination. </w:t>
      </w:r>
      <w:r w:rsidR="00893FFE" w:rsidRPr="00F07DEB">
        <w:rPr>
          <w:rFonts w:ascii="Times New Roman" w:hAnsi="Times New Roman" w:cs="Times New Roman"/>
          <w:sz w:val="24"/>
          <w:szCs w:val="24"/>
        </w:rPr>
        <w:t>Many mine water discharges f</w:t>
      </w:r>
      <w:r w:rsidR="00331077" w:rsidRPr="00F07DEB">
        <w:rPr>
          <w:rFonts w:ascii="Times New Roman" w:hAnsi="Times New Roman" w:cs="Times New Roman"/>
          <w:sz w:val="24"/>
          <w:szCs w:val="24"/>
        </w:rPr>
        <w:t xml:space="preserve">low unabated and untreated, </w:t>
      </w:r>
      <w:r w:rsidR="003D14F5" w:rsidRPr="00F07DEB">
        <w:rPr>
          <w:rFonts w:ascii="Times New Roman" w:hAnsi="Times New Roman" w:cs="Times New Roman"/>
          <w:sz w:val="24"/>
          <w:szCs w:val="24"/>
        </w:rPr>
        <w:t xml:space="preserve">but in some </w:t>
      </w:r>
      <w:r w:rsidR="00666B9C">
        <w:rPr>
          <w:rFonts w:ascii="Times New Roman" w:hAnsi="Times New Roman" w:cs="Times New Roman"/>
          <w:sz w:val="24"/>
          <w:szCs w:val="24"/>
        </w:rPr>
        <w:t xml:space="preserve">parts of the world these highly </w:t>
      </w:r>
      <w:r w:rsidR="003D14F5" w:rsidRPr="00F07DEB">
        <w:rPr>
          <w:rFonts w:ascii="Times New Roman" w:hAnsi="Times New Roman" w:cs="Times New Roman"/>
          <w:sz w:val="24"/>
          <w:szCs w:val="24"/>
        </w:rPr>
        <w:t xml:space="preserve">contaminated flows are the most </w:t>
      </w:r>
      <w:r w:rsidR="00146E64" w:rsidRPr="00F07DEB">
        <w:rPr>
          <w:rFonts w:ascii="Times New Roman" w:hAnsi="Times New Roman" w:cs="Times New Roman"/>
          <w:sz w:val="24"/>
          <w:szCs w:val="24"/>
        </w:rPr>
        <w:t>reliable</w:t>
      </w:r>
      <w:r w:rsidR="003D14F5" w:rsidRPr="00F07DEB">
        <w:rPr>
          <w:rFonts w:ascii="Times New Roman" w:hAnsi="Times New Roman" w:cs="Times New Roman"/>
          <w:sz w:val="24"/>
          <w:szCs w:val="24"/>
        </w:rPr>
        <w:t xml:space="preserve"> source of irrigation water.</w:t>
      </w:r>
      <w:r w:rsidR="00146E64" w:rsidRPr="00F07DEB">
        <w:rPr>
          <w:rFonts w:ascii="Times New Roman" w:hAnsi="Times New Roman" w:cs="Times New Roman"/>
          <w:sz w:val="24"/>
          <w:szCs w:val="24"/>
        </w:rPr>
        <w:t xml:space="preserve"> </w:t>
      </w:r>
      <w:r w:rsidR="00872266" w:rsidRPr="00F07DEB">
        <w:rPr>
          <w:rFonts w:ascii="Times New Roman" w:hAnsi="Times New Roman" w:cs="Times New Roman"/>
          <w:sz w:val="24"/>
          <w:szCs w:val="24"/>
        </w:rPr>
        <w:t>In Bolivia, a t</w:t>
      </w:r>
      <w:r w:rsidR="00146E64" w:rsidRPr="00F07DEB">
        <w:rPr>
          <w:rFonts w:ascii="Times New Roman" w:hAnsi="Times New Roman" w:cs="Times New Roman"/>
          <w:sz w:val="24"/>
          <w:szCs w:val="24"/>
        </w:rPr>
        <w:t xml:space="preserve">eam of researchers </w:t>
      </w:r>
      <w:r w:rsidR="00872266" w:rsidRPr="00F07DEB">
        <w:rPr>
          <w:rFonts w:ascii="Times New Roman" w:hAnsi="Times New Roman" w:cs="Times New Roman"/>
          <w:sz w:val="24"/>
          <w:szCs w:val="24"/>
        </w:rPr>
        <w:t xml:space="preserve">found that mining-impacted irrigation water and the associated soil and potato crops contained elevated concentrations of a host of </w:t>
      </w:r>
      <w:proofErr w:type="spellStart"/>
      <w:r w:rsidR="00872266" w:rsidRPr="00F07DEB">
        <w:rPr>
          <w:rFonts w:ascii="Times New Roman" w:hAnsi="Times New Roman" w:cs="Times New Roman"/>
          <w:sz w:val="24"/>
          <w:szCs w:val="24"/>
        </w:rPr>
        <w:t>ecotoxic</w:t>
      </w:r>
      <w:proofErr w:type="spellEnd"/>
      <w:r w:rsidR="00872266" w:rsidRPr="00F07DEB">
        <w:rPr>
          <w:rFonts w:ascii="Times New Roman" w:hAnsi="Times New Roman" w:cs="Times New Roman"/>
          <w:sz w:val="24"/>
          <w:szCs w:val="24"/>
        </w:rPr>
        <w:t xml:space="preserve"> metals, including As, Cd, </w:t>
      </w:r>
      <w:proofErr w:type="spellStart"/>
      <w:r w:rsidR="00872266" w:rsidRPr="00F07DEB">
        <w:rPr>
          <w:rFonts w:ascii="Times New Roman" w:hAnsi="Times New Roman" w:cs="Times New Roman"/>
          <w:sz w:val="24"/>
          <w:szCs w:val="24"/>
        </w:rPr>
        <w:t>Pb</w:t>
      </w:r>
      <w:proofErr w:type="spellEnd"/>
      <w:r w:rsidR="00872266" w:rsidRPr="00F07DEB">
        <w:rPr>
          <w:rFonts w:ascii="Times New Roman" w:hAnsi="Times New Roman" w:cs="Times New Roman"/>
          <w:sz w:val="24"/>
          <w:szCs w:val="24"/>
        </w:rPr>
        <w:t>, and Zn</w:t>
      </w:r>
      <w:r w:rsidR="003B59D9" w:rsidRPr="00F07DEB">
        <w:rPr>
          <w:rFonts w:ascii="Times New Roman" w:hAnsi="Times New Roman" w:cs="Times New Roman"/>
          <w:sz w:val="24"/>
          <w:szCs w:val="24"/>
        </w:rPr>
        <w:t xml:space="preserve"> </w:t>
      </w:r>
      <w:r w:rsidR="003B59D9" w:rsidRPr="00F07DEB">
        <w:rPr>
          <w:rFonts w:ascii="Times New Roman" w:hAnsi="Times New Roman" w:cs="Times New Roman"/>
          <w:sz w:val="24"/>
          <w:szCs w:val="24"/>
        </w:rPr>
        <w:fldChar w:fldCharType="begin"/>
      </w:r>
      <w:r w:rsidR="00D03EB7" w:rsidRPr="00F07DEB">
        <w:rPr>
          <w:rFonts w:ascii="Times New Roman" w:hAnsi="Times New Roman" w:cs="Times New Roman"/>
          <w:sz w:val="24"/>
          <w:szCs w:val="24"/>
        </w:rPr>
        <w:instrText xml:space="preserve"> ADDIN ZOTERO_ITEM CSL_CITATION {"citationID":"EYprWn5w","properties":{"formattedCitation":"(A. E. Garrido et al., 2017)","plainCitation":"(A. E. Garrido et al., 2017)","dontUpdate":true,"noteIndex":0},"citationItems":[{"id":451,"uris":["http://zotero.org/users/5446453/items/JXUABMBS"],"uri":["http://zotero.org/users/5446453/items/JXUABMBS"],"itemData":{"id":451,"type":"article-journal","abstract":"This study assessed metals in irrigation water, soil and potato crops impacted by mining discharges, as well as potential human health risk in the high desert near the historic mining center of Potosí, Bolivia. Metal concentrations were compared with international concentration limit guidelines. In addition, an ingested average daily dose and minimum risk level were used to determine the hazard quotient from potato consumption for adults and children. Irrigation water maximum concentrations of Cd, Pb and Zn in mining-impacted sites were elevated 20- to 1100-fold above international concentration limit guidelines. Agricultural soils contained total metal concentrations of As, Cd, Pb and Zn that exceeded concentration limits in agricultural soil guidelines by 22-, 9-, 3- and 12-fold, respectively. Potato tubers in mining-impacted sites had maximum concentrations of As, Cd, Pb and Zn that exceeded concentration limits in commercially sold vegetables by 9-, 10-, 16- and fourfold, respectively. Using conservative assumptions, hazard quotients (HQ) for potatoes alone were elevated for As, Cd and Pb among children (range 1.1-71.8), in nearly all of the mining-impacted areas; and for As and Cd among adults (range 1.2-34.2) in nearly all of the mining-impacted areas. Only one mining-impacted area had a Pb adult HQ for potatoes above 1 for adults. Toxic trace elements in a major regional dietary staple may be a greater concern than previously appreciated. Considering the multitude of other metal exposure routes in this region, it is likely that total HQ values for these metals may be substantially higher than our estimates.","container-title":"Environmental Geochemistry and Health","DOI":"10.1007/s10653-017-9943-4","ISSN":"1573-2983","issue":"3","journalAbbreviation":"Environ Geochem Health","language":"eng","note":"PMID: 28337621","page":"681-700","source":"PubMed","title":"Metal-contaminated potato crops and potential human health risk in Bolivian mining highlands","volume":"39","author":[{"family":"Garrido","given":"A. E."},{"family":"Strosnider","given":"W. H."},{"family":"Wilson","given":"R. T."},{"family":"Condori","given":"J."},{"family":"Nairn","given":"R. W."}],"issued":{"date-parts":[["2017",6]]}}}],"schema":"https://github.com/citation-style-language/schema/raw/master/csl-citation.json"} </w:instrText>
      </w:r>
      <w:r w:rsidR="003B59D9" w:rsidRPr="00F07DEB">
        <w:rPr>
          <w:rFonts w:ascii="Times New Roman" w:hAnsi="Times New Roman" w:cs="Times New Roman"/>
          <w:sz w:val="24"/>
          <w:szCs w:val="24"/>
        </w:rPr>
        <w:fldChar w:fldCharType="separate"/>
      </w:r>
      <w:r w:rsidR="008309DB" w:rsidRPr="00F07DEB">
        <w:rPr>
          <w:rFonts w:ascii="Times New Roman" w:hAnsi="Times New Roman" w:cs="Times New Roman"/>
          <w:sz w:val="24"/>
        </w:rPr>
        <w:t>(Garrido et al., 2017)</w:t>
      </w:r>
      <w:r w:rsidR="003B59D9" w:rsidRPr="00F07DEB">
        <w:rPr>
          <w:rFonts w:ascii="Times New Roman" w:hAnsi="Times New Roman" w:cs="Times New Roman"/>
          <w:sz w:val="24"/>
          <w:szCs w:val="24"/>
        </w:rPr>
        <w:fldChar w:fldCharType="end"/>
      </w:r>
      <w:r w:rsidR="00872266" w:rsidRPr="00F07DEB">
        <w:rPr>
          <w:rFonts w:ascii="Times New Roman" w:hAnsi="Times New Roman" w:cs="Times New Roman"/>
          <w:sz w:val="24"/>
          <w:szCs w:val="24"/>
        </w:rPr>
        <w:t xml:space="preserve">. </w:t>
      </w:r>
      <w:r w:rsidR="003B59D9" w:rsidRPr="00F07DEB">
        <w:rPr>
          <w:rFonts w:ascii="Times New Roman" w:hAnsi="Times New Roman" w:cs="Times New Roman"/>
          <w:sz w:val="24"/>
          <w:szCs w:val="24"/>
        </w:rPr>
        <w:t xml:space="preserve">Aqueous concentrations </w:t>
      </w:r>
      <w:r w:rsidR="00872266" w:rsidRPr="00F07DEB">
        <w:rPr>
          <w:rFonts w:ascii="Times New Roman" w:hAnsi="Times New Roman" w:cs="Times New Roman"/>
          <w:sz w:val="24"/>
          <w:szCs w:val="24"/>
        </w:rPr>
        <w:t xml:space="preserve">between 20 and 1100 times greater than </w:t>
      </w:r>
      <w:r w:rsidR="003B59D9" w:rsidRPr="00F07DEB">
        <w:rPr>
          <w:rFonts w:ascii="Times New Roman" w:hAnsi="Times New Roman" w:cs="Times New Roman"/>
          <w:sz w:val="24"/>
          <w:szCs w:val="24"/>
        </w:rPr>
        <w:t>established international</w:t>
      </w:r>
      <w:r w:rsidR="00872266" w:rsidRPr="00F07DEB">
        <w:rPr>
          <w:rFonts w:ascii="Times New Roman" w:hAnsi="Times New Roman" w:cs="Times New Roman"/>
          <w:sz w:val="24"/>
          <w:szCs w:val="24"/>
        </w:rPr>
        <w:t xml:space="preserve"> </w:t>
      </w:r>
      <w:r w:rsidR="003B59D9" w:rsidRPr="00F07DEB">
        <w:rPr>
          <w:rFonts w:ascii="Times New Roman" w:hAnsi="Times New Roman" w:cs="Times New Roman"/>
          <w:sz w:val="24"/>
          <w:szCs w:val="24"/>
        </w:rPr>
        <w:t>criteria translated into dangerous levels of multiple trace metals in potatoes at almost every study site; human health risk assessments confirmed that the consumption of this staple food could singlehandedl</w:t>
      </w:r>
      <w:r w:rsidR="003D62BB" w:rsidRPr="00F07DEB">
        <w:rPr>
          <w:rFonts w:ascii="Times New Roman" w:hAnsi="Times New Roman" w:cs="Times New Roman"/>
          <w:sz w:val="24"/>
          <w:szCs w:val="24"/>
        </w:rPr>
        <w:t xml:space="preserve">y expose adults and children to significant risk without accounting for other exposure pathways </w:t>
      </w:r>
      <w:r w:rsidR="003D62BB" w:rsidRPr="00F07DEB">
        <w:rPr>
          <w:rFonts w:ascii="Times New Roman" w:hAnsi="Times New Roman" w:cs="Times New Roman"/>
          <w:sz w:val="24"/>
          <w:szCs w:val="24"/>
        </w:rPr>
        <w:fldChar w:fldCharType="begin"/>
      </w:r>
      <w:r w:rsidR="00D03EB7" w:rsidRPr="00F07DEB">
        <w:rPr>
          <w:rFonts w:ascii="Times New Roman" w:hAnsi="Times New Roman" w:cs="Times New Roman"/>
          <w:sz w:val="24"/>
          <w:szCs w:val="24"/>
        </w:rPr>
        <w:instrText xml:space="preserve"> ADDIN ZOTERO_ITEM CSL_CITATION {"citationID":"UE6WYvRP","properties":{"formattedCitation":"(Garrido et al., 2017)","plainCitation":"(Garrido et al., 2017)","noteIndex":0},"citationItems":[{"id":451,"uris":["http://zotero.org/users/5446453/items/JXUABMBS"],"uri":["http://zotero.org/users/5446453/items/JXUABMBS"],"itemData":{"id":451,"type":"article-journal","abstract":"This study assessed metals in irrigation water, soil and potato crops impacted by mining discharges, as well as potential human health risk in the high desert near the historic mining center of Potosí, Bolivia. Metal concentrations were compared with international concentration limit guidelines. In addition, an ingested average daily dose and minimum risk level were used to determine the hazard quotient from potato consumption for adults and children. Irrigation water maximum concentrations of Cd, Pb and Zn in mining-impacted sites were elevated 20- to 1100-fold above international concentration limit guidelines. Agricultural soils contained total metal concentrations of As, Cd, Pb and Zn that exceeded concentration limits in agricultural soil guidelines by 22-, 9-, 3- and 12-fold, respectively. Potato tubers in mining-impacted sites had maximum concentrations of As, Cd, Pb and Zn that exceeded concentration limits in commercially sold vegetables by 9-, 10-, 16- and fourfold, respectively. Using conservative assumptions, hazard quotients (HQ) for potatoes alone were elevated for As, Cd and Pb among children (range 1.1-71.8), in nearly all of the mining-impacted areas; and for As and Cd among adults (range 1.2-34.2) in nearly all of the mining-impacted areas. Only one mining-impacted area had a Pb adult HQ for potatoes above 1 for adults. Toxic trace elements in a major regional dietary staple may be a greater concern than previously appreciated. Considering the multitude of other metal exposure routes in this region, it is likely that total HQ values for these metals may be substantially higher than our estimates.","container-title":"Environmental Geochemistry and Health","DOI":"10.1007/s10653-017-9943-4","ISSN":"1573-2983","issue":"3","journalAbbreviation":"Environ Geochem Health","language":"eng","note":"PMID: 28337621","page":"681-700","source":"PubMed","title":"Metal-contaminated potato crops and potential human health risk in Bolivian mining highlands","volume":"39","author":[{"family":"Garrido","given":"A. E."},{"family":"Strosnider","given":"W. H."},{"family":"Wilson","given":"R. T."},{"family":"Condori","given":"J."},{"family":"Nairn","given":"R. W."}],"issued":{"date-parts":[["2017",6]]}}}],"schema":"https://github.com/citation-style-language/schema/raw/master/csl-citation.json"} </w:instrText>
      </w:r>
      <w:r w:rsidR="003D62BB"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(Garrido et al., 2017)</w:t>
      </w:r>
      <w:r w:rsidR="003D62BB" w:rsidRPr="00F07DEB">
        <w:rPr>
          <w:rFonts w:ascii="Times New Roman" w:hAnsi="Times New Roman" w:cs="Times New Roman"/>
          <w:sz w:val="24"/>
          <w:szCs w:val="24"/>
        </w:rPr>
        <w:fldChar w:fldCharType="end"/>
      </w:r>
      <w:r w:rsidR="003D62BB" w:rsidRPr="00F07DEB">
        <w:rPr>
          <w:rFonts w:ascii="Times New Roman" w:hAnsi="Times New Roman" w:cs="Times New Roman"/>
          <w:sz w:val="24"/>
          <w:szCs w:val="24"/>
        </w:rPr>
        <w:t>.</w:t>
      </w:r>
      <w:r w:rsidR="00AD5CBC" w:rsidRPr="00F07DEB">
        <w:rPr>
          <w:rFonts w:ascii="Times New Roman" w:hAnsi="Times New Roman" w:cs="Times New Roman"/>
          <w:sz w:val="24"/>
          <w:szCs w:val="24"/>
        </w:rPr>
        <w:t xml:space="preserve"> </w:t>
      </w:r>
      <w:r w:rsidR="00E20834" w:rsidRPr="00F07DEB">
        <w:rPr>
          <w:rFonts w:ascii="Times New Roman" w:hAnsi="Times New Roman" w:cs="Times New Roman"/>
          <w:sz w:val="24"/>
          <w:szCs w:val="24"/>
        </w:rPr>
        <w:t xml:space="preserve">Brazilian </w:t>
      </w:r>
      <w:r w:rsidR="009678A2">
        <w:rPr>
          <w:rFonts w:ascii="Times New Roman" w:hAnsi="Times New Roman" w:cs="Times New Roman"/>
          <w:sz w:val="24"/>
          <w:szCs w:val="24"/>
        </w:rPr>
        <w:t>Cu</w:t>
      </w:r>
      <w:r w:rsidR="00E20834" w:rsidRPr="00F07DEB">
        <w:rPr>
          <w:rFonts w:ascii="Times New Roman" w:hAnsi="Times New Roman" w:cs="Times New Roman"/>
          <w:sz w:val="24"/>
          <w:szCs w:val="24"/>
        </w:rPr>
        <w:t xml:space="preserve"> mine water receiving no treatment beyond extended storage in a reservoir, which decreased dissolved Cu concentrations, was deemed unsafe for irrigation after it demonstrably elevated Cu levels in banana tree roots and fruits</w:t>
      </w:r>
      <w:r w:rsidR="002E21E8" w:rsidRPr="00F07DEB">
        <w:rPr>
          <w:rFonts w:ascii="Times New Roman" w:hAnsi="Times New Roman" w:cs="Times New Roman"/>
          <w:sz w:val="24"/>
          <w:szCs w:val="24"/>
        </w:rPr>
        <w:t xml:space="preserve"> </w:t>
      </w:r>
      <w:r w:rsidR="002E21E8" w:rsidRPr="00F07DEB">
        <w:rPr>
          <w:rFonts w:ascii="Times New Roman" w:hAnsi="Times New Roman" w:cs="Times New Roman"/>
          <w:sz w:val="24"/>
          <w:szCs w:val="24"/>
        </w:rPr>
        <w:fldChar w:fldCharType="begin"/>
      </w:r>
      <w:r w:rsidR="002E21E8" w:rsidRPr="00F07DEB">
        <w:rPr>
          <w:rFonts w:ascii="Times New Roman" w:hAnsi="Times New Roman" w:cs="Times New Roman"/>
          <w:sz w:val="24"/>
          <w:szCs w:val="24"/>
        </w:rPr>
        <w:instrText xml:space="preserve"> ADDIN ZOTERO_ITEM CSL_CITATION {"citationID":"DJh2el6e","properties":{"formattedCitation":"(Oliveira et al., 2019)","plainCitation":"(Oliveira et al., 2019)","noteIndex":0},"citationItems":[{"id":453,"uris":["http://zotero.org/users/5446453/items/CYPLSCHN"],"uri":["http://zotero.org/users/5446453/items/CYPLSCHN"],"itemData":{"id":453,"type":"article-journal","abstract":"This study aimed to evaluate mine water reuse, elucidating the potential problems related to trace metal biogeochemistry focusing on Cu dynamics in water, soil, and plants. Water samples were collected from a Cu mine and a reservoir used to store mine water. Additional samples were taken from soils from an uncultivated area and a banana orchard (irrigated with mine water for at least 10 years) and plant from the irrigated area. The following parameters were analyzed: pH, redox potential, dissolved ions in water samples (e.g., Ca2+, Mg2+, Na+, K+, Cu2+, SO42-, and Cl−), bioavailable Cu and Cu solid-phase fractionation (in soils and reservoir sediments samples), as well as Cu content in banana plants. Mine water presents high dissolved Cu concentration (mean 2.3 ± 0.0 mg L−1), limiting its use for irrigation. Water storage at the reservoir increased water quality, reducing dissolved Cu concentration (mean 0.2 ± 0.0 mg L−1), due to adsorption/precipitation as carbonates (mean 131.8 ± 24.6 mg kg−1), organic matter (mean 1526.2 ± 4.7 mg kg−1) and sulfides (mean 158.4 ± 56.9 mg kg−1). Despite higher water quality at the reservoir, the use of mine water increased the amount of bioavailable Cu in soils, which was primarily associated with organic matter. Increased bioavailable Cu in the soil did not increase the Cu content of banana leaves but resulted in high Cu content of roots and fruit, increasing the risk of toxicity for the population.","container-title":"Environmental Geochemistry and Health","DOI":"10.1007/s10653-018-0154-4","ISSN":"1573-2983","issue":"2","journalAbbreviation":"Environ Geochem Health","language":"en","page":"603-615","source":"Springer Link","title":"Risk assessment and copper geochemistry of an orchard irrigated with mine water: a case study in the semiarid region of Brazil","title-short":"Risk assessment and copper geochemistry of an orchard irrigated with mine water","volume":"41","author":[{"family":"Oliveira","given":"Daniel P."},{"family":"Nóbrega","given":"Gabriel N."},{"family":"Ruiz","given":"Francisco"},{"family":"Perlatti","given":"Fábio"},{"family":"Soares","given":"Arlete A."},{"family":"Otero","given":"Xosé L."},{"family":"Ferreira","given":"Tiago O."}],"issued":{"date-parts":[["2019",4,1]]}}}],"schema":"https://github.com/citation-style-language/schema/raw/master/csl-citation.json"} </w:instrText>
      </w:r>
      <w:r w:rsidR="002E21E8"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(Oliveira et al., 2019)</w:t>
      </w:r>
      <w:r w:rsidR="002E21E8" w:rsidRPr="00F07DEB">
        <w:rPr>
          <w:rFonts w:ascii="Times New Roman" w:hAnsi="Times New Roman" w:cs="Times New Roman"/>
          <w:sz w:val="24"/>
          <w:szCs w:val="24"/>
        </w:rPr>
        <w:fldChar w:fldCharType="end"/>
      </w:r>
      <w:r w:rsidR="00E20834" w:rsidRPr="00F07DEB">
        <w:rPr>
          <w:rFonts w:ascii="Times New Roman" w:hAnsi="Times New Roman" w:cs="Times New Roman"/>
          <w:sz w:val="24"/>
          <w:szCs w:val="24"/>
        </w:rPr>
        <w:t xml:space="preserve">. </w:t>
      </w:r>
    </w:p>
    <w:p w14:paraId="51821671" w14:textId="5514B75F" w:rsidR="00A7650A" w:rsidRPr="00F07DEB" w:rsidRDefault="00A82B9E" w:rsidP="00F8101B">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However, mine water can be treated in-situ at a variety of price points and energy inputs, and the evolution of novel technologies and </w:t>
      </w:r>
      <w:r w:rsidR="001A0C2B" w:rsidRPr="00F07DEB">
        <w:rPr>
          <w:rFonts w:ascii="Times New Roman" w:hAnsi="Times New Roman" w:cs="Times New Roman"/>
          <w:sz w:val="24"/>
          <w:szCs w:val="24"/>
        </w:rPr>
        <w:t xml:space="preserve">treatment </w:t>
      </w:r>
      <w:r w:rsidRPr="00F07DEB">
        <w:rPr>
          <w:rFonts w:ascii="Times New Roman" w:hAnsi="Times New Roman" w:cs="Times New Roman"/>
          <w:sz w:val="24"/>
          <w:szCs w:val="24"/>
        </w:rPr>
        <w:t>methods has enabled the production of irrigation-quality water</w:t>
      </w:r>
      <w:r w:rsidR="00137749" w:rsidRPr="00F07DEB">
        <w:rPr>
          <w:rFonts w:ascii="Times New Roman" w:hAnsi="Times New Roman" w:cs="Times New Roman"/>
          <w:sz w:val="24"/>
          <w:szCs w:val="24"/>
        </w:rPr>
        <w:t xml:space="preserve"> from vastly different types of mine drainage. </w:t>
      </w:r>
      <w:r w:rsidR="00D424DB" w:rsidRPr="00F07DEB">
        <w:rPr>
          <w:rFonts w:ascii="Times New Roman" w:hAnsi="Times New Roman" w:cs="Times New Roman"/>
          <w:sz w:val="24"/>
          <w:szCs w:val="24"/>
        </w:rPr>
        <w:t>Membrane filtration of mine water, while expensive and energy-intensive, resulted in effluent COD, NH</w:t>
      </w:r>
      <w:r w:rsidR="00D424DB" w:rsidRPr="00F07DEB">
        <w:rPr>
          <w:rFonts w:ascii="Times New Roman" w:hAnsi="Times New Roman" w:cs="Times New Roman"/>
          <w:sz w:val="24"/>
          <w:szCs w:val="24"/>
          <w:vertAlign w:val="subscript"/>
        </w:rPr>
        <w:t>3</w:t>
      </w:r>
      <w:r w:rsidR="00D424DB" w:rsidRPr="00F07DEB">
        <w:rPr>
          <w:rFonts w:ascii="Times New Roman" w:hAnsi="Times New Roman" w:cs="Times New Roman"/>
          <w:sz w:val="24"/>
          <w:szCs w:val="24"/>
        </w:rPr>
        <w:t xml:space="preserve">-N, TSS, and pH levels that satisfied Malaysia’s National Water Quality Standards, although the study did not address any metal or chemical concentrations </w:t>
      </w:r>
      <w:r w:rsidR="00D424DB" w:rsidRPr="00F07DEB">
        <w:rPr>
          <w:rFonts w:ascii="Times New Roman" w:hAnsi="Times New Roman" w:cs="Times New Roman"/>
          <w:sz w:val="24"/>
          <w:szCs w:val="24"/>
        </w:rPr>
        <w:fldChar w:fldCharType="begin"/>
      </w:r>
      <w:r w:rsidR="00D424DB" w:rsidRPr="00F07DEB">
        <w:rPr>
          <w:rFonts w:ascii="Times New Roman" w:hAnsi="Times New Roman" w:cs="Times New Roman"/>
          <w:sz w:val="24"/>
          <w:szCs w:val="24"/>
        </w:rPr>
        <w:instrText xml:space="preserve"> ADDIN ZOTERO_ITEM CSL_CITATION {"citationID":"QCueWGEI","properties":{"formattedCitation":"(Yeit Haan et al., 2017)","plainCitation":"(Yeit Haan et al., 2017)","noteIndex":0},"citationItems":[{"id":458,"uris":["http://zotero.org/users/5446453/items/YJ6BEBGB"],"uri":["http://zotero.org/users/5446453/items/YJ6BEBGB"],"itemData":{"id":458,"type":"article-journal","abstract":"Severe water shortage caused by El-Nino has caused life-threatening drought conditions globally. This natural disaster has put millions of lives at risk and forcing the people to search for waster. However, the water scarcity problem was not just limited to the countries that were strike by El-Nino. Poor water management and climate change were bringing droughts to Asia and the Pacific. The water scarcity worldwide has recently reached the alarming rate and received the greatest attention among the people. Membrane technology is an innovative technology which has proven to be effective and efficient for water and wastewater treatment. Therefore, membrane technology has high potential to be employed for the treatment of lake water, mine water, and tube well water in increasing the fresh water production for reuse purpose. The objective of this work is to investigate the potential of membrane technology for treating the lake water, mine water, and tube well water. A laboratory bench-scale dead-end test rig was used in this study to evaluate the performance of commercial flatsheet nanofiltration (NF) - NF270 and reverse osmosis (RO) - BW30 membranes. Both source water and treated water were analysed based on chemical oxygen demand (COD), ammonia nitrogen (NH3-N), colour, total suspended solid (TSS), pH, and temperature. In order to prove the reuse concept of membrane technology, the permeate water quality after the membrane filtration process was compared with National Water Quality Standard (NWQS) of Malaysia. The results from this study shown that the permeate water filtered by NF270 and BW30 membranes were able to meet the NWQS Class III, which was suitable to recycled for livestock drinking and irrigation purposes.","container-title":"Jurnal Kejuruteraan","DOI":"10.17576/jkukm-2017-29(2)-09","ISSN":"01280198, 22897526","issue":"2","journalAbbreviation":"JKUKM","language":"en","page":"131-137","source":"DOI.org (Crossref)","title":"Application of Membrane Technology towards The Reusability of Lake Water, Mine Water, and Tube Well Water","volume":"29","author":[{"family":"Yeit Haan","given":"Teow"},{"family":"Wan Mohammad Hamdan","given":"W.N.A."},{"family":"Rosnan","given":"N.A."},{"family":"Mohamad Mazuki","given":"N.I."},{"family":"K.C.","given":"Ho"}],"issued":{"date-parts":[["2017",12,31]]}}}],"schema":"https://github.com/citation-style-language/schema/raw/master/csl-citation.json"} </w:instrText>
      </w:r>
      <w:r w:rsidR="00D424DB"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(Yeit Haan et al., 2017)</w:t>
      </w:r>
      <w:r w:rsidR="00D424DB" w:rsidRPr="00F07DEB">
        <w:rPr>
          <w:rFonts w:ascii="Times New Roman" w:hAnsi="Times New Roman" w:cs="Times New Roman"/>
          <w:sz w:val="24"/>
          <w:szCs w:val="24"/>
        </w:rPr>
        <w:fldChar w:fldCharType="end"/>
      </w:r>
      <w:r w:rsidR="00D424DB" w:rsidRPr="00F07DEB">
        <w:rPr>
          <w:rFonts w:ascii="Times New Roman" w:hAnsi="Times New Roman" w:cs="Times New Roman"/>
          <w:sz w:val="24"/>
          <w:szCs w:val="24"/>
        </w:rPr>
        <w:t>.</w:t>
      </w:r>
      <w:r w:rsidR="00521873" w:rsidRPr="00F07DEB">
        <w:rPr>
          <w:rFonts w:ascii="Times New Roman" w:hAnsi="Times New Roman" w:cs="Times New Roman"/>
          <w:sz w:val="24"/>
          <w:szCs w:val="24"/>
        </w:rPr>
        <w:t xml:space="preserve"> Passive treatment of acid mine drainage (AMD) via settling and anaerobic bacterial sulfate reduction achieved </w:t>
      </w:r>
      <w:proofErr w:type="spellStart"/>
      <w:r w:rsidR="00521873" w:rsidRPr="00F07DEB">
        <w:rPr>
          <w:rFonts w:ascii="Times New Roman" w:hAnsi="Times New Roman" w:cs="Times New Roman"/>
          <w:sz w:val="24"/>
          <w:szCs w:val="24"/>
        </w:rPr>
        <w:t>circumneutral</w:t>
      </w:r>
      <w:proofErr w:type="spellEnd"/>
      <w:r w:rsidR="00521873" w:rsidRPr="00F07DEB">
        <w:rPr>
          <w:rFonts w:ascii="Times New Roman" w:hAnsi="Times New Roman" w:cs="Times New Roman"/>
          <w:sz w:val="24"/>
          <w:szCs w:val="24"/>
        </w:rPr>
        <w:t xml:space="preserve"> </w:t>
      </w:r>
      <w:proofErr w:type="spellStart"/>
      <w:r w:rsidR="00521873" w:rsidRPr="00F07DEB">
        <w:rPr>
          <w:rFonts w:ascii="Times New Roman" w:hAnsi="Times New Roman" w:cs="Times New Roman"/>
          <w:sz w:val="24"/>
          <w:szCs w:val="24"/>
        </w:rPr>
        <w:t>pHs</w:t>
      </w:r>
      <w:proofErr w:type="spellEnd"/>
      <w:r w:rsidR="00521873" w:rsidRPr="00F07DEB">
        <w:rPr>
          <w:rFonts w:ascii="Times New Roman" w:hAnsi="Times New Roman" w:cs="Times New Roman"/>
          <w:sz w:val="24"/>
          <w:szCs w:val="24"/>
        </w:rPr>
        <w:t xml:space="preserve"> and decreased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521873" w:rsidRPr="00F07DEB">
        <w:rPr>
          <w:rFonts w:ascii="Times New Roman" w:hAnsi="Times New Roman" w:cs="Times New Roman"/>
          <w:sz w:val="24"/>
          <w:szCs w:val="24"/>
        </w:rPr>
        <w:t xml:space="preserve">, Fe, Zn, and Cu </w:t>
      </w:r>
      <w:r w:rsidR="00830560" w:rsidRPr="00F07DEB">
        <w:rPr>
          <w:rFonts w:ascii="Times New Roman" w:hAnsi="Times New Roman" w:cs="Times New Roman"/>
          <w:sz w:val="24"/>
          <w:szCs w:val="24"/>
        </w:rPr>
        <w:t>content</w:t>
      </w:r>
      <w:r w:rsidR="00521873" w:rsidRPr="00F07DEB">
        <w:rPr>
          <w:rFonts w:ascii="Times New Roman" w:hAnsi="Times New Roman" w:cs="Times New Roman"/>
          <w:sz w:val="24"/>
          <w:szCs w:val="24"/>
        </w:rPr>
        <w:t xml:space="preserve"> to </w:t>
      </w:r>
      <w:r w:rsidR="00830560" w:rsidRPr="00F07DEB">
        <w:rPr>
          <w:rFonts w:ascii="Times New Roman" w:hAnsi="Times New Roman" w:cs="Times New Roman"/>
          <w:sz w:val="24"/>
          <w:szCs w:val="24"/>
        </w:rPr>
        <w:t xml:space="preserve">levels </w:t>
      </w:r>
      <w:r w:rsidR="00521873" w:rsidRPr="00F07DEB">
        <w:rPr>
          <w:rFonts w:ascii="Times New Roman" w:hAnsi="Times New Roman" w:cs="Times New Roman"/>
          <w:sz w:val="24"/>
          <w:szCs w:val="24"/>
        </w:rPr>
        <w:t xml:space="preserve">sufficiently below Portugal’s irrigation water quality criteria </w:t>
      </w:r>
      <w:r w:rsidR="00521873" w:rsidRPr="00F07DEB">
        <w:rPr>
          <w:rFonts w:ascii="Times New Roman" w:hAnsi="Times New Roman" w:cs="Times New Roman"/>
          <w:sz w:val="24"/>
          <w:szCs w:val="24"/>
        </w:rPr>
        <w:fldChar w:fldCharType="begin"/>
      </w:r>
      <w:r w:rsidR="00521873" w:rsidRPr="00F07DEB">
        <w:rPr>
          <w:rFonts w:ascii="Times New Roman" w:hAnsi="Times New Roman" w:cs="Times New Roman"/>
          <w:sz w:val="24"/>
          <w:szCs w:val="24"/>
        </w:rPr>
        <w:instrText xml:space="preserve"> ADDIN ZOTERO_ITEM CSL_CITATION {"citationID":"yJQWjaVW","properties":{"formattedCitation":"(Martins et al., 2010)","plainCitation":"(Martins et al., 2010)","noteIndex":0},"citationItems":[{"id":460,"uris":["http://zotero.org/users/5446453/items/49E8BDRP"],"uri":["http://zotero.org/users/5446453/items/49E8BDRP"],"itemData":{"id":460,"type":"article-journal","abstract":"The ability of two active bioremediation systems, based on the activity of sulphate-reducing bacteria, for the production of irrigation water from acid mine drainage (AMD), was compared. System I consisted of a packed bed reactor containing calcite tailing followed by an anaerobic packed bed bioreactor. System II consisted of a settler, fed with AMD and treated water recycle, and a sulphidogenic anaerobic packed bed bioreactor, fed with clariﬁed settler efﬂuent. Although efﬁcient in terms of pH neutralisation and metals removal, system I did not allow continuous production of suitable irrigation water, since the concentration of sulphate in the efﬂuent frequently exceeds the maximum recommended value by local legislation. On the other hand, in system II very high sulphate reduction (&gt;99.0%) was achieved during the whole experiment, being the values in the efﬂuent much lower than legislated limits for irrigation water. System II, not requiring the addition of any neutralising agent, can also be advantageous from an economical perspective.","container-title":"Journal of Cleaner Production","DOI":"10.1016/j.jclepro.2009.10.013","ISSN":"09596526","issue":"3","journalAbbreviation":"Journal of Cleaner Production","language":"en","page":"248-253","source":"DOI.org (Crossref)","title":"Production of irrigation water from bioremediation of acid mine drainage: comparing the performance of two representative systems","title-short":"Production of irrigation water from bioremediation of acid mine drainage","volume":"18","author":[{"family":"Martins","given":"M."},{"family":"Santos","given":"E.S."},{"family":"Pires","given":"C."},{"family":"Barros","given":"R.J."},{"family":"Costa","given":"M.C."}],"issued":{"date-parts":[["2010",2]]}}}],"schema":"https://github.com/citation-style-language/schema/raw/master/csl-citation.json"} </w:instrText>
      </w:r>
      <w:r w:rsidR="00521873"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(Martins et al., 2010)</w:t>
      </w:r>
      <w:r w:rsidR="00521873" w:rsidRPr="00F07DEB">
        <w:rPr>
          <w:rFonts w:ascii="Times New Roman" w:hAnsi="Times New Roman" w:cs="Times New Roman"/>
          <w:sz w:val="24"/>
          <w:szCs w:val="24"/>
        </w:rPr>
        <w:fldChar w:fldCharType="end"/>
      </w:r>
      <w:r w:rsidR="00521873" w:rsidRPr="00F07DEB">
        <w:rPr>
          <w:rFonts w:ascii="Times New Roman" w:hAnsi="Times New Roman" w:cs="Times New Roman"/>
          <w:sz w:val="24"/>
          <w:szCs w:val="24"/>
        </w:rPr>
        <w:t xml:space="preserve">. </w:t>
      </w:r>
      <w:r w:rsidR="0091465E" w:rsidRPr="00F07DEB">
        <w:rPr>
          <w:rFonts w:ascii="Times New Roman" w:hAnsi="Times New Roman" w:cs="Times New Roman"/>
          <w:sz w:val="24"/>
          <w:szCs w:val="24"/>
        </w:rPr>
        <w:t xml:space="preserve">Furthermore, South African researchers treated metal contamination in gold mine drainage with pervious concrete filtration, </w:t>
      </w:r>
      <w:r w:rsidR="0091465E" w:rsidRPr="00F07DEB">
        <w:rPr>
          <w:rFonts w:ascii="Times New Roman" w:hAnsi="Times New Roman" w:cs="Times New Roman"/>
          <w:sz w:val="24"/>
          <w:szCs w:val="24"/>
        </w:rPr>
        <w:lastRenderedPageBreak/>
        <w:t xml:space="preserve">which is an economical method of satisfying irrigation water metal criteria under certain conditions, but effluent alkalinity and salinity levels remained problematic </w:t>
      </w:r>
      <w:r w:rsidR="0091465E"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{"citationID":"fRMJrmUK","properties":{"formattedCitation":"(Shabalala &amp; Ekolu, 2019)","plainCitation":"(Shabalala &amp; Ekolu, 2019)","dontUpdate":true,"noteIndex":0},"citationItems":[{"id":464,"uris":["http://zotero.org/users/5446453/items/CXMZ4UU7"],"uri":["http://zotero.org/users/5446453/items/CXMZ4UU7"],"itemData":{"id":464,"type":"article-journal","abstract":"In water scarce countries, the treatment and re-use of polluted mine water can reduce water shortage problem. In this study, the possible use of pervious concrete to treat Acid Mine Drainage (AMD) for irrigation of agricultural crops, was investigated. Pervious concrete mixtures consisting of 6.7 mm granite aggregate and plain portland cement CEM I 52.5R with or without 30% fly ash were prepared and used to conduct column studies on AMD. The AMD types used in the study were obtained from abandoned coal (TDB) and gold (WZ) mines. Physico-chemical parameters of water including the pH, electrical conductivity (EC), Total Dissolved Solids (TDS), along with element concentrations were analysed. Also the Sodium Adsorption Ratio (SAR), Soluble Sodium Percentage (SSP), and Kelly’s ratio (KR) of the treated AMD were calculated and compared against the water quality criteria for irrigation use. Results showed that treated TDB water was unsuitable for irrigation use owing to its high TDS, EC, SSP and KP values, even though its metal concentrations were reduced to satisfactory levels. Conversely, treated WZ water gave low SAR, SSP and KP indices, as well as satisfactory metal concentrations, indicating its suitability for use as irrigation water. The study shows that pervious concrete can be effective in treating AMD for irrigation use, but further research is needed to control high alkalinity and salinity levels in the treated water.","container-title":"Mine Water and the Environment","DOI":"10.1007/s10230-019-00633-1","ISSN":"1025-9112, 1616-1068","issue":"4","journalAbbreviation":"Mine Water Environ","language":"en","page":"798-807","source":"DOI.org (Crossref)","title":"Assessment of the Suitability of Mine Water Treated with Pervious Concrete for Irrigation Use","volume":"38","author":[{"family":"Shabalala","given":"Ayanda N."},{"family":"Ekolu","given":"Stephen O."}],"issued":{"date-parts":[["2019",12]]}}}],"schema":"https://github.com/citation-style-language/schema/raw/master/csl-citation.json"} </w:instrText>
      </w:r>
      <w:r w:rsidR="0091465E" w:rsidRPr="00F07DEB">
        <w:rPr>
          <w:rFonts w:ascii="Times New Roman" w:hAnsi="Times New Roman" w:cs="Times New Roman"/>
          <w:sz w:val="24"/>
          <w:szCs w:val="24"/>
        </w:rPr>
        <w:fldChar w:fldCharType="separate"/>
      </w:r>
      <w:r w:rsidR="0091465E" w:rsidRPr="00F07DEB">
        <w:rPr>
          <w:rFonts w:ascii="Times New Roman" w:hAnsi="Times New Roman" w:cs="Times New Roman"/>
          <w:sz w:val="24"/>
        </w:rPr>
        <w:t xml:space="preserve">(Shabalala </w:t>
      </w:r>
      <w:r w:rsidR="002A6AB5">
        <w:rPr>
          <w:rFonts w:ascii="Times New Roman" w:hAnsi="Times New Roman" w:cs="Times New Roman"/>
          <w:sz w:val="24"/>
        </w:rPr>
        <w:t>and</w:t>
      </w:r>
      <w:r w:rsidR="0091465E" w:rsidRPr="00F07DEB">
        <w:rPr>
          <w:rFonts w:ascii="Times New Roman" w:hAnsi="Times New Roman" w:cs="Times New Roman"/>
          <w:sz w:val="24"/>
        </w:rPr>
        <w:t xml:space="preserve"> Ekolu, 2019)</w:t>
      </w:r>
      <w:r w:rsidR="0091465E" w:rsidRPr="00F07DEB">
        <w:rPr>
          <w:rFonts w:ascii="Times New Roman" w:hAnsi="Times New Roman" w:cs="Times New Roman"/>
          <w:sz w:val="24"/>
          <w:szCs w:val="24"/>
        </w:rPr>
        <w:fldChar w:fldCharType="end"/>
      </w:r>
      <w:r w:rsidR="0091465E" w:rsidRPr="00F07DEB">
        <w:rPr>
          <w:rFonts w:ascii="Times New Roman" w:hAnsi="Times New Roman" w:cs="Times New Roman"/>
          <w:sz w:val="24"/>
          <w:szCs w:val="24"/>
        </w:rPr>
        <w:t>. It should be noted that these success stories all share one thing in common: they make claims about the suitability of treated mine water for irrigation by comparing produced water quality to local irrigation standards. The next step, which will help fill a much-needed gap in the literature, is to irrigate crops with treated mine water and document changes in soil and plant composition.</w:t>
      </w:r>
      <w:r w:rsidR="007713E8" w:rsidRPr="00F07DEB">
        <w:rPr>
          <w:rFonts w:ascii="Times New Roman" w:hAnsi="Times New Roman" w:cs="Times New Roman"/>
          <w:sz w:val="24"/>
          <w:szCs w:val="24"/>
        </w:rPr>
        <w:t xml:space="preserve"> </w:t>
      </w:r>
    </w:p>
    <w:p w14:paraId="7B19625A" w14:textId="1E67C725" w:rsidR="00252822" w:rsidRDefault="00357F87" w:rsidP="00641A81">
      <w:pPr>
        <w:spacing w:line="480" w:lineRule="auto"/>
        <w:ind w:firstLine="720"/>
        <w:rPr>
          <w:rFonts w:ascii="Times New Roman" w:hAnsi="Times New Roman" w:cs="Times New Roman"/>
          <w:b/>
          <w:sz w:val="20"/>
          <w:szCs w:val="20"/>
        </w:rPr>
      </w:pPr>
      <w:r w:rsidRPr="00F07DEB">
        <w:rPr>
          <w:rFonts w:ascii="Times New Roman" w:hAnsi="Times New Roman" w:cs="Times New Roman"/>
          <w:sz w:val="24"/>
          <w:szCs w:val="24"/>
        </w:rPr>
        <w:t xml:space="preserve">Governments and intergovernmental organizations like the UN FAO have published irrigation water quality criteria that recommend maximum concentrations of many potential inorganic constituents; while these recommendations were not developed with mine drainage in mind, they provide a benchmark against which treated mine water quality can be compared </w:t>
      </w:r>
      <w:r w:rsidRPr="00F07DEB">
        <w:rPr>
          <w:rFonts w:ascii="Times New Roman" w:hAnsi="Times New Roman" w:cs="Times New Roman"/>
          <w:sz w:val="24"/>
          <w:szCs w:val="24"/>
        </w:rPr>
        <w:fldChar w:fldCharType="begin"/>
      </w:r>
      <w:r w:rsidR="00C2564D">
        <w:rPr>
          <w:rFonts w:ascii="Times New Roman" w:hAnsi="Times New Roman" w:cs="Times New Roman"/>
          <w:sz w:val="24"/>
          <w:szCs w:val="24"/>
        </w:rPr>
        <w:instrText xml:space="preserve"> ADDIN ZOTERO_ITEM CSL_CITATION {"citationID":"jK153zSR","properties":{"formattedCitation":"(Ayers &amp; Westcot, 1985a; Chang et al., 2001; USEPA, 2012)","plainCitation":"(Ayers &amp; Westcot, 1985a; Chang et al., 2001; USEPA, 2012)","dontUpdate":true,"noteIndex":0},"citationItems":[{"id":415,"uris":["http://zotero.org/users/5446453/items/5W5EXXQA"],"uri":["http://zotero.org/users/5446453/items/5W5EXXQA"],"itemData":{"id":415,"type":"webpage","container-title":"Food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id":412,"uris":["http://zotero.org/users/5446453/items/QM4Z8T66"],"uri":["http://zotero.org/users/5446453/items/QM4Z8T66"],"itemData":{"id":412,"type":"report","number":"No. WHO/EOS/95.20","page":"13","publisher":"World Health Organization European Environmental Bureau","source":"ResearchGate","title":"Developing human health-related chemical guidelines for reclaimed water and sewage sludge applications in agriculture","author":[{"family":"Chang","given":"Andrew"},{"family":"Pan","given":"Genxing"},{"family":"Page","given":"Albert"},{"family":"Asano","given":"Takashi"}],"issued":{"date-parts":[["2001",1,1]]}}},{"id":410,"uris":["http://zotero.org/users/5446453/items/6AD5KZJC"],"uri":["http://zotero.org/users/5446453/items/6AD5KZJC"],"itemData":{"id":410,"type":"report","event-place":"Washington, D.C.","language":"en","number":"EPA/600/R-12/618","page":"643","publisher":"U.S. Environmental Protection Agency Office of Wastewater Management","publisher-place":"Washington, D.C.","source":"Zotero","title":"2012 Guidelines for Water Reuse","URL":"https://www3.epa.gov/region1/npdes/merrimackstation/pdfs/ar/AR-1530.pdf","author":[{"literal":"USEPA"}],"issued":{"date-parts":[["2012",9]]}}}],"schema":"https://github.com/citation-style-language/schema/raw/master/csl-citation.json"} </w:instrText>
      </w:r>
      <w:r w:rsidRPr="00F07DEB">
        <w:rPr>
          <w:rFonts w:ascii="Times New Roman" w:hAnsi="Times New Roman" w:cs="Times New Roman"/>
          <w:sz w:val="24"/>
          <w:szCs w:val="24"/>
        </w:rPr>
        <w:fldChar w:fldCharType="separate"/>
      </w:r>
      <w:r w:rsidR="00BE45F8" w:rsidRPr="00F07DEB">
        <w:rPr>
          <w:rFonts w:ascii="Times New Roman" w:hAnsi="Times New Roman" w:cs="Times New Roman"/>
          <w:sz w:val="24"/>
        </w:rPr>
        <w:t xml:space="preserve">(Ayers </w:t>
      </w:r>
      <w:r w:rsidR="002A6AB5">
        <w:rPr>
          <w:rFonts w:ascii="Times New Roman" w:hAnsi="Times New Roman" w:cs="Times New Roman"/>
          <w:sz w:val="24"/>
        </w:rPr>
        <w:t>and</w:t>
      </w:r>
      <w:r w:rsidR="00BE45F8" w:rsidRPr="00F07DEB">
        <w:rPr>
          <w:rFonts w:ascii="Times New Roman" w:hAnsi="Times New Roman" w:cs="Times New Roman"/>
          <w:sz w:val="24"/>
        </w:rPr>
        <w:t xml:space="preserve"> Westcot, 1985a; Chang et al., 2001; USEPA, 2012)</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w:t>
      </w:r>
      <w:r w:rsidR="00E7708C" w:rsidRPr="00F07DEB">
        <w:rPr>
          <w:rFonts w:ascii="Times New Roman" w:hAnsi="Times New Roman" w:cs="Times New Roman"/>
          <w:sz w:val="24"/>
          <w:szCs w:val="24"/>
        </w:rPr>
        <w:t xml:space="preserve">In Table </w:t>
      </w:r>
      <w:r w:rsidR="00C4755E" w:rsidRPr="00F07DEB">
        <w:rPr>
          <w:rFonts w:ascii="Times New Roman" w:hAnsi="Times New Roman" w:cs="Times New Roman"/>
          <w:sz w:val="24"/>
          <w:szCs w:val="24"/>
        </w:rPr>
        <w:t>3</w:t>
      </w:r>
      <w:r w:rsidR="00083A03" w:rsidRPr="00F07DEB">
        <w:rPr>
          <w:rFonts w:ascii="Times New Roman" w:hAnsi="Times New Roman" w:cs="Times New Roman"/>
          <w:sz w:val="24"/>
          <w:szCs w:val="24"/>
        </w:rPr>
        <w:t xml:space="preserve">, MRPTS effluent water quality data </w:t>
      </w:r>
      <w:r w:rsidR="00FB47CE" w:rsidRPr="00F07DEB">
        <w:rPr>
          <w:rFonts w:ascii="Times New Roman" w:hAnsi="Times New Roman" w:cs="Times New Roman"/>
          <w:sz w:val="24"/>
          <w:szCs w:val="24"/>
        </w:rPr>
        <w:t xml:space="preserve">are </w:t>
      </w:r>
      <w:r w:rsidR="00083A03" w:rsidRPr="00F07DEB">
        <w:rPr>
          <w:rFonts w:ascii="Times New Roman" w:hAnsi="Times New Roman" w:cs="Times New Roman"/>
          <w:sz w:val="24"/>
          <w:szCs w:val="24"/>
        </w:rPr>
        <w:t xml:space="preserve">juxtaposed against </w:t>
      </w:r>
      <w:r w:rsidR="00FB47CE" w:rsidRPr="00F07DEB">
        <w:rPr>
          <w:rFonts w:ascii="Times New Roman" w:hAnsi="Times New Roman" w:cs="Times New Roman"/>
          <w:sz w:val="24"/>
          <w:szCs w:val="24"/>
        </w:rPr>
        <w:t>widely accepted</w:t>
      </w:r>
      <w:r w:rsidR="00083A03" w:rsidRPr="00F07DEB">
        <w:rPr>
          <w:rFonts w:ascii="Times New Roman" w:hAnsi="Times New Roman" w:cs="Times New Roman"/>
          <w:sz w:val="24"/>
          <w:szCs w:val="24"/>
        </w:rPr>
        <w:t xml:space="preserve"> irrigation criteria. These criteria </w:t>
      </w:r>
      <w:r w:rsidR="0034467C" w:rsidRPr="00F07DEB">
        <w:rPr>
          <w:rFonts w:ascii="Times New Roman" w:hAnsi="Times New Roman" w:cs="Times New Roman"/>
          <w:sz w:val="24"/>
          <w:szCs w:val="24"/>
        </w:rPr>
        <w:t>represent maximum concentrations of aqueous constituents for</w:t>
      </w:r>
      <w:r w:rsidR="00386AFF" w:rsidRPr="00F07DEB">
        <w:rPr>
          <w:rFonts w:ascii="Times New Roman" w:hAnsi="Times New Roman" w:cs="Times New Roman"/>
          <w:sz w:val="24"/>
          <w:szCs w:val="24"/>
        </w:rPr>
        <w:t xml:space="preserve"> appropriate</w:t>
      </w:r>
      <w:r w:rsidR="0034467C" w:rsidRPr="00F07DEB">
        <w:rPr>
          <w:rFonts w:ascii="Times New Roman" w:hAnsi="Times New Roman" w:cs="Times New Roman"/>
          <w:sz w:val="24"/>
          <w:szCs w:val="24"/>
        </w:rPr>
        <w:t xml:space="preserve"> irrigation of all soils over an extended period of time </w:t>
      </w:r>
      <w:r w:rsidR="0034467C" w:rsidRPr="00F07DEB">
        <w:rPr>
          <w:rFonts w:ascii="Times New Roman" w:hAnsi="Times New Roman" w:cs="Times New Roman"/>
          <w:sz w:val="24"/>
          <w:szCs w:val="24"/>
        </w:rPr>
        <w:fldChar w:fldCharType="begin"/>
      </w:r>
      <w:r w:rsidR="00BE45F8" w:rsidRPr="00F07DEB">
        <w:rPr>
          <w:rFonts w:ascii="Times New Roman" w:hAnsi="Times New Roman" w:cs="Times New Roman"/>
          <w:sz w:val="24"/>
          <w:szCs w:val="24"/>
        </w:rPr>
        <w:instrText xml:space="preserve"> ADDIN ZOTERO_ITEM CSL_CITATION {"citationID":"6MBwzvBY","properties":{"formattedCitation":"(USEPA, 2012)","plainCitation":"(USEPA, 2012)","noteIndex":0},"citationItems":[{"id":410,"uris":["http://zotero.org/users/5446453/items/6AD5KZJC"],"uri":["http://zotero.org/users/5446453/items/6AD5KZJC"],"itemData":{"id":410,"type":"report","event-place":"Washington, D.C.","language":"en","number":"EPA/600/R-12/618","page":"643","publisher":"U.S. Environmental Protection Agency Office of Wastewater Management","publisher-place":"Washington, D.C.","source":"Zotero","title":"2012 Guidelines for Water Reuse","URL":"https://www3.epa.gov/region1/npdes/merrimackstation/pdfs/ar/AR-1530.pdf","author":[{"literal":"USEPA"}],"issued":{"date-parts":[["2012",9]]}}}],"schema":"https://github.com/citation-style-language/schema/raw/master/csl-citation.json"} </w:instrText>
      </w:r>
      <w:r w:rsidR="0034467C"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(USEPA, 2012)</w:t>
      </w:r>
      <w:r w:rsidR="0034467C" w:rsidRPr="00F07DEB">
        <w:rPr>
          <w:rFonts w:ascii="Times New Roman" w:hAnsi="Times New Roman" w:cs="Times New Roman"/>
          <w:sz w:val="24"/>
          <w:szCs w:val="24"/>
        </w:rPr>
        <w:fldChar w:fldCharType="end"/>
      </w:r>
      <w:r w:rsidR="0034467C" w:rsidRPr="00F07DEB">
        <w:rPr>
          <w:rFonts w:ascii="Times New Roman" w:hAnsi="Times New Roman" w:cs="Times New Roman"/>
          <w:sz w:val="24"/>
          <w:szCs w:val="24"/>
        </w:rPr>
        <w:t xml:space="preserve">. Therefore, </w:t>
      </w:r>
      <w:r w:rsidR="00386AFF" w:rsidRPr="00F07DEB">
        <w:rPr>
          <w:rFonts w:ascii="Times New Roman" w:hAnsi="Times New Roman" w:cs="Times New Roman"/>
          <w:sz w:val="24"/>
          <w:szCs w:val="24"/>
        </w:rPr>
        <w:t>exposing crops to elevated concentrations or excessive irrigation</w:t>
      </w:r>
      <w:r w:rsidR="0034467C" w:rsidRPr="00F07DEB">
        <w:rPr>
          <w:rFonts w:ascii="Times New Roman" w:hAnsi="Times New Roman" w:cs="Times New Roman"/>
          <w:sz w:val="24"/>
          <w:szCs w:val="24"/>
        </w:rPr>
        <w:t xml:space="preserve"> may not significantly impact plants in every case; conversely, some species with extreme sensitivity to contamination could respond negatively at lower concentrations </w:t>
      </w:r>
      <w:r w:rsidR="0034467C" w:rsidRPr="00F07DEB">
        <w:rPr>
          <w:rFonts w:ascii="Times New Roman" w:hAnsi="Times New Roman" w:cs="Times New Roman"/>
          <w:sz w:val="24"/>
          <w:szCs w:val="24"/>
        </w:rPr>
        <w:fldChar w:fldCharType="begin"/>
      </w:r>
      <w:r w:rsidR="00BE45F8" w:rsidRPr="00F07DEB">
        <w:rPr>
          <w:rFonts w:ascii="Times New Roman" w:hAnsi="Times New Roman" w:cs="Times New Roman"/>
          <w:sz w:val="24"/>
          <w:szCs w:val="24"/>
        </w:rPr>
        <w:instrText xml:space="preserve"> ADDIN ZOTERO_ITEM CSL_CITATION {"citationID":"7JekEh4g","properties":{"formattedCitation":"(Pescod, 1992; USEPA, 2012)","plainCitation":"(Pescod, 1992; USEPA, 2012)","noteIndex":0},"citationItems":[{"id":315,"uris":["http://zotero.org/users/5446453/items/NEYTNK6R"],"uri":["http://zotero.org/users/5446453/items/NEYTNK6R"],"itemData":{"id":315,"type":"webpage","container-title":"Food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id":410,"uris":["http://zotero.org/users/5446453/items/6AD5KZJC"],"uri":["http://zotero.org/users/5446453/items/6AD5KZJC"],"itemData":{"id":410,"type":"report","event-place":"Washington, D.C.","language":"en","number":"EPA/600/R-12/618","page":"643","publisher":"U.S. Environmental Protection Agency Office of Wastewater Management","publisher-place":"Washington, D.C.","source":"Zotero","title":"2012 Guidelines for Water Reuse","URL":"https://www3.epa.gov/region1/npdes/merrimackstation/pdfs/ar/AR-1530.pdf","author":[{"literal":"USEPA"}],"issued":{"date-parts":[["2012",9]]}}}],"schema":"https://github.com/citation-style-language/schema/raw/master/csl-citation.json"} </w:instrText>
      </w:r>
      <w:r w:rsidR="0034467C"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(Pescod, 1992; USEPA, 2012)</w:t>
      </w:r>
      <w:r w:rsidR="0034467C" w:rsidRPr="00F07DEB">
        <w:rPr>
          <w:rFonts w:ascii="Times New Roman" w:hAnsi="Times New Roman" w:cs="Times New Roman"/>
          <w:sz w:val="24"/>
          <w:szCs w:val="24"/>
        </w:rPr>
        <w:fldChar w:fldCharType="end"/>
      </w:r>
      <w:r w:rsidR="0034467C" w:rsidRPr="00F07DEB">
        <w:rPr>
          <w:rFonts w:ascii="Times New Roman" w:hAnsi="Times New Roman" w:cs="Times New Roman"/>
          <w:sz w:val="24"/>
          <w:szCs w:val="24"/>
        </w:rPr>
        <w:t xml:space="preserve">. </w:t>
      </w:r>
      <w:r w:rsidR="00587DDF" w:rsidRPr="00F07DEB">
        <w:rPr>
          <w:rFonts w:ascii="Times New Roman" w:hAnsi="Times New Roman" w:cs="Times New Roman"/>
          <w:sz w:val="24"/>
          <w:szCs w:val="24"/>
        </w:rPr>
        <w:t xml:space="preserve">For this reason, implementing treated wastewater reuse requires careful consideration of crop selection as well as water quality </w:t>
      </w:r>
      <w:r w:rsidR="00587DDF" w:rsidRPr="00F07DEB">
        <w:rPr>
          <w:rFonts w:ascii="Times New Roman" w:hAnsi="Times New Roman" w:cs="Times New Roman"/>
          <w:sz w:val="24"/>
          <w:szCs w:val="24"/>
        </w:rPr>
        <w:fldChar w:fldCharType="begin"/>
      </w:r>
      <w:r w:rsidR="00587DDF" w:rsidRPr="00F07DEB">
        <w:rPr>
          <w:rFonts w:ascii="Times New Roman" w:hAnsi="Times New Roman" w:cs="Times New Roman"/>
          <w:sz w:val="24"/>
          <w:szCs w:val="24"/>
        </w:rPr>
        <w:instrText xml:space="preserve"> ADDIN ZOTERO_ITEM CSL_CITATION {"citationID":"Ls1kETY7","properties":{"formattedCitation":"(Pescod, 1992)","plainCitation":"(Pescod, 1992)","noteIndex":0},"citationItems":[{"id":315,"uris":["http://zotero.org/users/5446453/items/NEYTNK6R"],"uri":["http://zotero.org/users/5446453/items/NEYTNK6R"],"itemData":{"id":315,"type":"webpage","container-title":"Food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schema":"https://github.com/citation-style-language/schema/raw/master/csl-citation.json"} </w:instrText>
      </w:r>
      <w:r w:rsidR="00587DDF"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(Pescod, 1992)</w:t>
      </w:r>
      <w:r w:rsidR="00587DDF" w:rsidRPr="00F07DEB">
        <w:rPr>
          <w:rFonts w:ascii="Times New Roman" w:hAnsi="Times New Roman" w:cs="Times New Roman"/>
          <w:sz w:val="24"/>
          <w:szCs w:val="24"/>
        </w:rPr>
        <w:fldChar w:fldCharType="end"/>
      </w:r>
      <w:r w:rsidR="00587DDF" w:rsidRPr="00F07DEB">
        <w:rPr>
          <w:rFonts w:ascii="Times New Roman" w:hAnsi="Times New Roman" w:cs="Times New Roman"/>
          <w:sz w:val="24"/>
          <w:szCs w:val="24"/>
        </w:rPr>
        <w:t xml:space="preserve">. Furthermore, the mechanisms via which the chemical subjects of Table </w:t>
      </w:r>
      <w:r w:rsidR="00C4755E" w:rsidRPr="00F07DEB">
        <w:rPr>
          <w:rFonts w:ascii="Times New Roman" w:hAnsi="Times New Roman" w:cs="Times New Roman"/>
          <w:sz w:val="24"/>
          <w:szCs w:val="24"/>
        </w:rPr>
        <w:t>3</w:t>
      </w:r>
      <w:r w:rsidR="00587DDF" w:rsidRPr="00F07DEB">
        <w:rPr>
          <w:rFonts w:ascii="Times New Roman" w:hAnsi="Times New Roman" w:cs="Times New Roman"/>
          <w:sz w:val="24"/>
          <w:szCs w:val="24"/>
        </w:rPr>
        <w:t xml:space="preserve"> render water unsuitable for irrigation vary widely.</w:t>
      </w:r>
      <w:r w:rsidR="00F56123" w:rsidRPr="00F07DEB">
        <w:rPr>
          <w:rFonts w:ascii="Times New Roman" w:hAnsi="Times New Roman" w:cs="Times New Roman"/>
          <w:sz w:val="24"/>
          <w:szCs w:val="24"/>
        </w:rPr>
        <w:t xml:space="preserve"> T</w:t>
      </w:r>
      <w:r w:rsidR="00587DDF" w:rsidRPr="00F07DEB">
        <w:rPr>
          <w:rFonts w:ascii="Times New Roman" w:hAnsi="Times New Roman" w:cs="Times New Roman"/>
          <w:sz w:val="24"/>
          <w:szCs w:val="24"/>
        </w:rPr>
        <w:t xml:space="preserve">he precipitation of carbonate species due to high alkalinity can damage drip irrigation networks and reduce the effectiveness of certain pesticides </w:t>
      </w:r>
      <w:r w:rsidR="00587DDF" w:rsidRPr="00F07DEB">
        <w:rPr>
          <w:rFonts w:ascii="Times New Roman" w:hAnsi="Times New Roman" w:cs="Times New Roman"/>
          <w:sz w:val="24"/>
          <w:szCs w:val="24"/>
        </w:rPr>
        <w:fldChar w:fldCharType="begin"/>
      </w:r>
      <w:r w:rsidR="00587DDF" w:rsidRPr="00F07DEB">
        <w:rPr>
          <w:rFonts w:ascii="Times New Roman" w:hAnsi="Times New Roman" w:cs="Times New Roman"/>
          <w:sz w:val="24"/>
          <w:szCs w:val="24"/>
        </w:rPr>
        <w:instrText xml:space="preserve"> ADDIN ZOTERO_ITEM CSL_CITATION {"citationID":"ZcOrjHBU","properties":{"formattedCitation":"(UMass Extension, 2015)","plainCitation":"(UMass Extension, 2015)","noteIndex":0},"citationItems":[{"id":465,"uris":["http://zotero.org/users/5446453/items/4SWD98GG"],"uri":["http://zotero.org/users/5446453/items/4SWD98GG"],"itemData":{"id":465,"type":"webpage","abstract":"Water Quality for Crop Production Irrigation water quality is a critical aspect of greenhouse crop production. There are many factors which determine water quality. Among the most important are alkalinity, pH and soluble salts. But there are several other factors to consider, such as whether hard water salts such as calcium and magnesium or heavy metals that can clog irrigation systems or individual toxic ions are present. In order to determine this, water must be tested at a laboratory that is equipped to test water for agricultural irrigation purposes.","container-title":"Center for Agriculture, Food and the Environment","genre":"Text","language":"en","note":"source: ag.umass.edu","title":"Water Quality for Crop Production","URL":"https://ag.umass.edu/greenhouse-floriculture/greenhouse-best-management-practices-bmp-manual/water-quality-for-crop","author":[{"literal":"UMass Extension"}],"accessed":{"date-parts":[["2020",5,1]]},"issued":{"date-parts":[["2015",4,13]]}}}],"schema":"https://github.com/citation-style-language/schema/raw/master/csl-citation.json"} </w:instrText>
      </w:r>
      <w:r w:rsidR="00587DDF"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(UMass Extension, 2015)</w:t>
      </w:r>
      <w:r w:rsidR="00587DDF" w:rsidRPr="00F07DEB">
        <w:rPr>
          <w:rFonts w:ascii="Times New Roman" w:hAnsi="Times New Roman" w:cs="Times New Roman"/>
          <w:sz w:val="24"/>
          <w:szCs w:val="24"/>
        </w:rPr>
        <w:fldChar w:fldCharType="end"/>
      </w:r>
      <w:r w:rsidR="00587DDF" w:rsidRPr="00F07DEB">
        <w:rPr>
          <w:rFonts w:ascii="Times New Roman" w:hAnsi="Times New Roman" w:cs="Times New Roman"/>
          <w:sz w:val="24"/>
          <w:szCs w:val="24"/>
        </w:rPr>
        <w:t>.</w:t>
      </w:r>
      <w:r w:rsidR="00F56123" w:rsidRPr="00F07DEB">
        <w:rPr>
          <w:rFonts w:ascii="Times New Roman" w:hAnsi="Times New Roman" w:cs="Times New Roman"/>
          <w:sz w:val="24"/>
          <w:szCs w:val="24"/>
        </w:rPr>
        <w:t xml:space="preserve"> </w:t>
      </w:r>
      <w:r w:rsidR="00FB2D2C" w:rsidRPr="00F07DEB">
        <w:rPr>
          <w:rFonts w:ascii="Times New Roman" w:hAnsi="Times New Roman" w:cs="Times New Roman"/>
          <w:sz w:val="24"/>
          <w:szCs w:val="24"/>
        </w:rPr>
        <w:t xml:space="preserve">Lithium is one of many elements that are essential or beneficial to </w:t>
      </w:r>
      <w:r w:rsidR="00FB2D2C" w:rsidRPr="00F07DEB">
        <w:rPr>
          <w:rFonts w:ascii="Times New Roman" w:hAnsi="Times New Roman" w:cs="Times New Roman"/>
          <w:sz w:val="24"/>
          <w:szCs w:val="24"/>
        </w:rPr>
        <w:lastRenderedPageBreak/>
        <w:t xml:space="preserve">plant growth at low concentrations but harmful at elevated concentrations. </w:t>
      </w:r>
      <w:r w:rsidR="00F56123" w:rsidRPr="00F07DEB">
        <w:rPr>
          <w:rFonts w:ascii="Times New Roman" w:hAnsi="Times New Roman" w:cs="Times New Roman"/>
          <w:sz w:val="24"/>
          <w:szCs w:val="24"/>
        </w:rPr>
        <w:t xml:space="preserve">Low concentrations of </w:t>
      </w:r>
      <w:r w:rsidR="009678A2">
        <w:rPr>
          <w:rFonts w:ascii="Times New Roman" w:hAnsi="Times New Roman" w:cs="Times New Roman"/>
          <w:sz w:val="24"/>
          <w:szCs w:val="24"/>
        </w:rPr>
        <w:t>Li</w:t>
      </w:r>
      <w:r w:rsidR="00F56123" w:rsidRPr="00F07DEB">
        <w:rPr>
          <w:rFonts w:ascii="Times New Roman" w:hAnsi="Times New Roman" w:cs="Times New Roman"/>
          <w:sz w:val="24"/>
          <w:szCs w:val="24"/>
        </w:rPr>
        <w:t xml:space="preserve"> can increase plant biomass production, but at higher levels the alkali metal disrupts plant physiological processes and is responsible for a host of negative consequences: chlorosis, leaf curling and necrosis, severely reduced biomass production, and abnormal or diminished elemental uptake and translocation</w:t>
      </w:r>
      <w:r w:rsidR="000D65C4" w:rsidRPr="00F07DEB">
        <w:rPr>
          <w:rFonts w:ascii="Times New Roman" w:hAnsi="Times New Roman" w:cs="Times New Roman"/>
          <w:sz w:val="24"/>
          <w:szCs w:val="24"/>
        </w:rPr>
        <w:t xml:space="preserve"> </w:t>
      </w:r>
      <w:r w:rsidR="000D65C4" w:rsidRPr="00F07DEB">
        <w:rPr>
          <w:rFonts w:ascii="Times New Roman" w:hAnsi="Times New Roman" w:cs="Times New Roman"/>
          <w:sz w:val="24"/>
          <w:szCs w:val="24"/>
        </w:rPr>
        <w:fldChar w:fldCharType="begin"/>
      </w:r>
      <w:r w:rsidR="0085353D" w:rsidRPr="00F07DEB">
        <w:rPr>
          <w:rFonts w:ascii="Times New Roman" w:hAnsi="Times New Roman" w:cs="Times New Roman"/>
          <w:sz w:val="24"/>
          <w:szCs w:val="24"/>
        </w:rPr>
        <w:instrText xml:space="preserve"> ADDIN ZOTERO_ITEM CSL_CITATION {"citationID":"wIdcbFAz","properties":{"formattedCitation":"(Shahzad et al., 2016)","plainCitation":"(Shahzad et al., 2016)","noteIndex":0},"citationItems":[{"id":687,"uris":["http://zotero.org/users/5446453/items/FT3HWJAF"],"uri":["http://zotero.org/users/5446453/items/FT3HWJAF"],"itemData":{"id":687,"type":"article-journal","abstract":"Lithium (Li) is a naturally occurring element; however, it is one of the non-essential metals for life. Lithium is becoming a serious matter of discussion for the people who do research on trace metals and environmental toxicity in plants. Due to limited information available regarding its mobility from soil to plants, the adverse effects of Li toxicity to plants are still unclear. This article briefly discusses issues around Li, its role and its essentiality in plants and research directions that may assist in inter-disciplinary studies to evaluate the importance of Li’s toxicity. Further, potential remediation approaches will also be highlighted in this review. Briefly, Li influenced the growth of plants in both stimulation and reduction ways, depending on the concentration of Li in growth medium. On the negative side, Li reduces the plant growth by interrupting numerous physiological processes and altering metabolism in plant. The contamination of soil by Li is becoming a serious problem, which might be a threat for crop production in the near future. Additionally, lack of considerable information about the tolerance mechanisms of plants further intensifies the situation. Therefore, future research should emphasize in finding prominent and approachable solutions to minimize the entry of Li from its sources (especially from Li batteries) into the soil and food chain.","container-title":"Plant Physiology and Biochemistry","DOI":"10.1016/j.plaphy.2016.05.034","journalAbbreviation":"Plant Physiology and Biochemistry","page":"104-115","source":"ResearchGate","title":"Lithium toxicity in plants: Reasons, mechanisms and remediation possibilities – A review","title-short":"Lithium toxicity in plants","volume":"107","author":[{"family":"Shahzad","given":"Babar"},{"family":"Tanveer","given":"Mohsin"},{"family":"Hassan","given":"Waseem"},{"family":"Shah","given":"Adnan"},{"family":"Anjum","given":"Shakeel"},{"family":"Alam","given":"Sardar"},{"family":"Ali","given":"Iftikhar"}],"issued":{"date-parts":[["2016",5,25]]}}}],"schema":"https://github.com/citation-style-language/schema/raw/master/csl-citation.json"} </w:instrText>
      </w:r>
      <w:r w:rsidR="000D65C4"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(Shahzad et al., 2016)</w:t>
      </w:r>
      <w:r w:rsidR="000D65C4" w:rsidRPr="00F07DEB">
        <w:rPr>
          <w:rFonts w:ascii="Times New Roman" w:hAnsi="Times New Roman" w:cs="Times New Roman"/>
          <w:sz w:val="24"/>
          <w:szCs w:val="24"/>
        </w:rPr>
        <w:fldChar w:fldCharType="end"/>
      </w:r>
      <w:r w:rsidR="00F56123" w:rsidRPr="00F07DEB">
        <w:rPr>
          <w:rFonts w:ascii="Times New Roman" w:hAnsi="Times New Roman" w:cs="Times New Roman"/>
          <w:sz w:val="24"/>
          <w:szCs w:val="24"/>
        </w:rPr>
        <w:t>.</w:t>
      </w:r>
      <w:r w:rsidR="0013545B" w:rsidRPr="00F07DEB">
        <w:rPr>
          <w:rFonts w:ascii="Times New Roman" w:hAnsi="Times New Roman" w:cs="Times New Roman"/>
          <w:sz w:val="24"/>
          <w:szCs w:val="24"/>
        </w:rPr>
        <w:t xml:space="preserve"> </w:t>
      </w:r>
      <w:r w:rsidR="00FB47CE" w:rsidRPr="00F07DEB">
        <w:rPr>
          <w:rFonts w:ascii="Times New Roman" w:hAnsi="Times New Roman" w:cs="Times New Roman"/>
          <w:sz w:val="24"/>
          <w:szCs w:val="24"/>
        </w:rPr>
        <w:t xml:space="preserve">Although </w:t>
      </w:r>
      <w:r w:rsidR="009678A2">
        <w:rPr>
          <w:rFonts w:ascii="Times New Roman" w:hAnsi="Times New Roman" w:cs="Times New Roman"/>
          <w:sz w:val="24"/>
          <w:szCs w:val="24"/>
        </w:rPr>
        <w:t>Li</w:t>
      </w:r>
      <w:r w:rsidR="00A95311" w:rsidRPr="00F07DEB">
        <w:rPr>
          <w:rFonts w:ascii="Times New Roman" w:hAnsi="Times New Roman" w:cs="Times New Roman"/>
          <w:sz w:val="24"/>
          <w:szCs w:val="24"/>
        </w:rPr>
        <w:t xml:space="preserve"> levels in the MRPTS effluent are far from concerning, </w:t>
      </w:r>
      <w:r w:rsidR="009678A2">
        <w:rPr>
          <w:rFonts w:ascii="Times New Roman" w:hAnsi="Times New Roman" w:cs="Times New Roman"/>
          <w:sz w:val="24"/>
          <w:szCs w:val="24"/>
        </w:rPr>
        <w:t>Ca</w:t>
      </w:r>
      <w:r w:rsidR="00AC6DB2" w:rsidRPr="00F07DEB">
        <w:rPr>
          <w:rFonts w:ascii="Times New Roman" w:hAnsi="Times New Roman" w:cs="Times New Roman"/>
          <w:sz w:val="24"/>
          <w:szCs w:val="24"/>
        </w:rPr>
        <w:t xml:space="preserve">, </w:t>
      </w:r>
      <w:r w:rsidR="009678A2">
        <w:rPr>
          <w:rFonts w:ascii="Times New Roman" w:hAnsi="Times New Roman" w:cs="Times New Roman"/>
          <w:sz w:val="24"/>
          <w:szCs w:val="24"/>
        </w:rPr>
        <w:t>Cl</w:t>
      </w:r>
      <w:r w:rsidR="009678A2" w:rsidRPr="009678A2">
        <w:rPr>
          <w:rFonts w:ascii="Times New Roman" w:hAnsi="Times New Roman" w:cs="Times New Roman"/>
          <w:sz w:val="24"/>
          <w:szCs w:val="24"/>
          <w:vertAlign w:val="superscript"/>
        </w:rPr>
        <w:t>-</w:t>
      </w:r>
      <w:r w:rsidR="00A95311" w:rsidRPr="00F07DEB">
        <w:rPr>
          <w:rFonts w:ascii="Times New Roman" w:hAnsi="Times New Roman" w:cs="Times New Roman"/>
          <w:sz w:val="24"/>
          <w:szCs w:val="24"/>
        </w:rPr>
        <w:t xml:space="preserve">, </w:t>
      </w:r>
      <w:r w:rsidR="009678A2">
        <w:rPr>
          <w:rFonts w:ascii="Times New Roman" w:hAnsi="Times New Roman" w:cs="Times New Roman"/>
          <w:sz w:val="24"/>
          <w:szCs w:val="24"/>
        </w:rPr>
        <w:t>F</w:t>
      </w:r>
      <w:r w:rsidR="009678A2" w:rsidRPr="009678A2">
        <w:rPr>
          <w:rFonts w:ascii="Times New Roman" w:hAnsi="Times New Roman" w:cs="Times New Roman"/>
          <w:sz w:val="24"/>
          <w:szCs w:val="24"/>
          <w:vertAlign w:val="superscript"/>
        </w:rPr>
        <w:t>-</w:t>
      </w:r>
      <w:r w:rsidR="00DE67A3" w:rsidRPr="00F07DEB">
        <w:rPr>
          <w:rFonts w:ascii="Times New Roman" w:hAnsi="Times New Roman" w:cs="Times New Roman"/>
          <w:sz w:val="24"/>
          <w:szCs w:val="24"/>
        </w:rPr>
        <w:t xml:space="preserve">, </w:t>
      </w:r>
      <w:r w:rsidR="009678A2">
        <w:rPr>
          <w:rFonts w:ascii="Times New Roman" w:hAnsi="Times New Roman" w:cs="Times New Roman"/>
          <w:sz w:val="24"/>
          <w:szCs w:val="24"/>
        </w:rPr>
        <w:t>Mg</w:t>
      </w:r>
      <w:r w:rsidR="00640F23" w:rsidRPr="00F07DEB">
        <w:rPr>
          <w:rFonts w:ascii="Times New Roman" w:hAnsi="Times New Roman" w:cs="Times New Roman"/>
          <w:sz w:val="24"/>
          <w:szCs w:val="24"/>
        </w:rPr>
        <w:t>,</w:t>
      </w:r>
      <w:r w:rsidR="00A95311" w:rsidRPr="00F07DEB">
        <w:rPr>
          <w:rFonts w:ascii="Times New Roman" w:hAnsi="Times New Roman" w:cs="Times New Roman"/>
          <w:sz w:val="24"/>
          <w:szCs w:val="24"/>
        </w:rPr>
        <w:t xml:space="preserve"> </w:t>
      </w:r>
      <w:proofErr w:type="spellStart"/>
      <w:r w:rsidR="009678A2">
        <w:rPr>
          <w:rFonts w:ascii="Times New Roman" w:hAnsi="Times New Roman" w:cs="Times New Roman"/>
          <w:sz w:val="24"/>
          <w:szCs w:val="24"/>
        </w:rPr>
        <w:t>Mn</w:t>
      </w:r>
      <w:proofErr w:type="spellEnd"/>
      <w:r w:rsidR="00E20F0B" w:rsidRPr="00F07DEB">
        <w:rPr>
          <w:rFonts w:ascii="Times New Roman" w:hAnsi="Times New Roman" w:cs="Times New Roman"/>
          <w:sz w:val="24"/>
          <w:szCs w:val="24"/>
        </w:rPr>
        <w:t xml:space="preserve">, </w:t>
      </w:r>
      <w:r w:rsidR="00AC6DB2" w:rsidRPr="00F07DEB">
        <w:rPr>
          <w:rFonts w:ascii="Times New Roman" w:hAnsi="Times New Roman" w:cs="Times New Roman"/>
          <w:sz w:val="24"/>
          <w:szCs w:val="24"/>
        </w:rPr>
        <w:t xml:space="preserve">and </w:t>
      </w:r>
      <w:r w:rsidR="009678A2">
        <w:rPr>
          <w:rFonts w:ascii="Times New Roman" w:hAnsi="Times New Roman" w:cs="Times New Roman"/>
          <w:sz w:val="24"/>
          <w:szCs w:val="24"/>
        </w:rPr>
        <w:t>K</w:t>
      </w:r>
      <w:r w:rsidR="00AC6DB2" w:rsidRPr="00F07DEB">
        <w:rPr>
          <w:rFonts w:ascii="Times New Roman" w:hAnsi="Times New Roman" w:cs="Times New Roman"/>
          <w:sz w:val="24"/>
          <w:szCs w:val="24"/>
        </w:rPr>
        <w:t xml:space="preserve">, </w:t>
      </w:r>
      <w:r w:rsidR="00E20F0B" w:rsidRPr="00F07DEB">
        <w:rPr>
          <w:rFonts w:ascii="Times New Roman" w:hAnsi="Times New Roman" w:cs="Times New Roman"/>
          <w:sz w:val="24"/>
          <w:szCs w:val="24"/>
        </w:rPr>
        <w:t xml:space="preserve">normally healthy in moderation, </w:t>
      </w:r>
      <w:r w:rsidR="00614E5F" w:rsidRPr="00F07DEB">
        <w:rPr>
          <w:rFonts w:ascii="Times New Roman" w:hAnsi="Times New Roman" w:cs="Times New Roman"/>
          <w:sz w:val="24"/>
          <w:szCs w:val="24"/>
        </w:rPr>
        <w:t>exceed irrigation</w:t>
      </w:r>
      <w:r w:rsidR="00945E01" w:rsidRPr="00F07DEB">
        <w:rPr>
          <w:rFonts w:ascii="Times New Roman" w:hAnsi="Times New Roman" w:cs="Times New Roman"/>
          <w:sz w:val="24"/>
          <w:szCs w:val="24"/>
        </w:rPr>
        <w:t xml:space="preserve"> criteria and pose direct </w:t>
      </w:r>
      <w:r w:rsidR="00AC6DB2" w:rsidRPr="00F07DEB">
        <w:rPr>
          <w:rFonts w:ascii="Times New Roman" w:hAnsi="Times New Roman" w:cs="Times New Roman"/>
          <w:sz w:val="24"/>
          <w:szCs w:val="24"/>
        </w:rPr>
        <w:t xml:space="preserve">or indirect </w:t>
      </w:r>
      <w:r w:rsidR="00945E01" w:rsidRPr="00F07DEB">
        <w:rPr>
          <w:rFonts w:ascii="Times New Roman" w:hAnsi="Times New Roman" w:cs="Times New Roman"/>
          <w:sz w:val="24"/>
          <w:szCs w:val="24"/>
        </w:rPr>
        <w:t>toxicity risks to plants.</w:t>
      </w:r>
      <w:r w:rsidR="001F7DFD" w:rsidRPr="00F07DEB">
        <w:rPr>
          <w:rFonts w:ascii="Times New Roman" w:hAnsi="Times New Roman" w:cs="Times New Roman"/>
          <w:sz w:val="24"/>
          <w:szCs w:val="24"/>
        </w:rPr>
        <w:t xml:space="preserve"> </w:t>
      </w:r>
    </w:p>
    <w:p w14:paraId="1954363E" w14:textId="661E69BE" w:rsidR="00B70DD4" w:rsidRPr="00F07DEB" w:rsidRDefault="00B70DD4" w:rsidP="00204C13">
      <w:pPr>
        <w:pStyle w:val="Caption"/>
      </w:pPr>
      <w:bookmarkStart w:id="11" w:name="_Toc58975189"/>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3</w:t>
      </w:r>
      <w:r w:rsidR="00DE3B90" w:rsidRPr="00F07DEB">
        <w:rPr>
          <w:noProof/>
        </w:rPr>
        <w:fldChar w:fldCharType="end"/>
      </w:r>
      <w:r w:rsidR="0051506B">
        <w:t>: MRPTS water quality and irrigation water c</w:t>
      </w:r>
      <w:r w:rsidRPr="00F07DEB">
        <w:t>riteria</w:t>
      </w:r>
      <w:bookmarkEnd w:id="11"/>
    </w:p>
    <w:tbl>
      <w:tblPr>
        <w:tblW w:w="5000" w:type="pct"/>
        <w:tblLook w:val="04A0" w:firstRow="1" w:lastRow="0" w:firstColumn="1" w:lastColumn="0" w:noHBand="0" w:noVBand="1"/>
      </w:tblPr>
      <w:tblGrid>
        <w:gridCol w:w="3249"/>
        <w:gridCol w:w="1722"/>
        <w:gridCol w:w="1748"/>
        <w:gridCol w:w="2641"/>
      </w:tblGrid>
      <w:tr w:rsidR="009D53B0" w:rsidRPr="00F07DEB" w14:paraId="774E4750" w14:textId="77777777" w:rsidTr="00641A81">
        <w:trPr>
          <w:trHeight w:val="169"/>
        </w:trPr>
        <w:tc>
          <w:tcPr>
            <w:tcW w:w="1735" w:type="pct"/>
            <w:tcBorders>
              <w:top w:val="single" w:sz="8" w:space="0" w:color="auto"/>
              <w:bottom w:val="single" w:sz="8" w:space="0" w:color="auto"/>
            </w:tcBorders>
            <w:vAlign w:val="center"/>
            <w:hideMark/>
          </w:tcPr>
          <w:p w14:paraId="597737D3" w14:textId="3C12F85A" w:rsidR="009D53B0" w:rsidRPr="00641A81" w:rsidRDefault="009D53B0" w:rsidP="00641A81">
            <w:pPr>
              <w:pStyle w:val="NoSpacing"/>
              <w:rPr>
                <w:rFonts w:ascii="Times New Roman" w:hAnsi="Times New Roman" w:cs="Times New Roman"/>
                <w:sz w:val="20"/>
                <w:szCs w:val="20"/>
                <w:vertAlign w:val="superscript"/>
              </w:rPr>
            </w:pPr>
            <w:r w:rsidRPr="00641A81">
              <w:rPr>
                <w:rFonts w:ascii="Times New Roman" w:hAnsi="Times New Roman" w:cs="Times New Roman"/>
                <w:sz w:val="20"/>
                <w:szCs w:val="20"/>
              </w:rPr>
              <w:t>Parameter</w:t>
            </w:r>
            <w:r w:rsidR="00EA5D31" w:rsidRPr="00641A81">
              <w:rPr>
                <w:rFonts w:ascii="Times New Roman" w:hAnsi="Times New Roman" w:cs="Times New Roman"/>
                <w:sz w:val="20"/>
                <w:szCs w:val="20"/>
                <w:vertAlign w:val="superscript"/>
              </w:rPr>
              <w:t>6</w:t>
            </w:r>
          </w:p>
        </w:tc>
        <w:tc>
          <w:tcPr>
            <w:tcW w:w="920" w:type="pct"/>
            <w:tcBorders>
              <w:top w:val="single" w:sz="8" w:space="0" w:color="auto"/>
              <w:bottom w:val="single" w:sz="8" w:space="0" w:color="auto"/>
            </w:tcBorders>
            <w:vAlign w:val="center"/>
            <w:hideMark/>
          </w:tcPr>
          <w:p w14:paraId="4DA58313" w14:textId="77777777" w:rsidR="009D53B0" w:rsidRPr="00641A81" w:rsidRDefault="009D53B0" w:rsidP="00641A81">
            <w:pPr>
              <w:pStyle w:val="NoSpacing"/>
              <w:rPr>
                <w:rFonts w:ascii="Times New Roman" w:hAnsi="Times New Roman" w:cs="Times New Roman"/>
                <w:sz w:val="20"/>
                <w:szCs w:val="20"/>
              </w:rPr>
            </w:pPr>
            <w:r w:rsidRPr="00641A81">
              <w:rPr>
                <w:rFonts w:ascii="Times New Roman" w:hAnsi="Times New Roman" w:cs="Times New Roman"/>
                <w:sz w:val="20"/>
                <w:szCs w:val="20"/>
              </w:rPr>
              <w:t>Influent (mg/L)</w:t>
            </w:r>
          </w:p>
        </w:tc>
        <w:tc>
          <w:tcPr>
            <w:tcW w:w="934" w:type="pct"/>
            <w:tcBorders>
              <w:top w:val="single" w:sz="8" w:space="0" w:color="auto"/>
              <w:bottom w:val="single" w:sz="8" w:space="0" w:color="auto"/>
            </w:tcBorders>
            <w:vAlign w:val="center"/>
            <w:hideMark/>
          </w:tcPr>
          <w:p w14:paraId="61A25F8B" w14:textId="77777777" w:rsidR="009D53B0" w:rsidRPr="00641A81" w:rsidRDefault="009D53B0" w:rsidP="00641A81">
            <w:pPr>
              <w:pStyle w:val="NoSpacing"/>
              <w:rPr>
                <w:rFonts w:ascii="Times New Roman" w:hAnsi="Times New Roman" w:cs="Times New Roman"/>
                <w:sz w:val="20"/>
                <w:szCs w:val="20"/>
              </w:rPr>
            </w:pPr>
            <w:r w:rsidRPr="00641A81">
              <w:rPr>
                <w:rFonts w:ascii="Times New Roman" w:hAnsi="Times New Roman" w:cs="Times New Roman"/>
                <w:sz w:val="20"/>
                <w:szCs w:val="20"/>
              </w:rPr>
              <w:t>Effluent (mg/L)</w:t>
            </w:r>
          </w:p>
        </w:tc>
        <w:tc>
          <w:tcPr>
            <w:tcW w:w="1411" w:type="pct"/>
            <w:tcBorders>
              <w:top w:val="single" w:sz="8" w:space="0" w:color="auto"/>
              <w:bottom w:val="single" w:sz="8" w:space="0" w:color="auto"/>
            </w:tcBorders>
            <w:vAlign w:val="center"/>
          </w:tcPr>
          <w:p w14:paraId="637E173C" w14:textId="77777777" w:rsidR="009D53B0" w:rsidRPr="00641A81" w:rsidRDefault="009D53B0" w:rsidP="00641A81">
            <w:pPr>
              <w:pStyle w:val="NoSpacing"/>
              <w:rPr>
                <w:rFonts w:ascii="Times New Roman" w:hAnsi="Times New Roman" w:cs="Times New Roman"/>
                <w:sz w:val="20"/>
                <w:szCs w:val="20"/>
              </w:rPr>
            </w:pPr>
            <w:r w:rsidRPr="00641A81">
              <w:rPr>
                <w:rFonts w:ascii="Times New Roman" w:hAnsi="Times New Roman" w:cs="Times New Roman"/>
                <w:sz w:val="20"/>
                <w:szCs w:val="20"/>
              </w:rPr>
              <w:t>Irrigation Criteria (mg/L)</w:t>
            </w:r>
          </w:p>
        </w:tc>
      </w:tr>
      <w:tr w:rsidR="009D53B0" w:rsidRPr="00F07DEB" w14:paraId="4DEA4388" w14:textId="77777777" w:rsidTr="00641A81">
        <w:trPr>
          <w:trHeight w:val="173"/>
        </w:trPr>
        <w:tc>
          <w:tcPr>
            <w:tcW w:w="1735" w:type="pct"/>
            <w:tcBorders>
              <w:top w:val="single" w:sz="8" w:space="0" w:color="auto"/>
            </w:tcBorders>
            <w:vAlign w:val="center"/>
          </w:tcPr>
          <w:p w14:paraId="1112C532" w14:textId="15142B3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 xml:space="preserve">Alkalinity </w:t>
            </w:r>
            <w:r w:rsidR="00D301C0" w:rsidRPr="00F07DEB">
              <w:rPr>
                <w:rFonts w:ascii="Times New Roman" w:eastAsia="Times New Roman" w:hAnsi="Times New Roman" w:cs="Times New Roman"/>
                <w:sz w:val="20"/>
                <w:szCs w:val="20"/>
              </w:rPr>
              <w:t>(mg/L as CaCO</w:t>
            </w:r>
            <w:r w:rsidR="00D301C0" w:rsidRPr="00F07DEB">
              <w:rPr>
                <w:rFonts w:ascii="Times New Roman" w:eastAsia="Times New Roman" w:hAnsi="Times New Roman" w:cs="Times New Roman"/>
                <w:sz w:val="20"/>
                <w:szCs w:val="20"/>
                <w:vertAlign w:val="subscript"/>
              </w:rPr>
              <w:t>3</w:t>
            </w:r>
            <w:r w:rsidR="00D301C0" w:rsidRPr="00F07DEB">
              <w:rPr>
                <w:rFonts w:ascii="Times New Roman" w:eastAsia="Times New Roman" w:hAnsi="Times New Roman" w:cs="Times New Roman"/>
                <w:sz w:val="20"/>
                <w:szCs w:val="20"/>
              </w:rPr>
              <w:t xml:space="preserve"> eq.)</w:t>
            </w:r>
          </w:p>
        </w:tc>
        <w:tc>
          <w:tcPr>
            <w:tcW w:w="920" w:type="pct"/>
            <w:tcBorders>
              <w:top w:val="single" w:sz="8" w:space="0" w:color="auto"/>
            </w:tcBorders>
            <w:vAlign w:val="center"/>
          </w:tcPr>
          <w:p w14:paraId="1823CFD4" w14:textId="5716123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394 ± 1.98</w:t>
            </w:r>
          </w:p>
        </w:tc>
        <w:tc>
          <w:tcPr>
            <w:tcW w:w="934" w:type="pct"/>
            <w:tcBorders>
              <w:top w:val="single" w:sz="8" w:space="0" w:color="auto"/>
            </w:tcBorders>
            <w:vAlign w:val="center"/>
          </w:tcPr>
          <w:p w14:paraId="30E8C87D" w14:textId="2BD832BB"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193 ± 6.70</w:t>
            </w:r>
          </w:p>
        </w:tc>
        <w:tc>
          <w:tcPr>
            <w:tcW w:w="1411" w:type="pct"/>
            <w:tcBorders>
              <w:top w:val="single" w:sz="8" w:space="0" w:color="auto"/>
            </w:tcBorders>
            <w:vAlign w:val="center"/>
          </w:tcPr>
          <w:p w14:paraId="20934C7E" w14:textId="6C949F8A"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200</w:t>
            </w:r>
            <w:r w:rsidRPr="00F07DEB">
              <w:rPr>
                <w:rFonts w:ascii="Times New Roman" w:eastAsia="Times New Roman" w:hAnsi="Times New Roman" w:cs="Times New Roman"/>
                <w:sz w:val="20"/>
                <w:szCs w:val="20"/>
                <w:vertAlign w:val="superscript"/>
              </w:rPr>
              <w:t>5</w:t>
            </w:r>
          </w:p>
        </w:tc>
      </w:tr>
      <w:tr w:rsidR="009D53B0" w:rsidRPr="00F07DEB" w14:paraId="792F757A" w14:textId="77777777" w:rsidTr="00641A81">
        <w:trPr>
          <w:trHeight w:val="173"/>
        </w:trPr>
        <w:tc>
          <w:tcPr>
            <w:tcW w:w="1735" w:type="pct"/>
            <w:vAlign w:val="center"/>
            <w:hideMark/>
          </w:tcPr>
          <w:p w14:paraId="2F2D965E" w14:textId="65582B4A"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Al</w:t>
            </w:r>
            <w:r w:rsidR="00BD7BCA">
              <w:rPr>
                <w:rFonts w:ascii="Times New Roman" w:eastAsia="Times New Roman" w:hAnsi="Times New Roman" w:cs="Times New Roman"/>
                <w:sz w:val="20"/>
                <w:szCs w:val="20"/>
              </w:rPr>
              <w:t xml:space="preserve"> (mg/L)</w:t>
            </w:r>
          </w:p>
        </w:tc>
        <w:tc>
          <w:tcPr>
            <w:tcW w:w="920" w:type="pct"/>
            <w:vAlign w:val="center"/>
            <w:hideMark/>
          </w:tcPr>
          <w:p w14:paraId="02EE6573" w14:textId="606AF240"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0.232 ± 0.030</w:t>
            </w:r>
          </w:p>
        </w:tc>
        <w:tc>
          <w:tcPr>
            <w:tcW w:w="934" w:type="pct"/>
            <w:vAlign w:val="center"/>
            <w:hideMark/>
          </w:tcPr>
          <w:p w14:paraId="0EB6A354" w14:textId="7D8B33EE"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0.060 ± 0.008</w:t>
            </w:r>
          </w:p>
        </w:tc>
        <w:tc>
          <w:tcPr>
            <w:tcW w:w="1411" w:type="pct"/>
            <w:vAlign w:val="center"/>
          </w:tcPr>
          <w:p w14:paraId="364E696E" w14:textId="7777777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5</w:t>
            </w:r>
            <w:r w:rsidRPr="00F07DEB">
              <w:rPr>
                <w:rFonts w:ascii="Times New Roman" w:eastAsia="Times New Roman" w:hAnsi="Times New Roman" w:cs="Times New Roman"/>
                <w:sz w:val="20"/>
                <w:szCs w:val="20"/>
                <w:vertAlign w:val="superscript"/>
              </w:rPr>
              <w:t>1,2,3</w:t>
            </w:r>
          </w:p>
        </w:tc>
      </w:tr>
      <w:tr w:rsidR="009D53B0" w:rsidRPr="00F07DEB" w14:paraId="219D22AB" w14:textId="77777777" w:rsidTr="00641A81">
        <w:trPr>
          <w:trHeight w:val="173"/>
        </w:trPr>
        <w:tc>
          <w:tcPr>
            <w:tcW w:w="1735" w:type="pct"/>
            <w:vAlign w:val="center"/>
            <w:hideMark/>
          </w:tcPr>
          <w:p w14:paraId="2CBAC554" w14:textId="0C4065FF"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As</w:t>
            </w:r>
            <w:r w:rsidR="00BD7BCA">
              <w:rPr>
                <w:rFonts w:ascii="Times New Roman" w:eastAsia="Times New Roman" w:hAnsi="Times New Roman" w:cs="Times New Roman"/>
                <w:sz w:val="20"/>
                <w:szCs w:val="20"/>
              </w:rPr>
              <w:t xml:space="preserve"> (mg/L)</w:t>
            </w:r>
          </w:p>
        </w:tc>
        <w:tc>
          <w:tcPr>
            <w:tcW w:w="920" w:type="pct"/>
            <w:vAlign w:val="center"/>
            <w:hideMark/>
          </w:tcPr>
          <w:p w14:paraId="1430F2AC" w14:textId="1783E0B6"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0.061 ± 0.001</w:t>
            </w:r>
          </w:p>
        </w:tc>
        <w:tc>
          <w:tcPr>
            <w:tcW w:w="934" w:type="pct"/>
            <w:vAlign w:val="center"/>
            <w:hideMark/>
          </w:tcPr>
          <w:p w14:paraId="34DA6B14" w14:textId="5BCEBF4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BDL (0.022)</w:t>
            </w:r>
          </w:p>
        </w:tc>
        <w:tc>
          <w:tcPr>
            <w:tcW w:w="1411" w:type="pct"/>
            <w:vAlign w:val="center"/>
          </w:tcPr>
          <w:p w14:paraId="5FC4F2A2" w14:textId="7777777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0.10</w:t>
            </w:r>
            <w:r w:rsidRPr="00F07DEB">
              <w:rPr>
                <w:rFonts w:ascii="Times New Roman" w:eastAsia="Times New Roman" w:hAnsi="Times New Roman" w:cs="Times New Roman"/>
                <w:sz w:val="20"/>
                <w:szCs w:val="20"/>
                <w:vertAlign w:val="superscript"/>
              </w:rPr>
              <w:t>1,2,3</w:t>
            </w:r>
          </w:p>
        </w:tc>
      </w:tr>
      <w:tr w:rsidR="009D53B0" w:rsidRPr="00F07DEB" w14:paraId="00BE14F6" w14:textId="77777777" w:rsidTr="00641A81">
        <w:trPr>
          <w:trHeight w:val="173"/>
        </w:trPr>
        <w:tc>
          <w:tcPr>
            <w:tcW w:w="1735" w:type="pct"/>
            <w:vAlign w:val="center"/>
          </w:tcPr>
          <w:p w14:paraId="2447D097" w14:textId="21232ED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B</w:t>
            </w:r>
            <w:r w:rsidR="00BD7BCA">
              <w:rPr>
                <w:rFonts w:ascii="Times New Roman" w:eastAsia="Times New Roman" w:hAnsi="Times New Roman" w:cs="Times New Roman"/>
                <w:sz w:val="20"/>
                <w:szCs w:val="20"/>
              </w:rPr>
              <w:t xml:space="preserve"> (mg/L)</w:t>
            </w:r>
          </w:p>
        </w:tc>
        <w:tc>
          <w:tcPr>
            <w:tcW w:w="920" w:type="pct"/>
            <w:vAlign w:val="center"/>
          </w:tcPr>
          <w:p w14:paraId="7219FBDB" w14:textId="258CDADD"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 </w:t>
            </w:r>
          </w:p>
        </w:tc>
        <w:tc>
          <w:tcPr>
            <w:tcW w:w="934" w:type="pct"/>
            <w:vAlign w:val="center"/>
          </w:tcPr>
          <w:p w14:paraId="69DFF9F1" w14:textId="27B5227C"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 </w:t>
            </w:r>
          </w:p>
        </w:tc>
        <w:tc>
          <w:tcPr>
            <w:tcW w:w="1411" w:type="pct"/>
            <w:vAlign w:val="center"/>
          </w:tcPr>
          <w:p w14:paraId="04BA78EF" w14:textId="07DA16CE"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0.75</w:t>
            </w:r>
            <w:r w:rsidRPr="00F07DEB">
              <w:rPr>
                <w:rFonts w:ascii="Times New Roman" w:eastAsia="Times New Roman" w:hAnsi="Times New Roman" w:cs="Times New Roman"/>
                <w:sz w:val="20"/>
                <w:szCs w:val="20"/>
                <w:vertAlign w:val="superscript"/>
              </w:rPr>
              <w:t>1,2</w:t>
            </w:r>
            <w:r w:rsidRPr="00F07DEB">
              <w:rPr>
                <w:rFonts w:ascii="Times New Roman" w:eastAsia="Times New Roman" w:hAnsi="Times New Roman" w:cs="Times New Roman"/>
                <w:sz w:val="20"/>
                <w:szCs w:val="20"/>
              </w:rPr>
              <w:t xml:space="preserve">, See Table </w:t>
            </w:r>
            <w:r w:rsidR="00C4755E" w:rsidRPr="00F07DEB">
              <w:rPr>
                <w:rFonts w:ascii="Times New Roman" w:eastAsia="Times New Roman" w:hAnsi="Times New Roman" w:cs="Times New Roman"/>
                <w:sz w:val="20"/>
                <w:szCs w:val="20"/>
              </w:rPr>
              <w:t>4</w:t>
            </w:r>
          </w:p>
        </w:tc>
      </w:tr>
      <w:tr w:rsidR="009D53B0" w:rsidRPr="00F07DEB" w14:paraId="61B3E3C0" w14:textId="77777777" w:rsidTr="00641A81">
        <w:trPr>
          <w:trHeight w:val="173"/>
        </w:trPr>
        <w:tc>
          <w:tcPr>
            <w:tcW w:w="1735" w:type="pct"/>
            <w:vAlign w:val="center"/>
            <w:hideMark/>
          </w:tcPr>
          <w:p w14:paraId="1736D452" w14:textId="5DC8C240"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Ca</w:t>
            </w:r>
            <w:r w:rsidR="00BD7BCA">
              <w:rPr>
                <w:rFonts w:ascii="Times New Roman" w:eastAsia="Times New Roman" w:hAnsi="Times New Roman" w:cs="Times New Roman"/>
                <w:sz w:val="20"/>
                <w:szCs w:val="20"/>
              </w:rPr>
              <w:t xml:space="preserve"> (mg/L)</w:t>
            </w:r>
          </w:p>
        </w:tc>
        <w:tc>
          <w:tcPr>
            <w:tcW w:w="920" w:type="pct"/>
            <w:vAlign w:val="center"/>
            <w:hideMark/>
          </w:tcPr>
          <w:p w14:paraId="2D7C150C" w14:textId="60FE0F26"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716 ± 2.98</w:t>
            </w:r>
          </w:p>
        </w:tc>
        <w:tc>
          <w:tcPr>
            <w:tcW w:w="934" w:type="pct"/>
            <w:vAlign w:val="center"/>
            <w:hideMark/>
          </w:tcPr>
          <w:p w14:paraId="0C4048BD" w14:textId="1F1BA30F"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690 ± 13.1</w:t>
            </w:r>
          </w:p>
        </w:tc>
        <w:tc>
          <w:tcPr>
            <w:tcW w:w="1411" w:type="pct"/>
            <w:vAlign w:val="center"/>
          </w:tcPr>
          <w:p w14:paraId="5B8D95AD" w14:textId="58C4D0C0"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40-100</w:t>
            </w:r>
            <w:r w:rsidRPr="00F07DEB">
              <w:rPr>
                <w:rFonts w:ascii="Times New Roman" w:eastAsia="Times New Roman" w:hAnsi="Times New Roman" w:cs="Times New Roman"/>
                <w:sz w:val="20"/>
                <w:szCs w:val="20"/>
                <w:vertAlign w:val="superscript"/>
              </w:rPr>
              <w:t>4</w:t>
            </w:r>
          </w:p>
        </w:tc>
      </w:tr>
      <w:tr w:rsidR="009D53B0" w:rsidRPr="00F07DEB" w14:paraId="678561C6" w14:textId="77777777" w:rsidTr="00641A81">
        <w:trPr>
          <w:trHeight w:val="173"/>
        </w:trPr>
        <w:tc>
          <w:tcPr>
            <w:tcW w:w="1735" w:type="pct"/>
            <w:vAlign w:val="center"/>
            <w:hideMark/>
          </w:tcPr>
          <w:p w14:paraId="4D353370" w14:textId="79D0EA69"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Cd</w:t>
            </w:r>
            <w:r w:rsidR="00BD7BCA">
              <w:rPr>
                <w:rFonts w:ascii="Times New Roman" w:eastAsia="Times New Roman" w:hAnsi="Times New Roman" w:cs="Times New Roman"/>
                <w:sz w:val="20"/>
                <w:szCs w:val="20"/>
              </w:rPr>
              <w:t xml:space="preserve"> (mg/L)</w:t>
            </w:r>
          </w:p>
        </w:tc>
        <w:tc>
          <w:tcPr>
            <w:tcW w:w="920" w:type="pct"/>
            <w:vAlign w:val="center"/>
            <w:hideMark/>
          </w:tcPr>
          <w:p w14:paraId="0D031EBE" w14:textId="1A65E5D2"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0.016 ± 0.001</w:t>
            </w:r>
          </w:p>
        </w:tc>
        <w:tc>
          <w:tcPr>
            <w:tcW w:w="934" w:type="pct"/>
            <w:vAlign w:val="center"/>
            <w:hideMark/>
          </w:tcPr>
          <w:p w14:paraId="4BBF0456" w14:textId="273DA374"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BDL</w:t>
            </w:r>
            <w:r w:rsidR="00701262" w:rsidRPr="00F07DEB">
              <w:rPr>
                <w:rFonts w:ascii="Times New Roman" w:hAnsi="Times New Roman" w:cs="Times New Roman"/>
                <w:sz w:val="20"/>
                <w:szCs w:val="20"/>
              </w:rPr>
              <w:t xml:space="preserve"> </w:t>
            </w:r>
            <w:r w:rsidRPr="00F07DEB">
              <w:rPr>
                <w:rFonts w:ascii="Times New Roman" w:hAnsi="Times New Roman" w:cs="Times New Roman"/>
                <w:sz w:val="20"/>
                <w:szCs w:val="20"/>
              </w:rPr>
              <w:t>(0.0012)</w:t>
            </w:r>
          </w:p>
        </w:tc>
        <w:tc>
          <w:tcPr>
            <w:tcW w:w="1411" w:type="pct"/>
            <w:vAlign w:val="center"/>
          </w:tcPr>
          <w:p w14:paraId="4306660A" w14:textId="7777777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0.01</w:t>
            </w:r>
            <w:r w:rsidRPr="00F07DEB">
              <w:rPr>
                <w:rFonts w:ascii="Times New Roman" w:eastAsia="Times New Roman" w:hAnsi="Times New Roman" w:cs="Times New Roman"/>
                <w:sz w:val="20"/>
                <w:szCs w:val="20"/>
                <w:vertAlign w:val="superscript"/>
              </w:rPr>
              <w:t>1,2,3</w:t>
            </w:r>
          </w:p>
        </w:tc>
      </w:tr>
      <w:tr w:rsidR="009D53B0" w:rsidRPr="00F07DEB" w14:paraId="7C57CDA5" w14:textId="77777777" w:rsidTr="00641A81">
        <w:trPr>
          <w:trHeight w:val="173"/>
        </w:trPr>
        <w:tc>
          <w:tcPr>
            <w:tcW w:w="1735" w:type="pct"/>
            <w:vAlign w:val="center"/>
          </w:tcPr>
          <w:p w14:paraId="0304E876" w14:textId="5EBDC431"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Cl</w:t>
            </w:r>
            <w:r w:rsidR="00FD56F1" w:rsidRPr="00F07DEB">
              <w:rPr>
                <w:rFonts w:ascii="Times New Roman" w:eastAsia="Times New Roman" w:hAnsi="Times New Roman" w:cs="Times New Roman"/>
                <w:sz w:val="20"/>
                <w:szCs w:val="20"/>
                <w:vertAlign w:val="superscript"/>
              </w:rPr>
              <w:t>-</w:t>
            </w:r>
            <w:r w:rsidR="00BD7BCA">
              <w:rPr>
                <w:rFonts w:ascii="Times New Roman" w:eastAsia="Times New Roman" w:hAnsi="Times New Roman" w:cs="Times New Roman"/>
                <w:sz w:val="20"/>
                <w:szCs w:val="20"/>
              </w:rPr>
              <w:t xml:space="preserve"> (mg/L)</w:t>
            </w:r>
          </w:p>
        </w:tc>
        <w:tc>
          <w:tcPr>
            <w:tcW w:w="920" w:type="pct"/>
            <w:vAlign w:val="center"/>
          </w:tcPr>
          <w:p w14:paraId="6E56B02F" w14:textId="5EEAA642"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34.5 ± 2.00</w:t>
            </w:r>
          </w:p>
        </w:tc>
        <w:tc>
          <w:tcPr>
            <w:tcW w:w="934" w:type="pct"/>
            <w:vAlign w:val="center"/>
          </w:tcPr>
          <w:p w14:paraId="0EB1F98F" w14:textId="6AF924B1"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32.6 ± 0.670</w:t>
            </w:r>
          </w:p>
        </w:tc>
        <w:tc>
          <w:tcPr>
            <w:tcW w:w="1411" w:type="pct"/>
            <w:vAlign w:val="center"/>
          </w:tcPr>
          <w:p w14:paraId="3E31174E" w14:textId="249EE2D8"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0.05-5</w:t>
            </w:r>
            <w:r w:rsidRPr="00F07DEB">
              <w:rPr>
                <w:rFonts w:ascii="Times New Roman" w:eastAsia="Times New Roman" w:hAnsi="Times New Roman" w:cs="Times New Roman"/>
                <w:sz w:val="20"/>
                <w:szCs w:val="20"/>
                <w:vertAlign w:val="superscript"/>
              </w:rPr>
              <w:t>1</w:t>
            </w:r>
            <w:r w:rsidRPr="00F07DEB">
              <w:rPr>
                <w:rFonts w:ascii="Times New Roman" w:eastAsia="Times New Roman" w:hAnsi="Times New Roman" w:cs="Times New Roman"/>
                <w:sz w:val="20"/>
                <w:szCs w:val="20"/>
              </w:rPr>
              <w:t xml:space="preserve">, See Table </w:t>
            </w:r>
            <w:r w:rsidR="00C4755E" w:rsidRPr="00F07DEB">
              <w:rPr>
                <w:rFonts w:ascii="Times New Roman" w:eastAsia="Times New Roman" w:hAnsi="Times New Roman" w:cs="Times New Roman"/>
                <w:sz w:val="20"/>
                <w:szCs w:val="20"/>
              </w:rPr>
              <w:t>4</w:t>
            </w:r>
          </w:p>
        </w:tc>
      </w:tr>
      <w:tr w:rsidR="009D53B0" w:rsidRPr="00F07DEB" w14:paraId="0C171CED" w14:textId="77777777" w:rsidTr="00641A81">
        <w:trPr>
          <w:trHeight w:val="173"/>
        </w:trPr>
        <w:tc>
          <w:tcPr>
            <w:tcW w:w="1735" w:type="pct"/>
            <w:vAlign w:val="center"/>
            <w:hideMark/>
          </w:tcPr>
          <w:p w14:paraId="4F7929A1" w14:textId="311C63FE"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Co</w:t>
            </w:r>
            <w:r w:rsidR="00BD7BCA">
              <w:rPr>
                <w:rFonts w:ascii="Times New Roman" w:eastAsia="Times New Roman" w:hAnsi="Times New Roman" w:cs="Times New Roman"/>
                <w:sz w:val="20"/>
                <w:szCs w:val="20"/>
              </w:rPr>
              <w:t xml:space="preserve"> (mg/L)</w:t>
            </w:r>
          </w:p>
        </w:tc>
        <w:tc>
          <w:tcPr>
            <w:tcW w:w="920" w:type="pct"/>
            <w:vAlign w:val="center"/>
            <w:hideMark/>
          </w:tcPr>
          <w:p w14:paraId="763ED489" w14:textId="1A5874D3"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0.057 ± 0.002</w:t>
            </w:r>
          </w:p>
        </w:tc>
        <w:tc>
          <w:tcPr>
            <w:tcW w:w="934" w:type="pct"/>
            <w:vAlign w:val="center"/>
            <w:hideMark/>
          </w:tcPr>
          <w:p w14:paraId="636C7DCF" w14:textId="192F0D7D"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0.010 ± 0.002</w:t>
            </w:r>
          </w:p>
        </w:tc>
        <w:tc>
          <w:tcPr>
            <w:tcW w:w="1411" w:type="pct"/>
            <w:vAlign w:val="center"/>
          </w:tcPr>
          <w:p w14:paraId="6B35DAC8" w14:textId="3A2B6748" w:rsidR="009D53B0" w:rsidRPr="00F07DEB" w:rsidRDefault="00493A63"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0</w:t>
            </w:r>
            <w:r w:rsidR="009D53B0" w:rsidRPr="00F07DEB">
              <w:rPr>
                <w:rFonts w:ascii="Times New Roman" w:eastAsia="Times New Roman" w:hAnsi="Times New Roman" w:cs="Times New Roman"/>
                <w:sz w:val="20"/>
                <w:szCs w:val="20"/>
              </w:rPr>
              <w:t>.05</w:t>
            </w:r>
            <w:r w:rsidR="009D53B0" w:rsidRPr="00F07DEB">
              <w:rPr>
                <w:rFonts w:ascii="Times New Roman" w:eastAsia="Times New Roman" w:hAnsi="Times New Roman" w:cs="Times New Roman"/>
                <w:sz w:val="20"/>
                <w:szCs w:val="20"/>
                <w:vertAlign w:val="superscript"/>
              </w:rPr>
              <w:t>1,2,3</w:t>
            </w:r>
          </w:p>
        </w:tc>
      </w:tr>
      <w:tr w:rsidR="009D53B0" w:rsidRPr="00F07DEB" w14:paraId="1C879DFC" w14:textId="77777777" w:rsidTr="00641A81">
        <w:trPr>
          <w:trHeight w:val="173"/>
        </w:trPr>
        <w:tc>
          <w:tcPr>
            <w:tcW w:w="1735" w:type="pct"/>
            <w:vAlign w:val="center"/>
            <w:hideMark/>
          </w:tcPr>
          <w:p w14:paraId="6DBD63B9" w14:textId="2934D919"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Cr</w:t>
            </w:r>
            <w:r w:rsidR="00BD7BCA">
              <w:rPr>
                <w:rFonts w:ascii="Times New Roman" w:eastAsia="Times New Roman" w:hAnsi="Times New Roman" w:cs="Times New Roman"/>
                <w:sz w:val="20"/>
                <w:szCs w:val="20"/>
              </w:rPr>
              <w:t xml:space="preserve"> (mg/L)</w:t>
            </w:r>
          </w:p>
        </w:tc>
        <w:tc>
          <w:tcPr>
            <w:tcW w:w="920" w:type="pct"/>
            <w:vAlign w:val="center"/>
            <w:hideMark/>
          </w:tcPr>
          <w:p w14:paraId="15A78FD2" w14:textId="56CB31E0"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0.003 ± 0.0002</w:t>
            </w:r>
          </w:p>
        </w:tc>
        <w:tc>
          <w:tcPr>
            <w:tcW w:w="934" w:type="pct"/>
            <w:vAlign w:val="center"/>
            <w:hideMark/>
          </w:tcPr>
          <w:p w14:paraId="58451612" w14:textId="185652F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0.005 ± 0.0005</w:t>
            </w:r>
          </w:p>
        </w:tc>
        <w:tc>
          <w:tcPr>
            <w:tcW w:w="1411" w:type="pct"/>
            <w:vAlign w:val="center"/>
          </w:tcPr>
          <w:p w14:paraId="7C246D72" w14:textId="7777777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0.1</w:t>
            </w:r>
            <w:r w:rsidRPr="00F07DEB">
              <w:rPr>
                <w:rFonts w:ascii="Times New Roman" w:eastAsia="Times New Roman" w:hAnsi="Times New Roman" w:cs="Times New Roman"/>
                <w:sz w:val="20"/>
                <w:szCs w:val="20"/>
                <w:vertAlign w:val="superscript"/>
              </w:rPr>
              <w:t>1,2,3</w:t>
            </w:r>
          </w:p>
        </w:tc>
      </w:tr>
      <w:tr w:rsidR="009D53B0" w:rsidRPr="00F07DEB" w14:paraId="5F71164A" w14:textId="77777777" w:rsidTr="00641A81">
        <w:trPr>
          <w:trHeight w:val="173"/>
        </w:trPr>
        <w:tc>
          <w:tcPr>
            <w:tcW w:w="1735" w:type="pct"/>
            <w:vAlign w:val="center"/>
            <w:hideMark/>
          </w:tcPr>
          <w:p w14:paraId="19C491DC" w14:textId="6B79550B"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Cu</w:t>
            </w:r>
            <w:r w:rsidR="00BD7BCA">
              <w:rPr>
                <w:rFonts w:ascii="Times New Roman" w:eastAsia="Times New Roman" w:hAnsi="Times New Roman" w:cs="Times New Roman"/>
                <w:sz w:val="20"/>
                <w:szCs w:val="20"/>
              </w:rPr>
              <w:t xml:space="preserve"> (mg/L)</w:t>
            </w:r>
          </w:p>
        </w:tc>
        <w:tc>
          <w:tcPr>
            <w:tcW w:w="920" w:type="pct"/>
            <w:vAlign w:val="center"/>
            <w:hideMark/>
          </w:tcPr>
          <w:p w14:paraId="251C5913" w14:textId="60796D1E"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0.004 ± 0.0003</w:t>
            </w:r>
          </w:p>
        </w:tc>
        <w:tc>
          <w:tcPr>
            <w:tcW w:w="934" w:type="pct"/>
            <w:vAlign w:val="center"/>
            <w:hideMark/>
          </w:tcPr>
          <w:p w14:paraId="4B91F190" w14:textId="3B0534F4"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0.004 ± 0.0004</w:t>
            </w:r>
          </w:p>
        </w:tc>
        <w:tc>
          <w:tcPr>
            <w:tcW w:w="1411" w:type="pct"/>
            <w:vAlign w:val="center"/>
          </w:tcPr>
          <w:p w14:paraId="768B776A" w14:textId="7777777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0.2</w:t>
            </w:r>
            <w:r w:rsidRPr="00F07DEB">
              <w:rPr>
                <w:rFonts w:ascii="Times New Roman" w:eastAsia="Times New Roman" w:hAnsi="Times New Roman" w:cs="Times New Roman"/>
                <w:sz w:val="20"/>
                <w:szCs w:val="20"/>
                <w:vertAlign w:val="superscript"/>
              </w:rPr>
              <w:t>1,2,3</w:t>
            </w:r>
          </w:p>
        </w:tc>
      </w:tr>
      <w:tr w:rsidR="009D53B0" w:rsidRPr="00F07DEB" w14:paraId="448A7FBA" w14:textId="77777777" w:rsidTr="00641A81">
        <w:trPr>
          <w:trHeight w:val="173"/>
        </w:trPr>
        <w:tc>
          <w:tcPr>
            <w:tcW w:w="1735" w:type="pct"/>
            <w:vAlign w:val="center"/>
          </w:tcPr>
          <w:p w14:paraId="10710D98" w14:textId="28C07358"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F</w:t>
            </w:r>
            <w:r w:rsidRPr="00F07DEB">
              <w:rPr>
                <w:rFonts w:ascii="Times New Roman" w:eastAsia="Times New Roman" w:hAnsi="Times New Roman" w:cs="Times New Roman"/>
                <w:sz w:val="20"/>
                <w:szCs w:val="20"/>
                <w:vertAlign w:val="superscript"/>
              </w:rPr>
              <w:t>-</w:t>
            </w:r>
            <w:r w:rsidR="00BD7BCA">
              <w:rPr>
                <w:rFonts w:ascii="Times New Roman" w:eastAsia="Times New Roman" w:hAnsi="Times New Roman" w:cs="Times New Roman"/>
                <w:sz w:val="20"/>
                <w:szCs w:val="20"/>
              </w:rPr>
              <w:t xml:space="preserve"> (mg/L)</w:t>
            </w:r>
          </w:p>
        </w:tc>
        <w:tc>
          <w:tcPr>
            <w:tcW w:w="920" w:type="pct"/>
            <w:vAlign w:val="center"/>
          </w:tcPr>
          <w:p w14:paraId="5C234B98" w14:textId="51CD4E54"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2.55 ± 0.157</w:t>
            </w:r>
          </w:p>
        </w:tc>
        <w:tc>
          <w:tcPr>
            <w:tcW w:w="934" w:type="pct"/>
            <w:vAlign w:val="center"/>
          </w:tcPr>
          <w:p w14:paraId="5117FC15" w14:textId="4C42D69D"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1.84 ± 0.044</w:t>
            </w:r>
          </w:p>
        </w:tc>
        <w:tc>
          <w:tcPr>
            <w:tcW w:w="1411" w:type="pct"/>
            <w:vAlign w:val="center"/>
          </w:tcPr>
          <w:p w14:paraId="330E3EC3" w14:textId="7777777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1.0</w:t>
            </w:r>
            <w:r w:rsidRPr="00F07DEB">
              <w:rPr>
                <w:rFonts w:ascii="Times New Roman" w:eastAsia="Times New Roman" w:hAnsi="Times New Roman" w:cs="Times New Roman"/>
                <w:sz w:val="20"/>
                <w:szCs w:val="20"/>
                <w:vertAlign w:val="superscript"/>
              </w:rPr>
              <w:t>1,3</w:t>
            </w:r>
          </w:p>
        </w:tc>
      </w:tr>
      <w:tr w:rsidR="009D53B0" w:rsidRPr="00F07DEB" w14:paraId="59D15DE1" w14:textId="77777777" w:rsidTr="00641A81">
        <w:trPr>
          <w:trHeight w:val="173"/>
        </w:trPr>
        <w:tc>
          <w:tcPr>
            <w:tcW w:w="1735" w:type="pct"/>
            <w:vAlign w:val="center"/>
            <w:hideMark/>
          </w:tcPr>
          <w:p w14:paraId="1052E7F4" w14:textId="7A15C39E"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Fe</w:t>
            </w:r>
            <w:r w:rsidR="00BD7BCA">
              <w:rPr>
                <w:rFonts w:ascii="Times New Roman" w:eastAsia="Times New Roman" w:hAnsi="Times New Roman" w:cs="Times New Roman"/>
                <w:sz w:val="20"/>
                <w:szCs w:val="20"/>
              </w:rPr>
              <w:t xml:space="preserve"> (mg/L)</w:t>
            </w:r>
          </w:p>
        </w:tc>
        <w:tc>
          <w:tcPr>
            <w:tcW w:w="920" w:type="pct"/>
            <w:vAlign w:val="center"/>
            <w:hideMark/>
          </w:tcPr>
          <w:p w14:paraId="579925E6" w14:textId="41483B99"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175 ± 1.34</w:t>
            </w:r>
          </w:p>
        </w:tc>
        <w:tc>
          <w:tcPr>
            <w:tcW w:w="934" w:type="pct"/>
            <w:vAlign w:val="center"/>
            <w:hideMark/>
          </w:tcPr>
          <w:p w14:paraId="294FD37B" w14:textId="5FDD6B10"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0.489 ± 0.062</w:t>
            </w:r>
          </w:p>
        </w:tc>
        <w:tc>
          <w:tcPr>
            <w:tcW w:w="1411" w:type="pct"/>
            <w:vAlign w:val="center"/>
          </w:tcPr>
          <w:p w14:paraId="610A0E3E" w14:textId="7777777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5.0</w:t>
            </w:r>
            <w:r w:rsidRPr="00F07DEB">
              <w:rPr>
                <w:rFonts w:ascii="Times New Roman" w:eastAsia="Times New Roman" w:hAnsi="Times New Roman" w:cs="Times New Roman"/>
                <w:sz w:val="20"/>
                <w:szCs w:val="20"/>
                <w:vertAlign w:val="superscript"/>
              </w:rPr>
              <w:t>1,2,3</w:t>
            </w:r>
          </w:p>
        </w:tc>
      </w:tr>
      <w:tr w:rsidR="0008194B" w:rsidRPr="00F07DEB" w14:paraId="3526E08E" w14:textId="77777777" w:rsidTr="00641A81">
        <w:trPr>
          <w:trHeight w:val="173"/>
        </w:trPr>
        <w:tc>
          <w:tcPr>
            <w:tcW w:w="1735" w:type="pct"/>
            <w:vAlign w:val="center"/>
            <w:hideMark/>
          </w:tcPr>
          <w:p w14:paraId="57A2D796" w14:textId="2FFE7DA2"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K</w:t>
            </w:r>
            <w:r w:rsidR="00BD7BCA">
              <w:rPr>
                <w:rFonts w:ascii="Times New Roman" w:eastAsia="Times New Roman" w:hAnsi="Times New Roman" w:cs="Times New Roman"/>
                <w:sz w:val="20"/>
                <w:szCs w:val="20"/>
              </w:rPr>
              <w:t xml:space="preserve"> (mg/L)</w:t>
            </w:r>
          </w:p>
        </w:tc>
        <w:tc>
          <w:tcPr>
            <w:tcW w:w="920" w:type="pct"/>
            <w:vAlign w:val="center"/>
            <w:hideMark/>
          </w:tcPr>
          <w:p w14:paraId="1D35788D" w14:textId="70AF6CF3"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25.0 ± 0.141</w:t>
            </w:r>
          </w:p>
        </w:tc>
        <w:tc>
          <w:tcPr>
            <w:tcW w:w="934" w:type="pct"/>
            <w:vAlign w:val="center"/>
            <w:hideMark/>
          </w:tcPr>
          <w:p w14:paraId="275E71A5" w14:textId="61ED725D"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24.5 ± 0.957</w:t>
            </w:r>
          </w:p>
        </w:tc>
        <w:tc>
          <w:tcPr>
            <w:tcW w:w="1411" w:type="pct"/>
            <w:vAlign w:val="center"/>
          </w:tcPr>
          <w:p w14:paraId="7BEC5932" w14:textId="1C77F158"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2</w:t>
            </w:r>
            <w:r w:rsidRPr="00F07DEB">
              <w:rPr>
                <w:rFonts w:ascii="Times New Roman" w:eastAsia="Times New Roman" w:hAnsi="Times New Roman" w:cs="Times New Roman"/>
                <w:sz w:val="20"/>
                <w:szCs w:val="20"/>
                <w:vertAlign w:val="superscript"/>
              </w:rPr>
              <w:t>5</w:t>
            </w:r>
          </w:p>
        </w:tc>
      </w:tr>
      <w:tr w:rsidR="0008194B" w:rsidRPr="00F07DEB" w14:paraId="06DA6A85" w14:textId="77777777" w:rsidTr="00641A81">
        <w:trPr>
          <w:trHeight w:val="173"/>
        </w:trPr>
        <w:tc>
          <w:tcPr>
            <w:tcW w:w="1735" w:type="pct"/>
            <w:vAlign w:val="center"/>
            <w:hideMark/>
          </w:tcPr>
          <w:p w14:paraId="2F817823" w14:textId="512685CB"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Li</w:t>
            </w:r>
            <w:r w:rsidR="00BD7BCA">
              <w:rPr>
                <w:rFonts w:ascii="Times New Roman" w:eastAsia="Times New Roman" w:hAnsi="Times New Roman" w:cs="Times New Roman"/>
                <w:sz w:val="20"/>
                <w:szCs w:val="20"/>
              </w:rPr>
              <w:t xml:space="preserve"> (mg/L)</w:t>
            </w:r>
          </w:p>
        </w:tc>
        <w:tc>
          <w:tcPr>
            <w:tcW w:w="920" w:type="pct"/>
            <w:vAlign w:val="center"/>
            <w:hideMark/>
          </w:tcPr>
          <w:p w14:paraId="14EA944F" w14:textId="2E22DDB8"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0.311 ± 0.006</w:t>
            </w:r>
          </w:p>
        </w:tc>
        <w:tc>
          <w:tcPr>
            <w:tcW w:w="934" w:type="pct"/>
            <w:vAlign w:val="center"/>
            <w:hideMark/>
          </w:tcPr>
          <w:p w14:paraId="06485A04" w14:textId="4F6A2EA5"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0.300 ± 0.017</w:t>
            </w:r>
          </w:p>
        </w:tc>
        <w:tc>
          <w:tcPr>
            <w:tcW w:w="1411" w:type="pct"/>
            <w:vAlign w:val="center"/>
          </w:tcPr>
          <w:p w14:paraId="6A5981EE" w14:textId="77777777"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2.5</w:t>
            </w:r>
            <w:r w:rsidRPr="00F07DEB">
              <w:rPr>
                <w:rFonts w:ascii="Times New Roman" w:eastAsia="Times New Roman" w:hAnsi="Times New Roman" w:cs="Times New Roman"/>
                <w:sz w:val="20"/>
                <w:szCs w:val="20"/>
                <w:vertAlign w:val="superscript"/>
              </w:rPr>
              <w:t>1,2,3</w:t>
            </w:r>
          </w:p>
        </w:tc>
      </w:tr>
      <w:tr w:rsidR="0008194B" w:rsidRPr="00F07DEB" w14:paraId="52342B81" w14:textId="77777777" w:rsidTr="00641A81">
        <w:trPr>
          <w:trHeight w:val="173"/>
        </w:trPr>
        <w:tc>
          <w:tcPr>
            <w:tcW w:w="1735" w:type="pct"/>
            <w:vAlign w:val="center"/>
            <w:hideMark/>
          </w:tcPr>
          <w:p w14:paraId="043528BE" w14:textId="4DE7A3B2"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Mg</w:t>
            </w:r>
            <w:r w:rsidR="00BD7BCA">
              <w:rPr>
                <w:rFonts w:ascii="Times New Roman" w:eastAsia="Times New Roman" w:hAnsi="Times New Roman" w:cs="Times New Roman"/>
                <w:sz w:val="20"/>
                <w:szCs w:val="20"/>
              </w:rPr>
              <w:t xml:space="preserve"> (mg/L)</w:t>
            </w:r>
          </w:p>
        </w:tc>
        <w:tc>
          <w:tcPr>
            <w:tcW w:w="920" w:type="pct"/>
            <w:vAlign w:val="center"/>
            <w:hideMark/>
          </w:tcPr>
          <w:p w14:paraId="0668ABE3" w14:textId="1F332A16"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187 ± 1.23</w:t>
            </w:r>
          </w:p>
        </w:tc>
        <w:tc>
          <w:tcPr>
            <w:tcW w:w="934" w:type="pct"/>
            <w:vAlign w:val="center"/>
            <w:hideMark/>
          </w:tcPr>
          <w:p w14:paraId="7896D30B" w14:textId="6B4126E7"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175 ± 4.20</w:t>
            </w:r>
          </w:p>
        </w:tc>
        <w:tc>
          <w:tcPr>
            <w:tcW w:w="1411" w:type="pct"/>
            <w:vAlign w:val="center"/>
          </w:tcPr>
          <w:p w14:paraId="0D74BAEF" w14:textId="77777777"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30-50</w:t>
            </w:r>
            <w:r w:rsidRPr="00F07DEB">
              <w:rPr>
                <w:rFonts w:ascii="Times New Roman" w:eastAsia="Times New Roman" w:hAnsi="Times New Roman" w:cs="Times New Roman"/>
                <w:sz w:val="20"/>
                <w:szCs w:val="20"/>
                <w:vertAlign w:val="superscript"/>
              </w:rPr>
              <w:t>4</w:t>
            </w:r>
          </w:p>
        </w:tc>
      </w:tr>
      <w:tr w:rsidR="0008194B" w:rsidRPr="00F07DEB" w14:paraId="06F9317B" w14:textId="77777777" w:rsidTr="00641A81">
        <w:trPr>
          <w:trHeight w:val="173"/>
        </w:trPr>
        <w:tc>
          <w:tcPr>
            <w:tcW w:w="1735" w:type="pct"/>
            <w:vAlign w:val="center"/>
            <w:hideMark/>
          </w:tcPr>
          <w:p w14:paraId="3675D50C" w14:textId="4A7FD388" w:rsidR="0008194B" w:rsidRPr="00F07DEB" w:rsidRDefault="0008194B" w:rsidP="00224B6E">
            <w:pPr>
              <w:spacing w:before="20" w:after="20"/>
              <w:rPr>
                <w:rFonts w:ascii="Times New Roman" w:eastAsia="Times New Roman" w:hAnsi="Times New Roman" w:cs="Times New Roman"/>
                <w:sz w:val="20"/>
                <w:szCs w:val="20"/>
              </w:rPr>
            </w:pPr>
            <w:proofErr w:type="spellStart"/>
            <w:r w:rsidRPr="00F07DEB">
              <w:rPr>
                <w:rFonts w:ascii="Times New Roman" w:eastAsia="Times New Roman" w:hAnsi="Times New Roman" w:cs="Times New Roman"/>
                <w:sz w:val="20"/>
                <w:szCs w:val="20"/>
              </w:rPr>
              <w:t>Mn</w:t>
            </w:r>
            <w:proofErr w:type="spellEnd"/>
            <w:r w:rsidR="00BD7BCA">
              <w:rPr>
                <w:rFonts w:ascii="Times New Roman" w:eastAsia="Times New Roman" w:hAnsi="Times New Roman" w:cs="Times New Roman"/>
                <w:sz w:val="20"/>
                <w:szCs w:val="20"/>
              </w:rPr>
              <w:t xml:space="preserve"> (mg/L)</w:t>
            </w:r>
          </w:p>
        </w:tc>
        <w:tc>
          <w:tcPr>
            <w:tcW w:w="920" w:type="pct"/>
            <w:vAlign w:val="center"/>
            <w:hideMark/>
          </w:tcPr>
          <w:p w14:paraId="617AF763" w14:textId="3166684B"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1.48 ± 0.011</w:t>
            </w:r>
          </w:p>
        </w:tc>
        <w:tc>
          <w:tcPr>
            <w:tcW w:w="934" w:type="pct"/>
            <w:vAlign w:val="center"/>
            <w:hideMark/>
          </w:tcPr>
          <w:p w14:paraId="45717C7D" w14:textId="7F1FE68E"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1.15 ± 0.171</w:t>
            </w:r>
          </w:p>
        </w:tc>
        <w:tc>
          <w:tcPr>
            <w:tcW w:w="1411" w:type="pct"/>
            <w:vAlign w:val="center"/>
          </w:tcPr>
          <w:p w14:paraId="76571CCF" w14:textId="77777777" w:rsidR="0008194B" w:rsidRPr="00F07DEB" w:rsidRDefault="0008194B"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0.2</w:t>
            </w:r>
            <w:r w:rsidRPr="00F07DEB">
              <w:rPr>
                <w:rFonts w:ascii="Times New Roman" w:eastAsia="Times New Roman" w:hAnsi="Times New Roman" w:cs="Times New Roman"/>
                <w:sz w:val="20"/>
                <w:szCs w:val="20"/>
                <w:vertAlign w:val="superscript"/>
              </w:rPr>
              <w:t>1,2,3</w:t>
            </w:r>
          </w:p>
        </w:tc>
      </w:tr>
      <w:tr w:rsidR="009D53B0" w:rsidRPr="00F07DEB" w14:paraId="0BE44B76" w14:textId="77777777" w:rsidTr="00641A81">
        <w:trPr>
          <w:trHeight w:val="173"/>
        </w:trPr>
        <w:tc>
          <w:tcPr>
            <w:tcW w:w="1735" w:type="pct"/>
            <w:vAlign w:val="center"/>
          </w:tcPr>
          <w:p w14:paraId="20EBEDF6" w14:textId="24E2E984"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Mo</w:t>
            </w:r>
            <w:r w:rsidR="00BD7BCA">
              <w:rPr>
                <w:rFonts w:ascii="Times New Roman" w:eastAsia="Times New Roman" w:hAnsi="Times New Roman" w:cs="Times New Roman"/>
                <w:sz w:val="20"/>
                <w:szCs w:val="20"/>
              </w:rPr>
              <w:t xml:space="preserve"> (mg/L)</w:t>
            </w:r>
          </w:p>
        </w:tc>
        <w:tc>
          <w:tcPr>
            <w:tcW w:w="920" w:type="pct"/>
            <w:vAlign w:val="center"/>
          </w:tcPr>
          <w:p w14:paraId="1614CBA3" w14:textId="77777777" w:rsidR="009D53B0" w:rsidRPr="00F07DEB" w:rsidRDefault="009D53B0" w:rsidP="00224B6E">
            <w:pPr>
              <w:spacing w:before="20" w:after="20"/>
              <w:rPr>
                <w:rFonts w:ascii="Times New Roman" w:eastAsia="Times New Roman" w:hAnsi="Times New Roman" w:cs="Times New Roman"/>
                <w:sz w:val="20"/>
                <w:szCs w:val="20"/>
              </w:rPr>
            </w:pPr>
          </w:p>
        </w:tc>
        <w:tc>
          <w:tcPr>
            <w:tcW w:w="934" w:type="pct"/>
            <w:vAlign w:val="center"/>
          </w:tcPr>
          <w:p w14:paraId="36D4FAD1" w14:textId="77777777" w:rsidR="009D53B0" w:rsidRPr="00F07DEB" w:rsidRDefault="009D53B0" w:rsidP="00224B6E">
            <w:pPr>
              <w:spacing w:before="20" w:after="20"/>
              <w:rPr>
                <w:rFonts w:ascii="Times New Roman" w:eastAsia="Times New Roman" w:hAnsi="Times New Roman" w:cs="Times New Roman"/>
                <w:sz w:val="20"/>
                <w:szCs w:val="20"/>
              </w:rPr>
            </w:pPr>
          </w:p>
        </w:tc>
        <w:tc>
          <w:tcPr>
            <w:tcW w:w="1411" w:type="pct"/>
            <w:vAlign w:val="center"/>
          </w:tcPr>
          <w:p w14:paraId="55BE9844" w14:textId="7777777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0.01</w:t>
            </w:r>
            <w:r w:rsidRPr="00F07DEB">
              <w:rPr>
                <w:rFonts w:ascii="Times New Roman" w:eastAsia="Times New Roman" w:hAnsi="Times New Roman" w:cs="Times New Roman"/>
                <w:sz w:val="20"/>
                <w:szCs w:val="20"/>
                <w:vertAlign w:val="superscript"/>
              </w:rPr>
              <w:t>1,2,3</w:t>
            </w:r>
          </w:p>
        </w:tc>
      </w:tr>
      <w:tr w:rsidR="009D53B0" w:rsidRPr="00F07DEB" w14:paraId="580ACA33" w14:textId="77777777" w:rsidTr="00641A81">
        <w:trPr>
          <w:trHeight w:val="173"/>
        </w:trPr>
        <w:tc>
          <w:tcPr>
            <w:tcW w:w="1735" w:type="pct"/>
            <w:vAlign w:val="center"/>
            <w:hideMark/>
          </w:tcPr>
          <w:p w14:paraId="502FB0C7" w14:textId="30253004"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Na</w:t>
            </w:r>
            <w:r w:rsidR="00BD7BCA">
              <w:rPr>
                <w:rFonts w:ascii="Times New Roman" w:eastAsia="Times New Roman" w:hAnsi="Times New Roman" w:cs="Times New Roman"/>
                <w:sz w:val="20"/>
                <w:szCs w:val="20"/>
              </w:rPr>
              <w:t xml:space="preserve"> (mg/L)</w:t>
            </w:r>
          </w:p>
        </w:tc>
        <w:tc>
          <w:tcPr>
            <w:tcW w:w="920" w:type="pct"/>
            <w:vAlign w:val="center"/>
            <w:hideMark/>
          </w:tcPr>
          <w:p w14:paraId="509DA400" w14:textId="66653E10"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94.2 ± 0.701</w:t>
            </w:r>
          </w:p>
        </w:tc>
        <w:tc>
          <w:tcPr>
            <w:tcW w:w="934" w:type="pct"/>
            <w:vAlign w:val="center"/>
            <w:hideMark/>
          </w:tcPr>
          <w:p w14:paraId="4AA96872" w14:textId="1E4F6FAA"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94.3 ± 2.50</w:t>
            </w:r>
          </w:p>
        </w:tc>
        <w:tc>
          <w:tcPr>
            <w:tcW w:w="1411" w:type="pct"/>
            <w:vAlign w:val="center"/>
          </w:tcPr>
          <w:p w14:paraId="2D8EBD8E" w14:textId="63832DCA"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 xml:space="preserve">See Table </w:t>
            </w:r>
            <w:r w:rsidR="00C4755E" w:rsidRPr="00F07DEB">
              <w:rPr>
                <w:rFonts w:ascii="Times New Roman" w:eastAsia="Times New Roman" w:hAnsi="Times New Roman" w:cs="Times New Roman"/>
                <w:sz w:val="20"/>
                <w:szCs w:val="20"/>
              </w:rPr>
              <w:t>4</w:t>
            </w:r>
          </w:p>
        </w:tc>
      </w:tr>
      <w:tr w:rsidR="009D53B0" w:rsidRPr="00F07DEB" w14:paraId="1EBC1C6E" w14:textId="77777777" w:rsidTr="00641A81">
        <w:trPr>
          <w:trHeight w:val="173"/>
        </w:trPr>
        <w:tc>
          <w:tcPr>
            <w:tcW w:w="1735" w:type="pct"/>
            <w:vAlign w:val="center"/>
            <w:hideMark/>
          </w:tcPr>
          <w:p w14:paraId="30FBE9A9" w14:textId="1DAFD2BC"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Ni</w:t>
            </w:r>
            <w:r w:rsidR="00BD7BCA">
              <w:rPr>
                <w:rFonts w:ascii="Times New Roman" w:eastAsia="Times New Roman" w:hAnsi="Times New Roman" w:cs="Times New Roman"/>
                <w:sz w:val="20"/>
                <w:szCs w:val="20"/>
              </w:rPr>
              <w:t xml:space="preserve"> (mg/L)</w:t>
            </w:r>
          </w:p>
        </w:tc>
        <w:tc>
          <w:tcPr>
            <w:tcW w:w="920" w:type="pct"/>
            <w:vAlign w:val="center"/>
            <w:hideMark/>
          </w:tcPr>
          <w:p w14:paraId="4B3FB7C9" w14:textId="65664A4B"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0.890 ± 0.006</w:t>
            </w:r>
          </w:p>
        </w:tc>
        <w:tc>
          <w:tcPr>
            <w:tcW w:w="934" w:type="pct"/>
            <w:vAlign w:val="center"/>
            <w:hideMark/>
          </w:tcPr>
          <w:p w14:paraId="667A671E" w14:textId="622624E2"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0.205 ± 0.034</w:t>
            </w:r>
          </w:p>
        </w:tc>
        <w:tc>
          <w:tcPr>
            <w:tcW w:w="1411" w:type="pct"/>
            <w:vAlign w:val="center"/>
          </w:tcPr>
          <w:p w14:paraId="35E49F32" w14:textId="7777777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0.2</w:t>
            </w:r>
            <w:r w:rsidRPr="00F07DEB">
              <w:rPr>
                <w:rFonts w:ascii="Times New Roman" w:eastAsia="Times New Roman" w:hAnsi="Times New Roman" w:cs="Times New Roman"/>
                <w:sz w:val="20"/>
                <w:szCs w:val="20"/>
                <w:vertAlign w:val="superscript"/>
              </w:rPr>
              <w:t>1,2,3</w:t>
            </w:r>
          </w:p>
        </w:tc>
      </w:tr>
      <w:tr w:rsidR="009D53B0" w:rsidRPr="00F07DEB" w14:paraId="72E474C9" w14:textId="77777777" w:rsidTr="00641A81">
        <w:trPr>
          <w:trHeight w:val="173"/>
        </w:trPr>
        <w:tc>
          <w:tcPr>
            <w:tcW w:w="1735" w:type="pct"/>
            <w:vAlign w:val="center"/>
            <w:hideMark/>
          </w:tcPr>
          <w:p w14:paraId="36C460A9" w14:textId="7D34427F" w:rsidR="009D53B0" w:rsidRPr="00F07DEB" w:rsidRDefault="009D53B0" w:rsidP="00224B6E">
            <w:pPr>
              <w:spacing w:before="20" w:after="20"/>
              <w:rPr>
                <w:rFonts w:ascii="Times New Roman" w:eastAsia="Times New Roman" w:hAnsi="Times New Roman" w:cs="Times New Roman"/>
                <w:sz w:val="20"/>
                <w:szCs w:val="20"/>
              </w:rPr>
            </w:pPr>
            <w:proofErr w:type="spellStart"/>
            <w:r w:rsidRPr="00F07DEB">
              <w:rPr>
                <w:rFonts w:ascii="Times New Roman" w:eastAsia="Times New Roman" w:hAnsi="Times New Roman" w:cs="Times New Roman"/>
                <w:sz w:val="20"/>
                <w:szCs w:val="20"/>
              </w:rPr>
              <w:t>Pb</w:t>
            </w:r>
            <w:proofErr w:type="spellEnd"/>
            <w:r w:rsidR="00BD7BCA">
              <w:rPr>
                <w:rFonts w:ascii="Times New Roman" w:eastAsia="Times New Roman" w:hAnsi="Times New Roman" w:cs="Times New Roman"/>
                <w:sz w:val="20"/>
                <w:szCs w:val="20"/>
              </w:rPr>
              <w:t xml:space="preserve"> (mg/L)</w:t>
            </w:r>
          </w:p>
        </w:tc>
        <w:tc>
          <w:tcPr>
            <w:tcW w:w="920" w:type="pct"/>
            <w:vAlign w:val="center"/>
            <w:hideMark/>
          </w:tcPr>
          <w:p w14:paraId="26BCFF73" w14:textId="1AB66F08"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0.077 ± 0.003</w:t>
            </w:r>
          </w:p>
        </w:tc>
        <w:tc>
          <w:tcPr>
            <w:tcW w:w="934" w:type="pct"/>
            <w:vAlign w:val="center"/>
            <w:hideMark/>
          </w:tcPr>
          <w:p w14:paraId="3BA0A044" w14:textId="7A53CC92"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0.032 ± 0.004</w:t>
            </w:r>
          </w:p>
        </w:tc>
        <w:tc>
          <w:tcPr>
            <w:tcW w:w="1411" w:type="pct"/>
            <w:vAlign w:val="center"/>
          </w:tcPr>
          <w:p w14:paraId="23CFB877" w14:textId="7777777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5</w:t>
            </w:r>
            <w:r w:rsidRPr="00F07DEB">
              <w:rPr>
                <w:rFonts w:ascii="Times New Roman" w:eastAsia="Times New Roman" w:hAnsi="Times New Roman" w:cs="Times New Roman"/>
                <w:sz w:val="20"/>
                <w:szCs w:val="20"/>
                <w:vertAlign w:val="superscript"/>
              </w:rPr>
              <w:t>1,2,3</w:t>
            </w:r>
          </w:p>
        </w:tc>
      </w:tr>
      <w:tr w:rsidR="009D53B0" w:rsidRPr="00F07DEB" w14:paraId="53B7620E" w14:textId="77777777" w:rsidTr="00641A81">
        <w:trPr>
          <w:trHeight w:val="173"/>
        </w:trPr>
        <w:tc>
          <w:tcPr>
            <w:tcW w:w="1735" w:type="pct"/>
            <w:vAlign w:val="center"/>
          </w:tcPr>
          <w:p w14:paraId="41612EC4" w14:textId="6EFC40B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pH</w:t>
            </w:r>
          </w:p>
        </w:tc>
        <w:tc>
          <w:tcPr>
            <w:tcW w:w="920" w:type="pct"/>
            <w:vAlign w:val="center"/>
          </w:tcPr>
          <w:p w14:paraId="484BF6D6" w14:textId="59E3CAB9"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5.97 ± 0.01</w:t>
            </w:r>
          </w:p>
        </w:tc>
        <w:tc>
          <w:tcPr>
            <w:tcW w:w="934" w:type="pct"/>
            <w:vAlign w:val="center"/>
          </w:tcPr>
          <w:p w14:paraId="25493D38" w14:textId="762EECCB"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7.05 ± 0.03</w:t>
            </w:r>
          </w:p>
        </w:tc>
        <w:tc>
          <w:tcPr>
            <w:tcW w:w="1411" w:type="pct"/>
            <w:vAlign w:val="center"/>
          </w:tcPr>
          <w:p w14:paraId="737B13E6" w14:textId="2129C058"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6-8</w:t>
            </w:r>
            <w:r w:rsidRPr="00F07DEB">
              <w:rPr>
                <w:rFonts w:ascii="Times New Roman" w:eastAsia="Times New Roman" w:hAnsi="Times New Roman" w:cs="Times New Roman"/>
                <w:sz w:val="20"/>
                <w:szCs w:val="20"/>
                <w:vertAlign w:val="superscript"/>
              </w:rPr>
              <w:t>1</w:t>
            </w:r>
            <w:r w:rsidRPr="00F07DEB">
              <w:rPr>
                <w:rFonts w:ascii="Times New Roman" w:eastAsia="Times New Roman" w:hAnsi="Times New Roman" w:cs="Times New Roman"/>
                <w:sz w:val="20"/>
                <w:szCs w:val="20"/>
              </w:rPr>
              <w:t>, 6.5-8.4</w:t>
            </w:r>
            <w:r w:rsidRPr="00F07DEB">
              <w:rPr>
                <w:rFonts w:ascii="Times New Roman" w:eastAsia="Times New Roman" w:hAnsi="Times New Roman" w:cs="Times New Roman"/>
                <w:sz w:val="20"/>
                <w:szCs w:val="20"/>
                <w:vertAlign w:val="superscript"/>
              </w:rPr>
              <w:t>3</w:t>
            </w:r>
          </w:p>
        </w:tc>
      </w:tr>
      <w:tr w:rsidR="009D53B0" w:rsidRPr="00F07DEB" w14:paraId="187A32E5" w14:textId="77777777" w:rsidTr="00641A81">
        <w:trPr>
          <w:trHeight w:val="173"/>
        </w:trPr>
        <w:tc>
          <w:tcPr>
            <w:tcW w:w="1735" w:type="pct"/>
            <w:vAlign w:val="center"/>
          </w:tcPr>
          <w:p w14:paraId="3D398489" w14:textId="6C7C8F6C" w:rsidR="009D53B0" w:rsidRPr="00F07DEB" w:rsidRDefault="00743F3C"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 xml:space="preserve">Conductivity </w:t>
            </w:r>
            <w:r w:rsidR="00BD7BCA">
              <w:rPr>
                <w:rFonts w:ascii="Times New Roman" w:eastAsia="Times New Roman" w:hAnsi="Times New Roman" w:cs="Times New Roman"/>
                <w:sz w:val="20"/>
                <w:szCs w:val="20"/>
              </w:rPr>
              <w:t>(</w:t>
            </w:r>
            <w:proofErr w:type="spellStart"/>
            <w:r w:rsidR="00BD7BCA">
              <w:rPr>
                <w:rFonts w:ascii="Times New Roman" w:eastAsia="Times New Roman" w:hAnsi="Times New Roman" w:cs="Times New Roman"/>
                <w:sz w:val="20"/>
                <w:szCs w:val="20"/>
              </w:rPr>
              <w:t>dS</w:t>
            </w:r>
            <w:proofErr w:type="spellEnd"/>
            <w:r w:rsidR="00BD7BCA">
              <w:rPr>
                <w:rFonts w:ascii="Times New Roman" w:eastAsia="Times New Roman" w:hAnsi="Times New Roman" w:cs="Times New Roman"/>
                <w:sz w:val="20"/>
                <w:szCs w:val="20"/>
              </w:rPr>
              <w:t>/m)</w:t>
            </w:r>
          </w:p>
        </w:tc>
        <w:tc>
          <w:tcPr>
            <w:tcW w:w="920" w:type="pct"/>
            <w:vAlign w:val="center"/>
          </w:tcPr>
          <w:p w14:paraId="629E4041" w14:textId="6E039192"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1.79 ± 0.011</w:t>
            </w:r>
          </w:p>
        </w:tc>
        <w:tc>
          <w:tcPr>
            <w:tcW w:w="934" w:type="pct"/>
            <w:vAlign w:val="center"/>
          </w:tcPr>
          <w:p w14:paraId="6C13D833" w14:textId="564F5A3E"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1.63 ± 0.024</w:t>
            </w:r>
          </w:p>
        </w:tc>
        <w:tc>
          <w:tcPr>
            <w:tcW w:w="1411" w:type="pct"/>
            <w:vAlign w:val="center"/>
          </w:tcPr>
          <w:p w14:paraId="29C57DDC" w14:textId="30CC7232"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 xml:space="preserve">See Table </w:t>
            </w:r>
            <w:r w:rsidR="00C4755E" w:rsidRPr="00F07DEB">
              <w:rPr>
                <w:rFonts w:ascii="Times New Roman" w:eastAsia="Times New Roman" w:hAnsi="Times New Roman" w:cs="Times New Roman"/>
                <w:sz w:val="20"/>
                <w:szCs w:val="20"/>
              </w:rPr>
              <w:t>4</w:t>
            </w:r>
          </w:p>
        </w:tc>
      </w:tr>
      <w:tr w:rsidR="009D53B0" w:rsidRPr="00F07DEB" w14:paraId="4F4D6512" w14:textId="77777777" w:rsidTr="00641A81">
        <w:trPr>
          <w:trHeight w:val="173"/>
        </w:trPr>
        <w:tc>
          <w:tcPr>
            <w:tcW w:w="1735" w:type="pct"/>
            <w:vAlign w:val="center"/>
          </w:tcPr>
          <w:p w14:paraId="22FF4A18" w14:textId="58E7F7EC"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Se</w:t>
            </w:r>
            <w:r w:rsidR="00BD7BCA">
              <w:rPr>
                <w:rFonts w:ascii="Times New Roman" w:eastAsia="Times New Roman" w:hAnsi="Times New Roman" w:cs="Times New Roman"/>
                <w:sz w:val="20"/>
                <w:szCs w:val="20"/>
              </w:rPr>
              <w:t xml:space="preserve"> (mg/L)</w:t>
            </w:r>
          </w:p>
        </w:tc>
        <w:tc>
          <w:tcPr>
            <w:tcW w:w="920" w:type="pct"/>
            <w:vAlign w:val="center"/>
          </w:tcPr>
          <w:p w14:paraId="36CA3876" w14:textId="77777777" w:rsidR="009D53B0" w:rsidRPr="00F07DEB" w:rsidRDefault="009D53B0" w:rsidP="00224B6E">
            <w:pPr>
              <w:spacing w:before="20" w:after="20"/>
              <w:rPr>
                <w:rFonts w:ascii="Times New Roman" w:eastAsia="Times New Roman" w:hAnsi="Times New Roman" w:cs="Times New Roman"/>
                <w:sz w:val="20"/>
                <w:szCs w:val="20"/>
              </w:rPr>
            </w:pPr>
          </w:p>
        </w:tc>
        <w:tc>
          <w:tcPr>
            <w:tcW w:w="934" w:type="pct"/>
            <w:vAlign w:val="center"/>
          </w:tcPr>
          <w:p w14:paraId="06E4D41F" w14:textId="77777777" w:rsidR="009D53B0" w:rsidRPr="00F07DEB" w:rsidRDefault="009D53B0" w:rsidP="00224B6E">
            <w:pPr>
              <w:spacing w:before="20" w:after="20"/>
              <w:rPr>
                <w:rFonts w:ascii="Times New Roman" w:eastAsia="Times New Roman" w:hAnsi="Times New Roman" w:cs="Times New Roman"/>
                <w:sz w:val="20"/>
                <w:szCs w:val="20"/>
              </w:rPr>
            </w:pPr>
          </w:p>
        </w:tc>
        <w:tc>
          <w:tcPr>
            <w:tcW w:w="1411" w:type="pct"/>
            <w:vAlign w:val="center"/>
          </w:tcPr>
          <w:p w14:paraId="0B441E5C" w14:textId="7777777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0.02</w:t>
            </w:r>
            <w:r w:rsidRPr="00F07DEB">
              <w:rPr>
                <w:rFonts w:ascii="Times New Roman" w:eastAsia="Times New Roman" w:hAnsi="Times New Roman" w:cs="Times New Roman"/>
                <w:sz w:val="20"/>
                <w:szCs w:val="20"/>
                <w:vertAlign w:val="superscript"/>
              </w:rPr>
              <w:t>1,2,3</w:t>
            </w:r>
          </w:p>
        </w:tc>
      </w:tr>
      <w:tr w:rsidR="009D53B0" w:rsidRPr="00F07DEB" w14:paraId="562E0704" w14:textId="77777777" w:rsidTr="00641A81">
        <w:trPr>
          <w:trHeight w:val="173"/>
        </w:trPr>
        <w:tc>
          <w:tcPr>
            <w:tcW w:w="1735" w:type="pct"/>
            <w:vAlign w:val="center"/>
          </w:tcPr>
          <w:p w14:paraId="3FF763A9" w14:textId="78EF3EE5"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TDS</w:t>
            </w:r>
            <w:r w:rsidR="00BE4C55" w:rsidRPr="00F07DEB">
              <w:rPr>
                <w:rFonts w:ascii="Times New Roman" w:hAnsi="Times New Roman" w:cs="Times New Roman"/>
                <w:sz w:val="20"/>
                <w:szCs w:val="20"/>
              </w:rPr>
              <w:t xml:space="preserve"> (g/L)</w:t>
            </w:r>
          </w:p>
        </w:tc>
        <w:tc>
          <w:tcPr>
            <w:tcW w:w="920" w:type="pct"/>
            <w:vAlign w:val="center"/>
          </w:tcPr>
          <w:p w14:paraId="10B71613" w14:textId="5EA3CE8C"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2.22 ± 0.011</w:t>
            </w:r>
          </w:p>
        </w:tc>
        <w:tc>
          <w:tcPr>
            <w:tcW w:w="934" w:type="pct"/>
            <w:vAlign w:val="center"/>
          </w:tcPr>
          <w:p w14:paraId="5AD69BE9" w14:textId="4D37B916"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2.04 ± 0.028</w:t>
            </w:r>
          </w:p>
        </w:tc>
        <w:tc>
          <w:tcPr>
            <w:tcW w:w="1411" w:type="pct"/>
            <w:vAlign w:val="center"/>
          </w:tcPr>
          <w:p w14:paraId="7C2C9A72" w14:textId="77777777" w:rsidR="009D53B0" w:rsidRPr="00F07DEB" w:rsidRDefault="009D53B0" w:rsidP="00224B6E">
            <w:pPr>
              <w:spacing w:before="20" w:after="20"/>
              <w:rPr>
                <w:rFonts w:ascii="Times New Roman" w:eastAsia="Times New Roman" w:hAnsi="Times New Roman" w:cs="Times New Roman"/>
                <w:sz w:val="20"/>
                <w:szCs w:val="20"/>
              </w:rPr>
            </w:pPr>
          </w:p>
        </w:tc>
      </w:tr>
      <w:tr w:rsidR="009D53B0" w:rsidRPr="00F07DEB" w14:paraId="7ABDDEE3" w14:textId="77777777" w:rsidTr="00641A81">
        <w:trPr>
          <w:trHeight w:val="173"/>
        </w:trPr>
        <w:tc>
          <w:tcPr>
            <w:tcW w:w="1735" w:type="pct"/>
            <w:vAlign w:val="center"/>
            <w:hideMark/>
          </w:tcPr>
          <w:p w14:paraId="225AE114" w14:textId="561F0741"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Zn</w:t>
            </w:r>
            <w:r w:rsidR="00BD7BCA">
              <w:rPr>
                <w:rFonts w:ascii="Times New Roman" w:eastAsia="Times New Roman" w:hAnsi="Times New Roman" w:cs="Times New Roman"/>
                <w:sz w:val="20"/>
                <w:szCs w:val="20"/>
              </w:rPr>
              <w:t xml:space="preserve"> (mg/L)</w:t>
            </w:r>
          </w:p>
        </w:tc>
        <w:tc>
          <w:tcPr>
            <w:tcW w:w="920" w:type="pct"/>
            <w:vAlign w:val="center"/>
            <w:hideMark/>
          </w:tcPr>
          <w:p w14:paraId="137979B6" w14:textId="00F9168E"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8.40 ± 0.097</w:t>
            </w:r>
          </w:p>
        </w:tc>
        <w:tc>
          <w:tcPr>
            <w:tcW w:w="934" w:type="pct"/>
            <w:vAlign w:val="center"/>
            <w:hideMark/>
          </w:tcPr>
          <w:p w14:paraId="363EEC7F" w14:textId="16CF919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0.480 ± 0.116</w:t>
            </w:r>
          </w:p>
        </w:tc>
        <w:tc>
          <w:tcPr>
            <w:tcW w:w="1411" w:type="pct"/>
            <w:vAlign w:val="center"/>
          </w:tcPr>
          <w:p w14:paraId="4F188547" w14:textId="7777777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2.0</w:t>
            </w:r>
            <w:r w:rsidRPr="00F07DEB">
              <w:rPr>
                <w:rFonts w:ascii="Times New Roman" w:eastAsia="Times New Roman" w:hAnsi="Times New Roman" w:cs="Times New Roman"/>
                <w:sz w:val="20"/>
                <w:szCs w:val="20"/>
                <w:vertAlign w:val="superscript"/>
              </w:rPr>
              <w:t>1,2,3</w:t>
            </w:r>
          </w:p>
        </w:tc>
      </w:tr>
      <w:tr w:rsidR="009D53B0" w:rsidRPr="00F07DEB" w14:paraId="2DA18EF4" w14:textId="77777777" w:rsidTr="00641A81">
        <w:trPr>
          <w:trHeight w:val="173"/>
        </w:trPr>
        <w:tc>
          <w:tcPr>
            <w:tcW w:w="1735" w:type="pct"/>
            <w:tcBorders>
              <w:bottom w:val="single" w:sz="8" w:space="0" w:color="auto"/>
            </w:tcBorders>
            <w:vAlign w:val="center"/>
            <w:hideMark/>
          </w:tcPr>
          <w:p w14:paraId="611CB275" w14:textId="7F661F60"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SO₄</w:t>
            </w:r>
            <w:r w:rsidR="000E39AB" w:rsidRPr="00F07DEB">
              <w:rPr>
                <w:rFonts w:ascii="Times New Roman" w:eastAsia="Times New Roman" w:hAnsi="Times New Roman" w:cs="Times New Roman"/>
                <w:sz w:val="20"/>
                <w:szCs w:val="20"/>
                <w:vertAlign w:val="superscript"/>
              </w:rPr>
              <w:t>2-</w:t>
            </w:r>
            <w:r w:rsidR="00BD7BCA">
              <w:rPr>
                <w:rFonts w:ascii="Times New Roman" w:eastAsia="Times New Roman" w:hAnsi="Times New Roman" w:cs="Times New Roman"/>
                <w:sz w:val="20"/>
                <w:szCs w:val="20"/>
              </w:rPr>
              <w:t xml:space="preserve"> (mg/L)</w:t>
            </w:r>
          </w:p>
        </w:tc>
        <w:tc>
          <w:tcPr>
            <w:tcW w:w="920" w:type="pct"/>
            <w:tcBorders>
              <w:bottom w:val="single" w:sz="8" w:space="0" w:color="auto"/>
            </w:tcBorders>
            <w:vAlign w:val="center"/>
            <w:hideMark/>
          </w:tcPr>
          <w:p w14:paraId="24F7266C" w14:textId="5C42E495"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2190 ± 19.3</w:t>
            </w:r>
          </w:p>
        </w:tc>
        <w:tc>
          <w:tcPr>
            <w:tcW w:w="934" w:type="pct"/>
            <w:tcBorders>
              <w:bottom w:val="single" w:sz="8" w:space="0" w:color="auto"/>
            </w:tcBorders>
            <w:vAlign w:val="center"/>
            <w:hideMark/>
          </w:tcPr>
          <w:p w14:paraId="3889B0A3" w14:textId="1FAB4B51"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hAnsi="Times New Roman" w:cs="Times New Roman"/>
                <w:sz w:val="20"/>
                <w:szCs w:val="20"/>
              </w:rPr>
              <w:t>2100 ± 75.1</w:t>
            </w:r>
          </w:p>
        </w:tc>
        <w:tc>
          <w:tcPr>
            <w:tcW w:w="1411" w:type="pct"/>
            <w:tcBorders>
              <w:bottom w:val="single" w:sz="8" w:space="0" w:color="auto"/>
            </w:tcBorders>
            <w:vAlign w:val="center"/>
          </w:tcPr>
          <w:p w14:paraId="58EA3FE1" w14:textId="77777777" w:rsidR="009D53B0" w:rsidRPr="00F07DEB" w:rsidRDefault="009D53B0" w:rsidP="00224B6E">
            <w:pPr>
              <w:spacing w:before="20" w:after="20"/>
              <w:rPr>
                <w:rFonts w:ascii="Times New Roman" w:eastAsia="Times New Roman" w:hAnsi="Times New Roman" w:cs="Times New Roman"/>
                <w:sz w:val="20"/>
                <w:szCs w:val="20"/>
              </w:rPr>
            </w:pPr>
            <w:r w:rsidRPr="00F07DEB">
              <w:rPr>
                <w:rFonts w:ascii="Times New Roman" w:eastAsia="Times New Roman" w:hAnsi="Times New Roman" w:cs="Times New Roman"/>
                <w:sz w:val="20"/>
                <w:szCs w:val="20"/>
              </w:rPr>
              <w:t>&gt;50</w:t>
            </w:r>
            <w:r w:rsidRPr="00F07DEB">
              <w:rPr>
                <w:rFonts w:ascii="Times New Roman" w:eastAsia="Times New Roman" w:hAnsi="Times New Roman" w:cs="Times New Roman"/>
                <w:sz w:val="20"/>
                <w:szCs w:val="20"/>
                <w:vertAlign w:val="superscript"/>
              </w:rPr>
              <w:t>4</w:t>
            </w:r>
          </w:p>
        </w:tc>
      </w:tr>
    </w:tbl>
    <w:p w14:paraId="17DF1AA6" w14:textId="553D0B07" w:rsidR="00252822" w:rsidRDefault="00BA5067" w:rsidP="00641A81">
      <w:pPr>
        <w:spacing w:line="240" w:lineRule="auto"/>
        <w:rPr>
          <w:rFonts w:ascii="Times New Roman" w:hAnsi="Times New Roman" w:cs="Times New Roman"/>
          <w:sz w:val="24"/>
          <w:szCs w:val="24"/>
        </w:rPr>
      </w:pPr>
      <w:r w:rsidRPr="00F07DEB">
        <w:rPr>
          <w:rFonts w:ascii="Times New Roman" w:hAnsi="Times New Roman" w:cs="Times New Roman"/>
          <w:szCs w:val="24"/>
          <w:vertAlign w:val="superscript"/>
        </w:rPr>
        <w:t>1</w:t>
      </w:r>
      <w:r w:rsidR="00DE4CF7" w:rsidRPr="00F07DEB">
        <w:rPr>
          <w:rFonts w:ascii="Times New Roman" w:hAnsi="Times New Roman" w:cs="Times New Roman"/>
          <w:sz w:val="20"/>
          <w:szCs w:val="24"/>
        </w:rPr>
        <w:fldChar w:fldCharType="begin"/>
      </w:r>
      <w:r w:rsidR="00BE45F8" w:rsidRPr="00F07DEB">
        <w:rPr>
          <w:rFonts w:ascii="Times New Roman" w:hAnsi="Times New Roman" w:cs="Times New Roman"/>
          <w:sz w:val="20"/>
          <w:szCs w:val="24"/>
        </w:rPr>
        <w:instrText xml:space="preserve"> ADDIN ZOTERO_ITEM CSL_CITATION {"citationID":"6jBJXNJe","properties":{"formattedCitation":"(USEPA, 2012)","plainCitation":"(USEPA, 2012)","noteIndex":0},"citationItems":[{"id":410,"uris":["http://zotero.org/users/5446453/items/6AD5KZJC"],"uri":["http://zotero.org/users/5446453/items/6AD5KZJC"],"itemData":{"id":410,"type":"report","event-place":"Washington, D.C.","language":"en","number":"EPA/600/R-12/618","page":"643","publisher":"U.S. Environmental Protection Agency Office of Wastewater Management","publisher-place":"Washington, D.C.","source":"Zotero","title":"2012 Guidelines for Water Reuse","URL":"https://www3.epa.gov/region1/npdes/merrimackstation/pdfs/ar/AR-1530.pdf","author":[{"literal":"USEPA"}],"issued":{"date-parts":[["2012",9]]}}}],"schema":"https://github.com/citation-style-language/schema/raw/master/csl-citation.json"} </w:instrText>
      </w:r>
      <w:r w:rsidR="00DE4CF7" w:rsidRPr="00F07DEB">
        <w:rPr>
          <w:rFonts w:ascii="Times New Roman" w:hAnsi="Times New Roman" w:cs="Times New Roman"/>
          <w:sz w:val="20"/>
          <w:szCs w:val="24"/>
        </w:rPr>
        <w:fldChar w:fldCharType="separate"/>
      </w:r>
      <w:r w:rsidR="00234033" w:rsidRPr="00234033">
        <w:rPr>
          <w:rFonts w:ascii="Times New Roman" w:hAnsi="Times New Roman" w:cs="Times New Roman"/>
          <w:sz w:val="20"/>
        </w:rPr>
        <w:t>(USEPA, 2012)</w:t>
      </w:r>
      <w:r w:rsidR="00DE4CF7" w:rsidRPr="00F07DEB">
        <w:rPr>
          <w:rFonts w:ascii="Times New Roman" w:hAnsi="Times New Roman" w:cs="Times New Roman"/>
          <w:sz w:val="20"/>
          <w:szCs w:val="24"/>
        </w:rPr>
        <w:fldChar w:fldCharType="end"/>
      </w:r>
      <w:r w:rsidRPr="00F07DEB">
        <w:rPr>
          <w:rFonts w:ascii="Times New Roman" w:hAnsi="Times New Roman" w:cs="Times New Roman"/>
          <w:sz w:val="20"/>
          <w:szCs w:val="24"/>
        </w:rPr>
        <w:t xml:space="preserve"> </w:t>
      </w:r>
      <w:r w:rsidRPr="00F07DEB">
        <w:rPr>
          <w:rFonts w:ascii="Times New Roman" w:hAnsi="Times New Roman" w:cs="Times New Roman"/>
          <w:sz w:val="20"/>
          <w:szCs w:val="24"/>
          <w:vertAlign w:val="superscript"/>
        </w:rPr>
        <w:t>2</w:t>
      </w:r>
      <w:r w:rsidR="00DE4CF7" w:rsidRPr="00F07DEB">
        <w:rPr>
          <w:rFonts w:ascii="Times New Roman" w:hAnsi="Times New Roman" w:cs="Times New Roman"/>
          <w:sz w:val="20"/>
          <w:szCs w:val="24"/>
        </w:rPr>
        <w:fldChar w:fldCharType="begin"/>
      </w:r>
      <w:r w:rsidR="00C2564D">
        <w:rPr>
          <w:rFonts w:ascii="Times New Roman" w:hAnsi="Times New Roman" w:cs="Times New Roman"/>
          <w:sz w:val="20"/>
          <w:szCs w:val="24"/>
        </w:rPr>
        <w:instrText xml:space="preserve"> ADDIN ZOTERO_ITEM CSL_CITATION {"citationID":"19DsPRTQ","properties":{"formattedCitation":"(Chang et al., 2001)","plainCitation":"(Chang et al., 2001)","noteIndex":0},"citationItems":[{"id":412,"uris":["http://zotero.org/users/5446453/items/QM4Z8T66"],"uri":["http://zotero.org/users/5446453/items/QM4Z8T66"],"itemData":{"id":412,"type":"report","number":"No. WHO/EOS/95.20","page":"13","publisher":"World Health Organization European Environmental Bureau","source":"ResearchGate","title":"Developing human health-related chemical guidelines for reclaimed water and sewage sludge applications in agriculture","author":[{"family":"Chang","given":"Andrew"},{"family":"Pan","given":"Genxing"},{"family":"Page","given":"Albert"},{"family":"Asano","given":"Takashi"}],"issued":{"date-parts":[["2001",1,1]]}}}],"schema":"https://github.com/citation-style-language/schema/raw/master/csl-citation.json"} </w:instrText>
      </w:r>
      <w:r w:rsidR="00DE4CF7" w:rsidRPr="00F07DEB">
        <w:rPr>
          <w:rFonts w:ascii="Times New Roman" w:hAnsi="Times New Roman" w:cs="Times New Roman"/>
          <w:sz w:val="20"/>
          <w:szCs w:val="24"/>
        </w:rPr>
        <w:fldChar w:fldCharType="separate"/>
      </w:r>
      <w:r w:rsidR="00234033" w:rsidRPr="00234033">
        <w:rPr>
          <w:rFonts w:ascii="Times New Roman" w:hAnsi="Times New Roman" w:cs="Times New Roman"/>
          <w:sz w:val="20"/>
        </w:rPr>
        <w:t>(Chang et al., 2001)</w:t>
      </w:r>
      <w:r w:rsidR="00DE4CF7" w:rsidRPr="00F07DEB">
        <w:rPr>
          <w:rFonts w:ascii="Times New Roman" w:hAnsi="Times New Roman" w:cs="Times New Roman"/>
          <w:sz w:val="20"/>
          <w:szCs w:val="24"/>
        </w:rPr>
        <w:fldChar w:fldCharType="end"/>
      </w:r>
      <w:r w:rsidRPr="00F07DEB">
        <w:rPr>
          <w:rFonts w:ascii="Times New Roman" w:hAnsi="Times New Roman" w:cs="Times New Roman"/>
          <w:sz w:val="20"/>
          <w:szCs w:val="24"/>
        </w:rPr>
        <w:t xml:space="preserve"> </w:t>
      </w:r>
      <w:r w:rsidRPr="00F07DEB">
        <w:rPr>
          <w:rFonts w:ascii="Times New Roman" w:hAnsi="Times New Roman" w:cs="Times New Roman"/>
          <w:sz w:val="20"/>
          <w:szCs w:val="24"/>
          <w:vertAlign w:val="superscript"/>
        </w:rPr>
        <w:t>3</w:t>
      </w:r>
      <w:r w:rsidR="00DE4CF7" w:rsidRPr="00F07DEB">
        <w:rPr>
          <w:rFonts w:ascii="Times New Roman" w:hAnsi="Times New Roman" w:cs="Times New Roman"/>
          <w:sz w:val="20"/>
          <w:szCs w:val="24"/>
        </w:rPr>
        <w:fldChar w:fldCharType="begin"/>
      </w:r>
      <w:r w:rsidR="00DE4CF7" w:rsidRPr="00F07DEB">
        <w:rPr>
          <w:rFonts w:ascii="Times New Roman" w:hAnsi="Times New Roman" w:cs="Times New Roman"/>
          <w:sz w:val="20"/>
          <w:szCs w:val="24"/>
        </w:rPr>
        <w:instrText xml:space="preserve"> ADDIN ZOTERO_ITEM CSL_CITATION {"citationID":"yNUIPFQ8","properties":{"formattedCitation":"(Pescod, 1992)","plainCitation":"(Pescod, 1992)","noteIndex":0},"citationItems":[{"id":315,"uris":["http://zotero.org/users/5446453/items/NEYTNK6R"],"uri":["http://zotero.org/users/5446453/items/NEYTNK6R"],"itemData":{"id":315,"type":"webpage","container-title":"Food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schema":"https://github.com/citation-style-language/schema/raw/master/csl-citation.json"} </w:instrText>
      </w:r>
      <w:r w:rsidR="00DE4CF7" w:rsidRPr="00F07DEB">
        <w:rPr>
          <w:rFonts w:ascii="Times New Roman" w:hAnsi="Times New Roman" w:cs="Times New Roman"/>
          <w:sz w:val="20"/>
          <w:szCs w:val="24"/>
        </w:rPr>
        <w:fldChar w:fldCharType="separate"/>
      </w:r>
      <w:r w:rsidR="00234033" w:rsidRPr="00234033">
        <w:rPr>
          <w:rFonts w:ascii="Times New Roman" w:hAnsi="Times New Roman" w:cs="Times New Roman"/>
          <w:sz w:val="20"/>
        </w:rPr>
        <w:t>(</w:t>
      </w:r>
      <w:proofErr w:type="spellStart"/>
      <w:r w:rsidR="00234033" w:rsidRPr="00234033">
        <w:rPr>
          <w:rFonts w:ascii="Times New Roman" w:hAnsi="Times New Roman" w:cs="Times New Roman"/>
          <w:sz w:val="20"/>
        </w:rPr>
        <w:t>Pescod</w:t>
      </w:r>
      <w:proofErr w:type="spellEnd"/>
      <w:r w:rsidR="00234033" w:rsidRPr="00234033">
        <w:rPr>
          <w:rFonts w:ascii="Times New Roman" w:hAnsi="Times New Roman" w:cs="Times New Roman"/>
          <w:sz w:val="20"/>
        </w:rPr>
        <w:t>, 1992)</w:t>
      </w:r>
      <w:r w:rsidR="00DE4CF7" w:rsidRPr="00F07DEB">
        <w:rPr>
          <w:rFonts w:ascii="Times New Roman" w:hAnsi="Times New Roman" w:cs="Times New Roman"/>
          <w:sz w:val="20"/>
          <w:szCs w:val="24"/>
        </w:rPr>
        <w:fldChar w:fldCharType="end"/>
      </w:r>
      <w:r w:rsidRPr="00F07DEB">
        <w:rPr>
          <w:rFonts w:ascii="Times New Roman" w:hAnsi="Times New Roman" w:cs="Times New Roman"/>
          <w:sz w:val="20"/>
          <w:szCs w:val="24"/>
        </w:rPr>
        <w:t xml:space="preserve"> </w:t>
      </w:r>
      <w:r w:rsidRPr="00F07DEB">
        <w:rPr>
          <w:rFonts w:ascii="Times New Roman" w:hAnsi="Times New Roman" w:cs="Times New Roman"/>
          <w:sz w:val="20"/>
          <w:szCs w:val="24"/>
          <w:vertAlign w:val="superscript"/>
        </w:rPr>
        <w:t>4</w:t>
      </w:r>
      <w:r w:rsidR="00DE4CF7" w:rsidRPr="00F07DEB">
        <w:rPr>
          <w:rFonts w:ascii="Times New Roman" w:hAnsi="Times New Roman" w:cs="Times New Roman"/>
          <w:sz w:val="20"/>
          <w:szCs w:val="24"/>
        </w:rPr>
        <w:fldChar w:fldCharType="begin"/>
      </w:r>
      <w:r w:rsidR="00DE4CF7" w:rsidRPr="00F07DEB">
        <w:rPr>
          <w:rFonts w:ascii="Times New Roman" w:hAnsi="Times New Roman" w:cs="Times New Roman"/>
          <w:sz w:val="20"/>
          <w:szCs w:val="24"/>
        </w:rPr>
        <w:instrText xml:space="preserve"> ADDIN ZOTERO_ITEM CSL_CITATION {"citationID":"aFg0aFTq","properties":{"formattedCitation":"(UMass Extension, 2015)","plainCitation":"(UMass Extension, 2015)","noteIndex":0},"citationItems":[{"id":465,"uris":["http://zotero.org/users/5446453/items/4SWD98GG"],"uri":["http://zotero.org/users/5446453/items/4SWD98GG"],"itemData":{"id":465,"type":"webpage","abstract":"Water Quality for Crop Production Irrigation water quality is a critical aspect of greenhouse crop production. There are many factors which determine water quality. Among the most important are alkalinity, pH and soluble salts. But there are several other factors to consider, such as whether hard water salts such as calcium and magnesium or heavy metals that can clog irrigation systems or individual toxic ions are present. In order to determine this, water must be tested at a laboratory that is equipped to test water for agricultural irrigation purposes.","container-title":"Center for Agriculture, Food and the Environment","genre":"Text","language":"en","note":"source: ag.umass.edu","title":"Water Quality for Crop Production","URL":"https://ag.umass.edu/greenhouse-floriculture/greenhouse-best-management-practices-bmp-manual/water-quality-for-crop","author":[{"literal":"UMass Extension"}],"accessed":{"date-parts":[["2020",5,1]]},"issued":{"date-parts":[["2015",4,13]]}}}],"schema":"https://github.com/citation-style-language/schema/raw/master/csl-citation.json"} </w:instrText>
      </w:r>
      <w:r w:rsidR="00DE4CF7" w:rsidRPr="00F07DEB">
        <w:rPr>
          <w:rFonts w:ascii="Times New Roman" w:hAnsi="Times New Roman" w:cs="Times New Roman"/>
          <w:sz w:val="20"/>
          <w:szCs w:val="24"/>
        </w:rPr>
        <w:fldChar w:fldCharType="separate"/>
      </w:r>
      <w:r w:rsidR="00234033" w:rsidRPr="00234033">
        <w:rPr>
          <w:rFonts w:ascii="Times New Roman" w:hAnsi="Times New Roman" w:cs="Times New Roman"/>
          <w:sz w:val="20"/>
        </w:rPr>
        <w:t>(UMass Extension, 2015)</w:t>
      </w:r>
      <w:r w:rsidR="00DE4CF7" w:rsidRPr="00F07DEB">
        <w:rPr>
          <w:rFonts w:ascii="Times New Roman" w:hAnsi="Times New Roman" w:cs="Times New Roman"/>
          <w:sz w:val="20"/>
          <w:szCs w:val="24"/>
        </w:rPr>
        <w:fldChar w:fldCharType="end"/>
      </w:r>
      <w:r w:rsidRPr="00F07DEB">
        <w:rPr>
          <w:rFonts w:ascii="Times New Roman" w:hAnsi="Times New Roman" w:cs="Times New Roman"/>
          <w:sz w:val="20"/>
          <w:szCs w:val="24"/>
        </w:rPr>
        <w:t xml:space="preserve"> </w:t>
      </w:r>
      <w:r w:rsidRPr="00F07DEB">
        <w:rPr>
          <w:rFonts w:ascii="Times New Roman" w:hAnsi="Times New Roman" w:cs="Times New Roman"/>
          <w:sz w:val="20"/>
          <w:szCs w:val="24"/>
          <w:vertAlign w:val="superscript"/>
        </w:rPr>
        <w:t>5</w:t>
      </w:r>
      <w:r w:rsidR="00DE4CF7" w:rsidRPr="00F07DEB">
        <w:rPr>
          <w:rFonts w:ascii="Times New Roman" w:hAnsi="Times New Roman" w:cs="Times New Roman"/>
          <w:sz w:val="20"/>
          <w:szCs w:val="24"/>
        </w:rPr>
        <w:fldChar w:fldCharType="begin"/>
      </w:r>
      <w:r w:rsidR="004B13BE">
        <w:rPr>
          <w:rFonts w:ascii="Times New Roman" w:hAnsi="Times New Roman" w:cs="Times New Roman"/>
          <w:sz w:val="20"/>
          <w:szCs w:val="24"/>
        </w:rPr>
        <w:instrText xml:space="preserve"> ADDIN ZOTERO_ITEM CSL_CITATION {"citationID":"XzGPUC5K","properties":{"formattedCitation":"(Ayers &amp; Westcot, 1985a)","plainCitation":"(Ayers &amp; Westcot, 1985a)","dontUpdate":true,"noteIndex":0},"citationItems":[{"id":415,"uris":["http://zotero.org/users/5446453/items/5W5EXXQA"],"uri":["http://zotero.org/users/5446453/items/5W5EXXQA"],"itemData":{"id":415,"type":"webpage","container-title":"Food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schema":"https://github.com/citation-style-language/schema/raw/master/csl-citation.json"} </w:instrText>
      </w:r>
      <w:r w:rsidR="00DE4CF7" w:rsidRPr="00F07DEB">
        <w:rPr>
          <w:rFonts w:ascii="Times New Roman" w:hAnsi="Times New Roman" w:cs="Times New Roman"/>
          <w:sz w:val="20"/>
          <w:szCs w:val="24"/>
        </w:rPr>
        <w:fldChar w:fldCharType="separate"/>
      </w:r>
      <w:r w:rsidR="00DE4CF7" w:rsidRPr="00F07DEB">
        <w:rPr>
          <w:rFonts w:ascii="Times New Roman" w:hAnsi="Times New Roman" w:cs="Times New Roman"/>
          <w:sz w:val="20"/>
        </w:rPr>
        <w:t xml:space="preserve">(Ayers </w:t>
      </w:r>
      <w:r w:rsidR="002A6AB5">
        <w:rPr>
          <w:rFonts w:ascii="Times New Roman" w:hAnsi="Times New Roman" w:cs="Times New Roman"/>
          <w:sz w:val="20"/>
        </w:rPr>
        <w:t>and</w:t>
      </w:r>
      <w:r w:rsidR="00DE4CF7" w:rsidRPr="00F07DEB">
        <w:rPr>
          <w:rFonts w:ascii="Times New Roman" w:hAnsi="Times New Roman" w:cs="Times New Roman"/>
          <w:sz w:val="20"/>
        </w:rPr>
        <w:t xml:space="preserve"> Westcot, 1985a)</w:t>
      </w:r>
      <w:r w:rsidR="00DE4CF7" w:rsidRPr="00F07DEB">
        <w:rPr>
          <w:rFonts w:ascii="Times New Roman" w:hAnsi="Times New Roman" w:cs="Times New Roman"/>
          <w:sz w:val="20"/>
          <w:szCs w:val="24"/>
        </w:rPr>
        <w:fldChar w:fldCharType="end"/>
      </w:r>
    </w:p>
    <w:p w14:paraId="3E8DFC3A" w14:textId="685E4C8B" w:rsidR="00164B34" w:rsidRPr="00F07DEB" w:rsidRDefault="00641A81" w:rsidP="00164B34">
      <w:pPr>
        <w:spacing w:line="480" w:lineRule="auto"/>
        <w:ind w:firstLine="720"/>
        <w:rPr>
          <w:rFonts w:ascii="Times New Roman" w:hAnsi="Times New Roman" w:cs="Times New Roman"/>
          <w:sz w:val="24"/>
          <w:szCs w:val="24"/>
        </w:rPr>
      </w:pPr>
      <w:r w:rsidRPr="00F07DEB">
        <w:rPr>
          <w:rFonts w:ascii="Times New Roman" w:hAnsi="Times New Roman" w:cs="Times New Roman"/>
          <w:noProof/>
          <w:sz w:val="24"/>
          <w:szCs w:val="24"/>
          <w:lang w:eastAsia="en-US"/>
        </w:rPr>
        <w:lastRenderedPageBreak/>
        <mc:AlternateContent>
          <mc:Choice Requires="wps">
            <w:drawing>
              <wp:anchor distT="0" distB="0" distL="114300" distR="114300" simplePos="0" relativeHeight="251671552" behindDoc="1" locked="0" layoutInCell="1" allowOverlap="1" wp14:anchorId="6A638F76" wp14:editId="58C658E3">
                <wp:simplePos x="0" y="0"/>
                <wp:positionH relativeFrom="column">
                  <wp:posOffset>4727348</wp:posOffset>
                </wp:positionH>
                <wp:positionV relativeFrom="paragraph">
                  <wp:posOffset>6235084</wp:posOffset>
                </wp:positionV>
                <wp:extent cx="914400" cy="374015"/>
                <wp:effectExtent l="0" t="0" r="0" b="6985"/>
                <wp:wrapTight wrapText="bothSides">
                  <wp:wrapPolygon edited="0">
                    <wp:start x="0" y="0"/>
                    <wp:lineTo x="0" y="20903"/>
                    <wp:lineTo x="21150" y="20903"/>
                    <wp:lineTo x="21150" y="0"/>
                    <wp:lineTo x="0" y="0"/>
                  </wp:wrapPolygon>
                </wp:wrapTight>
                <wp:docPr id="41" name="Text Box 41"/>
                <wp:cNvGraphicFramePr/>
                <a:graphic xmlns:a="http://schemas.openxmlformats.org/drawingml/2006/main">
                  <a:graphicData uri="http://schemas.microsoft.com/office/word/2010/wordprocessingShape">
                    <wps:wsp>
                      <wps:cNvSpPr txBox="1"/>
                      <wps:spPr>
                        <a:xfrm>
                          <a:off x="0" y="0"/>
                          <a:ext cx="914400" cy="374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51E88D" w14:textId="77777777" w:rsidR="00757A39" w:rsidRPr="00355EB3" w:rsidRDefault="00757A39" w:rsidP="00252822">
                            <w:pPr>
                              <w:rPr>
                                <w:rFonts w:ascii="Times New Roman" w:hAnsi="Times New Roman" w:cs="Times New Roman"/>
                                <w:sz w:val="24"/>
                                <w:szCs w:val="24"/>
                              </w:rPr>
                            </w:pPr>
                            <w:r w:rsidRPr="00355EB3">
                              <w:rPr>
                                <w:rFonts w:ascii="Times New Roman" w:hAnsi="Times New Roman" w:cs="Times New Roman"/>
                                <w:sz w:val="24"/>
                                <w:szCs w:val="24"/>
                              </w:rPr>
                              <w:t>Equation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638F76" id="_x0000_t202" coordsize="21600,21600" o:spt="202" path="m,l,21600r21600,l21600,xe">
                <v:stroke joinstyle="miter"/>
                <v:path gradientshapeok="t" o:connecttype="rect"/>
              </v:shapetype>
              <v:shape id="Text Box 41" o:spid="_x0000_s1026" type="#_x0000_t202" style="position:absolute;left:0;text-align:left;margin-left:372.25pt;margin-top:490.95pt;width:1in;height:29.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" fillcolor="white [3201]" stroked="f" strokeweight=".5pt">
                <v:textbox>
                  <w:txbxContent>
                    <w:p w14:paraId="4351E88D" w14:textId="77777777" w:rsidR="00757A39" w:rsidRPr="00355EB3" w:rsidRDefault="00757A39" w:rsidP="00252822">
                      <w:pPr>
                        <w:rPr>
                          <w:rFonts w:ascii="Times New Roman" w:hAnsi="Times New Roman" w:cs="Times New Roman"/>
                          <w:sz w:val="24"/>
                          <w:szCs w:val="24"/>
                        </w:rPr>
                      </w:pPr>
                      <w:r w:rsidRPr="00355EB3">
                        <w:rPr>
                          <w:rFonts w:ascii="Times New Roman" w:hAnsi="Times New Roman" w:cs="Times New Roman"/>
                          <w:sz w:val="24"/>
                          <w:szCs w:val="24"/>
                        </w:rPr>
                        <w:t>Equation 1</w:t>
                      </w:r>
                    </w:p>
                  </w:txbxContent>
                </v:textbox>
                <w10:wrap type="tight"/>
              </v:shape>
            </w:pict>
          </mc:Fallback>
        </mc:AlternateContent>
      </w:r>
      <w:r w:rsidR="001E6208" w:rsidRPr="00F07DEB">
        <w:rPr>
          <w:rFonts w:ascii="Times New Roman" w:hAnsi="Times New Roman" w:cs="Times New Roman"/>
          <w:sz w:val="24"/>
          <w:szCs w:val="24"/>
        </w:rPr>
        <w:t>Table</w:t>
      </w:r>
      <w:r w:rsidR="00302814" w:rsidRPr="00F07DEB">
        <w:rPr>
          <w:rFonts w:ascii="Times New Roman" w:hAnsi="Times New Roman" w:cs="Times New Roman"/>
          <w:sz w:val="24"/>
          <w:szCs w:val="24"/>
        </w:rPr>
        <w:t xml:space="preserve"> </w:t>
      </w:r>
      <w:r w:rsidR="00C4755E" w:rsidRPr="00F07DEB">
        <w:rPr>
          <w:rFonts w:ascii="Times New Roman" w:hAnsi="Times New Roman" w:cs="Times New Roman"/>
          <w:sz w:val="24"/>
          <w:szCs w:val="24"/>
        </w:rPr>
        <w:t>4</w:t>
      </w:r>
      <w:r w:rsidR="00302814" w:rsidRPr="00F07DEB">
        <w:rPr>
          <w:rFonts w:ascii="Times New Roman" w:hAnsi="Times New Roman" w:cs="Times New Roman"/>
          <w:sz w:val="24"/>
          <w:szCs w:val="24"/>
        </w:rPr>
        <w:t xml:space="preserve"> provides a more detailed analysis of potential irrigation concerns associated with the electrical conductivity of water (</w:t>
      </w:r>
      <w:proofErr w:type="spellStart"/>
      <w:r w:rsidR="00302814" w:rsidRPr="00F07DEB">
        <w:rPr>
          <w:rFonts w:ascii="Times New Roman" w:hAnsi="Times New Roman" w:cs="Times New Roman"/>
          <w:sz w:val="24"/>
          <w:szCs w:val="24"/>
        </w:rPr>
        <w:t>EC</w:t>
      </w:r>
      <w:r w:rsidR="00302814" w:rsidRPr="00F07DEB">
        <w:rPr>
          <w:rFonts w:ascii="Times New Roman" w:hAnsi="Times New Roman" w:cs="Times New Roman"/>
          <w:sz w:val="24"/>
          <w:szCs w:val="24"/>
          <w:vertAlign w:val="subscript"/>
        </w:rPr>
        <w:t>w</w:t>
      </w:r>
      <w:proofErr w:type="spellEnd"/>
      <w:r w:rsidR="00302814" w:rsidRPr="00F07DEB">
        <w:rPr>
          <w:rFonts w:ascii="Times New Roman" w:hAnsi="Times New Roman" w:cs="Times New Roman"/>
          <w:sz w:val="24"/>
          <w:szCs w:val="24"/>
        </w:rPr>
        <w:t xml:space="preserve">), </w:t>
      </w:r>
      <w:r w:rsidR="00E8621D" w:rsidRPr="00F07DEB">
        <w:rPr>
          <w:rFonts w:ascii="Times New Roman" w:hAnsi="Times New Roman" w:cs="Times New Roman"/>
          <w:sz w:val="24"/>
          <w:szCs w:val="24"/>
        </w:rPr>
        <w:t>adjusted</w:t>
      </w:r>
      <w:r w:rsidR="009678A2">
        <w:rPr>
          <w:rFonts w:ascii="Times New Roman" w:hAnsi="Times New Roman" w:cs="Times New Roman"/>
          <w:sz w:val="24"/>
          <w:szCs w:val="24"/>
        </w:rPr>
        <w:t xml:space="preserve"> sodium adsorption</w:t>
      </w:r>
      <w:r w:rsidR="00302814" w:rsidRPr="00F07DEB">
        <w:rPr>
          <w:rFonts w:ascii="Times New Roman" w:hAnsi="Times New Roman" w:cs="Times New Roman"/>
          <w:sz w:val="24"/>
          <w:szCs w:val="24"/>
        </w:rPr>
        <w:t xml:space="preserve"> ratio (</w:t>
      </w:r>
      <w:proofErr w:type="spellStart"/>
      <w:r w:rsidR="00E8621D" w:rsidRPr="00F07DEB">
        <w:rPr>
          <w:rFonts w:ascii="Times New Roman" w:hAnsi="Times New Roman" w:cs="Times New Roman"/>
          <w:sz w:val="24"/>
          <w:szCs w:val="24"/>
        </w:rPr>
        <w:t>adj</w:t>
      </w:r>
      <w:proofErr w:type="spellEnd"/>
      <w:r w:rsidR="00E8621D" w:rsidRPr="00F07DEB">
        <w:rPr>
          <w:rFonts w:ascii="Times New Roman" w:hAnsi="Times New Roman" w:cs="Times New Roman"/>
          <w:sz w:val="24"/>
          <w:szCs w:val="24"/>
        </w:rPr>
        <w:t xml:space="preserve"> </w:t>
      </w:r>
      <w:r w:rsidR="00302814" w:rsidRPr="00F07DEB">
        <w:rPr>
          <w:rFonts w:ascii="Times New Roman" w:hAnsi="Times New Roman" w:cs="Times New Roman"/>
          <w:sz w:val="24"/>
          <w:szCs w:val="24"/>
        </w:rPr>
        <w:t xml:space="preserve">SAR), and </w:t>
      </w:r>
      <w:r w:rsidR="0046774A" w:rsidRPr="00F07DEB">
        <w:rPr>
          <w:rFonts w:ascii="Times New Roman" w:hAnsi="Times New Roman" w:cs="Times New Roman"/>
          <w:sz w:val="24"/>
          <w:szCs w:val="24"/>
        </w:rPr>
        <w:t xml:space="preserve">concentrations of a few key ions. </w:t>
      </w:r>
      <w:r w:rsidR="00B37B31" w:rsidRPr="00F07DEB">
        <w:rPr>
          <w:rFonts w:ascii="Times New Roman" w:hAnsi="Times New Roman" w:cs="Times New Roman"/>
          <w:sz w:val="24"/>
          <w:szCs w:val="24"/>
        </w:rPr>
        <w:t xml:space="preserve">This table was adapted by the FAO in 1985 from a 1974 University of California publication, and in the decades since has regularly been republished in wastewater reclamation’s seminal works </w:t>
      </w:r>
      <w:r w:rsidR="00B37B31"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{"citationID":"6iHACZrl","properties":{"formattedCitation":"(Ayers &amp; Westcot, 1985a; Pescod, 1992; USEPA, 2012)","plainCitation":"(Ayers &amp; Westcot, 1985a; Pescod, 1992; USEPA, 2012)","dontUpdate":true,"noteIndex":0},"citationItems":[{"id":415,"uris":["http://zotero.org/users/5446453/items/5W5EXXQA"],"uri":["http://zotero.org/users/5446453/items/5W5EXXQA"],"itemData":{"id":415,"type":"webpage","container-title":"Food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id":410,"uris":["http://zotero.org/users/5446453/items/6AD5KZJC"],"uri":["http://zotero.org/users/5446453/items/6AD5KZJC"],"itemData":{"id":410,"type":"report","event-place":"Washington, D.C.","language":"en","number":"EPA/600/R-12/618","page":"643","publisher":"U.S. Environmental Protection Agency Office of Wastewater Management","publisher-place":"Washington, D.C.","source":"Zotero","title":"2012 Guidelines for Water Reuse","URL":"https://www3.epa.gov/region1/npdes/merrimackstation/pdfs/ar/AR-1530.pdf","author":[{"literal":"USEPA"}],"issued":{"date-parts":[["2012",9]]}}}],"schema":"https://github.com/citation-style-language/schema/raw/master/csl-citation.json"} </w:instrText>
      </w:r>
      <w:r w:rsidR="00B37B31" w:rsidRPr="00F07DEB">
        <w:rPr>
          <w:rFonts w:ascii="Times New Roman" w:hAnsi="Times New Roman" w:cs="Times New Roman"/>
          <w:sz w:val="24"/>
          <w:szCs w:val="24"/>
        </w:rPr>
        <w:fldChar w:fldCharType="separate"/>
      </w:r>
      <w:r w:rsidR="00BE45F8" w:rsidRPr="00F07DEB">
        <w:rPr>
          <w:rFonts w:ascii="Times New Roman" w:hAnsi="Times New Roman" w:cs="Times New Roman"/>
          <w:sz w:val="24"/>
        </w:rPr>
        <w:t xml:space="preserve">(Ayers </w:t>
      </w:r>
      <w:r w:rsidR="002A6AB5">
        <w:rPr>
          <w:rFonts w:ascii="Times New Roman" w:hAnsi="Times New Roman" w:cs="Times New Roman"/>
          <w:sz w:val="24"/>
        </w:rPr>
        <w:t>and</w:t>
      </w:r>
      <w:r w:rsidR="00BE45F8" w:rsidRPr="00F07DEB">
        <w:rPr>
          <w:rFonts w:ascii="Times New Roman" w:hAnsi="Times New Roman" w:cs="Times New Roman"/>
          <w:sz w:val="24"/>
        </w:rPr>
        <w:t xml:space="preserve"> Westcot, 1985a; Pescod, 1992; USEPA, 2012)</w:t>
      </w:r>
      <w:r w:rsidR="00B37B31" w:rsidRPr="00F07DEB">
        <w:rPr>
          <w:rFonts w:ascii="Times New Roman" w:hAnsi="Times New Roman" w:cs="Times New Roman"/>
          <w:sz w:val="24"/>
          <w:szCs w:val="24"/>
        </w:rPr>
        <w:fldChar w:fldCharType="end"/>
      </w:r>
      <w:r w:rsidR="00B37B31" w:rsidRPr="00F07DEB">
        <w:rPr>
          <w:rFonts w:ascii="Times New Roman" w:hAnsi="Times New Roman" w:cs="Times New Roman"/>
          <w:sz w:val="24"/>
          <w:szCs w:val="24"/>
        </w:rPr>
        <w:t xml:space="preserve">. </w:t>
      </w:r>
      <w:r w:rsidR="00A76D0F" w:rsidRPr="00F07DEB">
        <w:rPr>
          <w:rFonts w:ascii="Times New Roman" w:hAnsi="Times New Roman" w:cs="Times New Roman"/>
          <w:sz w:val="24"/>
          <w:szCs w:val="24"/>
        </w:rPr>
        <w:t xml:space="preserve">Saline waters, which </w:t>
      </w:r>
      <w:r w:rsidR="00EA6E0E" w:rsidRPr="00F07DEB">
        <w:rPr>
          <w:rFonts w:ascii="Times New Roman" w:hAnsi="Times New Roman" w:cs="Times New Roman"/>
          <w:sz w:val="24"/>
          <w:szCs w:val="24"/>
        </w:rPr>
        <w:t xml:space="preserve">can be </w:t>
      </w:r>
      <w:r w:rsidR="0073416B" w:rsidRPr="00F07DEB">
        <w:rPr>
          <w:rFonts w:ascii="Times New Roman" w:hAnsi="Times New Roman" w:cs="Times New Roman"/>
          <w:sz w:val="24"/>
          <w:szCs w:val="24"/>
        </w:rPr>
        <w:t>characterized</w:t>
      </w:r>
      <w:r w:rsidR="00A76D0F" w:rsidRPr="00F07DEB">
        <w:rPr>
          <w:rFonts w:ascii="Times New Roman" w:hAnsi="Times New Roman" w:cs="Times New Roman"/>
          <w:sz w:val="24"/>
          <w:szCs w:val="24"/>
        </w:rPr>
        <w:t xml:space="preserve"> by elevated electrical conductivities or </w:t>
      </w:r>
      <w:r w:rsidR="00666B9C">
        <w:rPr>
          <w:rFonts w:ascii="Times New Roman" w:hAnsi="Times New Roman" w:cs="Times New Roman"/>
          <w:sz w:val="24"/>
          <w:szCs w:val="24"/>
        </w:rPr>
        <w:t>TDS</w:t>
      </w:r>
      <w:r w:rsidR="00A76D0F" w:rsidRPr="00F07DEB">
        <w:rPr>
          <w:rFonts w:ascii="Times New Roman" w:hAnsi="Times New Roman" w:cs="Times New Roman"/>
          <w:sz w:val="24"/>
          <w:szCs w:val="24"/>
        </w:rPr>
        <w:t xml:space="preserve">, </w:t>
      </w:r>
      <w:r w:rsidR="001F7DFD" w:rsidRPr="00F07DEB">
        <w:rPr>
          <w:rFonts w:ascii="Times New Roman" w:hAnsi="Times New Roman" w:cs="Times New Roman"/>
          <w:sz w:val="24"/>
          <w:szCs w:val="24"/>
        </w:rPr>
        <w:t>deposit salts throughout the soil and reduce water availability in the root zone.</w:t>
      </w:r>
      <w:r>
        <w:rPr>
          <w:rFonts w:ascii="Times New Roman" w:hAnsi="Times New Roman" w:cs="Times New Roman"/>
          <w:sz w:val="24"/>
          <w:szCs w:val="24"/>
        </w:rPr>
        <w:t xml:space="preserve"> Perhaps counterintuitively,</w:t>
      </w:r>
      <w:r w:rsidR="0073416B" w:rsidRPr="00F07DEB">
        <w:rPr>
          <w:rFonts w:ascii="Times New Roman" w:hAnsi="Times New Roman" w:cs="Times New Roman"/>
          <w:sz w:val="24"/>
          <w:szCs w:val="24"/>
        </w:rPr>
        <w:t xml:space="preserve"> increasing the salinity of a water can increase water infiltration into the soil. The relationship between a water’s salinity and </w:t>
      </w:r>
      <w:proofErr w:type="spellStart"/>
      <w:r w:rsidR="00E8621D" w:rsidRPr="00F07DEB">
        <w:rPr>
          <w:rFonts w:ascii="Times New Roman" w:hAnsi="Times New Roman" w:cs="Times New Roman"/>
          <w:sz w:val="24"/>
          <w:szCs w:val="24"/>
        </w:rPr>
        <w:t>adj</w:t>
      </w:r>
      <w:proofErr w:type="spellEnd"/>
      <w:r w:rsidR="00E8621D" w:rsidRPr="00F07DEB">
        <w:rPr>
          <w:rFonts w:ascii="Times New Roman" w:hAnsi="Times New Roman" w:cs="Times New Roman"/>
          <w:sz w:val="24"/>
          <w:szCs w:val="24"/>
        </w:rPr>
        <w:t xml:space="preserve"> </w:t>
      </w:r>
      <w:r w:rsidR="0073416B" w:rsidRPr="00F07DEB">
        <w:rPr>
          <w:rFonts w:ascii="Times New Roman" w:hAnsi="Times New Roman" w:cs="Times New Roman"/>
          <w:sz w:val="24"/>
          <w:szCs w:val="24"/>
        </w:rPr>
        <w:t xml:space="preserve">SAR, which </w:t>
      </w:r>
      <w:r w:rsidR="00D23E63" w:rsidRPr="00F07DEB">
        <w:rPr>
          <w:rFonts w:ascii="Times New Roman" w:hAnsi="Times New Roman" w:cs="Times New Roman"/>
          <w:sz w:val="24"/>
          <w:szCs w:val="24"/>
        </w:rPr>
        <w:t>compares the</w:t>
      </w:r>
      <w:r w:rsidR="00B37B31" w:rsidRPr="00F07DEB">
        <w:rPr>
          <w:rFonts w:ascii="Times New Roman" w:hAnsi="Times New Roman" w:cs="Times New Roman"/>
          <w:sz w:val="24"/>
          <w:szCs w:val="24"/>
        </w:rPr>
        <w:t xml:space="preserve"> </w:t>
      </w:r>
      <w:r w:rsidR="0073416B" w:rsidRPr="00F07DEB">
        <w:rPr>
          <w:rFonts w:ascii="Times New Roman" w:hAnsi="Times New Roman" w:cs="Times New Roman"/>
          <w:sz w:val="24"/>
          <w:szCs w:val="24"/>
        </w:rPr>
        <w:t xml:space="preserve">aqueous </w:t>
      </w:r>
      <w:r w:rsidR="009678A2">
        <w:rPr>
          <w:rFonts w:ascii="Times New Roman" w:hAnsi="Times New Roman" w:cs="Times New Roman"/>
          <w:sz w:val="24"/>
          <w:szCs w:val="24"/>
        </w:rPr>
        <w:t>Na</w:t>
      </w:r>
      <w:r w:rsidR="00D23E63" w:rsidRPr="00F07DEB">
        <w:rPr>
          <w:rFonts w:ascii="Times New Roman" w:hAnsi="Times New Roman" w:cs="Times New Roman"/>
          <w:sz w:val="24"/>
          <w:szCs w:val="24"/>
        </w:rPr>
        <w:t xml:space="preserve"> concentration to the </w:t>
      </w:r>
      <w:r w:rsidR="0073416B" w:rsidRPr="00F07DEB">
        <w:rPr>
          <w:rFonts w:ascii="Times New Roman" w:hAnsi="Times New Roman" w:cs="Times New Roman"/>
          <w:sz w:val="24"/>
          <w:szCs w:val="24"/>
        </w:rPr>
        <w:t xml:space="preserve">aqueous </w:t>
      </w:r>
      <w:r w:rsidR="009678A2">
        <w:rPr>
          <w:rFonts w:ascii="Times New Roman" w:hAnsi="Times New Roman" w:cs="Times New Roman"/>
          <w:sz w:val="24"/>
          <w:szCs w:val="24"/>
        </w:rPr>
        <w:t>Ca</w:t>
      </w:r>
      <w:r w:rsidR="00D23E63" w:rsidRPr="00F07DEB">
        <w:rPr>
          <w:rFonts w:ascii="Times New Roman" w:hAnsi="Times New Roman" w:cs="Times New Roman"/>
          <w:sz w:val="24"/>
          <w:szCs w:val="24"/>
        </w:rPr>
        <w:t xml:space="preserve"> </w:t>
      </w:r>
      <w:r w:rsidR="00B37B31" w:rsidRPr="00F07DEB">
        <w:rPr>
          <w:rFonts w:ascii="Times New Roman" w:hAnsi="Times New Roman" w:cs="Times New Roman"/>
          <w:sz w:val="24"/>
          <w:szCs w:val="24"/>
        </w:rPr>
        <w:t xml:space="preserve">and </w:t>
      </w:r>
      <w:r w:rsidR="009678A2">
        <w:rPr>
          <w:rFonts w:ascii="Times New Roman" w:hAnsi="Times New Roman" w:cs="Times New Roman"/>
          <w:sz w:val="24"/>
          <w:szCs w:val="24"/>
        </w:rPr>
        <w:t>Mg</w:t>
      </w:r>
      <w:r w:rsidR="00B37B31" w:rsidRPr="00F07DEB">
        <w:rPr>
          <w:rFonts w:ascii="Times New Roman" w:hAnsi="Times New Roman" w:cs="Times New Roman"/>
          <w:sz w:val="24"/>
          <w:szCs w:val="24"/>
        </w:rPr>
        <w:t xml:space="preserve"> concentrations</w:t>
      </w:r>
      <w:r w:rsidR="00164B34" w:rsidRPr="00F07DEB">
        <w:rPr>
          <w:rFonts w:ascii="Times New Roman" w:hAnsi="Times New Roman" w:cs="Times New Roman"/>
          <w:sz w:val="24"/>
          <w:szCs w:val="24"/>
        </w:rPr>
        <w:t xml:space="preserve">, dictates the </w:t>
      </w:r>
      <w:r w:rsidR="00CF26B8" w:rsidRPr="00F07DEB">
        <w:rPr>
          <w:rFonts w:ascii="Times New Roman" w:hAnsi="Times New Roman" w:cs="Times New Roman"/>
          <w:sz w:val="24"/>
          <w:szCs w:val="24"/>
        </w:rPr>
        <w:t>infiltration</w:t>
      </w:r>
      <w:r w:rsidR="0073416B" w:rsidRPr="00F07DEB">
        <w:rPr>
          <w:rFonts w:ascii="Times New Roman" w:hAnsi="Times New Roman" w:cs="Times New Roman"/>
          <w:sz w:val="24"/>
          <w:szCs w:val="24"/>
        </w:rPr>
        <w:t xml:space="preserve"> rate</w:t>
      </w:r>
      <w:r w:rsidR="00B37B31" w:rsidRPr="00F07DEB">
        <w:rPr>
          <w:rFonts w:ascii="Times New Roman" w:hAnsi="Times New Roman" w:cs="Times New Roman"/>
          <w:sz w:val="24"/>
          <w:szCs w:val="24"/>
        </w:rPr>
        <w:t xml:space="preserve"> </w:t>
      </w:r>
      <w:r w:rsidR="00B37B31"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{"citationID":"AN1X0Ny7","properties":{"formattedCitation":"(Ayers &amp; Westcot, 1985a)","plainCitation":"(Ayers &amp; Westcot, 1985a)","dontUpdate":true,"noteIndex":0},"citationItems":[{"id":415,"uris":["http://zotero.org/users/5446453/items/5W5EXXQA"],"uri":["http://zotero.org/users/5446453/items/5W5EXXQA"],"itemData":{"id":415,"type":"webpage","container-title":"Food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schema":"https://github.com/citation-style-language/schema/raw/master/csl-citation.json"} </w:instrText>
      </w:r>
      <w:r w:rsidR="00B37B31" w:rsidRPr="00F07DEB">
        <w:rPr>
          <w:rFonts w:ascii="Times New Roman" w:hAnsi="Times New Roman" w:cs="Times New Roman"/>
          <w:sz w:val="24"/>
          <w:szCs w:val="24"/>
        </w:rPr>
        <w:fldChar w:fldCharType="separate"/>
      </w:r>
      <w:r w:rsidR="00B37B31" w:rsidRPr="00F07DEB">
        <w:rPr>
          <w:rFonts w:ascii="Times New Roman" w:hAnsi="Times New Roman" w:cs="Times New Roman"/>
          <w:sz w:val="24"/>
        </w:rPr>
        <w:t xml:space="preserve">(Ayers </w:t>
      </w:r>
      <w:r w:rsidR="002A6AB5">
        <w:rPr>
          <w:rFonts w:ascii="Times New Roman" w:hAnsi="Times New Roman" w:cs="Times New Roman"/>
          <w:sz w:val="24"/>
        </w:rPr>
        <w:t>and</w:t>
      </w:r>
      <w:r w:rsidR="00B37B31" w:rsidRPr="00F07DEB">
        <w:rPr>
          <w:rFonts w:ascii="Times New Roman" w:hAnsi="Times New Roman" w:cs="Times New Roman"/>
          <w:sz w:val="24"/>
        </w:rPr>
        <w:t xml:space="preserve"> Westcot, 1985a)</w:t>
      </w:r>
      <w:r w:rsidR="00B37B31" w:rsidRPr="00F07DEB">
        <w:rPr>
          <w:rFonts w:ascii="Times New Roman" w:hAnsi="Times New Roman" w:cs="Times New Roman"/>
          <w:sz w:val="24"/>
          <w:szCs w:val="24"/>
        </w:rPr>
        <w:fldChar w:fldCharType="end"/>
      </w:r>
      <w:r w:rsidR="00B37B31" w:rsidRPr="00F07DEB">
        <w:rPr>
          <w:rFonts w:ascii="Times New Roman" w:hAnsi="Times New Roman" w:cs="Times New Roman"/>
          <w:sz w:val="24"/>
          <w:szCs w:val="24"/>
        </w:rPr>
        <w:t>.</w:t>
      </w:r>
      <w:r w:rsidR="005923EB" w:rsidRPr="00F07DEB">
        <w:rPr>
          <w:rFonts w:ascii="Times New Roman" w:hAnsi="Times New Roman" w:cs="Times New Roman"/>
          <w:sz w:val="24"/>
          <w:szCs w:val="24"/>
        </w:rPr>
        <w:t xml:space="preserve"> </w:t>
      </w:r>
      <w:r w:rsidR="00640F23" w:rsidRPr="00F07DEB">
        <w:rPr>
          <w:rFonts w:ascii="Times New Roman" w:hAnsi="Times New Roman" w:cs="Times New Roman"/>
          <w:sz w:val="24"/>
          <w:szCs w:val="24"/>
        </w:rPr>
        <w:t>Soil structure breakdown, low permeability, and correspondingly l</w:t>
      </w:r>
      <w:r w:rsidR="009226C3" w:rsidRPr="00F07DEB">
        <w:rPr>
          <w:rFonts w:ascii="Times New Roman" w:hAnsi="Times New Roman" w:cs="Times New Roman"/>
          <w:sz w:val="24"/>
          <w:szCs w:val="24"/>
        </w:rPr>
        <w:t xml:space="preserve">ow infiltration rates </w:t>
      </w:r>
      <w:r w:rsidR="00C438FF" w:rsidRPr="00F07DEB">
        <w:rPr>
          <w:rFonts w:ascii="Times New Roman" w:hAnsi="Times New Roman" w:cs="Times New Roman"/>
          <w:sz w:val="24"/>
          <w:szCs w:val="24"/>
        </w:rPr>
        <w:t>can directly harm crops by promoting shallow root development and stun</w:t>
      </w:r>
      <w:r w:rsidR="008E27E6" w:rsidRPr="00F07DEB">
        <w:rPr>
          <w:rFonts w:ascii="Times New Roman" w:hAnsi="Times New Roman" w:cs="Times New Roman"/>
          <w:sz w:val="24"/>
          <w:szCs w:val="24"/>
        </w:rPr>
        <w:t>ting growth, and</w:t>
      </w:r>
      <w:r w:rsidR="00C438FF" w:rsidRPr="00F07DEB">
        <w:rPr>
          <w:rFonts w:ascii="Times New Roman" w:hAnsi="Times New Roman" w:cs="Times New Roman"/>
          <w:sz w:val="24"/>
          <w:szCs w:val="24"/>
        </w:rPr>
        <w:t xml:space="preserve"> cause indirect damage through ponding, root rot, and anoxic zones</w:t>
      </w:r>
      <w:r w:rsidR="00A9136A" w:rsidRPr="00F07DEB">
        <w:rPr>
          <w:rFonts w:ascii="Times New Roman" w:hAnsi="Times New Roman" w:cs="Times New Roman"/>
          <w:sz w:val="24"/>
          <w:szCs w:val="24"/>
        </w:rPr>
        <w:t xml:space="preserve"> </w:t>
      </w:r>
      <w:r w:rsidR="00A9136A"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{"citationID":"WnN2RNZM","properties":{"formattedCitation":"(Ayers &amp; Westcot, 1985a)","plainCitation":"(Ayers &amp; Westcot, 1985a)","dontUpdate":true,"noteIndex":0},"citationItems":[{"id":415,"uris":["http://zotero.org/users/5446453/items/5W5EXXQA"],"uri":["http://zotero.org/users/5446453/items/5W5EXXQA"],"itemData":{"id":415,"type":"webpage","container-title":"Food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schema":"https://github.com/citation-style-language/schema/raw/master/csl-citation.json"} </w:instrText>
      </w:r>
      <w:r w:rsidR="00A9136A" w:rsidRPr="00F07DEB">
        <w:rPr>
          <w:rFonts w:ascii="Times New Roman" w:hAnsi="Times New Roman" w:cs="Times New Roman"/>
          <w:sz w:val="24"/>
          <w:szCs w:val="24"/>
        </w:rPr>
        <w:fldChar w:fldCharType="separate"/>
      </w:r>
      <w:r w:rsidR="00A9136A" w:rsidRPr="00F07DEB">
        <w:rPr>
          <w:rFonts w:ascii="Times New Roman" w:hAnsi="Times New Roman" w:cs="Times New Roman"/>
          <w:sz w:val="24"/>
        </w:rPr>
        <w:t xml:space="preserve">(Ayers </w:t>
      </w:r>
      <w:r w:rsidR="002A6AB5">
        <w:rPr>
          <w:rFonts w:ascii="Times New Roman" w:hAnsi="Times New Roman" w:cs="Times New Roman"/>
          <w:sz w:val="24"/>
        </w:rPr>
        <w:t>and</w:t>
      </w:r>
      <w:r w:rsidR="00A9136A" w:rsidRPr="00F07DEB">
        <w:rPr>
          <w:rFonts w:ascii="Times New Roman" w:hAnsi="Times New Roman" w:cs="Times New Roman"/>
          <w:sz w:val="24"/>
        </w:rPr>
        <w:t xml:space="preserve"> Westcot, 1985a)</w:t>
      </w:r>
      <w:r w:rsidR="00A9136A" w:rsidRPr="00F07DEB">
        <w:rPr>
          <w:rFonts w:ascii="Times New Roman" w:hAnsi="Times New Roman" w:cs="Times New Roman"/>
          <w:sz w:val="24"/>
          <w:szCs w:val="24"/>
        </w:rPr>
        <w:fldChar w:fldCharType="end"/>
      </w:r>
      <w:r w:rsidR="00C438FF" w:rsidRPr="00F07DEB">
        <w:rPr>
          <w:rFonts w:ascii="Times New Roman" w:hAnsi="Times New Roman" w:cs="Times New Roman"/>
          <w:sz w:val="24"/>
          <w:szCs w:val="24"/>
        </w:rPr>
        <w:t xml:space="preserve">. </w:t>
      </w:r>
      <w:r w:rsidR="008E27E6" w:rsidRPr="00F07DEB">
        <w:rPr>
          <w:rFonts w:ascii="Times New Roman" w:hAnsi="Times New Roman" w:cs="Times New Roman"/>
          <w:sz w:val="24"/>
          <w:szCs w:val="24"/>
        </w:rPr>
        <w:t xml:space="preserve">The calculation for the </w:t>
      </w:r>
      <w:r w:rsidR="00493A63" w:rsidRPr="00F07DEB">
        <w:rPr>
          <w:rFonts w:ascii="Times New Roman" w:hAnsi="Times New Roman" w:cs="Times New Roman"/>
          <w:sz w:val="24"/>
          <w:szCs w:val="24"/>
        </w:rPr>
        <w:t>SAR</w:t>
      </w:r>
      <w:r w:rsidR="00164B34" w:rsidRPr="00F07DEB">
        <w:rPr>
          <w:rFonts w:ascii="Times New Roman" w:hAnsi="Times New Roman" w:cs="Times New Roman"/>
          <w:sz w:val="24"/>
          <w:szCs w:val="24"/>
        </w:rPr>
        <w:t xml:space="preserve"> is presented in </w:t>
      </w:r>
      <w:r w:rsidR="006811C1" w:rsidRPr="00F07DEB">
        <w:rPr>
          <w:rFonts w:ascii="Times New Roman" w:hAnsi="Times New Roman" w:cs="Times New Roman"/>
          <w:sz w:val="24"/>
          <w:szCs w:val="24"/>
        </w:rPr>
        <w:t>E</w:t>
      </w:r>
      <w:r w:rsidR="00493A63" w:rsidRPr="00F07DEB">
        <w:rPr>
          <w:rFonts w:ascii="Times New Roman" w:hAnsi="Times New Roman" w:cs="Times New Roman"/>
          <w:sz w:val="24"/>
          <w:szCs w:val="24"/>
        </w:rPr>
        <w:t>quation 1</w:t>
      </w:r>
      <w:r w:rsidR="00164B34" w:rsidRPr="00F07DEB">
        <w:rPr>
          <w:rFonts w:ascii="Times New Roman" w:hAnsi="Times New Roman" w:cs="Times New Roman"/>
          <w:sz w:val="24"/>
          <w:szCs w:val="24"/>
        </w:rPr>
        <w:t>.</w:t>
      </w:r>
      <w:r w:rsidR="00F112D1" w:rsidRPr="00F07DEB">
        <w:rPr>
          <w:rFonts w:ascii="Times New Roman" w:hAnsi="Times New Roman" w:cs="Times New Roman"/>
          <w:sz w:val="24"/>
          <w:szCs w:val="24"/>
        </w:rPr>
        <w:t xml:space="preserve"> </w:t>
      </w:r>
      <w:r w:rsidR="009678A2">
        <w:rPr>
          <w:rFonts w:ascii="Times New Roman" w:hAnsi="Times New Roman" w:cs="Times New Roman"/>
          <w:sz w:val="24"/>
          <w:szCs w:val="24"/>
        </w:rPr>
        <w:t>Na</w:t>
      </w:r>
      <w:r w:rsidR="00F112D1" w:rsidRPr="00F07DEB">
        <w:rPr>
          <w:rFonts w:ascii="Times New Roman" w:hAnsi="Times New Roman" w:cs="Times New Roman"/>
          <w:sz w:val="24"/>
          <w:szCs w:val="24"/>
        </w:rPr>
        <w:t xml:space="preserve">, </w:t>
      </w:r>
      <w:r w:rsidR="009678A2">
        <w:rPr>
          <w:rFonts w:ascii="Times New Roman" w:hAnsi="Times New Roman" w:cs="Times New Roman"/>
          <w:sz w:val="24"/>
          <w:szCs w:val="24"/>
        </w:rPr>
        <w:t>Ca</w:t>
      </w:r>
      <w:r w:rsidR="00F112D1" w:rsidRPr="00F07DEB">
        <w:rPr>
          <w:rFonts w:ascii="Times New Roman" w:hAnsi="Times New Roman" w:cs="Times New Roman"/>
          <w:sz w:val="24"/>
          <w:szCs w:val="24"/>
        </w:rPr>
        <w:t xml:space="preserve">, and </w:t>
      </w:r>
      <w:r w:rsidR="009678A2">
        <w:rPr>
          <w:rFonts w:ascii="Times New Roman" w:hAnsi="Times New Roman" w:cs="Times New Roman"/>
          <w:sz w:val="24"/>
          <w:szCs w:val="24"/>
        </w:rPr>
        <w:t>Mg</w:t>
      </w:r>
      <w:r w:rsidR="00F112D1" w:rsidRPr="00F07DEB">
        <w:rPr>
          <w:rFonts w:ascii="Times New Roman" w:hAnsi="Times New Roman" w:cs="Times New Roman"/>
          <w:sz w:val="24"/>
          <w:szCs w:val="24"/>
        </w:rPr>
        <w:t xml:space="preserve"> concentrations in the irrigation water are measured in </w:t>
      </w:r>
      <w:proofErr w:type="spellStart"/>
      <w:r w:rsidR="00F112D1" w:rsidRPr="00F07DEB">
        <w:rPr>
          <w:rFonts w:ascii="Times New Roman" w:hAnsi="Times New Roman" w:cs="Times New Roman"/>
          <w:sz w:val="24"/>
          <w:szCs w:val="24"/>
        </w:rPr>
        <w:t>me</w:t>
      </w:r>
      <w:r w:rsidR="00D301C0" w:rsidRPr="00F07DEB">
        <w:rPr>
          <w:rFonts w:ascii="Times New Roman" w:hAnsi="Times New Roman" w:cs="Times New Roman"/>
          <w:sz w:val="24"/>
          <w:szCs w:val="24"/>
        </w:rPr>
        <w:t>q</w:t>
      </w:r>
      <w:proofErr w:type="spellEnd"/>
      <w:r w:rsidR="00F112D1" w:rsidRPr="00F07DEB">
        <w:rPr>
          <w:rFonts w:ascii="Times New Roman" w:hAnsi="Times New Roman" w:cs="Times New Roman"/>
          <w:sz w:val="24"/>
          <w:szCs w:val="24"/>
        </w:rPr>
        <w:t>/L.</w:t>
      </w:r>
      <w:r w:rsidR="00E8621D" w:rsidRPr="00F07DEB">
        <w:rPr>
          <w:rFonts w:ascii="Times New Roman" w:hAnsi="Times New Roman" w:cs="Times New Roman"/>
          <w:sz w:val="24"/>
          <w:szCs w:val="24"/>
        </w:rPr>
        <w:t xml:space="preserve"> </w:t>
      </w:r>
      <w:proofErr w:type="spellStart"/>
      <w:r w:rsidR="00E8621D" w:rsidRPr="00F07DEB">
        <w:rPr>
          <w:rFonts w:ascii="Times New Roman" w:hAnsi="Times New Roman" w:cs="Times New Roman"/>
          <w:sz w:val="24"/>
          <w:szCs w:val="24"/>
        </w:rPr>
        <w:t>Ca</w:t>
      </w:r>
      <w:r w:rsidR="00E8621D" w:rsidRPr="00F07DEB">
        <w:rPr>
          <w:rFonts w:ascii="Times New Roman" w:hAnsi="Times New Roman" w:cs="Times New Roman"/>
          <w:sz w:val="24"/>
          <w:szCs w:val="24"/>
          <w:vertAlign w:val="subscript"/>
        </w:rPr>
        <w:t>x</w:t>
      </w:r>
      <w:proofErr w:type="spellEnd"/>
      <w:r w:rsidR="00E8621D" w:rsidRPr="00F07DEB">
        <w:rPr>
          <w:rFonts w:ascii="Times New Roman" w:hAnsi="Times New Roman" w:cs="Times New Roman"/>
          <w:sz w:val="24"/>
          <w:szCs w:val="24"/>
        </w:rPr>
        <w:t xml:space="preserve"> is an estimate of the equilibrium soil-water </w:t>
      </w:r>
      <w:r w:rsidR="009678A2">
        <w:rPr>
          <w:rFonts w:ascii="Times New Roman" w:hAnsi="Times New Roman" w:cs="Times New Roman"/>
          <w:sz w:val="24"/>
          <w:szCs w:val="24"/>
        </w:rPr>
        <w:t>Ca</w:t>
      </w:r>
      <w:r w:rsidR="00E8621D" w:rsidRPr="00F07DEB">
        <w:rPr>
          <w:rFonts w:ascii="Times New Roman" w:hAnsi="Times New Roman" w:cs="Times New Roman"/>
          <w:sz w:val="24"/>
          <w:szCs w:val="24"/>
        </w:rPr>
        <w:t xml:space="preserve"> concentration after irrigation, which is influenced by the water’s carbonate equilibria and electrical conductivity </w:t>
      </w:r>
      <w:r w:rsidR="00E8621D"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{"citationID":"c0IF7aW4","properties":{"formattedCitation":"(Ayers &amp; Westcot, 1985a)","plainCitation":"(Ayers &amp; Westcot, 1985a)","dontUpdate":true,"noteIndex":0},"citationItems":[{"id":415,"uris":["http://zotero.org/users/5446453/items/5W5EXXQA"],"uri":["http://zotero.org/users/5446453/items/5W5EXXQA"],"itemData":{"id":415,"type":"webpage","container-title":"Food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schema":"https://github.com/citation-style-language/schema/raw/master/csl-citation.json"} </w:instrText>
      </w:r>
      <w:r w:rsidR="00E8621D" w:rsidRPr="00F07DEB">
        <w:rPr>
          <w:rFonts w:ascii="Times New Roman" w:hAnsi="Times New Roman" w:cs="Times New Roman"/>
          <w:sz w:val="24"/>
          <w:szCs w:val="24"/>
        </w:rPr>
        <w:fldChar w:fldCharType="separate"/>
      </w:r>
      <w:r w:rsidR="00E8621D" w:rsidRPr="00F07DEB">
        <w:rPr>
          <w:rFonts w:ascii="Times New Roman" w:hAnsi="Times New Roman" w:cs="Times New Roman"/>
          <w:sz w:val="24"/>
        </w:rPr>
        <w:t xml:space="preserve">(Ayers </w:t>
      </w:r>
      <w:r w:rsidR="002A6AB5">
        <w:rPr>
          <w:rFonts w:ascii="Times New Roman" w:hAnsi="Times New Roman" w:cs="Times New Roman"/>
          <w:sz w:val="24"/>
        </w:rPr>
        <w:t>and</w:t>
      </w:r>
      <w:r w:rsidR="00E8621D" w:rsidRPr="00F07DEB">
        <w:rPr>
          <w:rFonts w:ascii="Times New Roman" w:hAnsi="Times New Roman" w:cs="Times New Roman"/>
          <w:sz w:val="24"/>
        </w:rPr>
        <w:t xml:space="preserve"> Westcot, 1985a)</w:t>
      </w:r>
      <w:r w:rsidR="00E8621D" w:rsidRPr="00F07DEB">
        <w:rPr>
          <w:rFonts w:ascii="Times New Roman" w:hAnsi="Times New Roman" w:cs="Times New Roman"/>
          <w:sz w:val="24"/>
          <w:szCs w:val="24"/>
        </w:rPr>
        <w:fldChar w:fldCharType="end"/>
      </w:r>
      <w:r w:rsidR="00E8621D" w:rsidRPr="00F07DEB">
        <w:rPr>
          <w:rFonts w:ascii="Times New Roman" w:hAnsi="Times New Roman" w:cs="Times New Roman"/>
          <w:sz w:val="24"/>
          <w:szCs w:val="24"/>
        </w:rPr>
        <w:t>.</w:t>
      </w:r>
      <w:r w:rsidR="00252822" w:rsidRPr="00252822">
        <w:rPr>
          <w:rFonts w:ascii="Times New Roman" w:hAnsi="Times New Roman" w:cs="Times New Roman"/>
          <w:noProof/>
          <w:sz w:val="24"/>
          <w:szCs w:val="24"/>
          <w:lang w:eastAsia="en-US"/>
        </w:rPr>
        <w:t xml:space="preserve"> </w:t>
      </w:r>
    </w:p>
    <w:p w14:paraId="71A91A9F" w14:textId="12C691F7" w:rsidR="002955B6" w:rsidRPr="00F07DEB" w:rsidRDefault="002955B6" w:rsidP="002955B6">
      <w:pPr>
        <w:spacing w:line="480" w:lineRule="auto"/>
        <w:ind w:firstLine="720"/>
        <w:rPr>
          <w:rFonts w:ascii="Times New Roman" w:hAnsi="Times New Roman" w:cs="Times New Roman"/>
          <w:sz w:val="24"/>
          <w:szCs w:val="24"/>
        </w:rPr>
      </w:pPr>
      <m:oMathPara>
        <m:oMathParaPr>
          <m:jc m:val="left"/>
        </m:oMathParaPr>
        <m:oMath>
          <m:r>
            <w:rPr>
              <w:rFonts w:ascii="Cambria Math" w:hAnsi="Cambria Math" w:cs="Times New Roman"/>
              <w:sz w:val="24"/>
              <w:szCs w:val="24"/>
            </w:rPr>
            <m:t>adj SAR=</m:t>
          </m:r>
          <m:f>
            <m:fPr>
              <m:ctrlPr>
                <w:rPr>
                  <w:rFonts w:ascii="Cambria Math" w:hAnsi="Cambria Math" w:cs="Times New Roman"/>
                  <w:i/>
                  <w:sz w:val="24"/>
                  <w:szCs w:val="24"/>
                </w:rPr>
              </m:ctrlPr>
            </m:fPr>
            <m:num>
              <m:r>
                <w:rPr>
                  <w:rFonts w:ascii="Cambria Math" w:hAnsi="Cambria Math" w:cs="Times New Roman"/>
                  <w:sz w:val="24"/>
                  <w:szCs w:val="24"/>
                </w:rPr>
                <m:t>Na</m:t>
              </m:r>
            </m:num>
            <m:den>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Ca</m:t>
                          </m:r>
                        </m:e>
                        <m:sub>
                          <m:r>
                            <w:rPr>
                              <w:rFonts w:ascii="Cambria Math" w:hAnsi="Cambria Math" w:cs="Times New Roman"/>
                              <w:sz w:val="24"/>
                              <w:szCs w:val="24"/>
                            </w:rPr>
                            <m:t>x</m:t>
                          </m:r>
                        </m:sub>
                      </m:sSub>
                      <m:r>
                        <w:rPr>
                          <w:rFonts w:ascii="Cambria Math" w:hAnsi="Cambria Math" w:cs="Times New Roman"/>
                          <w:sz w:val="24"/>
                          <w:szCs w:val="24"/>
                        </w:rPr>
                        <m:t>+Mg</m:t>
                      </m:r>
                    </m:num>
                    <m:den>
                      <m:r>
                        <w:rPr>
                          <w:rFonts w:ascii="Cambria Math" w:hAnsi="Cambria Math" w:cs="Times New Roman"/>
                          <w:sz w:val="24"/>
                          <w:szCs w:val="24"/>
                        </w:rPr>
                        <m:t>2</m:t>
                      </m:r>
                    </m:den>
                  </m:f>
                </m:e>
              </m:rad>
            </m:den>
          </m:f>
        </m:oMath>
      </m:oMathPara>
    </w:p>
    <w:p w14:paraId="2ACC4EED" w14:textId="2945CCE8" w:rsidR="000C3519" w:rsidRPr="00F07DEB" w:rsidRDefault="00D26EC1" w:rsidP="00641A81">
      <w:pPr>
        <w:spacing w:line="480" w:lineRule="auto"/>
        <w:ind w:firstLine="720"/>
        <w:rPr>
          <w:rFonts w:ascii="Times New Roman" w:hAnsi="Times New Roman" w:cs="Times New Roman"/>
          <w:b/>
          <w:sz w:val="20"/>
          <w:szCs w:val="20"/>
        </w:rPr>
      </w:pPr>
      <w:r w:rsidRPr="00F07DEB">
        <w:rPr>
          <w:rFonts w:ascii="Times New Roman" w:hAnsi="Times New Roman" w:cs="Times New Roman"/>
          <w:sz w:val="24"/>
          <w:szCs w:val="24"/>
        </w:rPr>
        <w:t xml:space="preserve">Table </w:t>
      </w:r>
      <w:r w:rsidR="00C4755E" w:rsidRPr="00F07DEB">
        <w:rPr>
          <w:rFonts w:ascii="Times New Roman" w:hAnsi="Times New Roman" w:cs="Times New Roman"/>
          <w:sz w:val="24"/>
          <w:szCs w:val="24"/>
        </w:rPr>
        <w:t>4</w:t>
      </w:r>
      <w:r w:rsidRPr="00F07DEB">
        <w:rPr>
          <w:rFonts w:ascii="Times New Roman" w:hAnsi="Times New Roman" w:cs="Times New Roman"/>
          <w:sz w:val="24"/>
          <w:szCs w:val="24"/>
        </w:rPr>
        <w:t xml:space="preserve"> outlines the risks associated with </w:t>
      </w:r>
      <w:r w:rsidR="009678A2">
        <w:rPr>
          <w:rFonts w:ascii="Times New Roman" w:hAnsi="Times New Roman" w:cs="Times New Roman"/>
          <w:sz w:val="24"/>
          <w:szCs w:val="24"/>
        </w:rPr>
        <w:t>Na</w:t>
      </w:r>
      <w:r w:rsidRPr="00F07DEB">
        <w:rPr>
          <w:rFonts w:ascii="Times New Roman" w:hAnsi="Times New Roman" w:cs="Times New Roman"/>
          <w:sz w:val="24"/>
          <w:szCs w:val="24"/>
        </w:rPr>
        <w:t xml:space="preserve">, </w:t>
      </w:r>
      <w:r w:rsidR="009678A2">
        <w:rPr>
          <w:rFonts w:ascii="Times New Roman" w:hAnsi="Times New Roman" w:cs="Times New Roman"/>
          <w:sz w:val="24"/>
          <w:szCs w:val="24"/>
        </w:rPr>
        <w:t>Cl</w:t>
      </w:r>
      <w:r w:rsidR="009678A2" w:rsidRPr="009678A2">
        <w:rPr>
          <w:rFonts w:ascii="Times New Roman" w:hAnsi="Times New Roman" w:cs="Times New Roman"/>
          <w:sz w:val="24"/>
          <w:szCs w:val="24"/>
          <w:vertAlign w:val="superscript"/>
        </w:rPr>
        <w:t>-</w:t>
      </w:r>
      <w:r w:rsidRPr="00F07DEB">
        <w:rPr>
          <w:rFonts w:ascii="Times New Roman" w:hAnsi="Times New Roman" w:cs="Times New Roman"/>
          <w:sz w:val="24"/>
          <w:szCs w:val="24"/>
        </w:rPr>
        <w:t xml:space="preserve">, and </w:t>
      </w:r>
      <w:r w:rsidR="009678A2">
        <w:rPr>
          <w:rFonts w:ascii="Times New Roman" w:hAnsi="Times New Roman" w:cs="Times New Roman"/>
          <w:sz w:val="24"/>
          <w:szCs w:val="24"/>
        </w:rPr>
        <w:t>B</w:t>
      </w:r>
      <w:r w:rsidRPr="00F07DEB">
        <w:rPr>
          <w:rFonts w:ascii="Times New Roman" w:hAnsi="Times New Roman" w:cs="Times New Roman"/>
          <w:sz w:val="24"/>
          <w:szCs w:val="24"/>
        </w:rPr>
        <w:t xml:space="preserve"> concentrations in irrigation water.</w:t>
      </w:r>
      <w:r w:rsidR="00B0739E" w:rsidRPr="00F07DEB">
        <w:rPr>
          <w:rFonts w:ascii="Times New Roman" w:hAnsi="Times New Roman" w:cs="Times New Roman"/>
          <w:sz w:val="24"/>
          <w:szCs w:val="24"/>
        </w:rPr>
        <w:t xml:space="preserve"> </w:t>
      </w:r>
      <w:r w:rsidR="007E428E" w:rsidRPr="00F07DEB">
        <w:rPr>
          <w:rFonts w:ascii="Times New Roman" w:hAnsi="Times New Roman" w:cs="Times New Roman"/>
          <w:sz w:val="24"/>
          <w:szCs w:val="24"/>
        </w:rPr>
        <w:t xml:space="preserve">The impact of specific ion toxicity on crop yield depends on complex interactions between species tolerance, climate, soil type, irrigation practice, and </w:t>
      </w:r>
      <w:r w:rsidR="00A3572F" w:rsidRPr="00F07DEB">
        <w:rPr>
          <w:rFonts w:ascii="Times New Roman" w:hAnsi="Times New Roman" w:cs="Times New Roman"/>
          <w:sz w:val="24"/>
          <w:szCs w:val="24"/>
        </w:rPr>
        <w:t xml:space="preserve">irrigation water composition, but researchers have made great strides in understanding the mechanisms of </w:t>
      </w:r>
      <w:r w:rsidR="00A3572F" w:rsidRPr="00F07DEB">
        <w:rPr>
          <w:rFonts w:ascii="Times New Roman" w:hAnsi="Times New Roman" w:cs="Times New Roman"/>
          <w:sz w:val="24"/>
          <w:szCs w:val="24"/>
        </w:rPr>
        <w:lastRenderedPageBreak/>
        <w:t xml:space="preserve">toxicity. </w:t>
      </w:r>
      <w:r w:rsidR="00B0739E" w:rsidRPr="00F07DEB">
        <w:rPr>
          <w:rFonts w:ascii="Times New Roman" w:hAnsi="Times New Roman" w:cs="Times New Roman"/>
          <w:sz w:val="24"/>
          <w:szCs w:val="24"/>
        </w:rPr>
        <w:t xml:space="preserve">Researchers have shown that </w:t>
      </w:r>
      <w:r w:rsidR="009678A2">
        <w:rPr>
          <w:rFonts w:ascii="Times New Roman" w:hAnsi="Times New Roman" w:cs="Times New Roman"/>
          <w:sz w:val="24"/>
          <w:szCs w:val="24"/>
        </w:rPr>
        <w:t>Na</w:t>
      </w:r>
      <w:r w:rsidR="00B0739E" w:rsidRPr="00F07DEB">
        <w:rPr>
          <w:rFonts w:ascii="Times New Roman" w:hAnsi="Times New Roman" w:cs="Times New Roman"/>
          <w:sz w:val="24"/>
          <w:szCs w:val="24"/>
        </w:rPr>
        <w:t xml:space="preserve"> toxicity in corn is a result of the ion</w:t>
      </w:r>
      <w:r w:rsidR="00626A24" w:rsidRPr="00F07DEB">
        <w:rPr>
          <w:rFonts w:ascii="Times New Roman" w:hAnsi="Times New Roman" w:cs="Times New Roman"/>
          <w:sz w:val="24"/>
          <w:szCs w:val="24"/>
        </w:rPr>
        <w:t>’</w:t>
      </w:r>
      <w:r w:rsidR="00B0739E" w:rsidRPr="00F07DEB">
        <w:rPr>
          <w:rFonts w:ascii="Times New Roman" w:hAnsi="Times New Roman" w:cs="Times New Roman"/>
          <w:sz w:val="24"/>
          <w:szCs w:val="24"/>
        </w:rPr>
        <w:t xml:space="preserve">s ability to disrupt </w:t>
      </w:r>
      <w:r w:rsidR="006945EB" w:rsidRPr="00F07DEB">
        <w:rPr>
          <w:rFonts w:ascii="Times New Roman" w:hAnsi="Times New Roman" w:cs="Times New Roman"/>
          <w:sz w:val="24"/>
          <w:szCs w:val="24"/>
        </w:rPr>
        <w:t xml:space="preserve">the </w:t>
      </w:r>
      <w:r w:rsidR="00B0739E" w:rsidRPr="00F07DEB">
        <w:rPr>
          <w:rFonts w:ascii="Times New Roman" w:hAnsi="Times New Roman" w:cs="Times New Roman"/>
          <w:sz w:val="24"/>
          <w:szCs w:val="24"/>
        </w:rPr>
        <w:t>uptake and translocation</w:t>
      </w:r>
      <w:r w:rsidR="006945EB" w:rsidRPr="00F07DEB">
        <w:rPr>
          <w:rFonts w:ascii="Times New Roman" w:hAnsi="Times New Roman" w:cs="Times New Roman"/>
          <w:sz w:val="24"/>
          <w:szCs w:val="24"/>
        </w:rPr>
        <w:t xml:space="preserve"> of </w:t>
      </w:r>
      <w:r w:rsidR="009678A2">
        <w:rPr>
          <w:rFonts w:ascii="Times New Roman" w:hAnsi="Times New Roman" w:cs="Times New Roman"/>
          <w:sz w:val="24"/>
          <w:szCs w:val="24"/>
        </w:rPr>
        <w:t>K</w:t>
      </w:r>
      <w:r w:rsidR="006945EB" w:rsidRPr="00F07DEB">
        <w:rPr>
          <w:rFonts w:ascii="Times New Roman" w:hAnsi="Times New Roman" w:cs="Times New Roman"/>
          <w:sz w:val="24"/>
          <w:szCs w:val="24"/>
        </w:rPr>
        <w:t>, a key macronutrient</w:t>
      </w:r>
      <w:r w:rsidR="00626A24" w:rsidRPr="00F07DEB">
        <w:rPr>
          <w:rFonts w:ascii="Times New Roman" w:hAnsi="Times New Roman" w:cs="Times New Roman"/>
          <w:sz w:val="24"/>
          <w:szCs w:val="24"/>
        </w:rPr>
        <w:t xml:space="preserve"> </w:t>
      </w:r>
      <w:r w:rsidR="00626A24"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{"citationID":"8qbQlGFu","properties":{"formattedCitation":"(Botella et al., 1997; Drew &amp; Dikumwin, 1985)","plainCitation":"(Botella et al., 1997; Drew &amp; Dikumwin, 1985)","dontUpdate":true,"noteIndex":0},"citationItems":[{"id":690,"uris":["http://zotero.org/users/5446453/items/I28FEXWT"],"uri":["http://zotero.org/users/5446453/items/I28FEXWT"],"itemData":{"id":690,"type":"article-journal","abstract":"Maize (Zea mays L.) plants were grown in ½ Hoagland nutrient solutions to study the effect of two K+ levels (0.1 and 1 mmol/L) combined with low (0.1mmol/L) and high NaCl salinity (100mmol/L) on K+ uptake and translocation. Net uptake rates of K+ were determined by disappearance in the medium and by plant content. Salinity significantly decreased shoot growth when the level of K+ in the solution was 0.1 mmol/L, probably due to a salinity-induced K+ deficiency. NaCl reduced K+ net uptake rates and to a greater extent K+ translocation from root to shoot, which resulted in a lower K+ shoot content and a higher K+ root content. The inhibitory effect of salinity on K+ translocation was stronger with low K+ concentration in the nutrient solution. Net uptake of K+ was dependent on K+ concentration in the root medium and on K+ status of the root.","container-title":"Journal of Plant Physiology","DOI":"10.1016/S0176-1617(97)80203-9","ISSN":"0176-1617","issue":"1","journalAbbreviation":"Journal of Plant Physiology","language":"en","page":"200-205","source":"ScienceDirect","title":"Salinity induced potassium deficiency in maize plants","volume":"150","author":[{"family":"Botella","given":"M. A."},{"family":"Martinez","given":"V."},{"family":"Pardines","given":"J."},{"family":"Cerdá","given":"A."}],"issued":{"date-parts":[["1997",1,1]]}}},{"id":693,"uris":["http://zotero.org/users/5446453/items/LTP4I5UH"],"uri":["http://zotero.org/users/5446453/items/LTP4I5UH"],"itemData":{"id":693,"type":"article-journal","abstract":"Abstract.  The effects of sodium chloride salinity and root oxygen deficiency (anoxia) were studied in 11-12d old maize plants (Zea mays L. cv. LG 11) in nutrie","container-title":"Journal of Experimental Botany","DOI":"10.1093/jxb/36.1.55","ISSN":"0022-0957","issue":"1","journalAbbreviation":"J Exp Bot","language":"en","note":"publisher: Oxford Academic","page":"55-62","source":"academic.oup.com","title":"Sodium Exclusion from the Shoots by Roots of Zea mays (cv. LG 11) and its Breakdown with Oxygen Deficiency","volume":"36","author":[{"family":"Drew","given":"M. C."},{"family":"Dikumwin","given":"E."}],"issued":{"date-parts":[["1985",1,1]]}}}],"schema":"https://github.com/citation-style-language/schema/raw/master/csl-citation.json"} </w:instrText>
      </w:r>
      <w:r w:rsidR="00626A24" w:rsidRPr="00F07DEB">
        <w:rPr>
          <w:rFonts w:ascii="Times New Roman" w:hAnsi="Times New Roman" w:cs="Times New Roman"/>
          <w:sz w:val="24"/>
          <w:szCs w:val="24"/>
        </w:rPr>
        <w:fldChar w:fldCharType="separate"/>
      </w:r>
      <w:r w:rsidR="00467595" w:rsidRPr="00F07DEB">
        <w:rPr>
          <w:rFonts w:ascii="Times New Roman" w:hAnsi="Times New Roman" w:cs="Times New Roman"/>
          <w:sz w:val="24"/>
        </w:rPr>
        <w:t xml:space="preserve">(Botella et al., 1997; Drew </w:t>
      </w:r>
      <w:r w:rsidR="002A6AB5">
        <w:rPr>
          <w:rFonts w:ascii="Times New Roman" w:hAnsi="Times New Roman" w:cs="Times New Roman"/>
          <w:sz w:val="24"/>
        </w:rPr>
        <w:t>and</w:t>
      </w:r>
      <w:r w:rsidR="00467595" w:rsidRPr="00F07DEB">
        <w:rPr>
          <w:rFonts w:ascii="Times New Roman" w:hAnsi="Times New Roman" w:cs="Times New Roman"/>
          <w:sz w:val="24"/>
        </w:rPr>
        <w:t xml:space="preserve"> Dikumwin, 1985)</w:t>
      </w:r>
      <w:r w:rsidR="00626A24" w:rsidRPr="00F07DEB">
        <w:rPr>
          <w:rFonts w:ascii="Times New Roman" w:hAnsi="Times New Roman" w:cs="Times New Roman"/>
          <w:sz w:val="24"/>
          <w:szCs w:val="24"/>
        </w:rPr>
        <w:fldChar w:fldCharType="end"/>
      </w:r>
      <w:r w:rsidR="00626A24" w:rsidRPr="00F07DEB">
        <w:rPr>
          <w:rFonts w:ascii="Times New Roman" w:hAnsi="Times New Roman" w:cs="Times New Roman"/>
          <w:sz w:val="24"/>
          <w:szCs w:val="24"/>
        </w:rPr>
        <w:t xml:space="preserve">. As </w:t>
      </w:r>
      <w:r w:rsidR="009678A2">
        <w:rPr>
          <w:rFonts w:ascii="Times New Roman" w:hAnsi="Times New Roman" w:cs="Times New Roman"/>
          <w:sz w:val="24"/>
          <w:szCs w:val="24"/>
        </w:rPr>
        <w:t>Na</w:t>
      </w:r>
      <w:r w:rsidR="00626A24" w:rsidRPr="00F07DEB">
        <w:rPr>
          <w:rFonts w:ascii="Times New Roman" w:hAnsi="Times New Roman" w:cs="Times New Roman"/>
          <w:sz w:val="24"/>
          <w:szCs w:val="24"/>
        </w:rPr>
        <w:t xml:space="preserve"> concentrations increase in the</w:t>
      </w:r>
      <w:r w:rsidR="000B7A7B" w:rsidRPr="00F07DEB">
        <w:rPr>
          <w:rFonts w:ascii="Times New Roman" w:hAnsi="Times New Roman" w:cs="Times New Roman"/>
          <w:sz w:val="24"/>
          <w:szCs w:val="24"/>
        </w:rPr>
        <w:t xml:space="preserve"> irrigation solution, </w:t>
      </w:r>
      <w:proofErr w:type="spellStart"/>
      <w:r w:rsidR="000B7A7B" w:rsidRPr="00F07DEB">
        <w:rPr>
          <w:rFonts w:ascii="Times New Roman" w:hAnsi="Times New Roman" w:cs="Times New Roman"/>
          <w:i/>
          <w:sz w:val="24"/>
          <w:szCs w:val="24"/>
        </w:rPr>
        <w:t>Zea</w:t>
      </w:r>
      <w:proofErr w:type="spellEnd"/>
      <w:r w:rsidR="000B7A7B" w:rsidRPr="00F07DEB">
        <w:rPr>
          <w:rFonts w:ascii="Times New Roman" w:hAnsi="Times New Roman" w:cs="Times New Roman"/>
          <w:i/>
          <w:sz w:val="24"/>
          <w:szCs w:val="24"/>
        </w:rPr>
        <w:t xml:space="preserve"> mays</w:t>
      </w:r>
      <w:r w:rsidR="000B7A7B" w:rsidRPr="00F07DEB">
        <w:rPr>
          <w:rFonts w:ascii="Times New Roman" w:hAnsi="Times New Roman" w:cs="Times New Roman"/>
          <w:sz w:val="24"/>
          <w:szCs w:val="24"/>
        </w:rPr>
        <w:t xml:space="preserve"> grows less capable of excluding </w:t>
      </w:r>
      <w:r w:rsidR="009678A2">
        <w:rPr>
          <w:rFonts w:ascii="Times New Roman" w:hAnsi="Times New Roman" w:cs="Times New Roman"/>
          <w:sz w:val="24"/>
          <w:szCs w:val="24"/>
        </w:rPr>
        <w:t>Na</w:t>
      </w:r>
      <w:r w:rsidR="000B7A7B" w:rsidRPr="00F07DEB">
        <w:rPr>
          <w:rFonts w:ascii="Times New Roman" w:hAnsi="Times New Roman" w:cs="Times New Roman"/>
          <w:sz w:val="24"/>
          <w:szCs w:val="24"/>
        </w:rPr>
        <w:t xml:space="preserve"> at the roots; </w:t>
      </w:r>
      <w:r w:rsidR="009678A2">
        <w:rPr>
          <w:rFonts w:ascii="Times New Roman" w:hAnsi="Times New Roman" w:cs="Times New Roman"/>
          <w:sz w:val="24"/>
          <w:szCs w:val="24"/>
        </w:rPr>
        <w:t>Na</w:t>
      </w:r>
      <w:r w:rsidR="000B7A7B" w:rsidRPr="00F07DEB">
        <w:rPr>
          <w:rFonts w:ascii="Times New Roman" w:hAnsi="Times New Roman" w:cs="Times New Roman"/>
          <w:sz w:val="24"/>
          <w:szCs w:val="24"/>
        </w:rPr>
        <w:t xml:space="preserve"> predominance in the roots and shoots is exacerbated by anoxia, which impedes </w:t>
      </w:r>
      <w:r w:rsidR="009678A2">
        <w:rPr>
          <w:rFonts w:ascii="Times New Roman" w:hAnsi="Times New Roman" w:cs="Times New Roman"/>
          <w:sz w:val="24"/>
          <w:szCs w:val="24"/>
        </w:rPr>
        <w:t>K</w:t>
      </w:r>
      <w:r w:rsidR="0096492E" w:rsidRPr="00F07DEB">
        <w:rPr>
          <w:rFonts w:ascii="Times New Roman" w:hAnsi="Times New Roman" w:cs="Times New Roman"/>
          <w:sz w:val="24"/>
          <w:szCs w:val="24"/>
        </w:rPr>
        <w:t xml:space="preserve"> transport into and through the plant</w:t>
      </w:r>
      <w:r w:rsidR="000B7A7B" w:rsidRPr="00F07DEB">
        <w:rPr>
          <w:rFonts w:ascii="Times New Roman" w:hAnsi="Times New Roman" w:cs="Times New Roman"/>
          <w:sz w:val="24"/>
          <w:szCs w:val="24"/>
        </w:rPr>
        <w:t xml:space="preserve"> </w:t>
      </w:r>
      <w:r w:rsidR="00701075"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{"citationID":"YUz8D2eL","properties":{"formattedCitation":"(Drew &amp; Dikumwin, 1985)","plainCitation":"(Drew &amp; Dikumwin, 1985)","dontUpdate":true,"noteIndex":0},"citationItems":[{"id":693,"uris":["http://zotero.org/users/5446453/items/LTP4I5UH"],"uri":["http://zotero.org/users/5446453/items/LTP4I5UH"],"itemData":{"id":693,"type":"article-journal","abstract":"Abstract.  The effects of sodium chloride salinity and root oxygen deficiency (anoxia) were studied in 11-12d old maize plants (Zea mays L. cv. LG 11) in nutrie","container-title":"Journal of Experimental Botany","DOI":"10.1093/jxb/36.1.55","ISSN":"0022-0957","issue":"1","journalAbbreviation":"J Exp Bot","language":"en","note":"publisher: Oxford Academic","page":"55-62","source":"academic.oup.com","title":"Sodium Exclusion from the Shoots by Roots of Zea mays (cv. LG 11) and its Breakdown with Oxygen Deficiency","volume":"36","author":[{"family":"Drew","given":"M. C."},{"family":"Dikumwin","given":"E."}],"issued":{"date-parts":[["1985",1,1]]}}}],"schema":"https://github.com/citation-style-language/schema/raw/master/csl-citation.json"} </w:instrText>
      </w:r>
      <w:r w:rsidR="00701075" w:rsidRPr="00F07DEB">
        <w:rPr>
          <w:rFonts w:ascii="Times New Roman" w:hAnsi="Times New Roman" w:cs="Times New Roman"/>
          <w:sz w:val="24"/>
          <w:szCs w:val="24"/>
        </w:rPr>
        <w:fldChar w:fldCharType="separate"/>
      </w:r>
      <w:r w:rsidR="00701075" w:rsidRPr="00F07DEB">
        <w:rPr>
          <w:rFonts w:ascii="Times New Roman" w:hAnsi="Times New Roman" w:cs="Times New Roman"/>
          <w:sz w:val="24"/>
        </w:rPr>
        <w:t xml:space="preserve">(Drew </w:t>
      </w:r>
      <w:r w:rsidR="002A6AB5">
        <w:rPr>
          <w:rFonts w:ascii="Times New Roman" w:hAnsi="Times New Roman" w:cs="Times New Roman"/>
          <w:sz w:val="24"/>
        </w:rPr>
        <w:t>and</w:t>
      </w:r>
      <w:r w:rsidR="00701075" w:rsidRPr="00F07DEB">
        <w:rPr>
          <w:rFonts w:ascii="Times New Roman" w:hAnsi="Times New Roman" w:cs="Times New Roman"/>
          <w:sz w:val="24"/>
        </w:rPr>
        <w:t xml:space="preserve"> Dikumwin, 1985)</w:t>
      </w:r>
      <w:r w:rsidR="00701075" w:rsidRPr="00F07DEB">
        <w:rPr>
          <w:rFonts w:ascii="Times New Roman" w:hAnsi="Times New Roman" w:cs="Times New Roman"/>
          <w:sz w:val="24"/>
          <w:szCs w:val="24"/>
        </w:rPr>
        <w:fldChar w:fldCharType="end"/>
      </w:r>
      <w:r w:rsidR="000B7A7B" w:rsidRPr="00F07DEB">
        <w:rPr>
          <w:rFonts w:ascii="Times New Roman" w:hAnsi="Times New Roman" w:cs="Times New Roman"/>
          <w:sz w:val="24"/>
          <w:szCs w:val="24"/>
        </w:rPr>
        <w:t>.</w:t>
      </w:r>
      <w:r w:rsidR="0096492E" w:rsidRPr="00F07DEB">
        <w:rPr>
          <w:rFonts w:ascii="Times New Roman" w:hAnsi="Times New Roman" w:cs="Times New Roman"/>
          <w:sz w:val="24"/>
          <w:szCs w:val="24"/>
        </w:rPr>
        <w:t xml:space="preserve"> Salt-tolerant hybrids can reduce </w:t>
      </w:r>
      <w:r w:rsidR="009678A2">
        <w:rPr>
          <w:rFonts w:ascii="Times New Roman" w:hAnsi="Times New Roman" w:cs="Times New Roman"/>
          <w:sz w:val="24"/>
          <w:szCs w:val="24"/>
        </w:rPr>
        <w:t>Na</w:t>
      </w:r>
      <w:r w:rsidR="0096492E" w:rsidRPr="00F07DEB">
        <w:rPr>
          <w:rFonts w:ascii="Times New Roman" w:hAnsi="Times New Roman" w:cs="Times New Roman"/>
          <w:sz w:val="24"/>
          <w:szCs w:val="24"/>
        </w:rPr>
        <w:t xml:space="preserve"> toxicity by sequestering the ion in older leaves and shedding these lower leaves, </w:t>
      </w:r>
      <w:r w:rsidR="00E64114" w:rsidRPr="00F07DEB">
        <w:rPr>
          <w:rFonts w:ascii="Times New Roman" w:hAnsi="Times New Roman" w:cs="Times New Roman"/>
          <w:sz w:val="24"/>
          <w:szCs w:val="24"/>
        </w:rPr>
        <w:t>but more sensitive strains exhibit a variety of physiological symptoms after three days of salt stress: diminished chlorophyll counts, slowed photosynthesis, and lower biomass water content</w:t>
      </w:r>
      <w:r w:rsidR="00530363" w:rsidRPr="00F07DEB">
        <w:rPr>
          <w:rFonts w:ascii="Times New Roman" w:hAnsi="Times New Roman" w:cs="Times New Roman"/>
          <w:sz w:val="24"/>
          <w:szCs w:val="24"/>
        </w:rPr>
        <w:t xml:space="preserve"> </w:t>
      </w:r>
      <w:r w:rsidR="00530363" w:rsidRPr="00F07DEB">
        <w:rPr>
          <w:rFonts w:ascii="Times New Roman" w:hAnsi="Times New Roman" w:cs="Times New Roman"/>
          <w:sz w:val="24"/>
          <w:szCs w:val="24"/>
        </w:rPr>
        <w:fldChar w:fldCharType="begin"/>
      </w:r>
      <w:r w:rsidR="0085353D" w:rsidRPr="00F07DEB">
        <w:rPr>
          <w:rFonts w:ascii="Times New Roman" w:hAnsi="Times New Roman" w:cs="Times New Roman"/>
          <w:sz w:val="24"/>
          <w:szCs w:val="24"/>
        </w:rPr>
        <w:instrText xml:space="preserve"> ADDIN ZOTERO_ITEM CSL_CITATION {"citationID":"kJ3fMNWY","properties":{"formattedCitation":"(Gao et al., 2016)","plainCitation":"(Gao et al., 2016)","noteIndex":0},"citationItems":[{"id":695,"uris":["http://zotero.org/users/5446453/items/HMBDQ5TZ"],"uri":["http://zotero.org/users/5446453/items/HMBDQ5TZ"],"itemData":{"id":695,"type":"article-journal","abstract":"Maize is moderately sensitive to salt stress; therefore, soil salinity is a serious threat to its production worldwide. Here, excellent salt-tolerant maize inbred line TL1317 and extremely salt-sensitive maize inbred line SL1303 were screened to understand the maize response to salt stress and its tolerance mechanisms. Relative water content, membrane stability index, stomatal conductance, chlorophyll content, maximum photochemical efficiency, photochemical efficiency, shoot and root fresh/dry weight, and proline and water soluble sugar content analyses were used to identify that the physiological effects of osmotic stress of salt stress were obvious and manifested at about 3 days after salt stress in maize. Moreover, the ion concentration of two maize inbred lines revealed that the salt-tolerant maize inbred line could maintain low Na+ concentration by accumulating Na+ in old leaves and gradually shedding them to exclude excessive Na+. Furthermore, the K+ uptake and retention abilities of roots were important in maintaining K+ homeostasis for salt tolerance in maize. RNA-seq and qPCR results revealed some Na+/H+ antiporter genes and Ca2+ transport genes were up-regulated faster and higher in TL1317 than those in SL1303. Some K+ transport genes were down-regulated in SL1303 but up-regulated in TL1317. RNA-seq results, along with the phenotype and physiological results, suggested that the salt-tolerant maize inbred line TL1317 possesses more rapidly and effectively responses to remove toxic Na+ ions and maintain K+ under salt stress than the salt-sensitive maize inbred line SL1303. This response should facilitate cell homoeostasis under salt stress and result in salt tolerance in TL1317.","container-title":"Frontiers in Plant Science","DOI":"10.3389/fpls.2016.01716","ISSN":"1664-462X","issue":"1716","journalAbbreviation":"Front. Plant Sci.","language":"English","note":"publisher: Frontiers","page":"1-15","source":"Frontiers","title":"Ability to Remove Na+ and Retain K+ Correlates with Salt Tolerance in Two Maize Inbred Lines Seedlings","volume":"7","author":[{"family":"Gao","given":"Yong"},{"family":"Lu","given":"Yi"},{"family":"Wu","given":"Meiqin"},{"family":"Liang","given":"Enxing"},{"family":"Li","given":"Yan"},{"family":"Zhang","given":"Dongping"},{"family":"Yin","given":"Zhitong"},{"family":"Ren","given":"Xiaoyun"},{"family":"Dai","given":"Yi"},{"family":"Deng","given":"Dexiang"},{"family":"Chen","given":"Jianmin"}],"issued":{"date-parts":[["2016",11,16]]}}}],"schema":"https://github.com/citation-style-language/schema/raw/master/csl-citation.json"} </w:instrText>
      </w:r>
      <w:r w:rsidR="00530363"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(Gao et al., 2016)</w:t>
      </w:r>
      <w:r w:rsidR="00530363" w:rsidRPr="00F07DEB">
        <w:rPr>
          <w:rFonts w:ascii="Times New Roman" w:hAnsi="Times New Roman" w:cs="Times New Roman"/>
          <w:sz w:val="24"/>
          <w:szCs w:val="24"/>
        </w:rPr>
        <w:fldChar w:fldCharType="end"/>
      </w:r>
      <w:r w:rsidR="00E64114" w:rsidRPr="00F07DEB">
        <w:rPr>
          <w:rFonts w:ascii="Times New Roman" w:hAnsi="Times New Roman" w:cs="Times New Roman"/>
          <w:sz w:val="24"/>
          <w:szCs w:val="24"/>
        </w:rPr>
        <w:t>.</w:t>
      </w:r>
      <w:r w:rsidR="000F3908" w:rsidRPr="00F07DEB">
        <w:rPr>
          <w:rFonts w:ascii="Times New Roman" w:hAnsi="Times New Roman" w:cs="Times New Roman"/>
          <w:sz w:val="24"/>
          <w:szCs w:val="24"/>
        </w:rPr>
        <w:t xml:space="preserve"> </w:t>
      </w:r>
      <w:bookmarkStart w:id="12" w:name="_Ref55915669"/>
    </w:p>
    <w:p w14:paraId="47E8C21E" w14:textId="3F5F967B" w:rsidR="00602F91" w:rsidRPr="00F07DEB" w:rsidRDefault="00602F91" w:rsidP="00204C13">
      <w:pPr>
        <w:pStyle w:val="Caption"/>
      </w:pPr>
      <w:bookmarkStart w:id="13" w:name="_Toc58975190"/>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4</w:t>
      </w:r>
      <w:r w:rsidR="00DE3B90" w:rsidRPr="00F07DEB">
        <w:rPr>
          <w:noProof/>
        </w:rPr>
        <w:fldChar w:fldCharType="end"/>
      </w:r>
      <w:bookmarkEnd w:id="12"/>
      <w:r w:rsidR="0051506B">
        <w:t>: Guidelines for interpretations of water quality for i</w:t>
      </w:r>
      <w:r w:rsidRPr="00F07DEB">
        <w:t xml:space="preserve">rrigation </w:t>
      </w:r>
      <w:r w:rsidR="00795934" w:rsidRPr="00F07DEB">
        <w:t xml:space="preserve">(Ayers </w:t>
      </w:r>
      <w:r w:rsidR="002A6AB5">
        <w:t>and</w:t>
      </w:r>
      <w:r w:rsidR="00795934" w:rsidRPr="00F07DEB">
        <w:t xml:space="preserve"> </w:t>
      </w:r>
      <w:proofErr w:type="spellStart"/>
      <w:r w:rsidR="00795934" w:rsidRPr="00F07DEB">
        <w:t>Westcot</w:t>
      </w:r>
      <w:proofErr w:type="spellEnd"/>
      <w:r w:rsidRPr="00F07DEB">
        <w:t>, 1985</w:t>
      </w:r>
      <w:r w:rsidR="00795934" w:rsidRPr="00F07DEB">
        <w:t>a</w:t>
      </w:r>
      <w:r w:rsidRPr="00F07DEB">
        <w:t>)</w:t>
      </w:r>
      <w:bookmarkEnd w:id="13"/>
    </w:p>
    <w:tbl>
      <w:tblPr>
        <w:tblW w:w="5000" w:type="pct"/>
        <w:tblLook w:val="04A0" w:firstRow="1" w:lastRow="0" w:firstColumn="1" w:lastColumn="0" w:noHBand="0" w:noVBand="1"/>
      </w:tblPr>
      <w:tblGrid>
        <w:gridCol w:w="945"/>
        <w:gridCol w:w="2334"/>
        <w:gridCol w:w="1331"/>
        <w:gridCol w:w="1319"/>
        <w:gridCol w:w="1959"/>
        <w:gridCol w:w="1472"/>
      </w:tblGrid>
      <w:tr w:rsidR="00F8101B" w:rsidRPr="00F07DEB" w14:paraId="3E46F565" w14:textId="77777777" w:rsidTr="000C3519">
        <w:trPr>
          <w:trHeight w:val="317"/>
        </w:trPr>
        <w:tc>
          <w:tcPr>
            <w:tcW w:w="1713" w:type="pct"/>
            <w:gridSpan w:val="2"/>
            <w:vMerge w:val="restart"/>
            <w:tcBorders>
              <w:top w:val="single" w:sz="8" w:space="0" w:color="auto"/>
              <w:left w:val="nil"/>
              <w:bottom w:val="nil"/>
              <w:right w:val="nil"/>
            </w:tcBorders>
            <w:noWrap/>
            <w:vAlign w:val="center"/>
            <w:hideMark/>
          </w:tcPr>
          <w:p w14:paraId="570BCBEC" w14:textId="77777777" w:rsidR="00F8101B" w:rsidRPr="00F07DEB" w:rsidRDefault="00F8101B" w:rsidP="00F07DEB">
            <w:pPr>
              <w:spacing w:after="0"/>
              <w:rPr>
                <w:rFonts w:ascii="Times New Roman" w:eastAsia="Times New Roman" w:hAnsi="Times New Roman" w:cs="Times New Roman"/>
                <w:sz w:val="20"/>
                <w:szCs w:val="20"/>
                <w:lang w:eastAsia="en-US"/>
              </w:rPr>
            </w:pPr>
            <w:r w:rsidRPr="00F07DEB">
              <w:rPr>
                <w:rFonts w:ascii="Times New Roman" w:eastAsia="Times New Roman" w:hAnsi="Times New Roman" w:cs="Times New Roman"/>
                <w:sz w:val="20"/>
                <w:szCs w:val="20"/>
                <w:lang w:eastAsia="en-US"/>
              </w:rPr>
              <w:t>Potential Irrigation Problem</w:t>
            </w:r>
          </w:p>
        </w:tc>
        <w:tc>
          <w:tcPr>
            <w:tcW w:w="721" w:type="pct"/>
            <w:vMerge w:val="restart"/>
            <w:tcBorders>
              <w:top w:val="single" w:sz="8" w:space="0" w:color="auto"/>
              <w:left w:val="nil"/>
              <w:bottom w:val="nil"/>
              <w:right w:val="nil"/>
            </w:tcBorders>
            <w:noWrap/>
            <w:vAlign w:val="center"/>
            <w:hideMark/>
          </w:tcPr>
          <w:p w14:paraId="7A9B0435" w14:textId="77777777" w:rsidR="00F8101B" w:rsidRPr="00F07DEB" w:rsidRDefault="00F8101B" w:rsidP="00F07DEB">
            <w:pPr>
              <w:spacing w:after="0"/>
              <w:rPr>
                <w:rFonts w:ascii="Times New Roman" w:eastAsia="Times New Roman" w:hAnsi="Times New Roman" w:cs="Times New Roman"/>
                <w:sz w:val="20"/>
                <w:szCs w:val="20"/>
                <w:lang w:eastAsia="en-US"/>
              </w:rPr>
            </w:pPr>
            <w:r w:rsidRPr="00F07DEB">
              <w:rPr>
                <w:rFonts w:ascii="Times New Roman" w:eastAsia="Times New Roman" w:hAnsi="Times New Roman" w:cs="Times New Roman"/>
                <w:sz w:val="20"/>
                <w:szCs w:val="20"/>
                <w:lang w:eastAsia="en-US"/>
              </w:rPr>
              <w:t>Units</w:t>
            </w:r>
          </w:p>
        </w:tc>
        <w:tc>
          <w:tcPr>
            <w:tcW w:w="2566" w:type="pct"/>
            <w:gridSpan w:val="3"/>
            <w:tcBorders>
              <w:top w:val="single" w:sz="8" w:space="0" w:color="auto"/>
              <w:left w:val="nil"/>
              <w:bottom w:val="single" w:sz="8" w:space="0" w:color="auto"/>
              <w:right w:val="nil"/>
            </w:tcBorders>
            <w:noWrap/>
            <w:vAlign w:val="center"/>
            <w:hideMark/>
          </w:tcPr>
          <w:p w14:paraId="27FD5F8A" w14:textId="77777777" w:rsidR="00F8101B" w:rsidRPr="00F07DEB" w:rsidRDefault="00F8101B" w:rsidP="00F07DEB">
            <w:pPr>
              <w:spacing w:after="0"/>
              <w:jc w:val="center"/>
              <w:rPr>
                <w:rFonts w:ascii="Times New Roman" w:eastAsia="Times New Roman" w:hAnsi="Times New Roman" w:cs="Times New Roman"/>
                <w:sz w:val="20"/>
                <w:szCs w:val="20"/>
                <w:lang w:eastAsia="en-US"/>
              </w:rPr>
            </w:pPr>
            <w:r w:rsidRPr="00F07DEB">
              <w:rPr>
                <w:rFonts w:ascii="Times New Roman" w:eastAsia="Times New Roman" w:hAnsi="Times New Roman" w:cs="Times New Roman"/>
                <w:sz w:val="20"/>
                <w:szCs w:val="20"/>
                <w:lang w:eastAsia="en-US"/>
              </w:rPr>
              <w:t>Degree of Restriction on Irrigation</w:t>
            </w:r>
          </w:p>
        </w:tc>
      </w:tr>
      <w:tr w:rsidR="00F8101B" w:rsidRPr="00F07DEB" w14:paraId="21B23E15" w14:textId="77777777" w:rsidTr="000C3519">
        <w:trPr>
          <w:trHeight w:val="317"/>
        </w:trPr>
        <w:tc>
          <w:tcPr>
            <w:tcW w:w="1713" w:type="pct"/>
            <w:gridSpan w:val="2"/>
            <w:vMerge/>
            <w:tcBorders>
              <w:top w:val="nil"/>
              <w:left w:val="nil"/>
              <w:bottom w:val="nil"/>
              <w:right w:val="nil"/>
            </w:tcBorders>
            <w:vAlign w:val="center"/>
            <w:hideMark/>
          </w:tcPr>
          <w:p w14:paraId="4340E960" w14:textId="77777777" w:rsidR="00F8101B" w:rsidRPr="00F07DEB" w:rsidRDefault="00F8101B" w:rsidP="00F07DEB">
            <w:pPr>
              <w:spacing w:after="0"/>
              <w:rPr>
                <w:rFonts w:ascii="Times New Roman" w:eastAsia="Times New Roman" w:hAnsi="Times New Roman" w:cs="Times New Roman"/>
                <w:sz w:val="20"/>
                <w:szCs w:val="20"/>
                <w:lang w:eastAsia="en-US"/>
              </w:rPr>
            </w:pPr>
          </w:p>
        </w:tc>
        <w:tc>
          <w:tcPr>
            <w:tcW w:w="721" w:type="pct"/>
            <w:vMerge/>
            <w:tcBorders>
              <w:top w:val="nil"/>
              <w:left w:val="nil"/>
              <w:bottom w:val="nil"/>
              <w:right w:val="nil"/>
            </w:tcBorders>
            <w:vAlign w:val="center"/>
            <w:hideMark/>
          </w:tcPr>
          <w:p w14:paraId="2C45DEDE" w14:textId="77777777" w:rsidR="00F8101B" w:rsidRPr="00F07DEB" w:rsidRDefault="00F8101B" w:rsidP="00F07DEB">
            <w:pPr>
              <w:spacing w:after="0"/>
              <w:rPr>
                <w:rFonts w:ascii="Times New Roman" w:eastAsia="Times New Roman" w:hAnsi="Times New Roman" w:cs="Times New Roman"/>
                <w:sz w:val="20"/>
                <w:szCs w:val="20"/>
                <w:lang w:eastAsia="en-US"/>
              </w:rPr>
            </w:pPr>
          </w:p>
        </w:tc>
        <w:tc>
          <w:tcPr>
            <w:tcW w:w="714" w:type="pct"/>
            <w:tcBorders>
              <w:top w:val="single" w:sz="8" w:space="0" w:color="auto"/>
              <w:left w:val="nil"/>
              <w:bottom w:val="nil"/>
              <w:right w:val="nil"/>
            </w:tcBorders>
            <w:noWrap/>
            <w:vAlign w:val="center"/>
            <w:hideMark/>
          </w:tcPr>
          <w:p w14:paraId="0F83C012" w14:textId="77777777" w:rsidR="00F8101B" w:rsidRPr="00F07DEB" w:rsidRDefault="00F8101B" w:rsidP="00F07DEB">
            <w:pPr>
              <w:spacing w:after="0"/>
              <w:rPr>
                <w:rFonts w:ascii="Times New Roman" w:eastAsia="Times New Roman" w:hAnsi="Times New Roman" w:cs="Times New Roman"/>
                <w:sz w:val="20"/>
                <w:szCs w:val="20"/>
                <w:lang w:eastAsia="en-US"/>
              </w:rPr>
            </w:pPr>
            <w:r w:rsidRPr="00F07DEB">
              <w:rPr>
                <w:rFonts w:ascii="Times New Roman" w:eastAsia="Times New Roman" w:hAnsi="Times New Roman" w:cs="Times New Roman"/>
                <w:sz w:val="20"/>
                <w:szCs w:val="20"/>
                <w:lang w:eastAsia="en-US"/>
              </w:rPr>
              <w:t>None</w:t>
            </w:r>
          </w:p>
        </w:tc>
        <w:tc>
          <w:tcPr>
            <w:tcW w:w="1056" w:type="pct"/>
            <w:tcBorders>
              <w:top w:val="single" w:sz="8" w:space="0" w:color="auto"/>
              <w:left w:val="nil"/>
              <w:bottom w:val="nil"/>
              <w:right w:val="nil"/>
            </w:tcBorders>
            <w:noWrap/>
            <w:vAlign w:val="center"/>
            <w:hideMark/>
          </w:tcPr>
          <w:p w14:paraId="4C6C28B6" w14:textId="77777777" w:rsidR="00F8101B" w:rsidRPr="00F07DEB" w:rsidRDefault="00F8101B" w:rsidP="00F07DEB">
            <w:pPr>
              <w:spacing w:after="0"/>
              <w:rPr>
                <w:rFonts w:ascii="Times New Roman" w:eastAsia="Times New Roman" w:hAnsi="Times New Roman" w:cs="Times New Roman"/>
                <w:sz w:val="20"/>
                <w:szCs w:val="20"/>
                <w:lang w:eastAsia="en-US"/>
              </w:rPr>
            </w:pPr>
            <w:r w:rsidRPr="00F07DEB">
              <w:rPr>
                <w:rFonts w:ascii="Times New Roman" w:eastAsia="Times New Roman" w:hAnsi="Times New Roman" w:cs="Times New Roman"/>
                <w:sz w:val="20"/>
                <w:szCs w:val="20"/>
                <w:lang w:eastAsia="en-US"/>
              </w:rPr>
              <w:t>Slight to Moderate</w:t>
            </w:r>
          </w:p>
        </w:tc>
        <w:tc>
          <w:tcPr>
            <w:tcW w:w="796" w:type="pct"/>
            <w:tcBorders>
              <w:top w:val="single" w:sz="8" w:space="0" w:color="auto"/>
              <w:left w:val="nil"/>
              <w:bottom w:val="single" w:sz="8" w:space="0" w:color="auto"/>
              <w:right w:val="nil"/>
            </w:tcBorders>
            <w:noWrap/>
            <w:vAlign w:val="center"/>
            <w:hideMark/>
          </w:tcPr>
          <w:p w14:paraId="6C62B478" w14:textId="77777777" w:rsidR="00F8101B" w:rsidRPr="00F07DEB" w:rsidRDefault="00F8101B" w:rsidP="00F07DEB">
            <w:pPr>
              <w:spacing w:after="0"/>
              <w:rPr>
                <w:rFonts w:ascii="Times New Roman" w:eastAsia="Times New Roman" w:hAnsi="Times New Roman" w:cs="Times New Roman"/>
                <w:sz w:val="20"/>
                <w:szCs w:val="20"/>
                <w:lang w:eastAsia="en-US"/>
              </w:rPr>
            </w:pPr>
            <w:r w:rsidRPr="00F07DEB">
              <w:rPr>
                <w:rFonts w:ascii="Times New Roman" w:eastAsia="Times New Roman" w:hAnsi="Times New Roman" w:cs="Times New Roman"/>
                <w:sz w:val="20"/>
                <w:szCs w:val="20"/>
                <w:lang w:eastAsia="en-US"/>
              </w:rPr>
              <w:t>Severe</w:t>
            </w:r>
          </w:p>
        </w:tc>
      </w:tr>
      <w:tr w:rsidR="00F8101B" w:rsidRPr="00F07DEB" w14:paraId="190C1D1F" w14:textId="77777777" w:rsidTr="00641A81">
        <w:trPr>
          <w:trHeight w:val="302"/>
        </w:trPr>
        <w:tc>
          <w:tcPr>
            <w:tcW w:w="5000" w:type="pct"/>
            <w:gridSpan w:val="6"/>
            <w:tcBorders>
              <w:top w:val="single" w:sz="8" w:space="0" w:color="auto"/>
              <w:left w:val="nil"/>
              <w:bottom w:val="nil"/>
              <w:right w:val="nil"/>
            </w:tcBorders>
            <w:noWrap/>
            <w:vAlign w:val="center"/>
            <w:hideMark/>
          </w:tcPr>
          <w:p w14:paraId="4E04610D"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b/>
                <w:bCs/>
                <w:color w:val="000000"/>
                <w:sz w:val="20"/>
                <w:szCs w:val="20"/>
                <w:lang w:eastAsia="en-US"/>
              </w:rPr>
              <w:t>Salinity</w:t>
            </w:r>
            <w:r w:rsidRPr="00F07DEB">
              <w:rPr>
                <w:rFonts w:ascii="Times New Roman" w:eastAsia="Times New Roman" w:hAnsi="Times New Roman" w:cs="Times New Roman"/>
                <w:color w:val="000000"/>
                <w:sz w:val="20"/>
                <w:szCs w:val="20"/>
                <w:lang w:eastAsia="en-US"/>
              </w:rPr>
              <w:t xml:space="preserve"> (affects crop water availability)</w:t>
            </w:r>
          </w:p>
        </w:tc>
      </w:tr>
      <w:tr w:rsidR="00F8101B" w:rsidRPr="00F07DEB" w14:paraId="7677A22B" w14:textId="77777777" w:rsidTr="00641A81">
        <w:trPr>
          <w:trHeight w:val="302"/>
        </w:trPr>
        <w:tc>
          <w:tcPr>
            <w:tcW w:w="456" w:type="pct"/>
            <w:tcBorders>
              <w:top w:val="nil"/>
              <w:left w:val="nil"/>
              <w:bottom w:val="nil"/>
              <w:right w:val="nil"/>
            </w:tcBorders>
            <w:noWrap/>
            <w:vAlign w:val="center"/>
            <w:hideMark/>
          </w:tcPr>
          <w:p w14:paraId="00C5E93C"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57" w:type="pct"/>
            <w:tcBorders>
              <w:top w:val="nil"/>
              <w:left w:val="nil"/>
              <w:bottom w:val="nil"/>
              <w:right w:val="nil"/>
            </w:tcBorders>
            <w:noWrap/>
            <w:vAlign w:val="center"/>
            <w:hideMark/>
          </w:tcPr>
          <w:p w14:paraId="43915466" w14:textId="77777777" w:rsidR="00F8101B" w:rsidRPr="00F07DEB" w:rsidRDefault="00F8101B" w:rsidP="00F07DEB">
            <w:pPr>
              <w:spacing w:after="0"/>
              <w:rPr>
                <w:rFonts w:ascii="Times New Roman" w:eastAsia="Times New Roman" w:hAnsi="Times New Roman" w:cs="Times New Roman"/>
                <w:b/>
                <w:bCs/>
                <w:color w:val="000000"/>
                <w:sz w:val="20"/>
                <w:szCs w:val="20"/>
                <w:lang w:eastAsia="en-US"/>
              </w:rPr>
            </w:pPr>
            <w:proofErr w:type="spellStart"/>
            <w:r w:rsidRPr="00F07DEB">
              <w:rPr>
                <w:rFonts w:ascii="Times New Roman" w:eastAsia="Times New Roman" w:hAnsi="Times New Roman" w:cs="Times New Roman"/>
                <w:b/>
                <w:bCs/>
                <w:color w:val="000000"/>
                <w:sz w:val="20"/>
                <w:szCs w:val="20"/>
                <w:lang w:eastAsia="en-US"/>
              </w:rPr>
              <w:t>EC</w:t>
            </w:r>
            <w:r w:rsidRPr="00F07DEB">
              <w:rPr>
                <w:rFonts w:ascii="Times New Roman" w:eastAsia="Times New Roman" w:hAnsi="Times New Roman" w:cs="Times New Roman"/>
                <w:b/>
                <w:bCs/>
                <w:color w:val="000000"/>
                <w:sz w:val="20"/>
                <w:szCs w:val="20"/>
                <w:vertAlign w:val="subscript"/>
                <w:lang w:eastAsia="en-US"/>
              </w:rPr>
              <w:t>w</w:t>
            </w:r>
            <w:proofErr w:type="spellEnd"/>
          </w:p>
        </w:tc>
        <w:tc>
          <w:tcPr>
            <w:tcW w:w="721" w:type="pct"/>
            <w:tcBorders>
              <w:top w:val="nil"/>
              <w:left w:val="nil"/>
              <w:bottom w:val="nil"/>
              <w:right w:val="nil"/>
            </w:tcBorders>
            <w:noWrap/>
            <w:vAlign w:val="center"/>
            <w:hideMark/>
          </w:tcPr>
          <w:p w14:paraId="395FB056"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dS</w:t>
            </w:r>
            <w:proofErr w:type="spellEnd"/>
            <w:r w:rsidRPr="00F07DEB">
              <w:rPr>
                <w:rFonts w:ascii="Times New Roman" w:eastAsia="Times New Roman" w:hAnsi="Times New Roman" w:cs="Times New Roman"/>
                <w:color w:val="000000"/>
                <w:sz w:val="20"/>
                <w:szCs w:val="20"/>
                <w:lang w:eastAsia="en-US"/>
              </w:rPr>
              <w:t>/m</w:t>
            </w:r>
          </w:p>
        </w:tc>
        <w:tc>
          <w:tcPr>
            <w:tcW w:w="714" w:type="pct"/>
            <w:tcBorders>
              <w:top w:val="nil"/>
              <w:left w:val="nil"/>
              <w:bottom w:val="nil"/>
              <w:right w:val="nil"/>
            </w:tcBorders>
            <w:noWrap/>
            <w:vAlign w:val="center"/>
            <w:hideMark/>
          </w:tcPr>
          <w:p w14:paraId="26FCAC09"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0.7</w:t>
            </w:r>
          </w:p>
        </w:tc>
        <w:tc>
          <w:tcPr>
            <w:tcW w:w="1056" w:type="pct"/>
            <w:tcBorders>
              <w:top w:val="nil"/>
              <w:left w:val="nil"/>
              <w:bottom w:val="nil"/>
              <w:right w:val="nil"/>
            </w:tcBorders>
            <w:noWrap/>
            <w:vAlign w:val="center"/>
            <w:hideMark/>
          </w:tcPr>
          <w:p w14:paraId="4660921C"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0.7 - 3.0</w:t>
            </w:r>
          </w:p>
        </w:tc>
        <w:tc>
          <w:tcPr>
            <w:tcW w:w="796" w:type="pct"/>
            <w:tcBorders>
              <w:top w:val="nil"/>
              <w:left w:val="nil"/>
              <w:bottom w:val="nil"/>
              <w:right w:val="nil"/>
            </w:tcBorders>
            <w:noWrap/>
            <w:vAlign w:val="center"/>
            <w:hideMark/>
          </w:tcPr>
          <w:p w14:paraId="01D228E6"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&gt; 3.0</w:t>
            </w:r>
          </w:p>
        </w:tc>
      </w:tr>
      <w:tr w:rsidR="00F8101B" w:rsidRPr="00F07DEB" w14:paraId="27DC95B8" w14:textId="77777777" w:rsidTr="00641A81">
        <w:trPr>
          <w:trHeight w:val="302"/>
        </w:trPr>
        <w:tc>
          <w:tcPr>
            <w:tcW w:w="456" w:type="pct"/>
            <w:tcBorders>
              <w:top w:val="nil"/>
              <w:left w:val="nil"/>
              <w:bottom w:val="nil"/>
              <w:right w:val="nil"/>
            </w:tcBorders>
            <w:noWrap/>
            <w:vAlign w:val="center"/>
            <w:hideMark/>
          </w:tcPr>
          <w:p w14:paraId="669548AD"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57" w:type="pct"/>
            <w:tcBorders>
              <w:top w:val="nil"/>
              <w:left w:val="nil"/>
              <w:bottom w:val="nil"/>
              <w:right w:val="nil"/>
            </w:tcBorders>
            <w:noWrap/>
            <w:vAlign w:val="center"/>
            <w:hideMark/>
          </w:tcPr>
          <w:p w14:paraId="08120BC3" w14:textId="77777777" w:rsidR="00F8101B" w:rsidRPr="00F07DEB" w:rsidRDefault="00F8101B" w:rsidP="00F07DEB">
            <w:pPr>
              <w:spacing w:after="0"/>
              <w:rPr>
                <w:rFonts w:ascii="Times New Roman" w:eastAsia="Times New Roman" w:hAnsi="Times New Roman" w:cs="Times New Roman"/>
                <w:b/>
                <w:bCs/>
                <w:color w:val="000000"/>
                <w:sz w:val="20"/>
                <w:szCs w:val="20"/>
                <w:lang w:eastAsia="en-US"/>
              </w:rPr>
            </w:pPr>
            <w:r w:rsidRPr="00F07DEB">
              <w:rPr>
                <w:rFonts w:ascii="Times New Roman" w:eastAsia="Times New Roman" w:hAnsi="Times New Roman" w:cs="Times New Roman"/>
                <w:color w:val="000000"/>
                <w:sz w:val="20"/>
                <w:szCs w:val="20"/>
                <w:lang w:eastAsia="en-US"/>
              </w:rPr>
              <w:t>or</w:t>
            </w:r>
            <w:r w:rsidRPr="00F07DEB">
              <w:rPr>
                <w:rFonts w:ascii="Times New Roman" w:eastAsia="Times New Roman" w:hAnsi="Times New Roman" w:cs="Times New Roman"/>
                <w:b/>
                <w:bCs/>
                <w:color w:val="000000"/>
                <w:sz w:val="20"/>
                <w:szCs w:val="20"/>
                <w:lang w:eastAsia="en-US"/>
              </w:rPr>
              <w:t xml:space="preserve"> TDS</w:t>
            </w:r>
          </w:p>
        </w:tc>
        <w:tc>
          <w:tcPr>
            <w:tcW w:w="721" w:type="pct"/>
            <w:tcBorders>
              <w:top w:val="nil"/>
              <w:left w:val="nil"/>
              <w:bottom w:val="nil"/>
              <w:right w:val="nil"/>
            </w:tcBorders>
            <w:noWrap/>
            <w:vAlign w:val="center"/>
            <w:hideMark/>
          </w:tcPr>
          <w:p w14:paraId="3759F56F"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mg/L</w:t>
            </w:r>
          </w:p>
        </w:tc>
        <w:tc>
          <w:tcPr>
            <w:tcW w:w="714" w:type="pct"/>
            <w:tcBorders>
              <w:top w:val="nil"/>
              <w:left w:val="nil"/>
              <w:bottom w:val="nil"/>
              <w:right w:val="nil"/>
            </w:tcBorders>
            <w:noWrap/>
            <w:vAlign w:val="center"/>
            <w:hideMark/>
          </w:tcPr>
          <w:p w14:paraId="112962A4"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450</w:t>
            </w:r>
          </w:p>
        </w:tc>
        <w:tc>
          <w:tcPr>
            <w:tcW w:w="1056" w:type="pct"/>
            <w:tcBorders>
              <w:top w:val="nil"/>
              <w:left w:val="nil"/>
              <w:bottom w:val="nil"/>
              <w:right w:val="nil"/>
            </w:tcBorders>
            <w:noWrap/>
            <w:vAlign w:val="center"/>
            <w:hideMark/>
          </w:tcPr>
          <w:p w14:paraId="7BB9F3B5"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450 - 2000</w:t>
            </w:r>
          </w:p>
        </w:tc>
        <w:tc>
          <w:tcPr>
            <w:tcW w:w="796" w:type="pct"/>
            <w:tcBorders>
              <w:top w:val="nil"/>
              <w:left w:val="nil"/>
              <w:bottom w:val="nil"/>
              <w:right w:val="nil"/>
            </w:tcBorders>
            <w:noWrap/>
            <w:vAlign w:val="center"/>
            <w:hideMark/>
          </w:tcPr>
          <w:p w14:paraId="27C7678F"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&gt; 2000</w:t>
            </w:r>
          </w:p>
        </w:tc>
      </w:tr>
      <w:tr w:rsidR="00F8101B" w:rsidRPr="00F07DEB" w14:paraId="461991E6" w14:textId="77777777" w:rsidTr="00641A81">
        <w:trPr>
          <w:trHeight w:val="302"/>
        </w:trPr>
        <w:tc>
          <w:tcPr>
            <w:tcW w:w="5000" w:type="pct"/>
            <w:gridSpan w:val="6"/>
            <w:tcBorders>
              <w:top w:val="nil"/>
              <w:left w:val="nil"/>
              <w:bottom w:val="nil"/>
              <w:right w:val="nil"/>
            </w:tcBorders>
            <w:noWrap/>
            <w:vAlign w:val="center"/>
            <w:hideMark/>
          </w:tcPr>
          <w:p w14:paraId="5468733B" w14:textId="7824F764"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b/>
                <w:bCs/>
                <w:color w:val="000000"/>
                <w:sz w:val="20"/>
                <w:szCs w:val="20"/>
                <w:lang w:eastAsia="en-US"/>
              </w:rPr>
              <w:t>Infiltration</w:t>
            </w:r>
            <w:r w:rsidRPr="00F07DEB">
              <w:rPr>
                <w:rFonts w:ascii="Times New Roman" w:eastAsia="Times New Roman" w:hAnsi="Times New Roman" w:cs="Times New Roman"/>
                <w:color w:val="000000"/>
                <w:sz w:val="20"/>
                <w:szCs w:val="20"/>
                <w:lang w:eastAsia="en-US"/>
              </w:rPr>
              <w:t xml:space="preserve"> (affects infiltration rate of water into the soil; evaluate using </w:t>
            </w:r>
            <w:proofErr w:type="spellStart"/>
            <w:r w:rsidRPr="00F07DEB">
              <w:rPr>
                <w:rFonts w:ascii="Times New Roman" w:eastAsia="Times New Roman" w:hAnsi="Times New Roman" w:cs="Times New Roman"/>
                <w:color w:val="000000"/>
                <w:sz w:val="20"/>
                <w:szCs w:val="20"/>
                <w:lang w:eastAsia="en-US"/>
              </w:rPr>
              <w:t>EC</w:t>
            </w:r>
            <w:r w:rsidRPr="00F07DEB">
              <w:rPr>
                <w:rFonts w:ascii="Times New Roman" w:eastAsia="Times New Roman" w:hAnsi="Times New Roman" w:cs="Times New Roman"/>
                <w:color w:val="000000"/>
                <w:sz w:val="20"/>
                <w:szCs w:val="20"/>
                <w:vertAlign w:val="subscript"/>
                <w:lang w:eastAsia="en-US"/>
              </w:rPr>
              <w:t>w</w:t>
            </w:r>
            <w:proofErr w:type="spellEnd"/>
            <w:r w:rsidRPr="00F07DEB">
              <w:rPr>
                <w:rFonts w:ascii="Times New Roman" w:eastAsia="Times New Roman" w:hAnsi="Times New Roman" w:cs="Times New Roman"/>
                <w:color w:val="000000"/>
                <w:sz w:val="20"/>
                <w:szCs w:val="20"/>
                <w:lang w:eastAsia="en-US"/>
              </w:rPr>
              <w:t xml:space="preserve"> and </w:t>
            </w:r>
            <w:proofErr w:type="spellStart"/>
            <w:r w:rsidR="002955B6" w:rsidRPr="00F07DEB">
              <w:rPr>
                <w:rFonts w:ascii="Times New Roman" w:eastAsia="Times New Roman" w:hAnsi="Times New Roman" w:cs="Times New Roman"/>
                <w:color w:val="000000"/>
                <w:sz w:val="20"/>
                <w:szCs w:val="20"/>
                <w:lang w:eastAsia="en-US"/>
              </w:rPr>
              <w:t>adj</w:t>
            </w:r>
            <w:proofErr w:type="spellEnd"/>
            <w:r w:rsidR="002955B6" w:rsidRPr="00F07DEB">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lang w:eastAsia="en-US"/>
              </w:rPr>
              <w:t>SAR together)</w:t>
            </w:r>
          </w:p>
        </w:tc>
      </w:tr>
      <w:tr w:rsidR="00F8101B" w:rsidRPr="00F07DEB" w14:paraId="045C12BE" w14:textId="77777777" w:rsidTr="00641A81">
        <w:trPr>
          <w:trHeight w:val="302"/>
        </w:trPr>
        <w:tc>
          <w:tcPr>
            <w:tcW w:w="456" w:type="pct"/>
            <w:vMerge w:val="restart"/>
            <w:tcBorders>
              <w:top w:val="nil"/>
              <w:left w:val="nil"/>
              <w:bottom w:val="nil"/>
              <w:right w:val="nil"/>
            </w:tcBorders>
            <w:noWrap/>
            <w:vAlign w:val="center"/>
            <w:hideMark/>
          </w:tcPr>
          <w:p w14:paraId="5DFEFADF" w14:textId="3D339E21" w:rsidR="00F8101B" w:rsidRPr="00F07DEB" w:rsidRDefault="002955B6" w:rsidP="00F07DEB">
            <w:pPr>
              <w:spacing w:after="0"/>
              <w:rPr>
                <w:rFonts w:ascii="Times New Roman" w:eastAsia="Times New Roman" w:hAnsi="Times New Roman" w:cs="Times New Roman"/>
                <w:b/>
                <w:bCs/>
                <w:color w:val="000000"/>
                <w:sz w:val="20"/>
                <w:szCs w:val="20"/>
                <w:lang w:eastAsia="en-US"/>
              </w:rPr>
            </w:pPr>
            <w:proofErr w:type="spellStart"/>
            <w:r w:rsidRPr="00F07DEB">
              <w:rPr>
                <w:rFonts w:ascii="Times New Roman" w:eastAsia="Times New Roman" w:hAnsi="Times New Roman" w:cs="Times New Roman"/>
                <w:b/>
                <w:bCs/>
                <w:color w:val="000000"/>
                <w:sz w:val="20"/>
                <w:szCs w:val="20"/>
                <w:lang w:eastAsia="en-US"/>
              </w:rPr>
              <w:t>adj</w:t>
            </w:r>
            <w:proofErr w:type="spellEnd"/>
            <w:r w:rsidRPr="00F07DEB">
              <w:rPr>
                <w:rFonts w:ascii="Times New Roman" w:eastAsia="Times New Roman" w:hAnsi="Times New Roman" w:cs="Times New Roman"/>
                <w:b/>
                <w:bCs/>
                <w:color w:val="000000"/>
                <w:sz w:val="20"/>
                <w:szCs w:val="20"/>
                <w:lang w:eastAsia="en-US"/>
              </w:rPr>
              <w:t xml:space="preserve"> </w:t>
            </w:r>
            <w:r w:rsidR="00F8101B" w:rsidRPr="00F07DEB">
              <w:rPr>
                <w:rFonts w:ascii="Times New Roman" w:eastAsia="Times New Roman" w:hAnsi="Times New Roman" w:cs="Times New Roman"/>
                <w:b/>
                <w:bCs/>
                <w:color w:val="000000"/>
                <w:sz w:val="20"/>
                <w:szCs w:val="20"/>
                <w:lang w:eastAsia="en-US"/>
              </w:rPr>
              <w:t>SAR</w:t>
            </w:r>
          </w:p>
        </w:tc>
        <w:tc>
          <w:tcPr>
            <w:tcW w:w="1257" w:type="pct"/>
            <w:tcBorders>
              <w:top w:val="nil"/>
              <w:left w:val="nil"/>
              <w:bottom w:val="nil"/>
              <w:right w:val="nil"/>
            </w:tcBorders>
            <w:noWrap/>
            <w:vAlign w:val="center"/>
            <w:hideMark/>
          </w:tcPr>
          <w:p w14:paraId="19EB2072"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0 - 3.0</w:t>
            </w:r>
          </w:p>
        </w:tc>
        <w:tc>
          <w:tcPr>
            <w:tcW w:w="721" w:type="pct"/>
            <w:vMerge w:val="restart"/>
            <w:tcBorders>
              <w:top w:val="nil"/>
              <w:left w:val="nil"/>
              <w:bottom w:val="nil"/>
              <w:right w:val="nil"/>
            </w:tcBorders>
            <w:noWrap/>
            <w:vAlign w:val="center"/>
            <w:hideMark/>
          </w:tcPr>
          <w:p w14:paraId="6C486A50" w14:textId="77777777" w:rsidR="00F8101B" w:rsidRPr="00F07DEB" w:rsidRDefault="00F8101B" w:rsidP="00F07DEB">
            <w:pPr>
              <w:spacing w:after="0"/>
              <w:rPr>
                <w:rFonts w:ascii="Times New Roman" w:eastAsia="Times New Roman" w:hAnsi="Times New Roman" w:cs="Times New Roman"/>
                <w:b/>
                <w:bCs/>
                <w:color w:val="000000"/>
                <w:sz w:val="20"/>
                <w:szCs w:val="20"/>
                <w:lang w:eastAsia="en-US"/>
              </w:rPr>
            </w:pPr>
            <w:r w:rsidRPr="00F07DEB">
              <w:rPr>
                <w:rFonts w:ascii="Times New Roman" w:eastAsia="Times New Roman" w:hAnsi="Times New Roman" w:cs="Times New Roman"/>
                <w:b/>
                <w:bCs/>
                <w:color w:val="000000"/>
                <w:sz w:val="20"/>
                <w:szCs w:val="20"/>
                <w:lang w:eastAsia="en-US"/>
              </w:rPr>
              <w:t xml:space="preserve">and </w:t>
            </w:r>
            <w:proofErr w:type="spellStart"/>
            <w:r w:rsidRPr="00F07DEB">
              <w:rPr>
                <w:rFonts w:ascii="Times New Roman" w:eastAsia="Times New Roman" w:hAnsi="Times New Roman" w:cs="Times New Roman"/>
                <w:b/>
                <w:bCs/>
                <w:color w:val="000000"/>
                <w:sz w:val="20"/>
                <w:szCs w:val="20"/>
                <w:lang w:eastAsia="en-US"/>
              </w:rPr>
              <w:t>EC</w:t>
            </w:r>
            <w:r w:rsidRPr="00F07DEB">
              <w:rPr>
                <w:rFonts w:ascii="Times New Roman" w:eastAsia="Times New Roman" w:hAnsi="Times New Roman" w:cs="Times New Roman"/>
                <w:b/>
                <w:bCs/>
                <w:color w:val="000000"/>
                <w:sz w:val="20"/>
                <w:szCs w:val="20"/>
                <w:vertAlign w:val="subscript"/>
                <w:lang w:eastAsia="en-US"/>
              </w:rPr>
              <w:t>w</w:t>
            </w:r>
            <w:proofErr w:type="spellEnd"/>
            <w:r w:rsidRPr="00F07DEB">
              <w:rPr>
                <w:rFonts w:ascii="Times New Roman" w:eastAsia="Times New Roman" w:hAnsi="Times New Roman" w:cs="Times New Roman"/>
                <w:b/>
                <w:bCs/>
                <w:color w:val="000000"/>
                <w:sz w:val="20"/>
                <w:szCs w:val="20"/>
                <w:lang w:eastAsia="en-US"/>
              </w:rPr>
              <w:t xml:space="preserve"> =</w:t>
            </w:r>
          </w:p>
        </w:tc>
        <w:tc>
          <w:tcPr>
            <w:tcW w:w="714" w:type="pct"/>
            <w:tcBorders>
              <w:top w:val="nil"/>
              <w:left w:val="nil"/>
              <w:bottom w:val="nil"/>
              <w:right w:val="nil"/>
            </w:tcBorders>
            <w:noWrap/>
            <w:vAlign w:val="center"/>
            <w:hideMark/>
          </w:tcPr>
          <w:p w14:paraId="3123620B"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&gt; 0.7</w:t>
            </w:r>
          </w:p>
        </w:tc>
        <w:tc>
          <w:tcPr>
            <w:tcW w:w="1056" w:type="pct"/>
            <w:tcBorders>
              <w:top w:val="nil"/>
              <w:left w:val="nil"/>
              <w:bottom w:val="nil"/>
              <w:right w:val="nil"/>
            </w:tcBorders>
            <w:noWrap/>
            <w:vAlign w:val="center"/>
            <w:hideMark/>
          </w:tcPr>
          <w:p w14:paraId="357517E3"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0.7 - 0.2</w:t>
            </w:r>
          </w:p>
        </w:tc>
        <w:tc>
          <w:tcPr>
            <w:tcW w:w="796" w:type="pct"/>
            <w:tcBorders>
              <w:top w:val="nil"/>
              <w:left w:val="nil"/>
              <w:bottom w:val="nil"/>
              <w:right w:val="nil"/>
            </w:tcBorders>
            <w:noWrap/>
            <w:vAlign w:val="center"/>
            <w:hideMark/>
          </w:tcPr>
          <w:p w14:paraId="68223BC6"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0.2</w:t>
            </w:r>
          </w:p>
        </w:tc>
      </w:tr>
      <w:tr w:rsidR="00F8101B" w:rsidRPr="00F07DEB" w14:paraId="4E07FDA0" w14:textId="77777777" w:rsidTr="00641A81">
        <w:trPr>
          <w:trHeight w:val="302"/>
        </w:trPr>
        <w:tc>
          <w:tcPr>
            <w:tcW w:w="456" w:type="pct"/>
            <w:vMerge/>
            <w:tcBorders>
              <w:top w:val="nil"/>
              <w:left w:val="nil"/>
              <w:bottom w:val="nil"/>
              <w:right w:val="nil"/>
            </w:tcBorders>
            <w:vAlign w:val="center"/>
            <w:hideMark/>
          </w:tcPr>
          <w:p w14:paraId="5B47C782" w14:textId="77777777" w:rsidR="00F8101B" w:rsidRPr="00F07DEB" w:rsidRDefault="00F8101B" w:rsidP="00F07DEB">
            <w:pPr>
              <w:spacing w:after="0"/>
              <w:rPr>
                <w:rFonts w:ascii="Times New Roman" w:eastAsia="Times New Roman" w:hAnsi="Times New Roman" w:cs="Times New Roman"/>
                <w:b/>
                <w:bCs/>
                <w:color w:val="000000"/>
                <w:sz w:val="20"/>
                <w:szCs w:val="20"/>
                <w:lang w:eastAsia="en-US"/>
              </w:rPr>
            </w:pPr>
          </w:p>
        </w:tc>
        <w:tc>
          <w:tcPr>
            <w:tcW w:w="1257" w:type="pct"/>
            <w:tcBorders>
              <w:top w:val="nil"/>
              <w:left w:val="nil"/>
              <w:bottom w:val="nil"/>
              <w:right w:val="nil"/>
            </w:tcBorders>
            <w:noWrap/>
            <w:vAlign w:val="center"/>
            <w:hideMark/>
          </w:tcPr>
          <w:p w14:paraId="6BBDA0D0"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3.0 - 6.0</w:t>
            </w:r>
          </w:p>
        </w:tc>
        <w:tc>
          <w:tcPr>
            <w:tcW w:w="721" w:type="pct"/>
            <w:vMerge/>
            <w:tcBorders>
              <w:top w:val="nil"/>
              <w:left w:val="nil"/>
              <w:bottom w:val="nil"/>
              <w:right w:val="nil"/>
            </w:tcBorders>
            <w:vAlign w:val="center"/>
            <w:hideMark/>
          </w:tcPr>
          <w:p w14:paraId="64CF3C8D" w14:textId="77777777" w:rsidR="00F8101B" w:rsidRPr="00F07DEB" w:rsidRDefault="00F8101B" w:rsidP="00F07DEB">
            <w:pPr>
              <w:spacing w:after="0"/>
              <w:rPr>
                <w:rFonts w:ascii="Times New Roman" w:eastAsia="Times New Roman" w:hAnsi="Times New Roman" w:cs="Times New Roman"/>
                <w:b/>
                <w:bCs/>
                <w:color w:val="000000"/>
                <w:sz w:val="20"/>
                <w:szCs w:val="20"/>
                <w:lang w:eastAsia="en-US"/>
              </w:rPr>
            </w:pPr>
          </w:p>
        </w:tc>
        <w:tc>
          <w:tcPr>
            <w:tcW w:w="714" w:type="pct"/>
            <w:tcBorders>
              <w:top w:val="nil"/>
              <w:left w:val="nil"/>
              <w:bottom w:val="nil"/>
              <w:right w:val="nil"/>
            </w:tcBorders>
            <w:noWrap/>
            <w:vAlign w:val="center"/>
            <w:hideMark/>
          </w:tcPr>
          <w:p w14:paraId="7D52EA20"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&gt; 1.2</w:t>
            </w:r>
          </w:p>
        </w:tc>
        <w:tc>
          <w:tcPr>
            <w:tcW w:w="1056" w:type="pct"/>
            <w:tcBorders>
              <w:top w:val="nil"/>
              <w:left w:val="nil"/>
              <w:bottom w:val="nil"/>
              <w:right w:val="nil"/>
            </w:tcBorders>
            <w:noWrap/>
            <w:vAlign w:val="center"/>
            <w:hideMark/>
          </w:tcPr>
          <w:p w14:paraId="70ECC5F5"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1.2 - 0.3</w:t>
            </w:r>
          </w:p>
        </w:tc>
        <w:tc>
          <w:tcPr>
            <w:tcW w:w="796" w:type="pct"/>
            <w:tcBorders>
              <w:top w:val="nil"/>
              <w:left w:val="nil"/>
              <w:bottom w:val="nil"/>
              <w:right w:val="nil"/>
            </w:tcBorders>
            <w:noWrap/>
            <w:vAlign w:val="center"/>
            <w:hideMark/>
          </w:tcPr>
          <w:p w14:paraId="46733D6B"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0.3</w:t>
            </w:r>
          </w:p>
        </w:tc>
      </w:tr>
      <w:tr w:rsidR="00F8101B" w:rsidRPr="00F07DEB" w14:paraId="1DB34FCB" w14:textId="77777777" w:rsidTr="00641A81">
        <w:trPr>
          <w:trHeight w:val="302"/>
        </w:trPr>
        <w:tc>
          <w:tcPr>
            <w:tcW w:w="456" w:type="pct"/>
            <w:vMerge/>
            <w:tcBorders>
              <w:top w:val="nil"/>
              <w:left w:val="nil"/>
              <w:bottom w:val="nil"/>
              <w:right w:val="nil"/>
            </w:tcBorders>
            <w:vAlign w:val="center"/>
            <w:hideMark/>
          </w:tcPr>
          <w:p w14:paraId="2399AF1B" w14:textId="77777777" w:rsidR="00F8101B" w:rsidRPr="00F07DEB" w:rsidRDefault="00F8101B" w:rsidP="00F07DEB">
            <w:pPr>
              <w:spacing w:after="0"/>
              <w:rPr>
                <w:rFonts w:ascii="Times New Roman" w:eastAsia="Times New Roman" w:hAnsi="Times New Roman" w:cs="Times New Roman"/>
                <w:b/>
                <w:bCs/>
                <w:color w:val="000000"/>
                <w:sz w:val="20"/>
                <w:szCs w:val="20"/>
                <w:lang w:eastAsia="en-US"/>
              </w:rPr>
            </w:pPr>
          </w:p>
        </w:tc>
        <w:tc>
          <w:tcPr>
            <w:tcW w:w="1257" w:type="pct"/>
            <w:tcBorders>
              <w:top w:val="nil"/>
              <w:left w:val="nil"/>
              <w:bottom w:val="nil"/>
              <w:right w:val="nil"/>
            </w:tcBorders>
            <w:noWrap/>
            <w:vAlign w:val="center"/>
            <w:hideMark/>
          </w:tcPr>
          <w:p w14:paraId="59DF5954"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6.0 - 12.0</w:t>
            </w:r>
          </w:p>
        </w:tc>
        <w:tc>
          <w:tcPr>
            <w:tcW w:w="721" w:type="pct"/>
            <w:vMerge/>
            <w:tcBorders>
              <w:top w:val="nil"/>
              <w:left w:val="nil"/>
              <w:bottom w:val="nil"/>
              <w:right w:val="nil"/>
            </w:tcBorders>
            <w:vAlign w:val="center"/>
            <w:hideMark/>
          </w:tcPr>
          <w:p w14:paraId="6872C008" w14:textId="77777777" w:rsidR="00F8101B" w:rsidRPr="00F07DEB" w:rsidRDefault="00F8101B" w:rsidP="00F07DEB">
            <w:pPr>
              <w:spacing w:after="0"/>
              <w:rPr>
                <w:rFonts w:ascii="Times New Roman" w:eastAsia="Times New Roman" w:hAnsi="Times New Roman" w:cs="Times New Roman"/>
                <w:b/>
                <w:bCs/>
                <w:color w:val="000000"/>
                <w:sz w:val="20"/>
                <w:szCs w:val="20"/>
                <w:lang w:eastAsia="en-US"/>
              </w:rPr>
            </w:pPr>
          </w:p>
        </w:tc>
        <w:tc>
          <w:tcPr>
            <w:tcW w:w="714" w:type="pct"/>
            <w:tcBorders>
              <w:top w:val="nil"/>
              <w:left w:val="nil"/>
              <w:bottom w:val="nil"/>
              <w:right w:val="nil"/>
            </w:tcBorders>
            <w:noWrap/>
            <w:vAlign w:val="center"/>
            <w:hideMark/>
          </w:tcPr>
          <w:p w14:paraId="153DEEEA"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&gt; 1.9</w:t>
            </w:r>
          </w:p>
        </w:tc>
        <w:tc>
          <w:tcPr>
            <w:tcW w:w="1056" w:type="pct"/>
            <w:tcBorders>
              <w:top w:val="nil"/>
              <w:left w:val="nil"/>
              <w:bottom w:val="nil"/>
              <w:right w:val="nil"/>
            </w:tcBorders>
            <w:noWrap/>
            <w:vAlign w:val="center"/>
            <w:hideMark/>
          </w:tcPr>
          <w:p w14:paraId="04035217"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1.9 - 0.5</w:t>
            </w:r>
          </w:p>
        </w:tc>
        <w:tc>
          <w:tcPr>
            <w:tcW w:w="796" w:type="pct"/>
            <w:tcBorders>
              <w:top w:val="nil"/>
              <w:left w:val="nil"/>
              <w:bottom w:val="nil"/>
              <w:right w:val="nil"/>
            </w:tcBorders>
            <w:noWrap/>
            <w:vAlign w:val="center"/>
            <w:hideMark/>
          </w:tcPr>
          <w:p w14:paraId="0E70EFFC"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0.5</w:t>
            </w:r>
          </w:p>
        </w:tc>
      </w:tr>
      <w:tr w:rsidR="00F8101B" w:rsidRPr="00F07DEB" w14:paraId="24F4597E" w14:textId="77777777" w:rsidTr="00641A81">
        <w:trPr>
          <w:trHeight w:val="302"/>
        </w:trPr>
        <w:tc>
          <w:tcPr>
            <w:tcW w:w="456" w:type="pct"/>
            <w:vMerge/>
            <w:tcBorders>
              <w:top w:val="nil"/>
              <w:left w:val="nil"/>
              <w:bottom w:val="nil"/>
              <w:right w:val="nil"/>
            </w:tcBorders>
            <w:vAlign w:val="center"/>
            <w:hideMark/>
          </w:tcPr>
          <w:p w14:paraId="0308EFE6" w14:textId="77777777" w:rsidR="00F8101B" w:rsidRPr="00F07DEB" w:rsidRDefault="00F8101B" w:rsidP="00F07DEB">
            <w:pPr>
              <w:spacing w:after="0"/>
              <w:rPr>
                <w:rFonts w:ascii="Times New Roman" w:eastAsia="Times New Roman" w:hAnsi="Times New Roman" w:cs="Times New Roman"/>
                <w:b/>
                <w:bCs/>
                <w:color w:val="000000"/>
                <w:sz w:val="20"/>
                <w:szCs w:val="20"/>
                <w:lang w:eastAsia="en-US"/>
              </w:rPr>
            </w:pPr>
          </w:p>
        </w:tc>
        <w:tc>
          <w:tcPr>
            <w:tcW w:w="1257" w:type="pct"/>
            <w:tcBorders>
              <w:top w:val="nil"/>
              <w:left w:val="nil"/>
              <w:bottom w:val="nil"/>
              <w:right w:val="nil"/>
            </w:tcBorders>
            <w:noWrap/>
            <w:vAlign w:val="center"/>
            <w:hideMark/>
          </w:tcPr>
          <w:p w14:paraId="08E7F32B"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12.0 - 20.0</w:t>
            </w:r>
          </w:p>
        </w:tc>
        <w:tc>
          <w:tcPr>
            <w:tcW w:w="721" w:type="pct"/>
            <w:vMerge/>
            <w:tcBorders>
              <w:top w:val="nil"/>
              <w:left w:val="nil"/>
              <w:bottom w:val="nil"/>
              <w:right w:val="nil"/>
            </w:tcBorders>
            <w:vAlign w:val="center"/>
            <w:hideMark/>
          </w:tcPr>
          <w:p w14:paraId="45687D55" w14:textId="77777777" w:rsidR="00F8101B" w:rsidRPr="00F07DEB" w:rsidRDefault="00F8101B" w:rsidP="00F07DEB">
            <w:pPr>
              <w:spacing w:after="0"/>
              <w:rPr>
                <w:rFonts w:ascii="Times New Roman" w:eastAsia="Times New Roman" w:hAnsi="Times New Roman" w:cs="Times New Roman"/>
                <w:b/>
                <w:bCs/>
                <w:color w:val="000000"/>
                <w:sz w:val="20"/>
                <w:szCs w:val="20"/>
                <w:lang w:eastAsia="en-US"/>
              </w:rPr>
            </w:pPr>
          </w:p>
        </w:tc>
        <w:tc>
          <w:tcPr>
            <w:tcW w:w="714" w:type="pct"/>
            <w:tcBorders>
              <w:top w:val="nil"/>
              <w:left w:val="nil"/>
              <w:bottom w:val="nil"/>
              <w:right w:val="nil"/>
            </w:tcBorders>
            <w:noWrap/>
            <w:vAlign w:val="center"/>
            <w:hideMark/>
          </w:tcPr>
          <w:p w14:paraId="549D0600"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&gt; 2.9</w:t>
            </w:r>
          </w:p>
        </w:tc>
        <w:tc>
          <w:tcPr>
            <w:tcW w:w="1056" w:type="pct"/>
            <w:tcBorders>
              <w:top w:val="nil"/>
              <w:left w:val="nil"/>
              <w:bottom w:val="nil"/>
              <w:right w:val="nil"/>
            </w:tcBorders>
            <w:noWrap/>
            <w:vAlign w:val="center"/>
            <w:hideMark/>
          </w:tcPr>
          <w:p w14:paraId="26FC20A4"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2.9 - 1.3</w:t>
            </w:r>
          </w:p>
        </w:tc>
        <w:tc>
          <w:tcPr>
            <w:tcW w:w="796" w:type="pct"/>
            <w:tcBorders>
              <w:top w:val="nil"/>
              <w:left w:val="nil"/>
              <w:bottom w:val="nil"/>
              <w:right w:val="nil"/>
            </w:tcBorders>
            <w:noWrap/>
            <w:vAlign w:val="center"/>
            <w:hideMark/>
          </w:tcPr>
          <w:p w14:paraId="317D09F9"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1.3</w:t>
            </w:r>
          </w:p>
        </w:tc>
      </w:tr>
      <w:tr w:rsidR="00F8101B" w:rsidRPr="00F07DEB" w14:paraId="52D08238" w14:textId="77777777" w:rsidTr="00641A81">
        <w:trPr>
          <w:trHeight w:val="302"/>
        </w:trPr>
        <w:tc>
          <w:tcPr>
            <w:tcW w:w="456" w:type="pct"/>
            <w:vMerge/>
            <w:tcBorders>
              <w:top w:val="nil"/>
              <w:left w:val="nil"/>
              <w:bottom w:val="nil"/>
              <w:right w:val="nil"/>
            </w:tcBorders>
            <w:vAlign w:val="center"/>
            <w:hideMark/>
          </w:tcPr>
          <w:p w14:paraId="4D1A0DEA" w14:textId="77777777" w:rsidR="00F8101B" w:rsidRPr="00F07DEB" w:rsidRDefault="00F8101B" w:rsidP="00F07DEB">
            <w:pPr>
              <w:spacing w:after="0"/>
              <w:rPr>
                <w:rFonts w:ascii="Times New Roman" w:eastAsia="Times New Roman" w:hAnsi="Times New Roman" w:cs="Times New Roman"/>
                <w:b/>
                <w:bCs/>
                <w:color w:val="000000"/>
                <w:sz w:val="20"/>
                <w:szCs w:val="20"/>
                <w:lang w:eastAsia="en-US"/>
              </w:rPr>
            </w:pPr>
          </w:p>
        </w:tc>
        <w:tc>
          <w:tcPr>
            <w:tcW w:w="1257" w:type="pct"/>
            <w:tcBorders>
              <w:top w:val="nil"/>
              <w:left w:val="nil"/>
              <w:bottom w:val="nil"/>
              <w:right w:val="nil"/>
            </w:tcBorders>
            <w:noWrap/>
            <w:vAlign w:val="center"/>
            <w:hideMark/>
          </w:tcPr>
          <w:p w14:paraId="7B94AD5C"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20.0 - 40.0</w:t>
            </w:r>
          </w:p>
        </w:tc>
        <w:tc>
          <w:tcPr>
            <w:tcW w:w="721" w:type="pct"/>
            <w:vMerge/>
            <w:tcBorders>
              <w:top w:val="nil"/>
              <w:left w:val="nil"/>
              <w:bottom w:val="nil"/>
              <w:right w:val="nil"/>
            </w:tcBorders>
            <w:vAlign w:val="center"/>
            <w:hideMark/>
          </w:tcPr>
          <w:p w14:paraId="11CB9D15" w14:textId="77777777" w:rsidR="00F8101B" w:rsidRPr="00F07DEB" w:rsidRDefault="00F8101B" w:rsidP="00F07DEB">
            <w:pPr>
              <w:spacing w:after="0"/>
              <w:rPr>
                <w:rFonts w:ascii="Times New Roman" w:eastAsia="Times New Roman" w:hAnsi="Times New Roman" w:cs="Times New Roman"/>
                <w:b/>
                <w:bCs/>
                <w:color w:val="000000"/>
                <w:sz w:val="20"/>
                <w:szCs w:val="20"/>
                <w:lang w:eastAsia="en-US"/>
              </w:rPr>
            </w:pPr>
          </w:p>
        </w:tc>
        <w:tc>
          <w:tcPr>
            <w:tcW w:w="714" w:type="pct"/>
            <w:tcBorders>
              <w:top w:val="nil"/>
              <w:left w:val="nil"/>
              <w:bottom w:val="nil"/>
              <w:right w:val="nil"/>
            </w:tcBorders>
            <w:noWrap/>
            <w:vAlign w:val="center"/>
            <w:hideMark/>
          </w:tcPr>
          <w:p w14:paraId="4B55EF71"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&gt; 5.0</w:t>
            </w:r>
          </w:p>
        </w:tc>
        <w:tc>
          <w:tcPr>
            <w:tcW w:w="1056" w:type="pct"/>
            <w:tcBorders>
              <w:top w:val="nil"/>
              <w:left w:val="nil"/>
              <w:bottom w:val="nil"/>
              <w:right w:val="nil"/>
            </w:tcBorders>
            <w:noWrap/>
            <w:vAlign w:val="center"/>
            <w:hideMark/>
          </w:tcPr>
          <w:p w14:paraId="3ACFA076"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5.0 - 2.9</w:t>
            </w:r>
          </w:p>
        </w:tc>
        <w:tc>
          <w:tcPr>
            <w:tcW w:w="796" w:type="pct"/>
            <w:tcBorders>
              <w:top w:val="nil"/>
              <w:left w:val="nil"/>
              <w:bottom w:val="nil"/>
              <w:right w:val="nil"/>
            </w:tcBorders>
            <w:noWrap/>
            <w:vAlign w:val="center"/>
            <w:hideMark/>
          </w:tcPr>
          <w:p w14:paraId="4A4BA39C"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2.9</w:t>
            </w:r>
          </w:p>
        </w:tc>
      </w:tr>
      <w:tr w:rsidR="00F8101B" w:rsidRPr="00F07DEB" w14:paraId="0E5EA15A" w14:textId="77777777" w:rsidTr="00641A81">
        <w:trPr>
          <w:trHeight w:val="302"/>
        </w:trPr>
        <w:tc>
          <w:tcPr>
            <w:tcW w:w="5000" w:type="pct"/>
            <w:gridSpan w:val="6"/>
            <w:tcBorders>
              <w:top w:val="nil"/>
              <w:left w:val="nil"/>
              <w:bottom w:val="nil"/>
              <w:right w:val="nil"/>
            </w:tcBorders>
            <w:noWrap/>
            <w:vAlign w:val="center"/>
            <w:hideMark/>
          </w:tcPr>
          <w:p w14:paraId="2420836D"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b/>
                <w:bCs/>
                <w:color w:val="000000"/>
                <w:sz w:val="20"/>
                <w:szCs w:val="20"/>
                <w:lang w:eastAsia="en-US"/>
              </w:rPr>
              <w:t>Specific Ion Toxicity</w:t>
            </w:r>
            <w:r w:rsidRPr="00F07DEB">
              <w:rPr>
                <w:rFonts w:ascii="Times New Roman" w:eastAsia="Times New Roman" w:hAnsi="Times New Roman" w:cs="Times New Roman"/>
                <w:color w:val="000000"/>
                <w:sz w:val="20"/>
                <w:szCs w:val="20"/>
                <w:lang w:eastAsia="en-US"/>
              </w:rPr>
              <w:t xml:space="preserve"> (affects sensitive crops)</w:t>
            </w:r>
          </w:p>
        </w:tc>
      </w:tr>
      <w:tr w:rsidR="00F8101B" w:rsidRPr="00F07DEB" w14:paraId="4BA3A7A8" w14:textId="77777777" w:rsidTr="00641A81">
        <w:trPr>
          <w:trHeight w:val="302"/>
        </w:trPr>
        <w:tc>
          <w:tcPr>
            <w:tcW w:w="456" w:type="pct"/>
            <w:tcBorders>
              <w:top w:val="nil"/>
              <w:left w:val="nil"/>
              <w:bottom w:val="nil"/>
              <w:right w:val="nil"/>
            </w:tcBorders>
            <w:noWrap/>
            <w:vAlign w:val="center"/>
            <w:hideMark/>
          </w:tcPr>
          <w:p w14:paraId="5F60A860"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57" w:type="pct"/>
            <w:tcBorders>
              <w:top w:val="nil"/>
              <w:left w:val="nil"/>
              <w:bottom w:val="nil"/>
              <w:right w:val="nil"/>
            </w:tcBorders>
            <w:noWrap/>
            <w:vAlign w:val="center"/>
            <w:hideMark/>
          </w:tcPr>
          <w:p w14:paraId="1A284AF0" w14:textId="0707C529" w:rsidR="00F8101B" w:rsidRPr="00F07DEB" w:rsidRDefault="009678A2" w:rsidP="00F07DEB">
            <w:pPr>
              <w:spacing w:after="0"/>
              <w:rPr>
                <w:rFonts w:ascii="Times New Roman" w:eastAsia="Times New Roman" w:hAnsi="Times New Roman" w:cs="Times New Roman"/>
                <w:b/>
                <w:bCs/>
                <w:color w:val="000000"/>
                <w:sz w:val="20"/>
                <w:szCs w:val="20"/>
                <w:lang w:eastAsia="en-US"/>
              </w:rPr>
            </w:pPr>
            <w:r>
              <w:rPr>
                <w:rFonts w:ascii="Times New Roman" w:eastAsia="Times New Roman" w:hAnsi="Times New Roman" w:cs="Times New Roman"/>
                <w:b/>
                <w:bCs/>
                <w:color w:val="000000"/>
                <w:sz w:val="20"/>
                <w:szCs w:val="20"/>
                <w:lang w:eastAsia="en-US"/>
              </w:rPr>
              <w:t>Na</w:t>
            </w:r>
            <w:r w:rsidR="00F8101B" w:rsidRPr="00F07DEB">
              <w:rPr>
                <w:rFonts w:ascii="Times New Roman" w:eastAsia="Times New Roman" w:hAnsi="Times New Roman" w:cs="Times New Roman"/>
                <w:b/>
                <w:bCs/>
                <w:color w:val="000000"/>
                <w:sz w:val="20"/>
                <w:szCs w:val="20"/>
                <w:lang w:eastAsia="en-US"/>
              </w:rPr>
              <w:t xml:space="preserve"> (Na)</w:t>
            </w:r>
          </w:p>
        </w:tc>
        <w:tc>
          <w:tcPr>
            <w:tcW w:w="721" w:type="pct"/>
            <w:tcBorders>
              <w:top w:val="nil"/>
              <w:left w:val="nil"/>
              <w:bottom w:val="nil"/>
              <w:right w:val="nil"/>
            </w:tcBorders>
            <w:noWrap/>
            <w:vAlign w:val="center"/>
            <w:hideMark/>
          </w:tcPr>
          <w:p w14:paraId="16CF876C" w14:textId="2F0EC1F8" w:rsidR="00F8101B" w:rsidRPr="00F07DEB" w:rsidRDefault="00F8101B" w:rsidP="00F07DEB">
            <w:pPr>
              <w:spacing w:after="0"/>
              <w:rPr>
                <w:rFonts w:ascii="Times New Roman" w:eastAsia="Times New Roman" w:hAnsi="Times New Roman" w:cs="Times New Roman"/>
                <w:color w:val="000000"/>
                <w:sz w:val="20"/>
                <w:szCs w:val="20"/>
                <w:lang w:eastAsia="en-US"/>
              </w:rPr>
            </w:pPr>
          </w:p>
        </w:tc>
        <w:tc>
          <w:tcPr>
            <w:tcW w:w="714" w:type="pct"/>
            <w:tcBorders>
              <w:top w:val="nil"/>
              <w:left w:val="nil"/>
              <w:bottom w:val="nil"/>
              <w:right w:val="nil"/>
            </w:tcBorders>
            <w:noWrap/>
            <w:vAlign w:val="center"/>
            <w:hideMark/>
          </w:tcPr>
          <w:p w14:paraId="328AF07C" w14:textId="6434267A" w:rsidR="00F8101B" w:rsidRPr="00F07DEB" w:rsidRDefault="00F8101B" w:rsidP="00F07DEB">
            <w:pPr>
              <w:spacing w:after="0"/>
              <w:rPr>
                <w:rFonts w:ascii="Times New Roman" w:eastAsia="Times New Roman" w:hAnsi="Times New Roman" w:cs="Times New Roman"/>
                <w:color w:val="000000"/>
                <w:sz w:val="20"/>
                <w:szCs w:val="20"/>
                <w:lang w:eastAsia="en-US"/>
              </w:rPr>
            </w:pPr>
          </w:p>
        </w:tc>
        <w:tc>
          <w:tcPr>
            <w:tcW w:w="1056" w:type="pct"/>
            <w:tcBorders>
              <w:top w:val="nil"/>
              <w:left w:val="nil"/>
              <w:bottom w:val="nil"/>
              <w:right w:val="nil"/>
            </w:tcBorders>
            <w:noWrap/>
            <w:vAlign w:val="center"/>
            <w:hideMark/>
          </w:tcPr>
          <w:p w14:paraId="17388C02" w14:textId="3FB4F8ED" w:rsidR="00F8101B" w:rsidRPr="00F07DEB" w:rsidRDefault="00F8101B" w:rsidP="00F07DEB">
            <w:pPr>
              <w:spacing w:after="0"/>
              <w:rPr>
                <w:rFonts w:ascii="Times New Roman" w:eastAsia="Times New Roman" w:hAnsi="Times New Roman" w:cs="Times New Roman"/>
                <w:color w:val="000000"/>
                <w:sz w:val="20"/>
                <w:szCs w:val="20"/>
                <w:lang w:eastAsia="en-US"/>
              </w:rPr>
            </w:pPr>
          </w:p>
        </w:tc>
        <w:tc>
          <w:tcPr>
            <w:tcW w:w="796" w:type="pct"/>
            <w:tcBorders>
              <w:top w:val="nil"/>
              <w:left w:val="nil"/>
              <w:bottom w:val="nil"/>
              <w:right w:val="nil"/>
            </w:tcBorders>
            <w:noWrap/>
            <w:vAlign w:val="center"/>
            <w:hideMark/>
          </w:tcPr>
          <w:p w14:paraId="6F5FDCB9" w14:textId="1CBE7770" w:rsidR="00F8101B" w:rsidRPr="00F07DEB" w:rsidRDefault="00F8101B" w:rsidP="00F07DEB">
            <w:pPr>
              <w:spacing w:after="0"/>
              <w:rPr>
                <w:rFonts w:ascii="Times New Roman" w:eastAsia="Times New Roman" w:hAnsi="Times New Roman" w:cs="Times New Roman"/>
                <w:color w:val="000000"/>
                <w:sz w:val="20"/>
                <w:szCs w:val="20"/>
                <w:lang w:eastAsia="en-US"/>
              </w:rPr>
            </w:pPr>
          </w:p>
        </w:tc>
      </w:tr>
      <w:tr w:rsidR="00F8101B" w:rsidRPr="00F07DEB" w14:paraId="5E1F7A11" w14:textId="77777777" w:rsidTr="00641A81">
        <w:trPr>
          <w:trHeight w:val="302"/>
        </w:trPr>
        <w:tc>
          <w:tcPr>
            <w:tcW w:w="456" w:type="pct"/>
            <w:tcBorders>
              <w:top w:val="nil"/>
              <w:left w:val="nil"/>
              <w:bottom w:val="nil"/>
              <w:right w:val="nil"/>
            </w:tcBorders>
            <w:noWrap/>
            <w:vAlign w:val="center"/>
            <w:hideMark/>
          </w:tcPr>
          <w:p w14:paraId="6063BB03"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57" w:type="pct"/>
            <w:tcBorders>
              <w:top w:val="nil"/>
              <w:left w:val="nil"/>
              <w:bottom w:val="nil"/>
              <w:right w:val="nil"/>
            </w:tcBorders>
            <w:noWrap/>
            <w:vAlign w:val="center"/>
            <w:hideMark/>
          </w:tcPr>
          <w:p w14:paraId="6D0A39E7"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surface irrigation</w:t>
            </w:r>
          </w:p>
        </w:tc>
        <w:tc>
          <w:tcPr>
            <w:tcW w:w="721" w:type="pct"/>
            <w:tcBorders>
              <w:top w:val="nil"/>
              <w:left w:val="nil"/>
              <w:bottom w:val="nil"/>
              <w:right w:val="nil"/>
            </w:tcBorders>
            <w:noWrap/>
            <w:vAlign w:val="center"/>
            <w:hideMark/>
          </w:tcPr>
          <w:p w14:paraId="3C5C4EA0"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SAR</w:t>
            </w:r>
          </w:p>
        </w:tc>
        <w:tc>
          <w:tcPr>
            <w:tcW w:w="714" w:type="pct"/>
            <w:tcBorders>
              <w:top w:val="nil"/>
              <w:left w:val="nil"/>
              <w:bottom w:val="nil"/>
              <w:right w:val="nil"/>
            </w:tcBorders>
            <w:noWrap/>
            <w:vAlign w:val="center"/>
            <w:hideMark/>
          </w:tcPr>
          <w:p w14:paraId="3C4125C5"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3.0</w:t>
            </w:r>
          </w:p>
        </w:tc>
        <w:tc>
          <w:tcPr>
            <w:tcW w:w="1056" w:type="pct"/>
            <w:tcBorders>
              <w:top w:val="nil"/>
              <w:left w:val="nil"/>
              <w:bottom w:val="nil"/>
              <w:right w:val="nil"/>
            </w:tcBorders>
            <w:noWrap/>
            <w:vAlign w:val="center"/>
            <w:hideMark/>
          </w:tcPr>
          <w:p w14:paraId="2A52C1A5"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3.0 - 9.0</w:t>
            </w:r>
          </w:p>
        </w:tc>
        <w:tc>
          <w:tcPr>
            <w:tcW w:w="796" w:type="pct"/>
            <w:tcBorders>
              <w:top w:val="nil"/>
              <w:left w:val="nil"/>
              <w:bottom w:val="nil"/>
              <w:right w:val="nil"/>
            </w:tcBorders>
            <w:noWrap/>
            <w:vAlign w:val="center"/>
            <w:hideMark/>
          </w:tcPr>
          <w:p w14:paraId="43DBB0EE"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&gt; 9.0</w:t>
            </w:r>
          </w:p>
        </w:tc>
      </w:tr>
      <w:tr w:rsidR="00F8101B" w:rsidRPr="00F07DEB" w14:paraId="63E12C8A" w14:textId="77777777" w:rsidTr="00641A81">
        <w:trPr>
          <w:trHeight w:val="302"/>
        </w:trPr>
        <w:tc>
          <w:tcPr>
            <w:tcW w:w="456" w:type="pct"/>
            <w:tcBorders>
              <w:top w:val="nil"/>
              <w:left w:val="nil"/>
              <w:bottom w:val="nil"/>
              <w:right w:val="nil"/>
            </w:tcBorders>
            <w:noWrap/>
            <w:vAlign w:val="center"/>
            <w:hideMark/>
          </w:tcPr>
          <w:p w14:paraId="789AD5AF"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57" w:type="pct"/>
            <w:tcBorders>
              <w:top w:val="nil"/>
              <w:left w:val="nil"/>
              <w:bottom w:val="nil"/>
              <w:right w:val="nil"/>
            </w:tcBorders>
            <w:noWrap/>
            <w:vAlign w:val="center"/>
            <w:hideMark/>
          </w:tcPr>
          <w:p w14:paraId="67048FE9"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sprinkler irrigation</w:t>
            </w:r>
          </w:p>
        </w:tc>
        <w:tc>
          <w:tcPr>
            <w:tcW w:w="721" w:type="pct"/>
            <w:tcBorders>
              <w:top w:val="nil"/>
              <w:left w:val="nil"/>
              <w:bottom w:val="nil"/>
              <w:right w:val="nil"/>
            </w:tcBorders>
            <w:noWrap/>
            <w:vAlign w:val="center"/>
            <w:hideMark/>
          </w:tcPr>
          <w:p w14:paraId="3511C8DE"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meq</w:t>
            </w:r>
            <w:proofErr w:type="spellEnd"/>
            <w:r w:rsidRPr="00F07DEB">
              <w:rPr>
                <w:rFonts w:ascii="Times New Roman" w:eastAsia="Times New Roman" w:hAnsi="Times New Roman" w:cs="Times New Roman"/>
                <w:color w:val="000000"/>
                <w:sz w:val="20"/>
                <w:szCs w:val="20"/>
                <w:lang w:eastAsia="en-US"/>
              </w:rPr>
              <w:t>/L</w:t>
            </w:r>
          </w:p>
        </w:tc>
        <w:tc>
          <w:tcPr>
            <w:tcW w:w="714" w:type="pct"/>
            <w:tcBorders>
              <w:top w:val="nil"/>
              <w:left w:val="nil"/>
              <w:bottom w:val="nil"/>
              <w:right w:val="nil"/>
            </w:tcBorders>
            <w:noWrap/>
            <w:vAlign w:val="center"/>
            <w:hideMark/>
          </w:tcPr>
          <w:p w14:paraId="0653C3B8"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3.0</w:t>
            </w:r>
          </w:p>
        </w:tc>
        <w:tc>
          <w:tcPr>
            <w:tcW w:w="1056" w:type="pct"/>
            <w:tcBorders>
              <w:top w:val="nil"/>
              <w:left w:val="nil"/>
              <w:bottom w:val="nil"/>
              <w:right w:val="nil"/>
            </w:tcBorders>
            <w:noWrap/>
            <w:vAlign w:val="center"/>
            <w:hideMark/>
          </w:tcPr>
          <w:p w14:paraId="56881FDE"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&gt; 3.0</w:t>
            </w:r>
          </w:p>
        </w:tc>
        <w:tc>
          <w:tcPr>
            <w:tcW w:w="796" w:type="pct"/>
            <w:tcBorders>
              <w:top w:val="nil"/>
              <w:left w:val="nil"/>
              <w:bottom w:val="nil"/>
              <w:right w:val="nil"/>
            </w:tcBorders>
            <w:noWrap/>
            <w:vAlign w:val="center"/>
            <w:hideMark/>
          </w:tcPr>
          <w:p w14:paraId="3F3B6010" w14:textId="51F8C746" w:rsidR="00F8101B" w:rsidRPr="00F07DEB" w:rsidRDefault="00F8101B" w:rsidP="00F07DEB">
            <w:pPr>
              <w:spacing w:after="0"/>
              <w:rPr>
                <w:rFonts w:ascii="Times New Roman" w:eastAsia="Times New Roman" w:hAnsi="Times New Roman" w:cs="Times New Roman"/>
                <w:color w:val="000000"/>
                <w:sz w:val="20"/>
                <w:szCs w:val="20"/>
                <w:lang w:eastAsia="en-US"/>
              </w:rPr>
            </w:pPr>
          </w:p>
        </w:tc>
      </w:tr>
      <w:tr w:rsidR="00F8101B" w:rsidRPr="00F07DEB" w14:paraId="05347DE2" w14:textId="77777777" w:rsidTr="00641A81">
        <w:trPr>
          <w:trHeight w:val="302"/>
        </w:trPr>
        <w:tc>
          <w:tcPr>
            <w:tcW w:w="456" w:type="pct"/>
            <w:tcBorders>
              <w:top w:val="nil"/>
              <w:left w:val="nil"/>
              <w:bottom w:val="nil"/>
              <w:right w:val="nil"/>
            </w:tcBorders>
            <w:noWrap/>
            <w:vAlign w:val="center"/>
            <w:hideMark/>
          </w:tcPr>
          <w:p w14:paraId="50768518"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57" w:type="pct"/>
            <w:tcBorders>
              <w:top w:val="nil"/>
              <w:left w:val="nil"/>
              <w:bottom w:val="nil"/>
              <w:right w:val="nil"/>
            </w:tcBorders>
            <w:noWrap/>
            <w:vAlign w:val="center"/>
            <w:hideMark/>
          </w:tcPr>
          <w:p w14:paraId="6DDCD730" w14:textId="41DD8603" w:rsidR="00F8101B" w:rsidRPr="00F07DEB" w:rsidRDefault="009678A2" w:rsidP="00F07DEB">
            <w:pPr>
              <w:spacing w:after="0"/>
              <w:rPr>
                <w:rFonts w:ascii="Times New Roman" w:eastAsia="Times New Roman" w:hAnsi="Times New Roman" w:cs="Times New Roman"/>
                <w:b/>
                <w:bCs/>
                <w:color w:val="000000"/>
                <w:sz w:val="20"/>
                <w:szCs w:val="20"/>
                <w:lang w:eastAsia="en-US"/>
              </w:rPr>
            </w:pPr>
            <w:r>
              <w:rPr>
                <w:rFonts w:ascii="Times New Roman" w:eastAsia="Times New Roman" w:hAnsi="Times New Roman" w:cs="Times New Roman"/>
                <w:b/>
                <w:bCs/>
                <w:color w:val="000000"/>
                <w:sz w:val="20"/>
                <w:szCs w:val="20"/>
                <w:lang w:eastAsia="en-US"/>
              </w:rPr>
              <w:t>Chloride</w:t>
            </w:r>
            <w:r w:rsidR="00F8101B" w:rsidRPr="00F07DEB">
              <w:rPr>
                <w:rFonts w:ascii="Times New Roman" w:eastAsia="Times New Roman" w:hAnsi="Times New Roman" w:cs="Times New Roman"/>
                <w:b/>
                <w:bCs/>
                <w:color w:val="000000"/>
                <w:sz w:val="20"/>
                <w:szCs w:val="20"/>
                <w:lang w:eastAsia="en-US"/>
              </w:rPr>
              <w:t xml:space="preserve"> (Cl</w:t>
            </w:r>
            <w:r w:rsidR="00D301C0" w:rsidRPr="00F07DEB">
              <w:rPr>
                <w:rFonts w:ascii="Times New Roman" w:eastAsia="Times New Roman" w:hAnsi="Times New Roman" w:cs="Times New Roman"/>
                <w:b/>
                <w:bCs/>
                <w:color w:val="000000"/>
                <w:sz w:val="20"/>
                <w:szCs w:val="20"/>
                <w:vertAlign w:val="superscript"/>
                <w:lang w:eastAsia="en-US"/>
              </w:rPr>
              <w:t>-</w:t>
            </w:r>
            <w:r w:rsidR="00F8101B" w:rsidRPr="00F07DEB">
              <w:rPr>
                <w:rFonts w:ascii="Times New Roman" w:eastAsia="Times New Roman" w:hAnsi="Times New Roman" w:cs="Times New Roman"/>
                <w:b/>
                <w:bCs/>
                <w:color w:val="000000"/>
                <w:sz w:val="20"/>
                <w:szCs w:val="20"/>
                <w:lang w:eastAsia="en-US"/>
              </w:rPr>
              <w:t>)</w:t>
            </w:r>
          </w:p>
        </w:tc>
        <w:tc>
          <w:tcPr>
            <w:tcW w:w="721" w:type="pct"/>
            <w:tcBorders>
              <w:top w:val="nil"/>
              <w:left w:val="nil"/>
              <w:bottom w:val="nil"/>
              <w:right w:val="nil"/>
            </w:tcBorders>
            <w:noWrap/>
            <w:vAlign w:val="center"/>
            <w:hideMark/>
          </w:tcPr>
          <w:p w14:paraId="4C3834BD" w14:textId="50019C20" w:rsidR="00F8101B" w:rsidRPr="00F07DEB" w:rsidRDefault="00F8101B" w:rsidP="00F07DEB">
            <w:pPr>
              <w:spacing w:after="0"/>
              <w:rPr>
                <w:rFonts w:ascii="Times New Roman" w:eastAsia="Times New Roman" w:hAnsi="Times New Roman" w:cs="Times New Roman"/>
                <w:color w:val="000000"/>
                <w:sz w:val="20"/>
                <w:szCs w:val="20"/>
                <w:lang w:eastAsia="en-US"/>
              </w:rPr>
            </w:pPr>
          </w:p>
        </w:tc>
        <w:tc>
          <w:tcPr>
            <w:tcW w:w="714" w:type="pct"/>
            <w:tcBorders>
              <w:top w:val="nil"/>
              <w:left w:val="nil"/>
              <w:bottom w:val="nil"/>
              <w:right w:val="nil"/>
            </w:tcBorders>
            <w:noWrap/>
            <w:vAlign w:val="center"/>
            <w:hideMark/>
          </w:tcPr>
          <w:p w14:paraId="234C0A82" w14:textId="68CF4D57" w:rsidR="00F8101B" w:rsidRPr="00F07DEB" w:rsidRDefault="00F8101B" w:rsidP="00F07DEB">
            <w:pPr>
              <w:spacing w:after="0"/>
              <w:rPr>
                <w:rFonts w:ascii="Times New Roman" w:eastAsia="Times New Roman" w:hAnsi="Times New Roman" w:cs="Times New Roman"/>
                <w:color w:val="000000"/>
                <w:sz w:val="20"/>
                <w:szCs w:val="20"/>
                <w:lang w:eastAsia="en-US"/>
              </w:rPr>
            </w:pPr>
          </w:p>
        </w:tc>
        <w:tc>
          <w:tcPr>
            <w:tcW w:w="1056" w:type="pct"/>
            <w:tcBorders>
              <w:top w:val="nil"/>
              <w:left w:val="nil"/>
              <w:bottom w:val="nil"/>
              <w:right w:val="nil"/>
            </w:tcBorders>
            <w:noWrap/>
            <w:vAlign w:val="center"/>
            <w:hideMark/>
          </w:tcPr>
          <w:p w14:paraId="373BDA85" w14:textId="73D6FB03" w:rsidR="00F8101B" w:rsidRPr="00F07DEB" w:rsidRDefault="00F8101B" w:rsidP="00F07DEB">
            <w:pPr>
              <w:spacing w:after="0"/>
              <w:rPr>
                <w:rFonts w:ascii="Times New Roman" w:eastAsia="Times New Roman" w:hAnsi="Times New Roman" w:cs="Times New Roman"/>
                <w:color w:val="000000"/>
                <w:sz w:val="20"/>
                <w:szCs w:val="20"/>
                <w:lang w:eastAsia="en-US"/>
              </w:rPr>
            </w:pPr>
          </w:p>
        </w:tc>
        <w:tc>
          <w:tcPr>
            <w:tcW w:w="796" w:type="pct"/>
            <w:tcBorders>
              <w:top w:val="nil"/>
              <w:left w:val="nil"/>
              <w:bottom w:val="nil"/>
              <w:right w:val="nil"/>
            </w:tcBorders>
            <w:noWrap/>
            <w:vAlign w:val="center"/>
            <w:hideMark/>
          </w:tcPr>
          <w:p w14:paraId="0E3AEA20" w14:textId="19689E53" w:rsidR="00F8101B" w:rsidRPr="00F07DEB" w:rsidRDefault="00F8101B" w:rsidP="00F07DEB">
            <w:pPr>
              <w:spacing w:after="0"/>
              <w:rPr>
                <w:rFonts w:ascii="Times New Roman" w:eastAsia="Times New Roman" w:hAnsi="Times New Roman" w:cs="Times New Roman"/>
                <w:color w:val="000000"/>
                <w:sz w:val="20"/>
                <w:szCs w:val="20"/>
                <w:lang w:eastAsia="en-US"/>
              </w:rPr>
            </w:pPr>
          </w:p>
        </w:tc>
      </w:tr>
      <w:tr w:rsidR="00F8101B" w:rsidRPr="00F07DEB" w14:paraId="19C00F20" w14:textId="77777777" w:rsidTr="00641A81">
        <w:trPr>
          <w:trHeight w:val="302"/>
        </w:trPr>
        <w:tc>
          <w:tcPr>
            <w:tcW w:w="456" w:type="pct"/>
            <w:tcBorders>
              <w:top w:val="nil"/>
              <w:left w:val="nil"/>
              <w:bottom w:val="nil"/>
              <w:right w:val="nil"/>
            </w:tcBorders>
            <w:noWrap/>
            <w:vAlign w:val="center"/>
            <w:hideMark/>
          </w:tcPr>
          <w:p w14:paraId="49CDF9AE"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57" w:type="pct"/>
            <w:tcBorders>
              <w:top w:val="nil"/>
              <w:left w:val="nil"/>
              <w:bottom w:val="nil"/>
              <w:right w:val="nil"/>
            </w:tcBorders>
            <w:noWrap/>
            <w:vAlign w:val="center"/>
            <w:hideMark/>
          </w:tcPr>
          <w:p w14:paraId="7DF052FC"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surface irrigation</w:t>
            </w:r>
          </w:p>
        </w:tc>
        <w:tc>
          <w:tcPr>
            <w:tcW w:w="721" w:type="pct"/>
            <w:tcBorders>
              <w:top w:val="nil"/>
              <w:left w:val="nil"/>
              <w:bottom w:val="nil"/>
              <w:right w:val="nil"/>
            </w:tcBorders>
            <w:noWrap/>
            <w:vAlign w:val="center"/>
            <w:hideMark/>
          </w:tcPr>
          <w:p w14:paraId="07AC9865"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meq</w:t>
            </w:r>
            <w:proofErr w:type="spellEnd"/>
            <w:r w:rsidRPr="00F07DEB">
              <w:rPr>
                <w:rFonts w:ascii="Times New Roman" w:eastAsia="Times New Roman" w:hAnsi="Times New Roman" w:cs="Times New Roman"/>
                <w:color w:val="000000"/>
                <w:sz w:val="20"/>
                <w:szCs w:val="20"/>
                <w:lang w:eastAsia="en-US"/>
              </w:rPr>
              <w:t>/L</w:t>
            </w:r>
          </w:p>
        </w:tc>
        <w:tc>
          <w:tcPr>
            <w:tcW w:w="714" w:type="pct"/>
            <w:tcBorders>
              <w:top w:val="nil"/>
              <w:left w:val="nil"/>
              <w:bottom w:val="nil"/>
              <w:right w:val="nil"/>
            </w:tcBorders>
            <w:noWrap/>
            <w:vAlign w:val="center"/>
            <w:hideMark/>
          </w:tcPr>
          <w:p w14:paraId="035EFE23"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4.0</w:t>
            </w:r>
          </w:p>
        </w:tc>
        <w:tc>
          <w:tcPr>
            <w:tcW w:w="1056" w:type="pct"/>
            <w:tcBorders>
              <w:top w:val="nil"/>
              <w:left w:val="nil"/>
              <w:bottom w:val="nil"/>
              <w:right w:val="nil"/>
            </w:tcBorders>
            <w:noWrap/>
            <w:vAlign w:val="center"/>
            <w:hideMark/>
          </w:tcPr>
          <w:p w14:paraId="6E4834F7"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4.0 - 10.0</w:t>
            </w:r>
          </w:p>
        </w:tc>
        <w:tc>
          <w:tcPr>
            <w:tcW w:w="796" w:type="pct"/>
            <w:tcBorders>
              <w:top w:val="nil"/>
              <w:left w:val="nil"/>
              <w:bottom w:val="nil"/>
              <w:right w:val="nil"/>
            </w:tcBorders>
            <w:noWrap/>
            <w:vAlign w:val="center"/>
            <w:hideMark/>
          </w:tcPr>
          <w:p w14:paraId="6324E708"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&gt; 10.0</w:t>
            </w:r>
          </w:p>
        </w:tc>
      </w:tr>
      <w:tr w:rsidR="00F8101B" w:rsidRPr="00F07DEB" w14:paraId="2C5F0874" w14:textId="77777777" w:rsidTr="00641A81">
        <w:trPr>
          <w:trHeight w:val="302"/>
        </w:trPr>
        <w:tc>
          <w:tcPr>
            <w:tcW w:w="456" w:type="pct"/>
            <w:tcBorders>
              <w:top w:val="nil"/>
              <w:left w:val="nil"/>
              <w:bottom w:val="nil"/>
              <w:right w:val="nil"/>
            </w:tcBorders>
            <w:noWrap/>
            <w:vAlign w:val="center"/>
            <w:hideMark/>
          </w:tcPr>
          <w:p w14:paraId="781103B5"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57" w:type="pct"/>
            <w:tcBorders>
              <w:top w:val="nil"/>
              <w:left w:val="nil"/>
              <w:bottom w:val="nil"/>
              <w:right w:val="nil"/>
            </w:tcBorders>
            <w:noWrap/>
            <w:vAlign w:val="center"/>
            <w:hideMark/>
          </w:tcPr>
          <w:p w14:paraId="3FC822BA"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sprinkler irrigation</w:t>
            </w:r>
          </w:p>
        </w:tc>
        <w:tc>
          <w:tcPr>
            <w:tcW w:w="721" w:type="pct"/>
            <w:tcBorders>
              <w:top w:val="nil"/>
              <w:left w:val="nil"/>
              <w:bottom w:val="nil"/>
              <w:right w:val="nil"/>
            </w:tcBorders>
            <w:noWrap/>
            <w:vAlign w:val="center"/>
            <w:hideMark/>
          </w:tcPr>
          <w:p w14:paraId="7BE909AA"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meq</w:t>
            </w:r>
            <w:proofErr w:type="spellEnd"/>
            <w:r w:rsidRPr="00F07DEB">
              <w:rPr>
                <w:rFonts w:ascii="Times New Roman" w:eastAsia="Times New Roman" w:hAnsi="Times New Roman" w:cs="Times New Roman"/>
                <w:color w:val="000000"/>
                <w:sz w:val="20"/>
                <w:szCs w:val="20"/>
                <w:lang w:eastAsia="en-US"/>
              </w:rPr>
              <w:t>/L</w:t>
            </w:r>
          </w:p>
        </w:tc>
        <w:tc>
          <w:tcPr>
            <w:tcW w:w="714" w:type="pct"/>
            <w:tcBorders>
              <w:top w:val="nil"/>
              <w:left w:val="nil"/>
              <w:bottom w:val="nil"/>
              <w:right w:val="nil"/>
            </w:tcBorders>
            <w:noWrap/>
            <w:vAlign w:val="center"/>
            <w:hideMark/>
          </w:tcPr>
          <w:p w14:paraId="3624C5A1"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3.0</w:t>
            </w:r>
          </w:p>
        </w:tc>
        <w:tc>
          <w:tcPr>
            <w:tcW w:w="1056" w:type="pct"/>
            <w:tcBorders>
              <w:top w:val="nil"/>
              <w:left w:val="nil"/>
              <w:bottom w:val="nil"/>
              <w:right w:val="nil"/>
            </w:tcBorders>
            <w:noWrap/>
            <w:vAlign w:val="center"/>
            <w:hideMark/>
          </w:tcPr>
          <w:p w14:paraId="3BBE8988"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&gt; 3.0</w:t>
            </w:r>
          </w:p>
        </w:tc>
        <w:tc>
          <w:tcPr>
            <w:tcW w:w="796" w:type="pct"/>
            <w:tcBorders>
              <w:top w:val="nil"/>
              <w:left w:val="nil"/>
              <w:bottom w:val="nil"/>
              <w:right w:val="nil"/>
            </w:tcBorders>
            <w:noWrap/>
            <w:vAlign w:val="center"/>
            <w:hideMark/>
          </w:tcPr>
          <w:p w14:paraId="17AEEA4B" w14:textId="5D8E8FEC" w:rsidR="00F8101B" w:rsidRPr="00F07DEB" w:rsidRDefault="00F8101B" w:rsidP="00F07DEB">
            <w:pPr>
              <w:spacing w:after="0"/>
              <w:rPr>
                <w:rFonts w:ascii="Times New Roman" w:eastAsia="Times New Roman" w:hAnsi="Times New Roman" w:cs="Times New Roman"/>
                <w:color w:val="000000"/>
                <w:sz w:val="20"/>
                <w:szCs w:val="20"/>
                <w:lang w:eastAsia="en-US"/>
              </w:rPr>
            </w:pPr>
          </w:p>
        </w:tc>
      </w:tr>
      <w:tr w:rsidR="00F8101B" w:rsidRPr="00F07DEB" w14:paraId="4FE31148" w14:textId="77777777" w:rsidTr="00641A81">
        <w:trPr>
          <w:trHeight w:val="302"/>
        </w:trPr>
        <w:tc>
          <w:tcPr>
            <w:tcW w:w="456" w:type="pct"/>
            <w:tcBorders>
              <w:top w:val="nil"/>
              <w:left w:val="nil"/>
              <w:bottom w:val="nil"/>
              <w:right w:val="nil"/>
            </w:tcBorders>
            <w:noWrap/>
            <w:vAlign w:val="center"/>
            <w:hideMark/>
          </w:tcPr>
          <w:p w14:paraId="54D40F60"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57" w:type="pct"/>
            <w:tcBorders>
              <w:top w:val="nil"/>
              <w:left w:val="nil"/>
              <w:bottom w:val="nil"/>
              <w:right w:val="nil"/>
            </w:tcBorders>
            <w:noWrap/>
            <w:vAlign w:val="center"/>
            <w:hideMark/>
          </w:tcPr>
          <w:p w14:paraId="665EA96B" w14:textId="77777777" w:rsidR="00F8101B" w:rsidRPr="00F07DEB" w:rsidRDefault="00F8101B" w:rsidP="00F07DEB">
            <w:pPr>
              <w:spacing w:after="0"/>
              <w:rPr>
                <w:rFonts w:ascii="Times New Roman" w:eastAsia="Times New Roman" w:hAnsi="Times New Roman" w:cs="Times New Roman"/>
                <w:b/>
                <w:bCs/>
                <w:color w:val="000000"/>
                <w:sz w:val="20"/>
                <w:szCs w:val="20"/>
                <w:lang w:eastAsia="en-US"/>
              </w:rPr>
            </w:pPr>
            <w:r w:rsidRPr="00F07DEB">
              <w:rPr>
                <w:rFonts w:ascii="Times New Roman" w:eastAsia="Times New Roman" w:hAnsi="Times New Roman" w:cs="Times New Roman"/>
                <w:b/>
                <w:bCs/>
                <w:color w:val="000000"/>
                <w:sz w:val="20"/>
                <w:szCs w:val="20"/>
                <w:lang w:eastAsia="en-US"/>
              </w:rPr>
              <w:t>Boron (B)</w:t>
            </w:r>
          </w:p>
        </w:tc>
        <w:tc>
          <w:tcPr>
            <w:tcW w:w="721" w:type="pct"/>
            <w:tcBorders>
              <w:top w:val="nil"/>
              <w:left w:val="nil"/>
              <w:bottom w:val="nil"/>
              <w:right w:val="nil"/>
            </w:tcBorders>
            <w:noWrap/>
            <w:vAlign w:val="center"/>
            <w:hideMark/>
          </w:tcPr>
          <w:p w14:paraId="58965C04"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mg/L</w:t>
            </w:r>
          </w:p>
        </w:tc>
        <w:tc>
          <w:tcPr>
            <w:tcW w:w="714" w:type="pct"/>
            <w:tcBorders>
              <w:top w:val="nil"/>
              <w:left w:val="nil"/>
              <w:bottom w:val="nil"/>
              <w:right w:val="nil"/>
            </w:tcBorders>
            <w:noWrap/>
            <w:vAlign w:val="center"/>
            <w:hideMark/>
          </w:tcPr>
          <w:p w14:paraId="1B54DFBF"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0.7</w:t>
            </w:r>
          </w:p>
        </w:tc>
        <w:tc>
          <w:tcPr>
            <w:tcW w:w="1056" w:type="pct"/>
            <w:tcBorders>
              <w:top w:val="nil"/>
              <w:left w:val="nil"/>
              <w:bottom w:val="nil"/>
              <w:right w:val="nil"/>
            </w:tcBorders>
            <w:noWrap/>
            <w:vAlign w:val="center"/>
            <w:hideMark/>
          </w:tcPr>
          <w:p w14:paraId="22185125"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0.7 - 3.0</w:t>
            </w:r>
          </w:p>
        </w:tc>
        <w:tc>
          <w:tcPr>
            <w:tcW w:w="796" w:type="pct"/>
            <w:tcBorders>
              <w:top w:val="nil"/>
              <w:left w:val="nil"/>
              <w:bottom w:val="nil"/>
              <w:right w:val="nil"/>
            </w:tcBorders>
            <w:noWrap/>
            <w:vAlign w:val="center"/>
            <w:hideMark/>
          </w:tcPr>
          <w:p w14:paraId="19EDB91B"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&gt; 3.0</w:t>
            </w:r>
          </w:p>
        </w:tc>
      </w:tr>
      <w:tr w:rsidR="00F8101B" w:rsidRPr="00F07DEB" w14:paraId="014952E2" w14:textId="77777777" w:rsidTr="00641A81">
        <w:trPr>
          <w:trHeight w:val="302"/>
        </w:trPr>
        <w:tc>
          <w:tcPr>
            <w:tcW w:w="5000" w:type="pct"/>
            <w:gridSpan w:val="6"/>
            <w:tcBorders>
              <w:top w:val="nil"/>
              <w:left w:val="nil"/>
              <w:bottom w:val="nil"/>
              <w:right w:val="nil"/>
            </w:tcBorders>
            <w:noWrap/>
            <w:vAlign w:val="center"/>
            <w:hideMark/>
          </w:tcPr>
          <w:p w14:paraId="551AD424"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b/>
                <w:bCs/>
                <w:color w:val="000000"/>
                <w:sz w:val="20"/>
                <w:szCs w:val="20"/>
                <w:lang w:eastAsia="en-US"/>
              </w:rPr>
              <w:t>Miscellaneous Effects</w:t>
            </w:r>
            <w:r w:rsidRPr="00F07DEB">
              <w:rPr>
                <w:rFonts w:ascii="Times New Roman" w:eastAsia="Times New Roman" w:hAnsi="Times New Roman" w:cs="Times New Roman"/>
                <w:color w:val="000000"/>
                <w:sz w:val="20"/>
                <w:szCs w:val="20"/>
                <w:lang w:eastAsia="en-US"/>
              </w:rPr>
              <w:t xml:space="preserve"> (affects susceptible crops)</w:t>
            </w:r>
          </w:p>
        </w:tc>
      </w:tr>
      <w:tr w:rsidR="00F8101B" w:rsidRPr="00F07DEB" w14:paraId="1D57BB74" w14:textId="77777777" w:rsidTr="00641A81">
        <w:trPr>
          <w:trHeight w:val="302"/>
        </w:trPr>
        <w:tc>
          <w:tcPr>
            <w:tcW w:w="456" w:type="pct"/>
            <w:tcBorders>
              <w:top w:val="nil"/>
              <w:left w:val="nil"/>
              <w:bottom w:val="nil"/>
              <w:right w:val="nil"/>
            </w:tcBorders>
            <w:noWrap/>
            <w:vAlign w:val="center"/>
            <w:hideMark/>
          </w:tcPr>
          <w:p w14:paraId="74FD477E"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57" w:type="pct"/>
            <w:tcBorders>
              <w:top w:val="nil"/>
              <w:left w:val="nil"/>
              <w:bottom w:val="nil"/>
              <w:right w:val="nil"/>
            </w:tcBorders>
            <w:noWrap/>
            <w:vAlign w:val="center"/>
            <w:hideMark/>
          </w:tcPr>
          <w:p w14:paraId="33ACB119" w14:textId="77777777" w:rsidR="00F8101B" w:rsidRPr="00F07DEB" w:rsidRDefault="00F8101B" w:rsidP="00F07DEB">
            <w:pPr>
              <w:spacing w:after="0"/>
              <w:rPr>
                <w:rFonts w:ascii="Times New Roman" w:eastAsia="Times New Roman" w:hAnsi="Times New Roman" w:cs="Times New Roman"/>
                <w:b/>
                <w:bCs/>
                <w:color w:val="000000"/>
                <w:sz w:val="20"/>
                <w:szCs w:val="20"/>
                <w:lang w:eastAsia="en-US"/>
              </w:rPr>
            </w:pPr>
            <w:r w:rsidRPr="00F07DEB">
              <w:rPr>
                <w:rFonts w:ascii="Times New Roman" w:eastAsia="Times New Roman" w:hAnsi="Times New Roman" w:cs="Times New Roman"/>
                <w:b/>
                <w:bCs/>
                <w:color w:val="000000"/>
                <w:sz w:val="20"/>
                <w:szCs w:val="20"/>
                <w:lang w:eastAsia="en-US"/>
              </w:rPr>
              <w:t>Nitrate (NO</w:t>
            </w:r>
            <w:r w:rsidRPr="00F07DEB">
              <w:rPr>
                <w:rFonts w:ascii="Times New Roman" w:eastAsia="Times New Roman" w:hAnsi="Times New Roman" w:cs="Times New Roman"/>
                <w:b/>
                <w:bCs/>
                <w:color w:val="000000"/>
                <w:sz w:val="20"/>
                <w:szCs w:val="20"/>
                <w:vertAlign w:val="subscript"/>
                <w:lang w:eastAsia="en-US"/>
              </w:rPr>
              <w:t>3</w:t>
            </w:r>
            <w:r w:rsidRPr="00F07DEB">
              <w:rPr>
                <w:rFonts w:ascii="Times New Roman" w:eastAsia="Times New Roman" w:hAnsi="Times New Roman" w:cs="Times New Roman"/>
                <w:b/>
                <w:bCs/>
                <w:color w:val="000000"/>
                <w:sz w:val="20"/>
                <w:szCs w:val="20"/>
                <w:lang w:eastAsia="en-US"/>
              </w:rPr>
              <w:t>-N)</w:t>
            </w:r>
          </w:p>
        </w:tc>
        <w:tc>
          <w:tcPr>
            <w:tcW w:w="721" w:type="pct"/>
            <w:tcBorders>
              <w:top w:val="nil"/>
              <w:left w:val="nil"/>
              <w:bottom w:val="nil"/>
              <w:right w:val="nil"/>
            </w:tcBorders>
            <w:noWrap/>
            <w:vAlign w:val="center"/>
            <w:hideMark/>
          </w:tcPr>
          <w:p w14:paraId="0312E8EC"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mg/L</w:t>
            </w:r>
          </w:p>
        </w:tc>
        <w:tc>
          <w:tcPr>
            <w:tcW w:w="714" w:type="pct"/>
            <w:tcBorders>
              <w:top w:val="nil"/>
              <w:left w:val="nil"/>
              <w:bottom w:val="nil"/>
              <w:right w:val="nil"/>
            </w:tcBorders>
            <w:noWrap/>
            <w:vAlign w:val="center"/>
            <w:hideMark/>
          </w:tcPr>
          <w:p w14:paraId="077E5B3D"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5.0</w:t>
            </w:r>
          </w:p>
        </w:tc>
        <w:tc>
          <w:tcPr>
            <w:tcW w:w="1056" w:type="pct"/>
            <w:tcBorders>
              <w:top w:val="nil"/>
              <w:left w:val="nil"/>
              <w:bottom w:val="nil"/>
              <w:right w:val="nil"/>
            </w:tcBorders>
            <w:noWrap/>
            <w:vAlign w:val="center"/>
            <w:hideMark/>
          </w:tcPr>
          <w:p w14:paraId="157EDACD"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5.0 - 30.0</w:t>
            </w:r>
          </w:p>
        </w:tc>
        <w:tc>
          <w:tcPr>
            <w:tcW w:w="796" w:type="pct"/>
            <w:tcBorders>
              <w:top w:val="nil"/>
              <w:left w:val="nil"/>
              <w:bottom w:val="nil"/>
              <w:right w:val="nil"/>
            </w:tcBorders>
            <w:noWrap/>
            <w:vAlign w:val="center"/>
            <w:hideMark/>
          </w:tcPr>
          <w:p w14:paraId="3E9CB850"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&gt; 30.0</w:t>
            </w:r>
          </w:p>
        </w:tc>
      </w:tr>
      <w:tr w:rsidR="00F8101B" w:rsidRPr="00F07DEB" w14:paraId="5DE6D40D" w14:textId="77777777" w:rsidTr="00641A81">
        <w:trPr>
          <w:trHeight w:val="302"/>
        </w:trPr>
        <w:tc>
          <w:tcPr>
            <w:tcW w:w="456" w:type="pct"/>
            <w:tcBorders>
              <w:top w:val="nil"/>
              <w:left w:val="nil"/>
              <w:bottom w:val="nil"/>
              <w:right w:val="nil"/>
            </w:tcBorders>
            <w:noWrap/>
            <w:vAlign w:val="center"/>
            <w:hideMark/>
          </w:tcPr>
          <w:p w14:paraId="49BF1FF7"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57" w:type="pct"/>
            <w:tcBorders>
              <w:top w:val="nil"/>
              <w:left w:val="nil"/>
              <w:bottom w:val="nil"/>
              <w:right w:val="nil"/>
            </w:tcBorders>
            <w:noWrap/>
            <w:vAlign w:val="center"/>
            <w:hideMark/>
          </w:tcPr>
          <w:p w14:paraId="443A23DE" w14:textId="094FD725" w:rsidR="00F8101B" w:rsidRPr="00F07DEB" w:rsidRDefault="00F8101B" w:rsidP="00F07DEB">
            <w:pPr>
              <w:spacing w:after="0"/>
              <w:rPr>
                <w:rFonts w:ascii="Times New Roman" w:eastAsia="Times New Roman" w:hAnsi="Times New Roman" w:cs="Times New Roman"/>
                <w:b/>
                <w:bCs/>
                <w:color w:val="000000"/>
                <w:sz w:val="20"/>
                <w:szCs w:val="20"/>
                <w:lang w:eastAsia="en-US"/>
              </w:rPr>
            </w:pPr>
            <w:r w:rsidRPr="00F07DEB">
              <w:rPr>
                <w:rFonts w:ascii="Times New Roman" w:eastAsia="Times New Roman" w:hAnsi="Times New Roman" w:cs="Times New Roman"/>
                <w:b/>
                <w:bCs/>
                <w:color w:val="000000"/>
                <w:sz w:val="20"/>
                <w:szCs w:val="20"/>
                <w:lang w:eastAsia="en-US"/>
              </w:rPr>
              <w:t>Bicarbonate (HCO</w:t>
            </w:r>
            <w:r w:rsidRPr="00F07DEB">
              <w:rPr>
                <w:rFonts w:ascii="Times New Roman" w:eastAsia="Times New Roman" w:hAnsi="Times New Roman" w:cs="Times New Roman"/>
                <w:b/>
                <w:bCs/>
                <w:color w:val="000000"/>
                <w:sz w:val="20"/>
                <w:szCs w:val="20"/>
                <w:vertAlign w:val="subscript"/>
                <w:lang w:eastAsia="en-US"/>
              </w:rPr>
              <w:t>3</w:t>
            </w:r>
            <w:r w:rsidR="00D301C0" w:rsidRPr="00F07DEB">
              <w:rPr>
                <w:rFonts w:ascii="Times New Roman" w:eastAsia="Times New Roman" w:hAnsi="Times New Roman" w:cs="Times New Roman"/>
                <w:b/>
                <w:bCs/>
                <w:color w:val="000000"/>
                <w:sz w:val="20"/>
                <w:szCs w:val="20"/>
                <w:vertAlign w:val="superscript"/>
                <w:lang w:eastAsia="en-US"/>
              </w:rPr>
              <w:t>-</w:t>
            </w:r>
            <w:r w:rsidRPr="00F07DEB">
              <w:rPr>
                <w:rFonts w:ascii="Times New Roman" w:eastAsia="Times New Roman" w:hAnsi="Times New Roman" w:cs="Times New Roman"/>
                <w:b/>
                <w:bCs/>
                <w:color w:val="000000"/>
                <w:sz w:val="20"/>
                <w:szCs w:val="20"/>
                <w:lang w:eastAsia="en-US"/>
              </w:rPr>
              <w:t>)</w:t>
            </w:r>
          </w:p>
        </w:tc>
        <w:tc>
          <w:tcPr>
            <w:tcW w:w="721" w:type="pct"/>
            <w:tcBorders>
              <w:top w:val="nil"/>
              <w:left w:val="nil"/>
              <w:bottom w:val="nil"/>
              <w:right w:val="nil"/>
            </w:tcBorders>
            <w:noWrap/>
            <w:vAlign w:val="center"/>
            <w:hideMark/>
          </w:tcPr>
          <w:p w14:paraId="057ECD06"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meq</w:t>
            </w:r>
            <w:proofErr w:type="spellEnd"/>
            <w:r w:rsidRPr="00F07DEB">
              <w:rPr>
                <w:rFonts w:ascii="Times New Roman" w:eastAsia="Times New Roman" w:hAnsi="Times New Roman" w:cs="Times New Roman"/>
                <w:color w:val="000000"/>
                <w:sz w:val="20"/>
                <w:szCs w:val="20"/>
                <w:lang w:eastAsia="en-US"/>
              </w:rPr>
              <w:t>/L</w:t>
            </w:r>
          </w:p>
        </w:tc>
        <w:tc>
          <w:tcPr>
            <w:tcW w:w="714" w:type="pct"/>
            <w:tcBorders>
              <w:top w:val="nil"/>
              <w:left w:val="nil"/>
              <w:bottom w:val="nil"/>
              <w:right w:val="nil"/>
            </w:tcBorders>
            <w:noWrap/>
            <w:vAlign w:val="center"/>
            <w:hideMark/>
          </w:tcPr>
          <w:p w14:paraId="6C8C1CB2"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1.5</w:t>
            </w:r>
          </w:p>
        </w:tc>
        <w:tc>
          <w:tcPr>
            <w:tcW w:w="1056" w:type="pct"/>
            <w:tcBorders>
              <w:top w:val="nil"/>
              <w:left w:val="nil"/>
              <w:bottom w:val="nil"/>
              <w:right w:val="nil"/>
            </w:tcBorders>
            <w:noWrap/>
            <w:vAlign w:val="center"/>
            <w:hideMark/>
          </w:tcPr>
          <w:p w14:paraId="5635B75F"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1.5 - 8.5</w:t>
            </w:r>
          </w:p>
        </w:tc>
        <w:tc>
          <w:tcPr>
            <w:tcW w:w="796" w:type="pct"/>
            <w:tcBorders>
              <w:top w:val="nil"/>
              <w:left w:val="nil"/>
              <w:bottom w:val="nil"/>
              <w:right w:val="nil"/>
            </w:tcBorders>
            <w:noWrap/>
            <w:vAlign w:val="center"/>
            <w:hideMark/>
          </w:tcPr>
          <w:p w14:paraId="65C8A821"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&gt; 8.5</w:t>
            </w:r>
          </w:p>
        </w:tc>
      </w:tr>
      <w:tr w:rsidR="00F8101B" w:rsidRPr="00F07DEB" w14:paraId="76EB68DB" w14:textId="77777777" w:rsidTr="00641A81">
        <w:trPr>
          <w:trHeight w:val="302"/>
        </w:trPr>
        <w:tc>
          <w:tcPr>
            <w:tcW w:w="456" w:type="pct"/>
            <w:tcBorders>
              <w:top w:val="nil"/>
              <w:left w:val="nil"/>
              <w:bottom w:val="single" w:sz="8" w:space="0" w:color="auto"/>
              <w:right w:val="nil"/>
            </w:tcBorders>
            <w:noWrap/>
            <w:vAlign w:val="center"/>
            <w:hideMark/>
          </w:tcPr>
          <w:p w14:paraId="7B61DD4C" w14:textId="77777777" w:rsidR="00F8101B" w:rsidRPr="00F07DEB" w:rsidRDefault="00F8101B"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57" w:type="pct"/>
            <w:tcBorders>
              <w:top w:val="nil"/>
              <w:left w:val="nil"/>
              <w:bottom w:val="single" w:sz="8" w:space="0" w:color="auto"/>
              <w:right w:val="nil"/>
            </w:tcBorders>
            <w:noWrap/>
            <w:vAlign w:val="center"/>
            <w:hideMark/>
          </w:tcPr>
          <w:p w14:paraId="74739FFF" w14:textId="77777777" w:rsidR="00F8101B" w:rsidRPr="00F07DEB" w:rsidRDefault="00F8101B" w:rsidP="00F07DEB">
            <w:pPr>
              <w:spacing w:after="0"/>
              <w:rPr>
                <w:rFonts w:ascii="Times New Roman" w:eastAsia="Times New Roman" w:hAnsi="Times New Roman" w:cs="Times New Roman"/>
                <w:b/>
                <w:bCs/>
                <w:color w:val="000000"/>
                <w:sz w:val="20"/>
                <w:szCs w:val="20"/>
                <w:lang w:eastAsia="en-US"/>
              </w:rPr>
            </w:pPr>
            <w:r w:rsidRPr="00F07DEB">
              <w:rPr>
                <w:rFonts w:ascii="Times New Roman" w:eastAsia="Times New Roman" w:hAnsi="Times New Roman" w:cs="Times New Roman"/>
                <w:b/>
                <w:bCs/>
                <w:color w:val="000000"/>
                <w:sz w:val="20"/>
                <w:szCs w:val="20"/>
                <w:lang w:eastAsia="en-US"/>
              </w:rPr>
              <w:t>pH</w:t>
            </w:r>
          </w:p>
        </w:tc>
        <w:tc>
          <w:tcPr>
            <w:tcW w:w="721" w:type="pct"/>
            <w:tcBorders>
              <w:top w:val="nil"/>
              <w:left w:val="nil"/>
              <w:bottom w:val="single" w:sz="8" w:space="0" w:color="auto"/>
              <w:right w:val="nil"/>
            </w:tcBorders>
            <w:noWrap/>
            <w:vAlign w:val="center"/>
            <w:hideMark/>
          </w:tcPr>
          <w:p w14:paraId="12CDEF5A" w14:textId="41342C4C" w:rsidR="00F8101B" w:rsidRPr="00F07DEB" w:rsidRDefault="00F8101B" w:rsidP="00F07DEB">
            <w:pPr>
              <w:spacing w:after="0"/>
              <w:rPr>
                <w:rFonts w:ascii="Times New Roman" w:eastAsia="Times New Roman" w:hAnsi="Times New Roman" w:cs="Times New Roman"/>
                <w:color w:val="000000"/>
                <w:sz w:val="20"/>
                <w:szCs w:val="20"/>
                <w:lang w:eastAsia="en-US"/>
              </w:rPr>
            </w:pPr>
          </w:p>
        </w:tc>
        <w:tc>
          <w:tcPr>
            <w:tcW w:w="2566" w:type="pct"/>
            <w:gridSpan w:val="3"/>
            <w:tcBorders>
              <w:top w:val="nil"/>
              <w:left w:val="nil"/>
              <w:bottom w:val="single" w:sz="8" w:space="0" w:color="auto"/>
              <w:right w:val="nil"/>
            </w:tcBorders>
            <w:noWrap/>
            <w:vAlign w:val="center"/>
            <w:hideMark/>
          </w:tcPr>
          <w:p w14:paraId="016410F6" w14:textId="77777777" w:rsidR="00F8101B" w:rsidRPr="00F07DEB" w:rsidRDefault="00F8101B" w:rsidP="00F07DEB">
            <w:pPr>
              <w:spacing w:after="0"/>
              <w:rPr>
                <w:rFonts w:ascii="Times New Roman" w:eastAsia="Times New Roman" w:hAnsi="Times New Roman" w:cs="Times New Roman"/>
                <w:bCs/>
                <w:color w:val="000000"/>
                <w:sz w:val="20"/>
                <w:szCs w:val="20"/>
                <w:lang w:eastAsia="en-US"/>
              </w:rPr>
            </w:pPr>
            <w:r w:rsidRPr="00F07DEB">
              <w:rPr>
                <w:rFonts w:ascii="Times New Roman" w:eastAsia="Times New Roman" w:hAnsi="Times New Roman" w:cs="Times New Roman"/>
                <w:bCs/>
                <w:color w:val="000000"/>
                <w:sz w:val="20"/>
                <w:szCs w:val="20"/>
                <w:lang w:eastAsia="en-US"/>
              </w:rPr>
              <w:t>Normal Range 6.5 - 8.4</w:t>
            </w:r>
          </w:p>
        </w:tc>
      </w:tr>
    </w:tbl>
    <w:p w14:paraId="0A029611" w14:textId="760DCA7F" w:rsidR="00602F91" w:rsidRPr="00F07DEB" w:rsidRDefault="00602F91" w:rsidP="00F8101B">
      <w:pPr>
        <w:spacing w:line="480" w:lineRule="auto"/>
        <w:ind w:firstLine="720"/>
        <w:rPr>
          <w:rFonts w:ascii="Times New Roman" w:hAnsi="Times New Roman" w:cs="Times New Roman"/>
          <w:sz w:val="24"/>
          <w:szCs w:val="24"/>
        </w:rPr>
      </w:pPr>
    </w:p>
    <w:p w14:paraId="295C683F" w14:textId="3E21FE40" w:rsidR="008C5A17" w:rsidRPr="00F07DEB" w:rsidRDefault="009B4895" w:rsidP="00452D22">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lastRenderedPageBreak/>
        <w:t xml:space="preserve">Crop agriculture and animal husbandry were largely responsible for the ascension of </w:t>
      </w:r>
      <w:r w:rsidRPr="00F07DEB">
        <w:rPr>
          <w:rFonts w:ascii="Times New Roman" w:hAnsi="Times New Roman" w:cs="Times New Roman"/>
          <w:i/>
          <w:iCs/>
          <w:sz w:val="24"/>
          <w:szCs w:val="24"/>
        </w:rPr>
        <w:t>Homo sapiens</w:t>
      </w:r>
      <w:r w:rsidRPr="00F07DEB">
        <w:rPr>
          <w:rFonts w:ascii="Times New Roman" w:hAnsi="Times New Roman" w:cs="Times New Roman"/>
          <w:sz w:val="24"/>
          <w:szCs w:val="24"/>
        </w:rPr>
        <w:t xml:space="preserve"> from hunter gatherer to dominant global influence. </w:t>
      </w:r>
      <w:r w:rsidR="00EA4E48" w:rsidRPr="00F07DEB">
        <w:rPr>
          <w:rFonts w:ascii="Times New Roman" w:hAnsi="Times New Roman" w:cs="Times New Roman"/>
          <w:sz w:val="24"/>
          <w:szCs w:val="24"/>
        </w:rPr>
        <w:t xml:space="preserve">Humanity’s prolific expansion has long forced scientists and farmers to adapt to changing landscapes and populations. By </w:t>
      </w:r>
      <w:r w:rsidR="00DB248D" w:rsidRPr="00F07DEB">
        <w:rPr>
          <w:rFonts w:ascii="Times New Roman" w:hAnsi="Times New Roman" w:cs="Times New Roman"/>
          <w:sz w:val="24"/>
          <w:szCs w:val="24"/>
        </w:rPr>
        <w:t xml:space="preserve">developing new technologies </w:t>
      </w:r>
      <w:r w:rsidR="00EA4E48" w:rsidRPr="00F07DEB">
        <w:rPr>
          <w:rFonts w:ascii="Times New Roman" w:hAnsi="Times New Roman" w:cs="Times New Roman"/>
          <w:sz w:val="24"/>
          <w:szCs w:val="24"/>
        </w:rPr>
        <w:t>and agricultural methods, humans have increased the geographic range, efficiency, and resiliency of plant and animal production</w:t>
      </w:r>
      <w:r w:rsidR="00DB248D" w:rsidRPr="00F07DEB">
        <w:rPr>
          <w:rFonts w:ascii="Times New Roman" w:hAnsi="Times New Roman" w:cs="Times New Roman"/>
          <w:sz w:val="24"/>
          <w:szCs w:val="24"/>
        </w:rPr>
        <w:t xml:space="preserve">. </w:t>
      </w:r>
      <w:r w:rsidR="00331E07" w:rsidRPr="00F07DEB">
        <w:rPr>
          <w:rFonts w:ascii="Times New Roman" w:hAnsi="Times New Roman" w:cs="Times New Roman"/>
          <w:sz w:val="24"/>
          <w:szCs w:val="24"/>
        </w:rPr>
        <w:t xml:space="preserve">In the recent past, water scarcities have been </w:t>
      </w:r>
      <w:r w:rsidR="00473643" w:rsidRPr="00F07DEB">
        <w:rPr>
          <w:rFonts w:ascii="Times New Roman" w:hAnsi="Times New Roman" w:cs="Times New Roman"/>
          <w:sz w:val="24"/>
          <w:szCs w:val="24"/>
        </w:rPr>
        <w:t>mitigated</w:t>
      </w:r>
      <w:r w:rsidR="00331E07" w:rsidRPr="00F07DEB">
        <w:rPr>
          <w:rFonts w:ascii="Times New Roman" w:hAnsi="Times New Roman" w:cs="Times New Roman"/>
          <w:sz w:val="24"/>
          <w:szCs w:val="24"/>
        </w:rPr>
        <w:t xml:space="preserve"> </w:t>
      </w:r>
      <w:r w:rsidR="00473643" w:rsidRPr="00F07DEB">
        <w:rPr>
          <w:rFonts w:ascii="Times New Roman" w:hAnsi="Times New Roman" w:cs="Times New Roman"/>
          <w:sz w:val="24"/>
          <w:szCs w:val="24"/>
        </w:rPr>
        <w:t>by</w:t>
      </w:r>
      <w:r w:rsidR="00331E07" w:rsidRPr="00F07DEB">
        <w:rPr>
          <w:rFonts w:ascii="Times New Roman" w:hAnsi="Times New Roman" w:cs="Times New Roman"/>
          <w:sz w:val="24"/>
          <w:szCs w:val="24"/>
        </w:rPr>
        <w:t xml:space="preserve"> the introduction of more sustainable water management practices in the agricultural sector</w:t>
      </w:r>
      <w:r w:rsidR="00473643" w:rsidRPr="00F07DEB">
        <w:rPr>
          <w:rFonts w:ascii="Times New Roman" w:hAnsi="Times New Roman" w:cs="Times New Roman"/>
          <w:sz w:val="24"/>
          <w:szCs w:val="24"/>
        </w:rPr>
        <w:t xml:space="preserve"> and beyond</w:t>
      </w:r>
      <w:r w:rsidR="00331E07" w:rsidRPr="00F07DEB">
        <w:rPr>
          <w:rFonts w:ascii="Times New Roman" w:hAnsi="Times New Roman" w:cs="Times New Roman"/>
          <w:sz w:val="24"/>
          <w:szCs w:val="24"/>
        </w:rPr>
        <w:t xml:space="preserve">. </w:t>
      </w:r>
      <w:r w:rsidR="00DD648B" w:rsidRPr="00F07DEB">
        <w:rPr>
          <w:rFonts w:ascii="Times New Roman" w:hAnsi="Times New Roman" w:cs="Times New Roman"/>
          <w:sz w:val="24"/>
          <w:szCs w:val="24"/>
        </w:rPr>
        <w:t>R</w:t>
      </w:r>
      <w:r w:rsidR="00331E07" w:rsidRPr="00F07DEB">
        <w:rPr>
          <w:rFonts w:ascii="Times New Roman" w:hAnsi="Times New Roman" w:cs="Times New Roman"/>
          <w:sz w:val="24"/>
          <w:szCs w:val="24"/>
        </w:rPr>
        <w:t>eclamation</w:t>
      </w:r>
      <w:r w:rsidR="00473643" w:rsidRPr="00F07DEB">
        <w:rPr>
          <w:rFonts w:ascii="Times New Roman" w:hAnsi="Times New Roman" w:cs="Times New Roman"/>
          <w:sz w:val="24"/>
          <w:szCs w:val="24"/>
        </w:rPr>
        <w:t xml:space="preserve"> </w:t>
      </w:r>
      <w:r w:rsidR="00DD648B" w:rsidRPr="00F07DEB">
        <w:rPr>
          <w:rFonts w:ascii="Times New Roman" w:hAnsi="Times New Roman" w:cs="Times New Roman"/>
          <w:sz w:val="24"/>
          <w:szCs w:val="24"/>
        </w:rPr>
        <w:t xml:space="preserve">and reuse of municipal and industrial wastewaters </w:t>
      </w:r>
      <w:r w:rsidR="00473643" w:rsidRPr="00F07DEB">
        <w:rPr>
          <w:rFonts w:ascii="Times New Roman" w:hAnsi="Times New Roman" w:cs="Times New Roman"/>
          <w:sz w:val="24"/>
          <w:szCs w:val="24"/>
        </w:rPr>
        <w:t>is</w:t>
      </w:r>
      <w:r w:rsidR="00331E07" w:rsidRPr="00F07DEB">
        <w:rPr>
          <w:rFonts w:ascii="Times New Roman" w:hAnsi="Times New Roman" w:cs="Times New Roman"/>
          <w:sz w:val="24"/>
          <w:szCs w:val="24"/>
        </w:rPr>
        <w:t xml:space="preserve"> </w:t>
      </w:r>
      <w:r w:rsidR="00DD648B" w:rsidRPr="00F07DEB">
        <w:rPr>
          <w:rFonts w:ascii="Times New Roman" w:hAnsi="Times New Roman" w:cs="Times New Roman"/>
          <w:sz w:val="24"/>
          <w:szCs w:val="24"/>
        </w:rPr>
        <w:t>a thoroughly studied solution</w:t>
      </w:r>
      <w:r w:rsidR="008A2DC4" w:rsidRPr="00F07DEB">
        <w:rPr>
          <w:rFonts w:ascii="Times New Roman" w:hAnsi="Times New Roman" w:cs="Times New Roman"/>
          <w:sz w:val="24"/>
          <w:szCs w:val="24"/>
        </w:rPr>
        <w:t xml:space="preserve"> that benefits from centuries of practice and experimentation. However, v</w:t>
      </w:r>
      <w:r w:rsidRPr="00F07DEB">
        <w:rPr>
          <w:rFonts w:ascii="Times New Roman" w:hAnsi="Times New Roman" w:cs="Times New Roman"/>
          <w:sz w:val="24"/>
          <w:szCs w:val="24"/>
        </w:rPr>
        <w:t>ery little is known about the intersection of agriculture and treated mine water</w:t>
      </w:r>
      <w:r w:rsidR="008A2DC4" w:rsidRPr="00F07DEB">
        <w:rPr>
          <w:rFonts w:ascii="Times New Roman" w:hAnsi="Times New Roman" w:cs="Times New Roman"/>
          <w:sz w:val="24"/>
          <w:szCs w:val="24"/>
        </w:rPr>
        <w:t>. Mine water can be recl</w:t>
      </w:r>
      <w:r w:rsidR="00666B9C">
        <w:rPr>
          <w:rFonts w:ascii="Times New Roman" w:hAnsi="Times New Roman" w:cs="Times New Roman"/>
          <w:sz w:val="24"/>
          <w:szCs w:val="24"/>
        </w:rPr>
        <w:t xml:space="preserve">aimed in low cost, ecologically </w:t>
      </w:r>
      <w:r w:rsidR="008A2DC4" w:rsidRPr="00F07DEB">
        <w:rPr>
          <w:rFonts w:ascii="Times New Roman" w:hAnsi="Times New Roman" w:cs="Times New Roman"/>
          <w:sz w:val="24"/>
          <w:szCs w:val="24"/>
        </w:rPr>
        <w:t xml:space="preserve">engineered passive treatment systems, but unlike other forms of reclaimed wastewater, its potential for reuse in agriculture has yet to be </w:t>
      </w:r>
      <w:r w:rsidR="001E236C" w:rsidRPr="00F07DEB">
        <w:rPr>
          <w:rFonts w:ascii="Times New Roman" w:hAnsi="Times New Roman" w:cs="Times New Roman"/>
          <w:sz w:val="24"/>
          <w:szCs w:val="24"/>
        </w:rPr>
        <w:t xml:space="preserve">adequately </w:t>
      </w:r>
      <w:r w:rsidR="008A2DC4" w:rsidRPr="00F07DEB">
        <w:rPr>
          <w:rFonts w:ascii="Times New Roman" w:hAnsi="Times New Roman" w:cs="Times New Roman"/>
          <w:sz w:val="24"/>
          <w:szCs w:val="24"/>
        </w:rPr>
        <w:t>evaluated.</w:t>
      </w:r>
      <w:r w:rsidR="00D53CBC" w:rsidRPr="00F07DEB">
        <w:rPr>
          <w:rFonts w:ascii="Times New Roman" w:hAnsi="Times New Roman" w:cs="Times New Roman"/>
          <w:sz w:val="24"/>
          <w:szCs w:val="24"/>
        </w:rPr>
        <w:t xml:space="preserve"> To that end, this project will present an informed evaluation of the potential for beneficial reuse of passively-treated mine drainage for livestock watering based on previous research and CREW water quality data, and will attempt to understand the effects of irrigating crops with treated mine drainage through a robust experimental design.</w:t>
      </w:r>
    </w:p>
    <w:p w14:paraId="6BDA94A1" w14:textId="2C10D06F" w:rsidR="00214414" w:rsidRPr="00F07DEB" w:rsidRDefault="00214414" w:rsidP="006541D2">
      <w:pPr>
        <w:pStyle w:val="Heading2"/>
        <w:spacing w:line="480" w:lineRule="auto"/>
      </w:pPr>
      <w:bookmarkStart w:id="14" w:name="_Toc58975152"/>
      <w:r w:rsidRPr="00F07DEB">
        <w:t xml:space="preserve">Plant </w:t>
      </w:r>
      <w:r w:rsidR="000A1CAD" w:rsidRPr="00F07DEB">
        <w:t>Growth and Development</w:t>
      </w:r>
      <w:bookmarkEnd w:id="14"/>
    </w:p>
    <w:p w14:paraId="3B84DF72" w14:textId="45AF1562" w:rsidR="00214414" w:rsidRPr="00F07DEB" w:rsidRDefault="00F214C9" w:rsidP="006541D2">
      <w:pPr>
        <w:spacing w:line="480" w:lineRule="auto"/>
        <w:ind w:firstLine="720"/>
        <w:rPr>
          <w:rFonts w:ascii="Times New Roman" w:hAnsi="Times New Roman" w:cs="Times New Roman"/>
          <w:sz w:val="24"/>
          <w:szCs w:val="24"/>
        </w:rPr>
      </w:pPr>
      <w:proofErr w:type="spellStart"/>
      <w:r w:rsidRPr="00F07DEB">
        <w:rPr>
          <w:rFonts w:ascii="Times New Roman" w:hAnsi="Times New Roman" w:cs="Times New Roman"/>
          <w:i/>
          <w:sz w:val="24"/>
          <w:szCs w:val="24"/>
        </w:rPr>
        <w:t>Zea</w:t>
      </w:r>
      <w:proofErr w:type="spellEnd"/>
      <w:r w:rsidRPr="00F07DEB">
        <w:rPr>
          <w:rFonts w:ascii="Times New Roman" w:hAnsi="Times New Roman" w:cs="Times New Roman"/>
          <w:i/>
          <w:sz w:val="24"/>
          <w:szCs w:val="24"/>
        </w:rPr>
        <w:t xml:space="preserve"> mays</w:t>
      </w:r>
      <w:r w:rsidR="00683BF2" w:rsidRPr="00F07DEB">
        <w:rPr>
          <w:rFonts w:ascii="Times New Roman" w:hAnsi="Times New Roman" w:cs="Times New Roman"/>
          <w:i/>
          <w:sz w:val="24"/>
          <w:szCs w:val="24"/>
        </w:rPr>
        <w:t xml:space="preserve"> </w:t>
      </w:r>
      <w:r w:rsidR="009C74A3" w:rsidRPr="009C74A3">
        <w:rPr>
          <w:rFonts w:ascii="Times New Roman" w:hAnsi="Times New Roman" w:cs="Times New Roman"/>
          <w:sz w:val="24"/>
          <w:szCs w:val="24"/>
        </w:rPr>
        <w:t>var.</w:t>
      </w:r>
      <w:r w:rsidR="009C74A3">
        <w:rPr>
          <w:rFonts w:ascii="Times New Roman" w:hAnsi="Times New Roman" w:cs="Times New Roman"/>
          <w:i/>
          <w:sz w:val="24"/>
          <w:szCs w:val="24"/>
        </w:rPr>
        <w:t xml:space="preserve"> </w:t>
      </w:r>
      <w:proofErr w:type="spellStart"/>
      <w:r w:rsidR="00683BF2" w:rsidRPr="00F07DEB">
        <w:rPr>
          <w:rFonts w:ascii="Times New Roman" w:hAnsi="Times New Roman" w:cs="Times New Roman"/>
          <w:i/>
          <w:sz w:val="24"/>
          <w:szCs w:val="24"/>
        </w:rPr>
        <w:t>indentata</w:t>
      </w:r>
      <w:proofErr w:type="spellEnd"/>
      <w:r w:rsidR="00214414" w:rsidRPr="00F07DEB">
        <w:rPr>
          <w:rFonts w:ascii="Times New Roman" w:hAnsi="Times New Roman" w:cs="Times New Roman"/>
          <w:sz w:val="24"/>
          <w:szCs w:val="24"/>
        </w:rPr>
        <w:t xml:space="preserve">, </w:t>
      </w:r>
      <w:r w:rsidRPr="00F07DEB">
        <w:rPr>
          <w:rFonts w:ascii="Times New Roman" w:hAnsi="Times New Roman" w:cs="Times New Roman"/>
          <w:sz w:val="24"/>
          <w:szCs w:val="24"/>
        </w:rPr>
        <w:t>S</w:t>
      </w:r>
      <w:r w:rsidR="00214414" w:rsidRPr="00F07DEB">
        <w:rPr>
          <w:rFonts w:ascii="Times New Roman" w:hAnsi="Times New Roman" w:cs="Times New Roman"/>
          <w:i/>
          <w:sz w:val="24"/>
          <w:szCs w:val="24"/>
        </w:rPr>
        <w:t>orghum</w:t>
      </w:r>
      <w:r w:rsidRPr="00F07DEB">
        <w:rPr>
          <w:rFonts w:ascii="Times New Roman" w:hAnsi="Times New Roman" w:cs="Times New Roman"/>
          <w:i/>
          <w:sz w:val="24"/>
          <w:szCs w:val="24"/>
        </w:rPr>
        <w:t xml:space="preserve"> bicolor</w:t>
      </w:r>
      <w:r w:rsidR="00214414" w:rsidRPr="00F07DEB">
        <w:rPr>
          <w:rFonts w:ascii="Times New Roman" w:hAnsi="Times New Roman" w:cs="Times New Roman"/>
          <w:sz w:val="24"/>
          <w:szCs w:val="24"/>
        </w:rPr>
        <w:t xml:space="preserve">, </w:t>
      </w:r>
      <w:proofErr w:type="spellStart"/>
      <w:r w:rsidR="000A1CAD" w:rsidRPr="00F07DEB">
        <w:rPr>
          <w:rFonts w:ascii="Times New Roman" w:hAnsi="Times New Roman" w:cs="Times New Roman"/>
          <w:i/>
          <w:sz w:val="24"/>
          <w:szCs w:val="24"/>
        </w:rPr>
        <w:t>Sorghastrum</w:t>
      </w:r>
      <w:proofErr w:type="spellEnd"/>
      <w:r w:rsidR="000A1CAD" w:rsidRPr="00F07DEB">
        <w:rPr>
          <w:rFonts w:ascii="Times New Roman" w:hAnsi="Times New Roman" w:cs="Times New Roman"/>
          <w:i/>
          <w:sz w:val="24"/>
          <w:szCs w:val="24"/>
        </w:rPr>
        <w:t xml:space="preserve"> </w:t>
      </w:r>
      <w:proofErr w:type="spellStart"/>
      <w:r w:rsidR="000A1CAD" w:rsidRPr="00F07DEB">
        <w:rPr>
          <w:rFonts w:ascii="Times New Roman" w:hAnsi="Times New Roman" w:cs="Times New Roman"/>
          <w:i/>
          <w:sz w:val="24"/>
          <w:szCs w:val="24"/>
        </w:rPr>
        <w:t>nutans</w:t>
      </w:r>
      <w:proofErr w:type="spellEnd"/>
      <w:r w:rsidR="000A1CAD" w:rsidRPr="00F07DEB">
        <w:rPr>
          <w:rFonts w:ascii="Times New Roman" w:hAnsi="Times New Roman" w:cs="Times New Roman"/>
          <w:sz w:val="24"/>
          <w:szCs w:val="24"/>
        </w:rPr>
        <w:t xml:space="preserve">, </w:t>
      </w:r>
      <w:r w:rsidR="00214414" w:rsidRPr="00F07DEB">
        <w:rPr>
          <w:rFonts w:ascii="Times New Roman" w:hAnsi="Times New Roman" w:cs="Times New Roman"/>
          <w:sz w:val="24"/>
          <w:szCs w:val="24"/>
        </w:rPr>
        <w:t>and</w:t>
      </w:r>
      <w:r w:rsidRPr="00F07DEB">
        <w:rPr>
          <w:rFonts w:ascii="Times New Roman" w:hAnsi="Times New Roman" w:cs="Times New Roman"/>
          <w:sz w:val="24"/>
          <w:szCs w:val="24"/>
        </w:rPr>
        <w:t xml:space="preserve"> </w:t>
      </w:r>
      <w:proofErr w:type="spellStart"/>
      <w:r w:rsidRPr="00F07DEB">
        <w:rPr>
          <w:rFonts w:ascii="Times New Roman" w:hAnsi="Times New Roman" w:cs="Times New Roman"/>
          <w:i/>
          <w:sz w:val="24"/>
          <w:szCs w:val="24"/>
        </w:rPr>
        <w:t>Cynodon</w:t>
      </w:r>
      <w:proofErr w:type="spellEnd"/>
      <w:r w:rsidRPr="00F07DEB">
        <w:rPr>
          <w:rFonts w:ascii="Times New Roman" w:hAnsi="Times New Roman" w:cs="Times New Roman"/>
          <w:i/>
          <w:sz w:val="24"/>
          <w:szCs w:val="24"/>
        </w:rPr>
        <w:t xml:space="preserve"> </w:t>
      </w:r>
      <w:proofErr w:type="spellStart"/>
      <w:r w:rsidRPr="00F07DEB">
        <w:rPr>
          <w:rFonts w:ascii="Times New Roman" w:hAnsi="Times New Roman" w:cs="Times New Roman"/>
          <w:i/>
          <w:sz w:val="24"/>
          <w:szCs w:val="24"/>
        </w:rPr>
        <w:t>dactylon</w:t>
      </w:r>
      <w:proofErr w:type="spellEnd"/>
      <w:r w:rsidR="00214414" w:rsidRPr="00F07DEB">
        <w:rPr>
          <w:rFonts w:ascii="Times New Roman" w:hAnsi="Times New Roman" w:cs="Times New Roman"/>
          <w:sz w:val="24"/>
          <w:szCs w:val="24"/>
        </w:rPr>
        <w:t xml:space="preserve"> are all </w:t>
      </w:r>
      <w:r w:rsidRPr="00F07DEB">
        <w:rPr>
          <w:rFonts w:ascii="Times New Roman" w:hAnsi="Times New Roman" w:cs="Times New Roman"/>
          <w:sz w:val="24"/>
          <w:szCs w:val="24"/>
        </w:rPr>
        <w:t>warm-season</w:t>
      </w:r>
      <w:r w:rsidR="000A1CAD" w:rsidRPr="00F07DEB">
        <w:rPr>
          <w:rFonts w:ascii="Times New Roman" w:hAnsi="Times New Roman" w:cs="Times New Roman"/>
          <w:sz w:val="24"/>
          <w:szCs w:val="24"/>
        </w:rPr>
        <w:t xml:space="preserve"> grasses found in Oklahoma</w:t>
      </w:r>
      <w:r w:rsidRPr="00F07DEB">
        <w:rPr>
          <w:rFonts w:ascii="Times New Roman" w:hAnsi="Times New Roman" w:cs="Times New Roman"/>
          <w:sz w:val="24"/>
          <w:szCs w:val="24"/>
        </w:rPr>
        <w:t xml:space="preserve">. </w:t>
      </w:r>
      <w:proofErr w:type="spellStart"/>
      <w:r w:rsidRPr="00F07DEB">
        <w:rPr>
          <w:rFonts w:ascii="Times New Roman" w:hAnsi="Times New Roman" w:cs="Times New Roman"/>
          <w:i/>
          <w:sz w:val="24"/>
          <w:szCs w:val="24"/>
        </w:rPr>
        <w:t>Zea</w:t>
      </w:r>
      <w:proofErr w:type="spellEnd"/>
      <w:r w:rsidRPr="00F07DEB">
        <w:rPr>
          <w:rFonts w:ascii="Times New Roman" w:hAnsi="Times New Roman" w:cs="Times New Roman"/>
          <w:i/>
          <w:sz w:val="24"/>
          <w:szCs w:val="24"/>
        </w:rPr>
        <w:t xml:space="preserve"> mays</w:t>
      </w:r>
      <w:r w:rsidR="00683BF2" w:rsidRPr="00F07DEB">
        <w:rPr>
          <w:rFonts w:ascii="Times New Roman" w:hAnsi="Times New Roman" w:cs="Times New Roman"/>
          <w:i/>
          <w:sz w:val="24"/>
          <w:szCs w:val="24"/>
        </w:rPr>
        <w:t xml:space="preserve"> </w:t>
      </w:r>
      <w:r w:rsidR="009C74A3" w:rsidRPr="009C74A3">
        <w:rPr>
          <w:rFonts w:ascii="Times New Roman" w:hAnsi="Times New Roman" w:cs="Times New Roman"/>
          <w:sz w:val="24"/>
          <w:szCs w:val="24"/>
        </w:rPr>
        <w:t>var.</w:t>
      </w:r>
      <w:r w:rsidR="009C74A3">
        <w:rPr>
          <w:rFonts w:ascii="Times New Roman" w:hAnsi="Times New Roman" w:cs="Times New Roman"/>
          <w:i/>
          <w:sz w:val="24"/>
          <w:szCs w:val="24"/>
        </w:rPr>
        <w:t xml:space="preserve"> </w:t>
      </w:r>
      <w:proofErr w:type="spellStart"/>
      <w:r w:rsidR="00683BF2" w:rsidRPr="00F07DEB">
        <w:rPr>
          <w:rFonts w:ascii="Times New Roman" w:hAnsi="Times New Roman" w:cs="Times New Roman"/>
          <w:i/>
          <w:sz w:val="24"/>
          <w:szCs w:val="24"/>
        </w:rPr>
        <w:t>indentata</w:t>
      </w:r>
      <w:proofErr w:type="spellEnd"/>
      <w:r w:rsidR="00683BF2" w:rsidRPr="00F07DEB">
        <w:rPr>
          <w:rFonts w:ascii="Times New Roman" w:hAnsi="Times New Roman" w:cs="Times New Roman"/>
          <w:sz w:val="24"/>
          <w:szCs w:val="24"/>
        </w:rPr>
        <w:t>, or yellow dent corn,</w:t>
      </w:r>
      <w:r w:rsidRPr="00F07DEB">
        <w:rPr>
          <w:rFonts w:ascii="Times New Roman" w:hAnsi="Times New Roman" w:cs="Times New Roman"/>
          <w:sz w:val="24"/>
          <w:szCs w:val="24"/>
        </w:rPr>
        <w:t xml:space="preserve"> will primarily be referred to as field corn or corn in this document, and is an annual </w:t>
      </w:r>
      <w:r w:rsidR="000A1CAD" w:rsidRPr="00F07DEB">
        <w:rPr>
          <w:rFonts w:ascii="Times New Roman" w:hAnsi="Times New Roman" w:cs="Times New Roman"/>
          <w:sz w:val="24"/>
          <w:szCs w:val="24"/>
        </w:rPr>
        <w:t xml:space="preserve">tropical </w:t>
      </w:r>
      <w:r w:rsidRPr="00F07DEB">
        <w:rPr>
          <w:rFonts w:ascii="Times New Roman" w:hAnsi="Times New Roman" w:cs="Times New Roman"/>
          <w:sz w:val="24"/>
          <w:szCs w:val="24"/>
        </w:rPr>
        <w:t xml:space="preserve">grass that has been cultivated for a plethora of </w:t>
      </w:r>
      <w:r w:rsidR="00683BF2" w:rsidRPr="00F07DEB">
        <w:rPr>
          <w:rFonts w:ascii="Times New Roman" w:hAnsi="Times New Roman" w:cs="Times New Roman"/>
          <w:sz w:val="24"/>
          <w:szCs w:val="24"/>
        </w:rPr>
        <w:t>uses: animal feed grain,</w:t>
      </w:r>
      <w:r w:rsidR="00D62A5A" w:rsidRPr="00F07DEB">
        <w:rPr>
          <w:rFonts w:ascii="Times New Roman" w:hAnsi="Times New Roman" w:cs="Times New Roman"/>
          <w:sz w:val="24"/>
          <w:szCs w:val="24"/>
        </w:rPr>
        <w:t xml:space="preserve"> corn meal, corn oil, corn starch, corn syrup, and ethanol </w:t>
      </w:r>
      <w:r w:rsidR="00D62A5A" w:rsidRPr="00F07DEB">
        <w:rPr>
          <w:rFonts w:ascii="Times New Roman" w:hAnsi="Times New Roman" w:cs="Times New Roman"/>
          <w:sz w:val="24"/>
          <w:szCs w:val="24"/>
        </w:rPr>
        <w:fldChar w:fldCharType="begin"/>
      </w:r>
      <w:r w:rsidR="00D62A5A" w:rsidRPr="00F07DEB">
        <w:rPr>
          <w:rFonts w:ascii="Times New Roman" w:hAnsi="Times New Roman" w:cs="Times New Roman"/>
          <w:sz w:val="24"/>
          <w:szCs w:val="24"/>
        </w:rPr>
        <w:instrText xml:space="preserve"> ADDIN ZOTERO_ITEM CSL_CITATION {"citationID":"A9UEo5qA","properties":{"formattedCitation":"(Duncan et al., 2007; USDA, 2015)","plainCitation":"(Duncan et al., 2007; USDA, 2015)","noteIndex":0},"citationItems":[{"id":779,"uris":["http://zotero.org/users/5446453/items/R6RQRMQ4"],"uri":["http://zotero.org/users/5446453/items/R6RQRMQ4"],"itemData":{"id":779,"type":"article","publisher":"Kansas State University","title":"Corn Production Handbook","URL":"https://bookstore.ksre.ksu.edu/pubs/c560.pdf","author":[{"family":"Duncan","given":"Stewart"},{"family":"Fjell","given":"Dale"},{"family":"Vanderlip","given":"Richard"}],"issued":{"date-parts":[["2007",9]]}}},{"id":777,"uris":["http://zotero.org/users/5446453/items/X7VU9P52"],"uri":["http://zotero.org/users/5446453/items/X7VU9P52"],"itemData":{"id":777,"type":"report","event-place":"Washington, D.C.","language":"en","page":"3","publisher":"United States Department of Agriculture, Office of Communications","publisher-place":"Washington, D.C.","source":"Zotero","title":"USDA Coexistence Factsheets - Corn","author":[{"literal":"USDA"}],"issued":{"date-parts":[["2015"]]}}}],"schema":"https://github.com/citation-style-language/schema/raw/master/csl-citation.json"} </w:instrText>
      </w:r>
      <w:r w:rsidR="00D62A5A"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(Duncan et al., 2007; USDA, 2015)</w:t>
      </w:r>
      <w:r w:rsidR="00D62A5A" w:rsidRPr="00F07DEB">
        <w:rPr>
          <w:rFonts w:ascii="Times New Roman" w:hAnsi="Times New Roman" w:cs="Times New Roman"/>
          <w:sz w:val="24"/>
          <w:szCs w:val="24"/>
        </w:rPr>
        <w:fldChar w:fldCharType="end"/>
      </w:r>
      <w:r w:rsidR="00D62A5A" w:rsidRPr="00F07DEB">
        <w:rPr>
          <w:rFonts w:ascii="Times New Roman" w:hAnsi="Times New Roman" w:cs="Times New Roman"/>
          <w:sz w:val="24"/>
          <w:szCs w:val="24"/>
        </w:rPr>
        <w:t>.</w:t>
      </w:r>
      <w:r w:rsidR="00F02A60" w:rsidRPr="00F07DEB">
        <w:rPr>
          <w:rFonts w:ascii="Times New Roman" w:hAnsi="Times New Roman" w:cs="Times New Roman"/>
          <w:sz w:val="24"/>
          <w:szCs w:val="24"/>
        </w:rPr>
        <w:t xml:space="preserve"> </w:t>
      </w:r>
      <w:r w:rsidR="00BB13B4" w:rsidRPr="00F07DEB">
        <w:rPr>
          <w:rFonts w:ascii="Times New Roman" w:hAnsi="Times New Roman" w:cs="Times New Roman"/>
          <w:sz w:val="24"/>
          <w:szCs w:val="24"/>
        </w:rPr>
        <w:t>Corn growth is described by vegetative and reproductive stages</w:t>
      </w:r>
      <w:r w:rsidR="00A13B3D" w:rsidRPr="00F07DEB">
        <w:rPr>
          <w:rFonts w:ascii="Times New Roman" w:hAnsi="Times New Roman" w:cs="Times New Roman"/>
          <w:sz w:val="24"/>
          <w:szCs w:val="24"/>
        </w:rPr>
        <w:t xml:space="preserve"> </w:t>
      </w:r>
      <w:r w:rsidR="00264C24">
        <w:rPr>
          <w:rFonts w:ascii="Times New Roman" w:hAnsi="Times New Roman" w:cs="Times New Roman"/>
          <w:sz w:val="24"/>
          <w:szCs w:val="24"/>
        </w:rPr>
        <w:t>(</w:t>
      </w:r>
      <w:r w:rsidR="00A13B3D" w:rsidRPr="00F07DEB">
        <w:rPr>
          <w:rFonts w:ascii="Times New Roman" w:hAnsi="Times New Roman" w:cs="Times New Roman"/>
          <w:sz w:val="24"/>
          <w:szCs w:val="24"/>
        </w:rPr>
        <w:fldChar w:fldCharType="begin"/>
      </w:r>
      <w:r w:rsidR="00A13B3D" w:rsidRPr="00F07DEB">
        <w:rPr>
          <w:rFonts w:ascii="Times New Roman" w:hAnsi="Times New Roman" w:cs="Times New Roman"/>
          <w:sz w:val="24"/>
          <w:szCs w:val="24"/>
        </w:rPr>
        <w:instrText xml:space="preserve"> REF _Ref55723246 \h  \* MERGEFORMAT </w:instrText>
      </w:r>
      <w:r w:rsidR="00A13B3D" w:rsidRPr="00F07DEB">
        <w:rPr>
          <w:rFonts w:ascii="Times New Roman" w:hAnsi="Times New Roman" w:cs="Times New Roman"/>
          <w:sz w:val="24"/>
          <w:szCs w:val="24"/>
        </w:rPr>
      </w:r>
      <w:r w:rsidR="00A13B3D"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Table </w:t>
      </w:r>
      <w:r w:rsidR="00E179CA" w:rsidRPr="00E179CA">
        <w:rPr>
          <w:rFonts w:ascii="Times New Roman" w:hAnsi="Times New Roman" w:cs="Times New Roman"/>
          <w:noProof/>
          <w:sz w:val="24"/>
          <w:szCs w:val="24"/>
        </w:rPr>
        <w:t>5</w:t>
      </w:r>
      <w:r w:rsidR="00A13B3D" w:rsidRPr="00F07DEB">
        <w:rPr>
          <w:rFonts w:ascii="Times New Roman" w:hAnsi="Times New Roman" w:cs="Times New Roman"/>
          <w:sz w:val="24"/>
          <w:szCs w:val="24"/>
        </w:rPr>
        <w:fldChar w:fldCharType="end"/>
      </w:r>
      <w:r w:rsidR="00264C24">
        <w:rPr>
          <w:rFonts w:ascii="Times New Roman" w:hAnsi="Times New Roman" w:cs="Times New Roman"/>
          <w:sz w:val="24"/>
          <w:szCs w:val="24"/>
        </w:rPr>
        <w:t>)</w:t>
      </w:r>
      <w:r w:rsidR="00BB13B4" w:rsidRPr="00F07DEB">
        <w:rPr>
          <w:rFonts w:ascii="Times New Roman" w:hAnsi="Times New Roman" w:cs="Times New Roman"/>
          <w:sz w:val="24"/>
          <w:szCs w:val="24"/>
        </w:rPr>
        <w:t xml:space="preserve">. </w:t>
      </w:r>
      <w:r w:rsidR="00A13B3D" w:rsidRPr="00F07DEB">
        <w:rPr>
          <w:rFonts w:ascii="Times New Roman" w:hAnsi="Times New Roman" w:cs="Times New Roman"/>
          <w:sz w:val="24"/>
          <w:szCs w:val="24"/>
        </w:rPr>
        <w:t>Following emergence, t</w:t>
      </w:r>
      <w:r w:rsidR="00BB13B4" w:rsidRPr="00F07DEB">
        <w:rPr>
          <w:rFonts w:ascii="Times New Roman" w:hAnsi="Times New Roman" w:cs="Times New Roman"/>
          <w:sz w:val="24"/>
          <w:szCs w:val="24"/>
        </w:rPr>
        <w:t xml:space="preserve">he vegetative stage number </w:t>
      </w:r>
      <w:r w:rsidR="00BB13B4" w:rsidRPr="00F07DEB">
        <w:rPr>
          <w:rFonts w:ascii="Times New Roman" w:hAnsi="Times New Roman" w:cs="Times New Roman"/>
          <w:sz w:val="24"/>
          <w:szCs w:val="24"/>
        </w:rPr>
        <w:lastRenderedPageBreak/>
        <w:t xml:space="preserve">indicates how many leaves on the plant have created a visible collar near the junction of the leaf and the stalk. Tassel development </w:t>
      </w:r>
      <w:r w:rsidR="00F36EBF" w:rsidRPr="00F07DEB">
        <w:rPr>
          <w:rFonts w:ascii="Times New Roman" w:hAnsi="Times New Roman" w:cs="Times New Roman"/>
          <w:sz w:val="24"/>
          <w:szCs w:val="24"/>
        </w:rPr>
        <w:t xml:space="preserve">inside the whorl </w:t>
      </w:r>
      <w:r w:rsidR="00BB13B4" w:rsidRPr="00F07DEB">
        <w:rPr>
          <w:rFonts w:ascii="Times New Roman" w:hAnsi="Times New Roman" w:cs="Times New Roman"/>
          <w:sz w:val="24"/>
          <w:szCs w:val="24"/>
        </w:rPr>
        <w:t xml:space="preserve">begins between stages V5 and V7, and the </w:t>
      </w:r>
      <w:r w:rsidR="00F36EBF" w:rsidRPr="00F07DEB">
        <w:rPr>
          <w:rFonts w:ascii="Times New Roman" w:hAnsi="Times New Roman" w:cs="Times New Roman"/>
          <w:sz w:val="24"/>
          <w:szCs w:val="24"/>
        </w:rPr>
        <w:t xml:space="preserve">emergence of the </w:t>
      </w:r>
      <w:r w:rsidR="00BB13B4" w:rsidRPr="00F07DEB">
        <w:rPr>
          <w:rFonts w:ascii="Times New Roman" w:hAnsi="Times New Roman" w:cs="Times New Roman"/>
          <w:sz w:val="24"/>
          <w:szCs w:val="24"/>
        </w:rPr>
        <w:t xml:space="preserve">male </w:t>
      </w:r>
      <w:r w:rsidR="00F36EBF" w:rsidRPr="00F07DEB">
        <w:rPr>
          <w:rFonts w:ascii="Times New Roman" w:hAnsi="Times New Roman" w:cs="Times New Roman"/>
          <w:sz w:val="24"/>
          <w:szCs w:val="24"/>
        </w:rPr>
        <w:t>inflorescence from the whorl</w:t>
      </w:r>
      <w:r w:rsidR="00BB13B4" w:rsidRPr="00F07DEB">
        <w:rPr>
          <w:rFonts w:ascii="Times New Roman" w:hAnsi="Times New Roman" w:cs="Times New Roman"/>
          <w:sz w:val="24"/>
          <w:szCs w:val="24"/>
        </w:rPr>
        <w:t xml:space="preserve"> marks the final vegetative growth stage, VT</w:t>
      </w:r>
      <w:r w:rsidR="00F36EBF" w:rsidRPr="00F07DEB">
        <w:rPr>
          <w:rFonts w:ascii="Times New Roman" w:hAnsi="Times New Roman" w:cs="Times New Roman"/>
          <w:sz w:val="24"/>
          <w:szCs w:val="24"/>
        </w:rPr>
        <w:t xml:space="preserve"> </w:t>
      </w:r>
      <w:r w:rsidR="00F36EBF" w:rsidRPr="00F07DEB">
        <w:rPr>
          <w:rFonts w:ascii="Times New Roman" w:hAnsi="Times New Roman" w:cs="Times New Roman"/>
          <w:sz w:val="24"/>
          <w:szCs w:val="24"/>
        </w:rPr>
        <w:fldChar w:fldCharType="begin"/>
      </w:r>
      <w:r w:rsidR="00F36EBF" w:rsidRPr="00F07DEB">
        <w:rPr>
          <w:rFonts w:ascii="Times New Roman" w:hAnsi="Times New Roman" w:cs="Times New Roman"/>
          <w:sz w:val="24"/>
          <w:szCs w:val="24"/>
        </w:rPr>
        <w:instrText xml:space="preserve"> ADDIN ZOTERO_ITEM CSL_CITATION {"citationID":"RrWcilju","properties":{"formattedCitation":"(Trecker, 2018)","plainCitation":"(Trecker, 2018)","noteIndex":0},"citationItems":[{"id":775,"uris":["http://zotero.org/users/5446453/items/UU7YU8F8"],"uri":["http://zotero.org/users/5446453/items/UU7YU8F8"],"itemData":{"id":775,"type":"thesis","event-place":"Ames","genre":"Master of Science","language":"en","note":"page: 12331563\nDOI: 10.31274/etd-180810-6105","publisher":"Iowa State University, Digital Repository","publisher-place":"Ames","source":"DOI.org (Crossref)","title":"Quantifying the effects of daily light integral or photoperiod on maize tassel morphology across developmental stages","URL":"https://lib.dr.iastate.edu/etd/16475/","author":[{"family":"Trecker","given":"Elizabeth Ann"}],"accessed":{"date-parts":[["2020",11,7]]},"issued":{"date-parts":[["2018"]]}}}],"schema":"https://github.com/citation-style-language/schema/raw/master/csl-citation.json"} </w:instrText>
      </w:r>
      <w:r w:rsidR="00F36EBF"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(Trecker, 2018)</w:t>
      </w:r>
      <w:r w:rsidR="00F36EBF" w:rsidRPr="00F07DEB">
        <w:rPr>
          <w:rFonts w:ascii="Times New Roman" w:hAnsi="Times New Roman" w:cs="Times New Roman"/>
          <w:sz w:val="24"/>
          <w:szCs w:val="24"/>
        </w:rPr>
        <w:fldChar w:fldCharType="end"/>
      </w:r>
      <w:r w:rsidR="00BB13B4" w:rsidRPr="00F07DEB">
        <w:rPr>
          <w:rFonts w:ascii="Times New Roman" w:hAnsi="Times New Roman" w:cs="Times New Roman"/>
          <w:sz w:val="24"/>
          <w:szCs w:val="24"/>
        </w:rPr>
        <w:t xml:space="preserve">. One or more ears, which are the female organs, </w:t>
      </w:r>
      <w:r w:rsidR="00F36EBF" w:rsidRPr="00F07DEB">
        <w:rPr>
          <w:rFonts w:ascii="Times New Roman" w:hAnsi="Times New Roman" w:cs="Times New Roman"/>
          <w:sz w:val="24"/>
          <w:szCs w:val="24"/>
        </w:rPr>
        <w:t>begin</w:t>
      </w:r>
      <w:r w:rsidR="00BB13B4" w:rsidRPr="00F07DEB">
        <w:rPr>
          <w:rFonts w:ascii="Times New Roman" w:hAnsi="Times New Roman" w:cs="Times New Roman"/>
          <w:sz w:val="24"/>
          <w:szCs w:val="24"/>
        </w:rPr>
        <w:t xml:space="preserve"> growing shortly after the tassel. As the ear develops, eggs attached to the surface of the cob produce silks that spill out of the husk</w:t>
      </w:r>
      <w:r w:rsidR="00F36EBF" w:rsidRPr="00F07DEB">
        <w:rPr>
          <w:rFonts w:ascii="Times New Roman" w:hAnsi="Times New Roman" w:cs="Times New Roman"/>
          <w:sz w:val="24"/>
          <w:szCs w:val="24"/>
        </w:rPr>
        <w:t>,</w:t>
      </w:r>
      <w:r w:rsidR="00BB13B4" w:rsidRPr="00F07DEB">
        <w:rPr>
          <w:rFonts w:ascii="Times New Roman" w:hAnsi="Times New Roman" w:cs="Times New Roman"/>
          <w:sz w:val="24"/>
          <w:szCs w:val="24"/>
        </w:rPr>
        <w:t xml:space="preserve"> awaiting pollination. </w:t>
      </w:r>
      <w:r w:rsidR="00F36EBF" w:rsidRPr="00F07DEB">
        <w:rPr>
          <w:rFonts w:ascii="Times New Roman" w:hAnsi="Times New Roman" w:cs="Times New Roman"/>
          <w:sz w:val="24"/>
          <w:szCs w:val="24"/>
        </w:rPr>
        <w:t>Flowers lining the</w:t>
      </w:r>
      <w:r w:rsidR="00BB13B4" w:rsidRPr="00F07DEB">
        <w:rPr>
          <w:rFonts w:ascii="Times New Roman" w:hAnsi="Times New Roman" w:cs="Times New Roman"/>
          <w:sz w:val="24"/>
          <w:szCs w:val="24"/>
        </w:rPr>
        <w:t xml:space="preserve"> tassel drop pollen </w:t>
      </w:r>
      <w:r w:rsidR="00F36EBF" w:rsidRPr="00F07DEB">
        <w:rPr>
          <w:rFonts w:ascii="Times New Roman" w:hAnsi="Times New Roman" w:cs="Times New Roman"/>
          <w:sz w:val="24"/>
          <w:szCs w:val="24"/>
        </w:rPr>
        <w:t xml:space="preserve">from their anthers </w:t>
      </w:r>
      <w:r w:rsidR="00BB13B4" w:rsidRPr="00F07DEB">
        <w:rPr>
          <w:rFonts w:ascii="Times New Roman" w:hAnsi="Times New Roman" w:cs="Times New Roman"/>
          <w:sz w:val="24"/>
          <w:szCs w:val="24"/>
        </w:rPr>
        <w:t>onto the waiting silks, which then fertilize the attached egg to produce a starch-filled kernel in its place</w:t>
      </w:r>
      <w:r w:rsidR="00F36EBF" w:rsidRPr="00F07DEB">
        <w:rPr>
          <w:rFonts w:ascii="Times New Roman" w:hAnsi="Times New Roman" w:cs="Times New Roman"/>
          <w:sz w:val="24"/>
          <w:szCs w:val="24"/>
        </w:rPr>
        <w:t xml:space="preserve"> </w:t>
      </w:r>
      <w:r w:rsidR="00F36EBF" w:rsidRPr="00F07DEB">
        <w:rPr>
          <w:rFonts w:ascii="Times New Roman" w:hAnsi="Times New Roman" w:cs="Times New Roman"/>
          <w:sz w:val="24"/>
          <w:szCs w:val="24"/>
        </w:rPr>
        <w:fldChar w:fldCharType="begin"/>
      </w:r>
      <w:r w:rsidR="00F36EBF" w:rsidRPr="00F07DEB">
        <w:rPr>
          <w:rFonts w:ascii="Times New Roman" w:hAnsi="Times New Roman" w:cs="Times New Roman"/>
          <w:sz w:val="24"/>
          <w:szCs w:val="24"/>
        </w:rPr>
        <w:instrText xml:space="preserve"> ADDIN ZOTERO_ITEM CSL_CITATION {"citationID":"hmUsyRoJ","properties":{"formattedCitation":"(Trecker, 2018)","plainCitation":"(Trecker, 2018)","noteIndex":0},"citationItems":[{"id":775,"uris":["http://zotero.org/users/5446453/items/UU7YU8F8"],"uri":["http://zotero.org/users/5446453/items/UU7YU8F8"],"itemData":{"id":775,"type":"thesis","event-place":"Ames","genre":"Master of Science","language":"en","note":"page: 12331563\nDOI: 10.31274/etd-180810-6105","publisher":"Iowa State University, Digital Repository","publisher-place":"Ames","source":"DOI.org (Crossref)","title":"Quantifying the effects of daily light integral or photoperiod on maize tassel morphology across developmental stages","URL":"https://lib.dr.iastate.edu/etd/16475/","author":[{"family":"Trecker","given":"Elizabeth Ann"}],"accessed":{"date-parts":[["2020",11,7]]},"issued":{"date-parts":[["2018"]]}}}],"schema":"https://github.com/citation-style-language/schema/raw/master/csl-citation.json"} </w:instrText>
      </w:r>
      <w:r w:rsidR="00F36EBF"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(Trecker, 2018)</w:t>
      </w:r>
      <w:r w:rsidR="00F36EBF" w:rsidRPr="00F07DEB">
        <w:rPr>
          <w:rFonts w:ascii="Times New Roman" w:hAnsi="Times New Roman" w:cs="Times New Roman"/>
          <w:sz w:val="24"/>
          <w:szCs w:val="24"/>
        </w:rPr>
        <w:fldChar w:fldCharType="end"/>
      </w:r>
      <w:r w:rsidR="00BB13B4" w:rsidRPr="00F07DEB">
        <w:rPr>
          <w:rFonts w:ascii="Times New Roman" w:hAnsi="Times New Roman" w:cs="Times New Roman"/>
          <w:sz w:val="24"/>
          <w:szCs w:val="24"/>
        </w:rPr>
        <w:t xml:space="preserve">. </w:t>
      </w:r>
      <w:r w:rsidR="007A0F46" w:rsidRPr="00F07DEB">
        <w:rPr>
          <w:rFonts w:ascii="Times New Roman" w:hAnsi="Times New Roman" w:cs="Times New Roman"/>
          <w:sz w:val="24"/>
          <w:szCs w:val="24"/>
        </w:rPr>
        <w:t>The reproductive growth stages are distinguished first by the appearance of silks, and from then on by the condition of the kernel.</w:t>
      </w:r>
    </w:p>
    <w:p w14:paraId="2795EB30" w14:textId="62883CA6" w:rsidR="005B64C6" w:rsidRPr="00F07DEB" w:rsidRDefault="005B64C6" w:rsidP="00204C13">
      <w:pPr>
        <w:pStyle w:val="Caption"/>
      </w:pPr>
      <w:bookmarkStart w:id="15" w:name="_Ref55723246"/>
      <w:bookmarkStart w:id="16" w:name="_Toc58975191"/>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5</w:t>
      </w:r>
      <w:r w:rsidR="00DE3B90" w:rsidRPr="00F07DEB">
        <w:rPr>
          <w:noProof/>
        </w:rPr>
        <w:fldChar w:fldCharType="end"/>
      </w:r>
      <w:bookmarkEnd w:id="15"/>
      <w:r w:rsidRPr="00F07DEB">
        <w:rPr>
          <w:noProof/>
        </w:rPr>
        <w:t>: Vegetative and reproductive corn growth stages</w:t>
      </w:r>
      <w:r w:rsidR="002E31B0" w:rsidRPr="00F07DEB">
        <w:rPr>
          <w:noProof/>
        </w:rPr>
        <w:t xml:space="preserve">, partially adapted from </w:t>
      </w:r>
      <w:r w:rsidR="002E31B0" w:rsidRPr="00F07DEB">
        <w:rPr>
          <w:noProof/>
        </w:rPr>
        <w:fldChar w:fldCharType="begin"/>
      </w:r>
      <w:r w:rsidR="002E31B0" w:rsidRPr="00F07DEB">
        <w:rPr>
          <w:noProof/>
        </w:rPr>
        <w:instrText xml:space="preserve"> ADDIN ZOTERO_ITEM CSL_CITATION {"citationID":"Lo9KsLZP","properties":{"formattedCitation":"(Australian OGTR, 2008)","plainCitation":"(Australian OGTR, 2008)","noteIndex":0},"citationItems":[{"id":787,"uris":["http://zotero.org/users/5446453/items/B489QULW"],"uri":["http://zotero.org/users/5446453/items/B489QULW"],"itemData":{"id":787,"type":"report","language":"en","page":"81","publisher":"Australian Government, Department of Health and Ageing, Office of the Gene Technology Regulator","source":"Zotero","title":"The Biology of Zea Mays L. ssp mays (maize or corn)","author":[{"literal":"Australian OGTR"}],"issued":{"date-parts":[["2008",9]]}}}],"schema":"https://github.com/citation-style-language/schema/raw/master/csl-citation.json"} </w:instrText>
      </w:r>
      <w:r w:rsidR="002E31B0" w:rsidRPr="00F07DEB">
        <w:rPr>
          <w:noProof/>
        </w:rPr>
        <w:fldChar w:fldCharType="separate"/>
      </w:r>
      <w:r w:rsidR="00234033" w:rsidRPr="00234033">
        <w:t>(Australian OGTR, 2008)</w:t>
      </w:r>
      <w:bookmarkEnd w:id="16"/>
      <w:r w:rsidR="002E31B0" w:rsidRPr="00F07DEB">
        <w:rPr>
          <w:noProof/>
        </w:rPr>
        <w:fldChar w:fldCharType="end"/>
      </w:r>
    </w:p>
    <w:tbl>
      <w:tblPr>
        <w:tblW w:w="0" w:type="auto"/>
        <w:tblLook w:val="04A0" w:firstRow="1" w:lastRow="0" w:firstColumn="1" w:lastColumn="0" w:noHBand="0" w:noVBand="1"/>
      </w:tblPr>
      <w:tblGrid>
        <w:gridCol w:w="1294"/>
        <w:gridCol w:w="772"/>
        <w:gridCol w:w="1988"/>
      </w:tblGrid>
      <w:tr w:rsidR="00BB13B4" w:rsidRPr="00F07DEB" w14:paraId="485C4363" w14:textId="77777777" w:rsidTr="00FB6BBA">
        <w:trPr>
          <w:trHeight w:val="292"/>
        </w:trPr>
        <w:tc>
          <w:tcPr>
            <w:tcW w:w="0" w:type="auto"/>
            <w:gridSpan w:val="3"/>
            <w:tcBorders>
              <w:top w:val="single" w:sz="8" w:space="0" w:color="auto"/>
              <w:bottom w:val="single" w:sz="8" w:space="0" w:color="auto"/>
            </w:tcBorders>
            <w:noWrap/>
            <w:vAlign w:val="center"/>
            <w:hideMark/>
          </w:tcPr>
          <w:p w14:paraId="3BBFCE5B" w14:textId="2D81194A" w:rsidR="00BB13B4" w:rsidRPr="00F07DEB" w:rsidRDefault="007A0F46" w:rsidP="00F07DEB">
            <w:pPr>
              <w:spacing w:after="0"/>
              <w:rPr>
                <w:rFonts w:ascii="Times New Roman" w:hAnsi="Times New Roman" w:cs="Times New Roman"/>
                <w:sz w:val="20"/>
                <w:szCs w:val="24"/>
              </w:rPr>
            </w:pPr>
            <w:r w:rsidRPr="00F07DEB">
              <w:rPr>
                <w:rFonts w:ascii="Times New Roman" w:hAnsi="Times New Roman" w:cs="Times New Roman"/>
                <w:sz w:val="20"/>
                <w:szCs w:val="24"/>
              </w:rPr>
              <w:t xml:space="preserve">Corn </w:t>
            </w:r>
            <w:r w:rsidR="002A2044" w:rsidRPr="00F07DEB">
              <w:rPr>
                <w:rFonts w:ascii="Times New Roman" w:hAnsi="Times New Roman" w:cs="Times New Roman"/>
                <w:sz w:val="20"/>
                <w:szCs w:val="24"/>
              </w:rPr>
              <w:t>Growth Stages</w:t>
            </w:r>
          </w:p>
        </w:tc>
      </w:tr>
      <w:tr w:rsidR="00BB13B4" w:rsidRPr="00F07DEB" w14:paraId="5CC0612A" w14:textId="77777777" w:rsidTr="00FB6BBA">
        <w:trPr>
          <w:trHeight w:val="292"/>
        </w:trPr>
        <w:tc>
          <w:tcPr>
            <w:tcW w:w="0" w:type="auto"/>
            <w:tcBorders>
              <w:top w:val="single" w:sz="8" w:space="0" w:color="auto"/>
            </w:tcBorders>
            <w:noWrap/>
            <w:vAlign w:val="center"/>
            <w:hideMark/>
          </w:tcPr>
          <w:p w14:paraId="16920E00"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Vegetative</w:t>
            </w:r>
          </w:p>
        </w:tc>
        <w:tc>
          <w:tcPr>
            <w:tcW w:w="0" w:type="auto"/>
            <w:tcBorders>
              <w:top w:val="single" w:sz="8" w:space="0" w:color="auto"/>
            </w:tcBorders>
            <w:noWrap/>
            <w:vAlign w:val="center"/>
            <w:hideMark/>
          </w:tcPr>
          <w:p w14:paraId="7C2FD217"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VE</w:t>
            </w:r>
          </w:p>
        </w:tc>
        <w:tc>
          <w:tcPr>
            <w:tcW w:w="0" w:type="auto"/>
            <w:tcBorders>
              <w:top w:val="single" w:sz="8" w:space="0" w:color="auto"/>
            </w:tcBorders>
            <w:noWrap/>
            <w:vAlign w:val="center"/>
            <w:hideMark/>
          </w:tcPr>
          <w:p w14:paraId="519BB01E"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Emergence</w:t>
            </w:r>
          </w:p>
        </w:tc>
      </w:tr>
      <w:tr w:rsidR="00BB13B4" w:rsidRPr="00F07DEB" w14:paraId="5585FE4B" w14:textId="77777777" w:rsidTr="00FB6BBA">
        <w:trPr>
          <w:trHeight w:val="292"/>
        </w:trPr>
        <w:tc>
          <w:tcPr>
            <w:tcW w:w="0" w:type="auto"/>
            <w:noWrap/>
            <w:vAlign w:val="center"/>
          </w:tcPr>
          <w:p w14:paraId="5B5C622C" w14:textId="1FDE1756" w:rsidR="00BB13B4" w:rsidRPr="00F07DEB" w:rsidRDefault="00BB13B4" w:rsidP="00F07DEB">
            <w:pPr>
              <w:spacing w:after="0"/>
              <w:rPr>
                <w:rFonts w:ascii="Times New Roman" w:hAnsi="Times New Roman" w:cs="Times New Roman"/>
                <w:sz w:val="20"/>
                <w:szCs w:val="24"/>
              </w:rPr>
            </w:pPr>
          </w:p>
        </w:tc>
        <w:tc>
          <w:tcPr>
            <w:tcW w:w="0" w:type="auto"/>
            <w:noWrap/>
            <w:vAlign w:val="center"/>
            <w:hideMark/>
          </w:tcPr>
          <w:p w14:paraId="022F0AA1"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V1-Vn</w:t>
            </w:r>
          </w:p>
        </w:tc>
        <w:tc>
          <w:tcPr>
            <w:tcW w:w="0" w:type="auto"/>
            <w:noWrap/>
            <w:vAlign w:val="center"/>
            <w:hideMark/>
          </w:tcPr>
          <w:p w14:paraId="61B77164"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n Leaf Collars Visible</w:t>
            </w:r>
          </w:p>
        </w:tc>
      </w:tr>
      <w:tr w:rsidR="00BB13B4" w:rsidRPr="00F07DEB" w14:paraId="27DDCBA1" w14:textId="77777777" w:rsidTr="00FB6BBA">
        <w:trPr>
          <w:trHeight w:val="292"/>
        </w:trPr>
        <w:tc>
          <w:tcPr>
            <w:tcW w:w="0" w:type="auto"/>
            <w:tcBorders>
              <w:bottom w:val="single" w:sz="8" w:space="0" w:color="auto"/>
            </w:tcBorders>
            <w:noWrap/>
            <w:vAlign w:val="center"/>
          </w:tcPr>
          <w:p w14:paraId="1079627C" w14:textId="2631F312" w:rsidR="00BB13B4" w:rsidRPr="00F07DEB" w:rsidRDefault="00BB13B4" w:rsidP="00F07DEB">
            <w:pPr>
              <w:spacing w:after="0"/>
              <w:rPr>
                <w:rFonts w:ascii="Times New Roman" w:hAnsi="Times New Roman" w:cs="Times New Roman"/>
                <w:sz w:val="20"/>
                <w:szCs w:val="24"/>
              </w:rPr>
            </w:pPr>
          </w:p>
        </w:tc>
        <w:tc>
          <w:tcPr>
            <w:tcW w:w="0" w:type="auto"/>
            <w:tcBorders>
              <w:bottom w:val="single" w:sz="8" w:space="0" w:color="auto"/>
            </w:tcBorders>
            <w:noWrap/>
            <w:vAlign w:val="center"/>
            <w:hideMark/>
          </w:tcPr>
          <w:p w14:paraId="1BC3DD5B"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VT</w:t>
            </w:r>
          </w:p>
        </w:tc>
        <w:tc>
          <w:tcPr>
            <w:tcW w:w="0" w:type="auto"/>
            <w:tcBorders>
              <w:bottom w:val="single" w:sz="8" w:space="0" w:color="auto"/>
            </w:tcBorders>
            <w:noWrap/>
            <w:vAlign w:val="center"/>
            <w:hideMark/>
          </w:tcPr>
          <w:p w14:paraId="440FA946"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Tasseling</w:t>
            </w:r>
          </w:p>
        </w:tc>
      </w:tr>
      <w:tr w:rsidR="00BB13B4" w:rsidRPr="00F07DEB" w14:paraId="550753AD" w14:textId="77777777" w:rsidTr="00FB6BBA">
        <w:trPr>
          <w:trHeight w:val="292"/>
        </w:trPr>
        <w:tc>
          <w:tcPr>
            <w:tcW w:w="0" w:type="auto"/>
            <w:tcBorders>
              <w:top w:val="single" w:sz="8" w:space="0" w:color="auto"/>
            </w:tcBorders>
            <w:noWrap/>
            <w:vAlign w:val="center"/>
            <w:hideMark/>
          </w:tcPr>
          <w:p w14:paraId="02D9BA3B"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Reproductive</w:t>
            </w:r>
          </w:p>
        </w:tc>
        <w:tc>
          <w:tcPr>
            <w:tcW w:w="0" w:type="auto"/>
            <w:tcBorders>
              <w:top w:val="single" w:sz="8" w:space="0" w:color="auto"/>
            </w:tcBorders>
            <w:noWrap/>
            <w:vAlign w:val="center"/>
            <w:hideMark/>
          </w:tcPr>
          <w:p w14:paraId="75CA1BA2"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R1</w:t>
            </w:r>
          </w:p>
        </w:tc>
        <w:tc>
          <w:tcPr>
            <w:tcW w:w="0" w:type="auto"/>
            <w:tcBorders>
              <w:top w:val="single" w:sz="8" w:space="0" w:color="auto"/>
            </w:tcBorders>
            <w:noWrap/>
            <w:vAlign w:val="center"/>
            <w:hideMark/>
          </w:tcPr>
          <w:p w14:paraId="65930A84" w14:textId="77777777" w:rsidR="00BB13B4" w:rsidRPr="00F07DEB" w:rsidRDefault="00BB13B4" w:rsidP="00F07DEB">
            <w:pPr>
              <w:spacing w:after="0"/>
              <w:rPr>
                <w:rFonts w:ascii="Times New Roman" w:hAnsi="Times New Roman" w:cs="Times New Roman"/>
                <w:sz w:val="20"/>
                <w:szCs w:val="24"/>
              </w:rPr>
            </w:pPr>
            <w:proofErr w:type="spellStart"/>
            <w:r w:rsidRPr="00F07DEB">
              <w:rPr>
                <w:rFonts w:ascii="Times New Roman" w:hAnsi="Times New Roman" w:cs="Times New Roman"/>
                <w:sz w:val="20"/>
                <w:szCs w:val="24"/>
              </w:rPr>
              <w:t>Silking</w:t>
            </w:r>
            <w:proofErr w:type="spellEnd"/>
          </w:p>
        </w:tc>
      </w:tr>
      <w:tr w:rsidR="00BB13B4" w:rsidRPr="00F07DEB" w14:paraId="5B9BAEA7" w14:textId="77777777" w:rsidTr="00FB6BBA">
        <w:trPr>
          <w:trHeight w:val="292"/>
        </w:trPr>
        <w:tc>
          <w:tcPr>
            <w:tcW w:w="0" w:type="auto"/>
            <w:noWrap/>
            <w:vAlign w:val="center"/>
          </w:tcPr>
          <w:p w14:paraId="1521F901" w14:textId="6546AF30" w:rsidR="00BB13B4" w:rsidRPr="00F07DEB" w:rsidRDefault="00BB13B4" w:rsidP="00F07DEB">
            <w:pPr>
              <w:spacing w:after="0"/>
              <w:rPr>
                <w:rFonts w:ascii="Times New Roman" w:hAnsi="Times New Roman" w:cs="Times New Roman"/>
                <w:sz w:val="20"/>
                <w:szCs w:val="24"/>
              </w:rPr>
            </w:pPr>
          </w:p>
        </w:tc>
        <w:tc>
          <w:tcPr>
            <w:tcW w:w="0" w:type="auto"/>
            <w:noWrap/>
            <w:vAlign w:val="center"/>
            <w:hideMark/>
          </w:tcPr>
          <w:p w14:paraId="535A5715"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R2</w:t>
            </w:r>
          </w:p>
        </w:tc>
        <w:tc>
          <w:tcPr>
            <w:tcW w:w="0" w:type="auto"/>
            <w:noWrap/>
            <w:vAlign w:val="center"/>
            <w:hideMark/>
          </w:tcPr>
          <w:p w14:paraId="4BCB918D"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Blister</w:t>
            </w:r>
          </w:p>
        </w:tc>
      </w:tr>
      <w:tr w:rsidR="00BB13B4" w:rsidRPr="00F07DEB" w14:paraId="5C53DC1A" w14:textId="77777777" w:rsidTr="00FB6BBA">
        <w:trPr>
          <w:trHeight w:val="292"/>
        </w:trPr>
        <w:tc>
          <w:tcPr>
            <w:tcW w:w="0" w:type="auto"/>
            <w:noWrap/>
            <w:vAlign w:val="center"/>
          </w:tcPr>
          <w:p w14:paraId="7E88341A" w14:textId="63BBA05F" w:rsidR="00BB13B4" w:rsidRPr="00F07DEB" w:rsidRDefault="00BB13B4" w:rsidP="00F07DEB">
            <w:pPr>
              <w:spacing w:after="0"/>
              <w:rPr>
                <w:rFonts w:ascii="Times New Roman" w:hAnsi="Times New Roman" w:cs="Times New Roman"/>
                <w:sz w:val="20"/>
                <w:szCs w:val="24"/>
              </w:rPr>
            </w:pPr>
          </w:p>
        </w:tc>
        <w:tc>
          <w:tcPr>
            <w:tcW w:w="0" w:type="auto"/>
            <w:noWrap/>
            <w:vAlign w:val="center"/>
            <w:hideMark/>
          </w:tcPr>
          <w:p w14:paraId="4A43B7D0"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R3</w:t>
            </w:r>
          </w:p>
        </w:tc>
        <w:tc>
          <w:tcPr>
            <w:tcW w:w="0" w:type="auto"/>
            <w:noWrap/>
            <w:vAlign w:val="center"/>
            <w:hideMark/>
          </w:tcPr>
          <w:p w14:paraId="22EF95D5"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Milk</w:t>
            </w:r>
          </w:p>
        </w:tc>
      </w:tr>
      <w:tr w:rsidR="00BB13B4" w:rsidRPr="00F07DEB" w14:paraId="66A237AD" w14:textId="77777777" w:rsidTr="00FB6BBA">
        <w:trPr>
          <w:trHeight w:val="292"/>
        </w:trPr>
        <w:tc>
          <w:tcPr>
            <w:tcW w:w="0" w:type="auto"/>
            <w:noWrap/>
            <w:vAlign w:val="center"/>
          </w:tcPr>
          <w:p w14:paraId="182FB57A" w14:textId="300457D8" w:rsidR="00BB13B4" w:rsidRPr="00F07DEB" w:rsidRDefault="00BB13B4" w:rsidP="00F07DEB">
            <w:pPr>
              <w:spacing w:after="0"/>
              <w:rPr>
                <w:rFonts w:ascii="Times New Roman" w:hAnsi="Times New Roman" w:cs="Times New Roman"/>
                <w:sz w:val="20"/>
                <w:szCs w:val="24"/>
              </w:rPr>
            </w:pPr>
          </w:p>
        </w:tc>
        <w:tc>
          <w:tcPr>
            <w:tcW w:w="0" w:type="auto"/>
            <w:noWrap/>
            <w:vAlign w:val="center"/>
            <w:hideMark/>
          </w:tcPr>
          <w:p w14:paraId="7951CF9A"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R4</w:t>
            </w:r>
          </w:p>
        </w:tc>
        <w:tc>
          <w:tcPr>
            <w:tcW w:w="0" w:type="auto"/>
            <w:noWrap/>
            <w:vAlign w:val="center"/>
            <w:hideMark/>
          </w:tcPr>
          <w:p w14:paraId="52962F52"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Dough</w:t>
            </w:r>
          </w:p>
        </w:tc>
      </w:tr>
      <w:tr w:rsidR="00BB13B4" w:rsidRPr="00F07DEB" w14:paraId="482C562D" w14:textId="77777777" w:rsidTr="00FB6BBA">
        <w:trPr>
          <w:trHeight w:val="292"/>
        </w:trPr>
        <w:tc>
          <w:tcPr>
            <w:tcW w:w="0" w:type="auto"/>
            <w:noWrap/>
            <w:vAlign w:val="center"/>
          </w:tcPr>
          <w:p w14:paraId="783ECE59" w14:textId="31AAD28F" w:rsidR="00BB13B4" w:rsidRPr="00F07DEB" w:rsidRDefault="00BB13B4" w:rsidP="00F07DEB">
            <w:pPr>
              <w:spacing w:after="0"/>
              <w:rPr>
                <w:rFonts w:ascii="Times New Roman" w:hAnsi="Times New Roman" w:cs="Times New Roman"/>
                <w:sz w:val="20"/>
                <w:szCs w:val="24"/>
              </w:rPr>
            </w:pPr>
          </w:p>
        </w:tc>
        <w:tc>
          <w:tcPr>
            <w:tcW w:w="0" w:type="auto"/>
            <w:noWrap/>
            <w:vAlign w:val="center"/>
            <w:hideMark/>
          </w:tcPr>
          <w:p w14:paraId="1C7F18C1"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R5</w:t>
            </w:r>
          </w:p>
        </w:tc>
        <w:tc>
          <w:tcPr>
            <w:tcW w:w="0" w:type="auto"/>
            <w:noWrap/>
            <w:vAlign w:val="center"/>
            <w:hideMark/>
          </w:tcPr>
          <w:p w14:paraId="52E577A8"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Dent</w:t>
            </w:r>
          </w:p>
        </w:tc>
      </w:tr>
      <w:tr w:rsidR="00BB13B4" w:rsidRPr="00F07DEB" w14:paraId="729ACBC0" w14:textId="77777777" w:rsidTr="00FB6BBA">
        <w:trPr>
          <w:trHeight w:val="300"/>
        </w:trPr>
        <w:tc>
          <w:tcPr>
            <w:tcW w:w="0" w:type="auto"/>
            <w:tcBorders>
              <w:bottom w:val="single" w:sz="8" w:space="0" w:color="auto"/>
            </w:tcBorders>
            <w:noWrap/>
            <w:vAlign w:val="center"/>
          </w:tcPr>
          <w:p w14:paraId="67F2D6A2" w14:textId="015C90AB" w:rsidR="00BB13B4" w:rsidRPr="00F07DEB" w:rsidRDefault="00BB13B4" w:rsidP="00F07DEB">
            <w:pPr>
              <w:spacing w:after="0"/>
              <w:rPr>
                <w:rFonts w:ascii="Times New Roman" w:hAnsi="Times New Roman" w:cs="Times New Roman"/>
                <w:sz w:val="20"/>
                <w:szCs w:val="24"/>
              </w:rPr>
            </w:pPr>
          </w:p>
        </w:tc>
        <w:tc>
          <w:tcPr>
            <w:tcW w:w="0" w:type="auto"/>
            <w:tcBorders>
              <w:bottom w:val="single" w:sz="8" w:space="0" w:color="auto"/>
            </w:tcBorders>
            <w:noWrap/>
            <w:vAlign w:val="center"/>
            <w:hideMark/>
          </w:tcPr>
          <w:p w14:paraId="6A210055"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R6</w:t>
            </w:r>
          </w:p>
        </w:tc>
        <w:tc>
          <w:tcPr>
            <w:tcW w:w="0" w:type="auto"/>
            <w:tcBorders>
              <w:bottom w:val="single" w:sz="8" w:space="0" w:color="auto"/>
            </w:tcBorders>
            <w:noWrap/>
            <w:vAlign w:val="center"/>
            <w:hideMark/>
          </w:tcPr>
          <w:p w14:paraId="0F16A3E9" w14:textId="77777777" w:rsidR="00BB13B4" w:rsidRPr="00F07DEB" w:rsidRDefault="00BB13B4" w:rsidP="00F07DEB">
            <w:pPr>
              <w:spacing w:after="0"/>
              <w:rPr>
                <w:rFonts w:ascii="Times New Roman" w:hAnsi="Times New Roman" w:cs="Times New Roman"/>
                <w:sz w:val="20"/>
                <w:szCs w:val="24"/>
              </w:rPr>
            </w:pPr>
            <w:r w:rsidRPr="00F07DEB">
              <w:rPr>
                <w:rFonts w:ascii="Times New Roman" w:hAnsi="Times New Roman" w:cs="Times New Roman"/>
                <w:sz w:val="20"/>
                <w:szCs w:val="24"/>
              </w:rPr>
              <w:t>Maturity</w:t>
            </w:r>
          </w:p>
        </w:tc>
      </w:tr>
    </w:tbl>
    <w:p w14:paraId="10A98899" w14:textId="138B62A3" w:rsidR="00BB13B4" w:rsidRPr="00F07DEB" w:rsidRDefault="00BB13B4" w:rsidP="00BB13B4">
      <w:pPr>
        <w:rPr>
          <w:rFonts w:ascii="Times New Roman" w:hAnsi="Times New Roman" w:cs="Times New Roman"/>
          <w:sz w:val="24"/>
          <w:szCs w:val="24"/>
        </w:rPr>
      </w:pPr>
    </w:p>
    <w:p w14:paraId="21E5F0F1" w14:textId="6DECA76F" w:rsidR="00636255" w:rsidRPr="00641A81" w:rsidRDefault="000A1CAD" w:rsidP="00641A81">
      <w:pPr>
        <w:spacing w:line="480" w:lineRule="auto"/>
        <w:rPr>
          <w:rFonts w:ascii="Times New Roman" w:hAnsi="Times New Roman" w:cs="Times New Roman"/>
          <w:noProof/>
          <w:sz w:val="24"/>
          <w:szCs w:val="24"/>
        </w:rPr>
      </w:pPr>
      <w:r w:rsidRPr="00F07DEB">
        <w:rPr>
          <w:rFonts w:ascii="Times New Roman" w:hAnsi="Times New Roman" w:cs="Times New Roman"/>
          <w:sz w:val="24"/>
          <w:szCs w:val="24"/>
        </w:rPr>
        <w:tab/>
      </w:r>
      <w:r w:rsidRPr="00F07DEB">
        <w:rPr>
          <w:rFonts w:ascii="Times New Roman" w:hAnsi="Times New Roman" w:cs="Times New Roman"/>
          <w:i/>
          <w:sz w:val="24"/>
          <w:szCs w:val="24"/>
        </w:rPr>
        <w:t>Sorghum bicolor</w:t>
      </w:r>
      <w:r w:rsidRPr="00F07DEB">
        <w:rPr>
          <w:rFonts w:ascii="Times New Roman" w:hAnsi="Times New Roman" w:cs="Times New Roman"/>
          <w:sz w:val="24"/>
          <w:szCs w:val="24"/>
        </w:rPr>
        <w:t xml:space="preserve"> will be referred to as sorghum</w:t>
      </w:r>
      <w:r w:rsidR="002A2044" w:rsidRPr="00F07DEB">
        <w:rPr>
          <w:rFonts w:ascii="Times New Roman" w:hAnsi="Times New Roman" w:cs="Times New Roman"/>
          <w:sz w:val="24"/>
          <w:szCs w:val="24"/>
        </w:rPr>
        <w:t xml:space="preserve"> or grain sorghum</w:t>
      </w:r>
      <w:r w:rsidRPr="00F07DEB">
        <w:rPr>
          <w:rFonts w:ascii="Times New Roman" w:hAnsi="Times New Roman" w:cs="Times New Roman"/>
          <w:sz w:val="24"/>
          <w:szCs w:val="24"/>
        </w:rPr>
        <w:t>, and is an annual tropical grass commonly grown for animal feed grain,</w:t>
      </w:r>
      <w:r w:rsidR="002A2044" w:rsidRPr="00F07DEB">
        <w:rPr>
          <w:rFonts w:ascii="Times New Roman" w:hAnsi="Times New Roman" w:cs="Times New Roman"/>
          <w:sz w:val="24"/>
          <w:szCs w:val="24"/>
        </w:rPr>
        <w:t xml:space="preserve"> forage,</w:t>
      </w:r>
      <w:r w:rsidRPr="00F07DEB">
        <w:rPr>
          <w:rFonts w:ascii="Times New Roman" w:hAnsi="Times New Roman" w:cs="Times New Roman"/>
          <w:sz w:val="24"/>
          <w:szCs w:val="24"/>
        </w:rPr>
        <w:t xml:space="preserve"> biofuel, and syrup, although humans have found other culinary and industrial uses for the cereal</w:t>
      </w:r>
      <w:r w:rsidR="00C0225C" w:rsidRPr="00F07DEB">
        <w:rPr>
          <w:rFonts w:ascii="Times New Roman" w:hAnsi="Times New Roman" w:cs="Times New Roman"/>
          <w:sz w:val="24"/>
          <w:szCs w:val="24"/>
        </w:rPr>
        <w:t xml:space="preserve"> </w:t>
      </w:r>
      <w:r w:rsidR="00C0225C" w:rsidRPr="002E66BC">
        <w:rPr>
          <w:rFonts w:ascii="Times New Roman" w:hAnsi="Times New Roman" w:cs="Times New Roman"/>
          <w:sz w:val="24"/>
          <w:szCs w:val="24"/>
        </w:rPr>
        <w:fldChar w:fldCharType="begin"/>
      </w:r>
      <w:r w:rsidR="00C0225C" w:rsidRPr="002E66BC">
        <w:rPr>
          <w:rFonts w:ascii="Times New Roman" w:hAnsi="Times New Roman" w:cs="Times New Roman"/>
          <w:sz w:val="24"/>
          <w:szCs w:val="24"/>
        </w:rPr>
        <w:instrText xml:space="preserve"> ADDIN ZOTERO_ITEM CSL_CITATION {"citationID":"3sWYt1Hm","properties":{"formattedCitation":"(Dial, 2012)","plainCitation":"(Dial, 2012)","noteIndex":0},"citationItems":[{"id":766,"uris":["http://zotero.org/users/5446453/items/UD72MFJC"],"uri":["http://zotero.org/users/5446453/items/UD72MFJC"],"itemData":{"id":766,"type":"report","event-place":"Tucson Plant Materials Center, Tucson, AZ","language":"en","page":"5","publisher":"USDA-Natural Resources Conservation Service","publisher-place":"Tucson Plant Materials Center, Tucson, AZ","source":"Zotero","title":"Plant guide for sorghum (Sorghum bicolor L.)","author":[{"family":"Dial","given":"Heather"}],"issued":{"date-parts":[["2012"]]}}}],"schema":"https://github.com/citation-style-language/schema/raw/master/csl-citation.json"} </w:instrText>
      </w:r>
      <w:r w:rsidR="00C0225C" w:rsidRPr="002E66BC">
        <w:rPr>
          <w:rFonts w:ascii="Times New Roman" w:hAnsi="Times New Roman" w:cs="Times New Roman"/>
          <w:sz w:val="24"/>
          <w:szCs w:val="24"/>
        </w:rPr>
        <w:fldChar w:fldCharType="separate"/>
      </w:r>
      <w:r w:rsidR="00234033" w:rsidRPr="002E66BC">
        <w:rPr>
          <w:rFonts w:ascii="Times New Roman" w:hAnsi="Times New Roman" w:cs="Times New Roman"/>
          <w:sz w:val="24"/>
          <w:szCs w:val="24"/>
        </w:rPr>
        <w:t>(Dial, 2012)</w:t>
      </w:r>
      <w:r w:rsidR="00C0225C" w:rsidRPr="002E66BC">
        <w:rPr>
          <w:rFonts w:ascii="Times New Roman" w:hAnsi="Times New Roman" w:cs="Times New Roman"/>
          <w:sz w:val="24"/>
          <w:szCs w:val="24"/>
        </w:rPr>
        <w:fldChar w:fldCharType="end"/>
      </w:r>
      <w:r w:rsidRPr="002E66BC">
        <w:rPr>
          <w:rFonts w:ascii="Times New Roman" w:hAnsi="Times New Roman" w:cs="Times New Roman"/>
          <w:sz w:val="24"/>
          <w:szCs w:val="24"/>
        </w:rPr>
        <w:t xml:space="preserve">. </w:t>
      </w:r>
      <w:r w:rsidR="002A2044" w:rsidRPr="002E66BC">
        <w:rPr>
          <w:rFonts w:ascii="Times New Roman" w:hAnsi="Times New Roman" w:cs="Times New Roman"/>
          <w:sz w:val="24"/>
          <w:szCs w:val="24"/>
        </w:rPr>
        <w:t xml:space="preserve">Like corn, sorghum growth is described by vegetative or reproductive stages found in </w:t>
      </w:r>
      <w:r w:rsidR="009D1762" w:rsidRPr="002E66BC">
        <w:rPr>
          <w:rFonts w:ascii="Times New Roman" w:hAnsi="Times New Roman" w:cs="Times New Roman"/>
          <w:sz w:val="24"/>
          <w:szCs w:val="24"/>
        </w:rPr>
        <w:fldChar w:fldCharType="begin"/>
      </w:r>
      <w:r w:rsidR="009D1762" w:rsidRPr="002E66BC">
        <w:rPr>
          <w:rFonts w:ascii="Times New Roman" w:hAnsi="Times New Roman" w:cs="Times New Roman"/>
          <w:sz w:val="24"/>
          <w:szCs w:val="24"/>
        </w:rPr>
        <w:instrText xml:space="preserve"> REF _Ref55726751 \h  \* MERGEFORMAT </w:instrText>
      </w:r>
      <w:r w:rsidR="009D1762" w:rsidRPr="002E66BC">
        <w:rPr>
          <w:rFonts w:ascii="Times New Roman" w:hAnsi="Times New Roman" w:cs="Times New Roman"/>
          <w:sz w:val="24"/>
          <w:szCs w:val="24"/>
        </w:rPr>
      </w:r>
      <w:r w:rsidR="009D1762" w:rsidRPr="002E66BC">
        <w:rPr>
          <w:rFonts w:ascii="Times New Roman" w:hAnsi="Times New Roman" w:cs="Times New Roman"/>
          <w:sz w:val="24"/>
          <w:szCs w:val="24"/>
        </w:rPr>
        <w:fldChar w:fldCharType="separate"/>
      </w:r>
      <w:r w:rsidR="00E179CA" w:rsidRPr="002E66BC">
        <w:rPr>
          <w:rFonts w:ascii="Times New Roman" w:hAnsi="Times New Roman" w:cs="Times New Roman"/>
          <w:sz w:val="24"/>
          <w:szCs w:val="24"/>
        </w:rPr>
        <w:t>Table</w:t>
      </w:r>
      <w:r w:rsidR="00E179CA" w:rsidRPr="002E66BC">
        <w:rPr>
          <w:rFonts w:ascii="Times New Roman" w:hAnsi="Times New Roman" w:cs="Times New Roman"/>
          <w:noProof/>
          <w:sz w:val="24"/>
          <w:szCs w:val="24"/>
        </w:rPr>
        <w:t xml:space="preserve"> 6</w:t>
      </w:r>
      <w:r w:rsidR="009D1762" w:rsidRPr="002E66BC">
        <w:rPr>
          <w:rFonts w:ascii="Times New Roman" w:hAnsi="Times New Roman" w:cs="Times New Roman"/>
          <w:sz w:val="24"/>
          <w:szCs w:val="24"/>
        </w:rPr>
        <w:fldChar w:fldCharType="end"/>
      </w:r>
      <w:r w:rsidR="009D1762" w:rsidRPr="00204C13">
        <w:rPr>
          <w:rFonts w:ascii="Times New Roman" w:hAnsi="Times New Roman" w:cs="Times New Roman"/>
          <w:sz w:val="24"/>
          <w:szCs w:val="24"/>
        </w:rPr>
        <w:t xml:space="preserve"> </w:t>
      </w:r>
      <w:r w:rsidR="00C0225C" w:rsidRPr="00204C13">
        <w:rPr>
          <w:rFonts w:ascii="Times New Roman" w:hAnsi="Times New Roman" w:cs="Times New Roman"/>
          <w:sz w:val="24"/>
          <w:szCs w:val="24"/>
        </w:rPr>
        <w:fldChar w:fldCharType="begin"/>
      </w:r>
      <w:r w:rsidR="00C0225C" w:rsidRPr="00204C13">
        <w:rPr>
          <w:rFonts w:ascii="Times New Roman" w:hAnsi="Times New Roman" w:cs="Times New Roman"/>
          <w:sz w:val="24"/>
          <w:szCs w:val="24"/>
        </w:rPr>
        <w:instrText xml:space="preserve"> ADDIN ZOTERO_ITEM CSL_CITATION {"citationID":"gLO0cpOZ","properties":{"formattedCitation":"(Gerik et al., 2003; United Sorghum Checkoff, n.d.)","plainCitation":"(Gerik et al., 2003; United Sorghum Checkoff, n.d.)","noteIndex":0},"citationItems":[{"id":782,"uris":["http://zotero.org/users/5446453/items/WPMXLKJH"],"uri":["http://zotero.org/users/5446453/items/WPMXLKJH"],"itemData":{"id":782,"type":"report","language":"en","number":"B-6137 7-03","page":"8","publisher":"Texas A&amp;M University","source":"Zotero","title":"Sorghum Growth and Development","author":[{"family":"Gerik","given":"Thomas"},{"family":"Bean","given":"Brent"},{"family":"Vanderlip","given":"Richard"}],"issued":{"date-parts":[["2003"]]}}},{"id":780,"uris":["http://zotero.org/users/5446453/items/DH4JX7Y7"],"uri":["http://zotero.org/users/5446453/items/DH4JX7Y7"],"itemData":{"id":780,"type":"webpage","abstract":"Recognizing the key developmental stages of sorghum can aid in making critical management decisions. The stages are based on sorghum structures as they…","container-title":"United Sorghum Checkoff","title":"Sorghum Growth and Development","URL":"https://www.sorghumcheckoff.com/for-farmers/grain-production/growth-and-development","author":[{"literal":"United Sorghum Checkoff"}]}}],"schema":"https://github.com/citation-style-language/schema/raw/master/csl-citation.json"} </w:instrText>
      </w:r>
      <w:r w:rsidR="00C0225C" w:rsidRPr="00204C13">
        <w:rPr>
          <w:rFonts w:ascii="Times New Roman" w:hAnsi="Times New Roman" w:cs="Times New Roman"/>
          <w:sz w:val="24"/>
          <w:szCs w:val="24"/>
        </w:rPr>
        <w:fldChar w:fldCharType="separate"/>
      </w:r>
      <w:r w:rsidR="00234033" w:rsidRPr="00204C13">
        <w:rPr>
          <w:rFonts w:ascii="Times New Roman" w:hAnsi="Times New Roman" w:cs="Times New Roman"/>
          <w:sz w:val="24"/>
          <w:szCs w:val="24"/>
        </w:rPr>
        <w:t>(</w:t>
      </w:r>
      <w:proofErr w:type="spellStart"/>
      <w:r w:rsidR="00234033" w:rsidRPr="00204C13">
        <w:rPr>
          <w:rFonts w:ascii="Times New Roman" w:hAnsi="Times New Roman" w:cs="Times New Roman"/>
          <w:sz w:val="24"/>
          <w:szCs w:val="24"/>
        </w:rPr>
        <w:t>Gerik</w:t>
      </w:r>
      <w:proofErr w:type="spellEnd"/>
      <w:r w:rsidR="00234033" w:rsidRPr="00204C13">
        <w:rPr>
          <w:rFonts w:ascii="Times New Roman" w:hAnsi="Times New Roman" w:cs="Times New Roman"/>
          <w:sz w:val="24"/>
          <w:szCs w:val="24"/>
        </w:rPr>
        <w:t xml:space="preserve"> et al., 2003; United Sorghum Checkoff, </w:t>
      </w:r>
      <w:proofErr w:type="spellStart"/>
      <w:r w:rsidR="00234033" w:rsidRPr="00204C13">
        <w:rPr>
          <w:rFonts w:ascii="Times New Roman" w:hAnsi="Times New Roman" w:cs="Times New Roman"/>
          <w:sz w:val="24"/>
          <w:szCs w:val="24"/>
        </w:rPr>
        <w:t>n.d.</w:t>
      </w:r>
      <w:proofErr w:type="spellEnd"/>
      <w:r w:rsidR="00234033" w:rsidRPr="00204C13">
        <w:rPr>
          <w:rFonts w:ascii="Times New Roman" w:hAnsi="Times New Roman" w:cs="Times New Roman"/>
          <w:sz w:val="24"/>
          <w:szCs w:val="24"/>
        </w:rPr>
        <w:t>)</w:t>
      </w:r>
      <w:r w:rsidR="00C0225C" w:rsidRPr="00204C13">
        <w:rPr>
          <w:rFonts w:ascii="Times New Roman" w:hAnsi="Times New Roman" w:cs="Times New Roman"/>
          <w:sz w:val="24"/>
          <w:szCs w:val="24"/>
        </w:rPr>
        <w:fldChar w:fldCharType="end"/>
      </w:r>
      <w:r w:rsidR="002A2044" w:rsidRPr="00F07DEB">
        <w:rPr>
          <w:rFonts w:ascii="Times New Roman" w:hAnsi="Times New Roman" w:cs="Times New Roman"/>
          <w:sz w:val="24"/>
          <w:szCs w:val="24"/>
        </w:rPr>
        <w:t xml:space="preserve">. </w:t>
      </w:r>
      <w:r w:rsidR="009D1762" w:rsidRPr="00F07DEB">
        <w:rPr>
          <w:rFonts w:ascii="Times New Roman" w:hAnsi="Times New Roman" w:cs="Times New Roman"/>
          <w:sz w:val="24"/>
          <w:szCs w:val="24"/>
        </w:rPr>
        <w:t>Post-emergence v</w:t>
      </w:r>
      <w:r w:rsidR="002A2044" w:rsidRPr="00F07DEB">
        <w:rPr>
          <w:rFonts w:ascii="Times New Roman" w:hAnsi="Times New Roman" w:cs="Times New Roman"/>
          <w:sz w:val="24"/>
          <w:szCs w:val="24"/>
        </w:rPr>
        <w:t xml:space="preserve">egetative growth is characterized by the number of full-length leaves with visible collars until the final vegetative stage. During the boot stage, the seed head (panicle) is visible as a </w:t>
      </w:r>
      <w:r w:rsidR="006410CD" w:rsidRPr="00F07DEB">
        <w:rPr>
          <w:rFonts w:ascii="Times New Roman" w:hAnsi="Times New Roman" w:cs="Times New Roman"/>
          <w:sz w:val="24"/>
          <w:szCs w:val="24"/>
        </w:rPr>
        <w:t>flag-</w:t>
      </w:r>
      <w:r w:rsidR="002A2044" w:rsidRPr="00F07DEB">
        <w:rPr>
          <w:rFonts w:ascii="Times New Roman" w:hAnsi="Times New Roman" w:cs="Times New Roman"/>
          <w:sz w:val="24"/>
          <w:szCs w:val="24"/>
        </w:rPr>
        <w:t xml:space="preserve">leaf-wrapped bulge </w:t>
      </w:r>
      <w:r w:rsidR="00DF5878" w:rsidRPr="00F07DEB">
        <w:rPr>
          <w:rFonts w:ascii="Times New Roman" w:hAnsi="Times New Roman" w:cs="Times New Roman"/>
          <w:sz w:val="24"/>
          <w:szCs w:val="24"/>
        </w:rPr>
        <w:t>atop the stalk</w:t>
      </w:r>
      <w:r w:rsidR="002A2044" w:rsidRPr="00F07DEB">
        <w:rPr>
          <w:rFonts w:ascii="Times New Roman" w:hAnsi="Times New Roman" w:cs="Times New Roman"/>
          <w:sz w:val="24"/>
          <w:szCs w:val="24"/>
        </w:rPr>
        <w:t xml:space="preserve">. The </w:t>
      </w:r>
      <w:r w:rsidR="002A2044" w:rsidRPr="00F07DEB">
        <w:rPr>
          <w:rFonts w:ascii="Times New Roman" w:hAnsi="Times New Roman" w:cs="Times New Roman"/>
          <w:sz w:val="24"/>
          <w:szCs w:val="24"/>
        </w:rPr>
        <w:lastRenderedPageBreak/>
        <w:t xml:space="preserve">panicle emerges and flowers to begin the reproductive phase. </w:t>
      </w:r>
      <w:r w:rsidR="00FF2E88" w:rsidRPr="00F07DEB">
        <w:rPr>
          <w:rFonts w:ascii="Times New Roman" w:hAnsi="Times New Roman" w:cs="Times New Roman"/>
          <w:sz w:val="24"/>
          <w:szCs w:val="24"/>
        </w:rPr>
        <w:t>After approximately one week of self-pollination, sorghum grains begin accumulating starch and absorbing nutrients. Grain starch content and weight increase from soft dough to physiological maturity, although the exact stage during which the crop is harvested depends on the intended</w:t>
      </w:r>
      <w:r w:rsidR="006410CD" w:rsidRPr="00F07DEB">
        <w:rPr>
          <w:rFonts w:ascii="Times New Roman" w:hAnsi="Times New Roman" w:cs="Times New Roman"/>
          <w:sz w:val="24"/>
          <w:szCs w:val="24"/>
        </w:rPr>
        <w:t xml:space="preserve"> </w:t>
      </w:r>
      <w:r w:rsidR="00FF2E88" w:rsidRPr="00F07DEB">
        <w:rPr>
          <w:rFonts w:ascii="Times New Roman" w:hAnsi="Times New Roman" w:cs="Times New Roman"/>
          <w:sz w:val="24"/>
          <w:szCs w:val="24"/>
        </w:rPr>
        <w:t>use</w:t>
      </w:r>
      <w:r w:rsidR="00355EB3" w:rsidRPr="00F07DEB">
        <w:rPr>
          <w:rFonts w:ascii="Times New Roman" w:hAnsi="Times New Roman" w:cs="Times New Roman"/>
          <w:sz w:val="24"/>
          <w:szCs w:val="24"/>
        </w:rPr>
        <w:t xml:space="preserve"> </w:t>
      </w:r>
      <w:r w:rsidR="00355EB3"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{"citationID":"a2eno0tggi9","properties":{"formattedCitation":"(Vanderlip &amp; Reeves, 1972)","plainCitation":"(Vanderlip &amp; Reeves, 1972)","dontUpdate":true,"noteIndex":0},"citationItems":[{"id":784,"uris":["http://zotero.org/users/5446453/items/GUYMCSTZ"],"uri":["http://zotero.org/users/5446453/items/GUYMCSTZ"],"itemData":{"id":784,"type":"article-journal","abstract":"Research with grain sorghum often involves sampling several times during the growth cycle. Samplings often are designated by calendar date, days after planting or emergence, or plant height. Often these bear little or no actual relationship to the morphological or physiological age or status of the plant. Although certain stages of sorghum growth are fairly well established, the growth cycle of sorghum has not been fully described. Therefore, a standard set of growth stages needs to be defined. Based on detailed studies of grain sorghum hybrids of different maturities, the following ten stages of development have been defined and illustrated: emergence, three-leaf, five-leaf, growing-point, differentiation, final leaf visible in whorl, boot, half-bloom, soft dough, hard dough, and physiological maturity. These stages are suggested as standards to describe the timing of sampling or treating sorghum.","container-title":"Agronomy Journal","DOI":"10.2134/agronj1972.00021962006400010005x","ISSN":"1435-0645","issue":"1","language":"en","note":"_eprint: https://acsess.onlinelibrary.wiley.com/doi/pdf/10.2134/agronj1972.00021962006400010005x","page":"13-16","source":"Wiley Online Library","title":"Growth Stages of Sorghum [Sorghum bicolor, (L.) Moench.]1","volume":"64","author":[{"family":"Vanderlip","given":"R. L."},{"family":"Reeves","given":"H. E."}],"issued":{"date-parts":[["1972"]]}}}],"schema":"https://github.com/citation-style-language/schema/raw/master/csl-citation.json"} </w:instrText>
      </w:r>
      <w:r w:rsidR="00355EB3" w:rsidRPr="00F07DEB">
        <w:rPr>
          <w:rFonts w:ascii="Times New Roman" w:hAnsi="Times New Roman" w:cs="Times New Roman"/>
          <w:sz w:val="24"/>
          <w:szCs w:val="24"/>
        </w:rPr>
        <w:fldChar w:fldCharType="separate"/>
      </w:r>
      <w:r w:rsidR="006811C1" w:rsidRPr="00F07DEB">
        <w:rPr>
          <w:rFonts w:ascii="Times New Roman" w:hAnsi="Times New Roman" w:cs="Times New Roman"/>
          <w:sz w:val="24"/>
          <w:szCs w:val="24"/>
        </w:rPr>
        <w:t xml:space="preserve">(Vanderlip </w:t>
      </w:r>
      <w:r w:rsidR="002A6AB5">
        <w:rPr>
          <w:rFonts w:ascii="Times New Roman" w:hAnsi="Times New Roman" w:cs="Times New Roman"/>
          <w:sz w:val="24"/>
          <w:szCs w:val="24"/>
        </w:rPr>
        <w:t>and</w:t>
      </w:r>
      <w:r w:rsidR="006811C1" w:rsidRPr="00F07DEB">
        <w:rPr>
          <w:rFonts w:ascii="Times New Roman" w:hAnsi="Times New Roman" w:cs="Times New Roman"/>
          <w:sz w:val="24"/>
          <w:szCs w:val="24"/>
        </w:rPr>
        <w:t xml:space="preserve"> Reeves, 1972)</w:t>
      </w:r>
      <w:r w:rsidR="00355EB3" w:rsidRPr="00F07DEB">
        <w:rPr>
          <w:rFonts w:ascii="Times New Roman" w:hAnsi="Times New Roman" w:cs="Times New Roman"/>
          <w:sz w:val="24"/>
          <w:szCs w:val="24"/>
        </w:rPr>
        <w:fldChar w:fldCharType="end"/>
      </w:r>
      <w:r w:rsidR="00355EB3" w:rsidRPr="00F07DEB">
        <w:rPr>
          <w:rFonts w:ascii="Times New Roman" w:hAnsi="Times New Roman" w:cs="Times New Roman"/>
          <w:noProof/>
          <w:sz w:val="24"/>
          <w:szCs w:val="24"/>
          <w:lang w:eastAsia="en-US"/>
        </w:rPr>
        <w:t xml:space="preserve"> </w:t>
      </w:r>
      <w:r w:rsidR="00FF2E88" w:rsidRPr="00F07DEB">
        <w:rPr>
          <w:rFonts w:ascii="Times New Roman" w:hAnsi="Times New Roman" w:cs="Times New Roman"/>
          <w:sz w:val="24"/>
          <w:szCs w:val="24"/>
        </w:rPr>
        <w:t>.</w:t>
      </w:r>
      <w:bookmarkStart w:id="17" w:name="_Ref55726751"/>
    </w:p>
    <w:p w14:paraId="19567706" w14:textId="755FB3F0" w:rsidR="005B64C6" w:rsidRPr="00F07DEB" w:rsidRDefault="005B64C6" w:rsidP="00204C13">
      <w:pPr>
        <w:pStyle w:val="Caption"/>
      </w:pPr>
      <w:bookmarkStart w:id="18" w:name="_Toc58975192"/>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6</w:t>
      </w:r>
      <w:r w:rsidR="00DE3B90" w:rsidRPr="00F07DEB">
        <w:rPr>
          <w:noProof/>
        </w:rPr>
        <w:fldChar w:fldCharType="end"/>
      </w:r>
      <w:bookmarkEnd w:id="17"/>
      <w:r w:rsidRPr="00F07DEB">
        <w:t xml:space="preserve">: </w:t>
      </w:r>
      <w:r w:rsidR="00A13B3D" w:rsidRPr="00F07DEB">
        <w:t>S</w:t>
      </w:r>
      <w:r w:rsidRPr="00F07DEB">
        <w:t>orghum gr</w:t>
      </w:r>
      <w:r w:rsidR="00A13B3D" w:rsidRPr="00F07DEB">
        <w:t xml:space="preserve">owth stages, partially adapted from </w:t>
      </w:r>
      <w:r w:rsidR="00A13B3D" w:rsidRPr="00F07DEB">
        <w:fldChar w:fldCharType="begin"/>
      </w:r>
      <w:r w:rsidR="004B13BE">
        <w:instrText xml:space="preserve"> ADDIN ZOTERO_ITEM CSL_CITATION {"citationID":"q4bIcmKd","properties":{"formattedCitation":"(Vanderlip &amp; Reeves, 1972)","plainCitation":"(Vanderlip &amp; Reeves, 1972)","dontUpdate":true,"noteIndex":0},"citationItems":[{"id":784,"uris":["http://zotero.org/users/5446453/items/GUYMCSTZ"],"uri":["http://zotero.org/users/5446453/items/GUYMCSTZ"],"itemData":{"id":784,"type":"article-journal","abstract":"Research with grain sorghum often involves sampling several times during the growth cycle. Samplings often are designated by calendar date, days after planting or emergence, or plant height. Often these bear little or no actual relationship to the morphological or physiological age or status of the plant. Although certain stages of sorghum growth are fairly well established, the growth cycle of sorghum has not been fully described. Therefore, a standard set of growth stages needs to be defined. Based on detailed studies of grain sorghum hybrids of different maturities, the following ten stages of development have been defined and illustrated: emergence, three-leaf, five-leaf, growing-point, differentiation, final leaf visible in whorl, boot, half-bloom, soft dough, hard dough, and physiological maturity. These stages are suggested as standards to describe the timing of sampling or treating sorghum.","container-title":"Agronomy Journal","DOI":"10.2134/agronj1972.00021962006400010005x","ISSN":"1435-0645","issue":"1","language":"en","note":"_eprint: https://acsess.onlinelibrary.wiley.com/doi/pdf/10.2134/agronj1972.00021962006400010005x","page":"13-16","source":"Wiley Online Library","title":"Growth Stages of Sorghum [Sorghum bicolor, (L.) Moench.]1","volume":"64","author":[{"family":"Vanderlip","given":"R. L."},{"family":"Reeves","given":"H. E."}],"issued":{"date-parts":[["1972"]]}}}],"schema":"https://github.com/citation-style-language/schema/raw/master/csl-citation.json"} </w:instrText>
      </w:r>
      <w:r w:rsidR="00A13B3D" w:rsidRPr="00F07DEB">
        <w:fldChar w:fldCharType="separate"/>
      </w:r>
      <w:r w:rsidR="00A13B3D" w:rsidRPr="00F07DEB">
        <w:t xml:space="preserve">(Vanderlip </w:t>
      </w:r>
      <w:r w:rsidR="002A6AB5">
        <w:t>and</w:t>
      </w:r>
      <w:r w:rsidR="00A13B3D" w:rsidRPr="00F07DEB">
        <w:t xml:space="preserve"> Reeves, 1972)</w:t>
      </w:r>
      <w:bookmarkEnd w:id="18"/>
      <w:r w:rsidR="00A13B3D" w:rsidRPr="00F07DEB">
        <w:fldChar w:fldCharType="end"/>
      </w:r>
    </w:p>
    <w:tbl>
      <w:tblPr>
        <w:tblpPr w:leftFromText="180" w:rightFromText="180" w:vertAnchor="text" w:tblpY="1"/>
        <w:tblOverlap w:val="never"/>
        <w:tblW w:w="0" w:type="auto"/>
        <w:tblLook w:val="04A0" w:firstRow="1" w:lastRow="0" w:firstColumn="1" w:lastColumn="0" w:noHBand="0" w:noVBand="1"/>
      </w:tblPr>
      <w:tblGrid>
        <w:gridCol w:w="1294"/>
        <w:gridCol w:w="316"/>
        <w:gridCol w:w="2055"/>
      </w:tblGrid>
      <w:tr w:rsidR="002C23A1" w:rsidRPr="00F07DEB" w14:paraId="38B37AD7" w14:textId="77777777" w:rsidTr="00FB6BBA">
        <w:trPr>
          <w:trHeight w:val="339"/>
        </w:trPr>
        <w:tc>
          <w:tcPr>
            <w:tcW w:w="0" w:type="auto"/>
            <w:gridSpan w:val="3"/>
            <w:tcBorders>
              <w:top w:val="single" w:sz="8" w:space="0" w:color="auto"/>
              <w:bottom w:val="single" w:sz="8" w:space="0" w:color="auto"/>
            </w:tcBorders>
            <w:noWrap/>
            <w:vAlign w:val="center"/>
            <w:hideMark/>
          </w:tcPr>
          <w:p w14:paraId="3BB8B98F" w14:textId="08EFD83D" w:rsidR="002C23A1" w:rsidRPr="00F07DEB" w:rsidRDefault="002C23A1" w:rsidP="00F07DEB">
            <w:pPr>
              <w:spacing w:after="0"/>
              <w:rPr>
                <w:rFonts w:ascii="Times New Roman" w:hAnsi="Times New Roman" w:cs="Times New Roman"/>
                <w:sz w:val="20"/>
                <w:szCs w:val="20"/>
              </w:rPr>
            </w:pPr>
            <w:r w:rsidRPr="00F07DEB">
              <w:rPr>
                <w:rFonts w:ascii="Times New Roman" w:hAnsi="Times New Roman" w:cs="Times New Roman"/>
                <w:sz w:val="20"/>
                <w:szCs w:val="20"/>
              </w:rPr>
              <w:t>Sorghum Growth Stages</w:t>
            </w:r>
          </w:p>
        </w:tc>
      </w:tr>
      <w:tr w:rsidR="002A2044" w:rsidRPr="00F07DEB" w14:paraId="63FC9604" w14:textId="77777777" w:rsidTr="00FB6BBA">
        <w:trPr>
          <w:trHeight w:val="300"/>
        </w:trPr>
        <w:tc>
          <w:tcPr>
            <w:tcW w:w="0" w:type="auto"/>
            <w:tcBorders>
              <w:top w:val="single" w:sz="8" w:space="0" w:color="auto"/>
            </w:tcBorders>
            <w:noWrap/>
            <w:vAlign w:val="center"/>
            <w:hideMark/>
          </w:tcPr>
          <w:p w14:paraId="587C666A"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Vegetative</w:t>
            </w:r>
          </w:p>
        </w:tc>
        <w:tc>
          <w:tcPr>
            <w:tcW w:w="0" w:type="auto"/>
            <w:tcBorders>
              <w:top w:val="single" w:sz="8" w:space="0" w:color="auto"/>
            </w:tcBorders>
            <w:noWrap/>
            <w:vAlign w:val="center"/>
            <w:hideMark/>
          </w:tcPr>
          <w:p w14:paraId="3771E852"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0</w:t>
            </w:r>
          </w:p>
        </w:tc>
        <w:tc>
          <w:tcPr>
            <w:tcW w:w="0" w:type="auto"/>
            <w:tcBorders>
              <w:top w:val="single" w:sz="8" w:space="0" w:color="auto"/>
            </w:tcBorders>
            <w:noWrap/>
            <w:vAlign w:val="center"/>
            <w:hideMark/>
          </w:tcPr>
          <w:p w14:paraId="27EA5646"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Emergence</w:t>
            </w:r>
          </w:p>
        </w:tc>
      </w:tr>
      <w:tr w:rsidR="002A2044" w:rsidRPr="00F07DEB" w14:paraId="67043897" w14:textId="77777777" w:rsidTr="00BD7BCA">
        <w:trPr>
          <w:trHeight w:val="309"/>
        </w:trPr>
        <w:tc>
          <w:tcPr>
            <w:tcW w:w="0" w:type="auto"/>
            <w:noWrap/>
            <w:vAlign w:val="center"/>
          </w:tcPr>
          <w:p w14:paraId="6C140871" w14:textId="23EB5BE9" w:rsidR="002A2044" w:rsidRPr="00F07DEB" w:rsidRDefault="002A2044" w:rsidP="00F07DEB">
            <w:pPr>
              <w:spacing w:after="0"/>
              <w:rPr>
                <w:rFonts w:ascii="Times New Roman" w:hAnsi="Times New Roman" w:cs="Times New Roman"/>
                <w:sz w:val="20"/>
                <w:szCs w:val="20"/>
              </w:rPr>
            </w:pPr>
          </w:p>
        </w:tc>
        <w:tc>
          <w:tcPr>
            <w:tcW w:w="0" w:type="auto"/>
            <w:noWrap/>
            <w:vAlign w:val="center"/>
            <w:hideMark/>
          </w:tcPr>
          <w:p w14:paraId="5794D3F5"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1</w:t>
            </w:r>
          </w:p>
        </w:tc>
        <w:tc>
          <w:tcPr>
            <w:tcW w:w="0" w:type="auto"/>
            <w:noWrap/>
            <w:vAlign w:val="center"/>
            <w:hideMark/>
          </w:tcPr>
          <w:p w14:paraId="0394300E"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V3-V4</w:t>
            </w:r>
          </w:p>
        </w:tc>
      </w:tr>
      <w:tr w:rsidR="002A2044" w:rsidRPr="00F07DEB" w14:paraId="69DB19B4" w14:textId="77777777" w:rsidTr="00BD7BCA">
        <w:trPr>
          <w:trHeight w:val="292"/>
        </w:trPr>
        <w:tc>
          <w:tcPr>
            <w:tcW w:w="0" w:type="auto"/>
            <w:noWrap/>
            <w:vAlign w:val="center"/>
          </w:tcPr>
          <w:p w14:paraId="27FBD8D7" w14:textId="1731B105" w:rsidR="002A2044" w:rsidRPr="00F07DEB" w:rsidRDefault="002A2044" w:rsidP="00F07DEB">
            <w:pPr>
              <w:spacing w:after="0"/>
              <w:rPr>
                <w:rFonts w:ascii="Times New Roman" w:hAnsi="Times New Roman" w:cs="Times New Roman"/>
                <w:sz w:val="20"/>
                <w:szCs w:val="20"/>
              </w:rPr>
            </w:pPr>
          </w:p>
        </w:tc>
        <w:tc>
          <w:tcPr>
            <w:tcW w:w="0" w:type="auto"/>
            <w:noWrap/>
            <w:vAlign w:val="center"/>
            <w:hideMark/>
          </w:tcPr>
          <w:p w14:paraId="03BA7DBC"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2</w:t>
            </w:r>
          </w:p>
        </w:tc>
        <w:tc>
          <w:tcPr>
            <w:tcW w:w="0" w:type="auto"/>
            <w:noWrap/>
            <w:vAlign w:val="center"/>
            <w:hideMark/>
          </w:tcPr>
          <w:p w14:paraId="24764FAB"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V5-V6</w:t>
            </w:r>
          </w:p>
        </w:tc>
      </w:tr>
      <w:tr w:rsidR="002A2044" w:rsidRPr="00F07DEB" w14:paraId="3DA2C7B4" w14:textId="77777777" w:rsidTr="00BD7BCA">
        <w:trPr>
          <w:trHeight w:val="292"/>
        </w:trPr>
        <w:tc>
          <w:tcPr>
            <w:tcW w:w="0" w:type="auto"/>
            <w:noWrap/>
            <w:vAlign w:val="center"/>
          </w:tcPr>
          <w:p w14:paraId="1575EC47" w14:textId="6860C935" w:rsidR="002A2044" w:rsidRPr="00F07DEB" w:rsidRDefault="002A2044" w:rsidP="00F07DEB">
            <w:pPr>
              <w:spacing w:after="0"/>
              <w:rPr>
                <w:rFonts w:ascii="Times New Roman" w:hAnsi="Times New Roman" w:cs="Times New Roman"/>
                <w:sz w:val="20"/>
                <w:szCs w:val="20"/>
              </w:rPr>
            </w:pPr>
          </w:p>
        </w:tc>
        <w:tc>
          <w:tcPr>
            <w:tcW w:w="0" w:type="auto"/>
            <w:noWrap/>
            <w:vAlign w:val="center"/>
            <w:hideMark/>
          </w:tcPr>
          <w:p w14:paraId="67F62A1F"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3</w:t>
            </w:r>
          </w:p>
        </w:tc>
        <w:tc>
          <w:tcPr>
            <w:tcW w:w="0" w:type="auto"/>
            <w:noWrap/>
            <w:vAlign w:val="center"/>
            <w:hideMark/>
          </w:tcPr>
          <w:p w14:paraId="69BAC84B"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V8</w:t>
            </w:r>
          </w:p>
        </w:tc>
      </w:tr>
      <w:tr w:rsidR="002A2044" w:rsidRPr="00F07DEB" w14:paraId="6514E917" w14:textId="77777777" w:rsidTr="00BD7BCA">
        <w:trPr>
          <w:trHeight w:val="292"/>
        </w:trPr>
        <w:tc>
          <w:tcPr>
            <w:tcW w:w="0" w:type="auto"/>
            <w:noWrap/>
            <w:vAlign w:val="center"/>
          </w:tcPr>
          <w:p w14:paraId="28D411CB" w14:textId="6413DF87" w:rsidR="002A2044" w:rsidRPr="00F07DEB" w:rsidRDefault="002A2044" w:rsidP="00F07DEB">
            <w:pPr>
              <w:spacing w:after="0"/>
              <w:rPr>
                <w:rFonts w:ascii="Times New Roman" w:hAnsi="Times New Roman" w:cs="Times New Roman"/>
                <w:sz w:val="20"/>
                <w:szCs w:val="20"/>
              </w:rPr>
            </w:pPr>
          </w:p>
        </w:tc>
        <w:tc>
          <w:tcPr>
            <w:tcW w:w="0" w:type="auto"/>
            <w:noWrap/>
            <w:vAlign w:val="center"/>
            <w:hideMark/>
          </w:tcPr>
          <w:p w14:paraId="6ABB6492"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4</w:t>
            </w:r>
          </w:p>
        </w:tc>
        <w:tc>
          <w:tcPr>
            <w:tcW w:w="0" w:type="auto"/>
            <w:noWrap/>
            <w:vAlign w:val="center"/>
            <w:hideMark/>
          </w:tcPr>
          <w:p w14:paraId="320E2E59"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Flag-leaf visible</w:t>
            </w:r>
          </w:p>
        </w:tc>
      </w:tr>
      <w:tr w:rsidR="002A2044" w:rsidRPr="00F07DEB" w14:paraId="0D00BC04" w14:textId="77777777" w:rsidTr="00BD7BCA">
        <w:trPr>
          <w:trHeight w:val="300"/>
        </w:trPr>
        <w:tc>
          <w:tcPr>
            <w:tcW w:w="0" w:type="auto"/>
            <w:noWrap/>
            <w:vAlign w:val="center"/>
          </w:tcPr>
          <w:p w14:paraId="6E3F129C" w14:textId="69731FBF" w:rsidR="002A2044" w:rsidRPr="00F07DEB" w:rsidRDefault="002A2044" w:rsidP="00F07DEB">
            <w:pPr>
              <w:spacing w:after="0"/>
              <w:rPr>
                <w:rFonts w:ascii="Times New Roman" w:hAnsi="Times New Roman" w:cs="Times New Roman"/>
                <w:sz w:val="20"/>
                <w:szCs w:val="20"/>
              </w:rPr>
            </w:pPr>
          </w:p>
        </w:tc>
        <w:tc>
          <w:tcPr>
            <w:tcW w:w="0" w:type="auto"/>
            <w:noWrap/>
            <w:vAlign w:val="center"/>
            <w:hideMark/>
          </w:tcPr>
          <w:p w14:paraId="04B9E329"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5</w:t>
            </w:r>
          </w:p>
        </w:tc>
        <w:tc>
          <w:tcPr>
            <w:tcW w:w="0" w:type="auto"/>
            <w:noWrap/>
            <w:vAlign w:val="center"/>
            <w:hideMark/>
          </w:tcPr>
          <w:p w14:paraId="6A4C525D"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Boot</w:t>
            </w:r>
          </w:p>
        </w:tc>
      </w:tr>
      <w:tr w:rsidR="002A2044" w:rsidRPr="00F07DEB" w14:paraId="31D7A84A" w14:textId="77777777" w:rsidTr="00FB6BBA">
        <w:trPr>
          <w:trHeight w:val="300"/>
        </w:trPr>
        <w:tc>
          <w:tcPr>
            <w:tcW w:w="0" w:type="auto"/>
            <w:noWrap/>
            <w:vAlign w:val="center"/>
            <w:hideMark/>
          </w:tcPr>
          <w:p w14:paraId="70398D16"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Reproductive</w:t>
            </w:r>
          </w:p>
        </w:tc>
        <w:tc>
          <w:tcPr>
            <w:tcW w:w="0" w:type="auto"/>
            <w:noWrap/>
            <w:vAlign w:val="center"/>
            <w:hideMark/>
          </w:tcPr>
          <w:p w14:paraId="6AE68890"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6</w:t>
            </w:r>
          </w:p>
        </w:tc>
        <w:tc>
          <w:tcPr>
            <w:tcW w:w="0" w:type="auto"/>
            <w:noWrap/>
            <w:vAlign w:val="center"/>
            <w:hideMark/>
          </w:tcPr>
          <w:p w14:paraId="2911FB05"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Flowering</w:t>
            </w:r>
          </w:p>
        </w:tc>
      </w:tr>
      <w:tr w:rsidR="002A2044" w:rsidRPr="00F07DEB" w14:paraId="1CCF4873" w14:textId="77777777" w:rsidTr="00BD7BCA">
        <w:trPr>
          <w:trHeight w:val="292"/>
        </w:trPr>
        <w:tc>
          <w:tcPr>
            <w:tcW w:w="0" w:type="auto"/>
            <w:noWrap/>
            <w:vAlign w:val="center"/>
          </w:tcPr>
          <w:p w14:paraId="395FDE93" w14:textId="0095DD33" w:rsidR="002A2044" w:rsidRPr="00F07DEB" w:rsidRDefault="002A2044" w:rsidP="00F07DEB">
            <w:pPr>
              <w:spacing w:after="0"/>
              <w:rPr>
                <w:rFonts w:ascii="Times New Roman" w:hAnsi="Times New Roman" w:cs="Times New Roman"/>
                <w:sz w:val="20"/>
                <w:szCs w:val="20"/>
              </w:rPr>
            </w:pPr>
          </w:p>
        </w:tc>
        <w:tc>
          <w:tcPr>
            <w:tcW w:w="0" w:type="auto"/>
            <w:noWrap/>
            <w:vAlign w:val="center"/>
            <w:hideMark/>
          </w:tcPr>
          <w:p w14:paraId="2DEA7004"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7</w:t>
            </w:r>
          </w:p>
        </w:tc>
        <w:tc>
          <w:tcPr>
            <w:tcW w:w="0" w:type="auto"/>
            <w:noWrap/>
            <w:vAlign w:val="center"/>
            <w:hideMark/>
          </w:tcPr>
          <w:p w14:paraId="15D80F4A"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Soft Dough</w:t>
            </w:r>
          </w:p>
        </w:tc>
      </w:tr>
      <w:tr w:rsidR="002A2044" w:rsidRPr="00F07DEB" w14:paraId="55B1ED6B" w14:textId="77777777" w:rsidTr="00BD7BCA">
        <w:trPr>
          <w:trHeight w:val="292"/>
        </w:trPr>
        <w:tc>
          <w:tcPr>
            <w:tcW w:w="0" w:type="auto"/>
            <w:noWrap/>
            <w:vAlign w:val="center"/>
          </w:tcPr>
          <w:p w14:paraId="571B30F4" w14:textId="105395D8" w:rsidR="002A2044" w:rsidRPr="00F07DEB" w:rsidRDefault="002A2044" w:rsidP="00F07DEB">
            <w:pPr>
              <w:spacing w:after="0"/>
              <w:rPr>
                <w:rFonts w:ascii="Times New Roman" w:hAnsi="Times New Roman" w:cs="Times New Roman"/>
                <w:sz w:val="20"/>
                <w:szCs w:val="20"/>
              </w:rPr>
            </w:pPr>
          </w:p>
        </w:tc>
        <w:tc>
          <w:tcPr>
            <w:tcW w:w="0" w:type="auto"/>
            <w:noWrap/>
            <w:vAlign w:val="center"/>
            <w:hideMark/>
          </w:tcPr>
          <w:p w14:paraId="4931DDED"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8</w:t>
            </w:r>
          </w:p>
        </w:tc>
        <w:tc>
          <w:tcPr>
            <w:tcW w:w="0" w:type="auto"/>
            <w:noWrap/>
            <w:vAlign w:val="center"/>
            <w:hideMark/>
          </w:tcPr>
          <w:p w14:paraId="191BAC69"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Hard Dough</w:t>
            </w:r>
          </w:p>
        </w:tc>
      </w:tr>
      <w:tr w:rsidR="002A2044" w:rsidRPr="00F07DEB" w14:paraId="76D6D55C" w14:textId="77777777" w:rsidTr="00BD7BCA">
        <w:trPr>
          <w:trHeight w:val="300"/>
        </w:trPr>
        <w:tc>
          <w:tcPr>
            <w:tcW w:w="0" w:type="auto"/>
            <w:tcBorders>
              <w:bottom w:val="single" w:sz="8" w:space="0" w:color="auto"/>
            </w:tcBorders>
            <w:noWrap/>
            <w:vAlign w:val="center"/>
          </w:tcPr>
          <w:p w14:paraId="25EE0155" w14:textId="71A8284E" w:rsidR="002A2044" w:rsidRPr="00F07DEB" w:rsidRDefault="002A2044" w:rsidP="00F07DEB">
            <w:pPr>
              <w:spacing w:after="0"/>
              <w:rPr>
                <w:rFonts w:ascii="Times New Roman" w:hAnsi="Times New Roman" w:cs="Times New Roman"/>
                <w:sz w:val="20"/>
                <w:szCs w:val="20"/>
              </w:rPr>
            </w:pPr>
          </w:p>
        </w:tc>
        <w:tc>
          <w:tcPr>
            <w:tcW w:w="0" w:type="auto"/>
            <w:tcBorders>
              <w:bottom w:val="single" w:sz="8" w:space="0" w:color="auto"/>
            </w:tcBorders>
            <w:noWrap/>
            <w:vAlign w:val="center"/>
            <w:hideMark/>
          </w:tcPr>
          <w:p w14:paraId="36B5DD17"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9</w:t>
            </w:r>
          </w:p>
        </w:tc>
        <w:tc>
          <w:tcPr>
            <w:tcW w:w="0" w:type="auto"/>
            <w:tcBorders>
              <w:bottom w:val="single" w:sz="8" w:space="0" w:color="auto"/>
            </w:tcBorders>
            <w:noWrap/>
            <w:vAlign w:val="center"/>
            <w:hideMark/>
          </w:tcPr>
          <w:p w14:paraId="79EF9292" w14:textId="77777777" w:rsidR="002A2044" w:rsidRPr="00F07DEB" w:rsidRDefault="002A2044" w:rsidP="00F07DEB">
            <w:pPr>
              <w:spacing w:after="0"/>
              <w:rPr>
                <w:rFonts w:ascii="Times New Roman" w:hAnsi="Times New Roman" w:cs="Times New Roman"/>
                <w:sz w:val="20"/>
                <w:szCs w:val="20"/>
              </w:rPr>
            </w:pPr>
            <w:r w:rsidRPr="00F07DEB">
              <w:rPr>
                <w:rFonts w:ascii="Times New Roman" w:hAnsi="Times New Roman" w:cs="Times New Roman"/>
                <w:sz w:val="20"/>
                <w:szCs w:val="20"/>
              </w:rPr>
              <w:t>Physiological Maturity</w:t>
            </w:r>
          </w:p>
        </w:tc>
      </w:tr>
    </w:tbl>
    <w:p w14:paraId="4C800F65" w14:textId="7407FC35" w:rsidR="000A1CAD" w:rsidRPr="00F07DEB" w:rsidRDefault="00A13B3D" w:rsidP="00BB13B4">
      <w:pPr>
        <w:rPr>
          <w:rFonts w:ascii="Times New Roman" w:hAnsi="Times New Roman" w:cs="Times New Roman"/>
          <w:sz w:val="24"/>
          <w:szCs w:val="24"/>
        </w:rPr>
      </w:pPr>
      <w:r w:rsidRPr="00F07DEB">
        <w:rPr>
          <w:rFonts w:ascii="Times New Roman" w:hAnsi="Times New Roman" w:cs="Times New Roman"/>
          <w:sz w:val="24"/>
          <w:szCs w:val="24"/>
        </w:rPr>
        <w:br w:type="textWrapping" w:clear="all"/>
      </w:r>
      <w:r w:rsidR="000A1CAD" w:rsidRPr="00F07DEB">
        <w:rPr>
          <w:rFonts w:ascii="Times New Roman" w:hAnsi="Times New Roman" w:cs="Times New Roman"/>
          <w:sz w:val="24"/>
          <w:szCs w:val="24"/>
        </w:rPr>
        <w:t xml:space="preserve"> </w:t>
      </w:r>
    </w:p>
    <w:p w14:paraId="40089116" w14:textId="63D7DB2A" w:rsidR="00564DBB" w:rsidRPr="00F07DEB" w:rsidRDefault="00564DBB" w:rsidP="006541D2">
      <w:pPr>
        <w:spacing w:line="480" w:lineRule="auto"/>
        <w:ind w:firstLine="720"/>
        <w:rPr>
          <w:rFonts w:ascii="Times New Roman" w:hAnsi="Times New Roman" w:cs="Times New Roman"/>
          <w:sz w:val="24"/>
          <w:szCs w:val="24"/>
        </w:rPr>
      </w:pPr>
      <w:proofErr w:type="spellStart"/>
      <w:r w:rsidRPr="00F07DEB">
        <w:rPr>
          <w:rFonts w:ascii="Times New Roman" w:hAnsi="Times New Roman" w:cs="Times New Roman"/>
          <w:i/>
          <w:sz w:val="24"/>
          <w:szCs w:val="24"/>
        </w:rPr>
        <w:t>Sorghastrum</w:t>
      </w:r>
      <w:proofErr w:type="spellEnd"/>
      <w:r w:rsidRPr="00F07DEB">
        <w:rPr>
          <w:rFonts w:ascii="Times New Roman" w:hAnsi="Times New Roman" w:cs="Times New Roman"/>
          <w:i/>
          <w:sz w:val="24"/>
          <w:szCs w:val="24"/>
        </w:rPr>
        <w:t xml:space="preserve"> </w:t>
      </w:r>
      <w:proofErr w:type="spellStart"/>
      <w:r w:rsidRPr="00F07DEB">
        <w:rPr>
          <w:rFonts w:ascii="Times New Roman" w:hAnsi="Times New Roman" w:cs="Times New Roman"/>
          <w:i/>
          <w:sz w:val="24"/>
          <w:szCs w:val="24"/>
        </w:rPr>
        <w:t>nutans</w:t>
      </w:r>
      <w:proofErr w:type="spellEnd"/>
      <w:r w:rsidRPr="00F07DEB">
        <w:rPr>
          <w:rFonts w:ascii="Times New Roman" w:hAnsi="Times New Roman" w:cs="Times New Roman"/>
          <w:sz w:val="24"/>
          <w:szCs w:val="24"/>
        </w:rPr>
        <w:t xml:space="preserve"> and </w:t>
      </w:r>
      <w:proofErr w:type="spellStart"/>
      <w:r w:rsidRPr="00F07DEB">
        <w:rPr>
          <w:rFonts w:ascii="Times New Roman" w:hAnsi="Times New Roman" w:cs="Times New Roman"/>
          <w:i/>
          <w:sz w:val="24"/>
          <w:szCs w:val="24"/>
        </w:rPr>
        <w:t>Cynodon</w:t>
      </w:r>
      <w:proofErr w:type="spellEnd"/>
      <w:r w:rsidRPr="00F07DEB">
        <w:rPr>
          <w:rFonts w:ascii="Times New Roman" w:hAnsi="Times New Roman" w:cs="Times New Roman"/>
          <w:i/>
          <w:sz w:val="24"/>
          <w:szCs w:val="24"/>
        </w:rPr>
        <w:t xml:space="preserve"> </w:t>
      </w:r>
      <w:proofErr w:type="spellStart"/>
      <w:r w:rsidRPr="00F07DEB">
        <w:rPr>
          <w:rFonts w:ascii="Times New Roman" w:hAnsi="Times New Roman" w:cs="Times New Roman"/>
          <w:i/>
          <w:sz w:val="24"/>
          <w:szCs w:val="24"/>
        </w:rPr>
        <w:t>dactylon</w:t>
      </w:r>
      <w:proofErr w:type="spellEnd"/>
      <w:r w:rsidRPr="00F07DEB">
        <w:rPr>
          <w:rFonts w:ascii="Times New Roman" w:hAnsi="Times New Roman" w:cs="Times New Roman"/>
          <w:i/>
          <w:sz w:val="24"/>
          <w:szCs w:val="24"/>
        </w:rPr>
        <w:t xml:space="preserve">, </w:t>
      </w:r>
      <w:r w:rsidRPr="00F07DEB">
        <w:rPr>
          <w:rFonts w:ascii="Times New Roman" w:hAnsi="Times New Roman" w:cs="Times New Roman"/>
          <w:sz w:val="24"/>
          <w:szCs w:val="24"/>
        </w:rPr>
        <w:t xml:space="preserve">or </w:t>
      </w:r>
      <w:proofErr w:type="spellStart"/>
      <w:r w:rsidRPr="00F07DEB">
        <w:rPr>
          <w:rFonts w:ascii="Times New Roman" w:hAnsi="Times New Roman" w:cs="Times New Roman"/>
          <w:sz w:val="24"/>
          <w:szCs w:val="24"/>
        </w:rPr>
        <w:t>Indiangrass</w:t>
      </w:r>
      <w:proofErr w:type="spellEnd"/>
      <w:r w:rsidRPr="00F07DEB">
        <w:rPr>
          <w:rFonts w:ascii="Times New Roman" w:hAnsi="Times New Roman" w:cs="Times New Roman"/>
          <w:sz w:val="24"/>
          <w:szCs w:val="24"/>
        </w:rPr>
        <w:t xml:space="preserve"> and Bermuda grass, are warm-season perennial grasses. </w:t>
      </w:r>
      <w:proofErr w:type="spellStart"/>
      <w:r w:rsidRPr="00F07DEB">
        <w:rPr>
          <w:rFonts w:ascii="Times New Roman" w:hAnsi="Times New Roman" w:cs="Times New Roman"/>
          <w:sz w:val="24"/>
          <w:szCs w:val="24"/>
        </w:rPr>
        <w:t>Indiangrass</w:t>
      </w:r>
      <w:proofErr w:type="spellEnd"/>
      <w:r w:rsidRPr="00F07DEB">
        <w:rPr>
          <w:rFonts w:ascii="Times New Roman" w:hAnsi="Times New Roman" w:cs="Times New Roman"/>
          <w:sz w:val="24"/>
          <w:szCs w:val="24"/>
        </w:rPr>
        <w:t xml:space="preserve"> is native to the North American prairies, but its extent is not limited to the prairie</w:t>
      </w:r>
      <w:r w:rsidR="00FB777F" w:rsidRPr="00F07DEB">
        <w:rPr>
          <w:rFonts w:ascii="Times New Roman" w:hAnsi="Times New Roman" w:cs="Times New Roman"/>
          <w:sz w:val="24"/>
          <w:szCs w:val="24"/>
        </w:rPr>
        <w:t xml:space="preserve"> </w:t>
      </w:r>
      <w:r w:rsidR="00FB777F" w:rsidRPr="00F07DEB">
        <w:rPr>
          <w:rFonts w:ascii="Times New Roman" w:hAnsi="Times New Roman" w:cs="Times New Roman"/>
          <w:sz w:val="24"/>
          <w:szCs w:val="24"/>
        </w:rPr>
        <w:fldChar w:fldCharType="begin"/>
      </w:r>
      <w:r w:rsidR="00FB777F" w:rsidRPr="00F07DEB">
        <w:rPr>
          <w:rFonts w:ascii="Times New Roman" w:hAnsi="Times New Roman" w:cs="Times New Roman"/>
          <w:sz w:val="24"/>
          <w:szCs w:val="24"/>
        </w:rPr>
        <w:instrText xml:space="preserve"> ADDIN ZOTERO_ITEM CSL_CITATION {"citationID":"482m9kzO","properties":{"formattedCitation":"(Houseal et al., 2007)","plainCitation":"(Houseal et al., 2007)","noteIndex":0},"citationItems":[{"id":753,"uris":["http://zotero.org/users/5446453/items/7A89MNNI"],"uri":["http://zotero.org/users/5446453/items/7A89MNNI"],"itemData":{"id":753,"type":"book","event-place":"Cedar Falls, IA","language":"en","number-of-pages":"123","publisher":"University of Northern Iowa","publisher-place":"Cedar Falls, IA","source":"Zotero","title":"Tallgrass Prairie Center’s Native Seed Production Manual","author":[{"family":"Houseal","given":"Greg A"},{"family":"Kaiser","given":"Jerry"},{"family":"Wuebker","given":"Eileen"},{"family":"Butler","given":"Brent"}],"issued":{"date-parts":[["2007"]]}}}],"schema":"https://github.com/citation-style-language/schema/raw/master/csl-citation.json"} </w:instrText>
      </w:r>
      <w:r w:rsidR="00FB777F"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(Houseal et al., 2007)</w:t>
      </w:r>
      <w:r w:rsidR="00FB777F" w:rsidRPr="00F07DEB">
        <w:rPr>
          <w:rFonts w:ascii="Times New Roman" w:hAnsi="Times New Roman" w:cs="Times New Roman"/>
          <w:sz w:val="24"/>
          <w:szCs w:val="24"/>
        </w:rPr>
        <w:fldChar w:fldCharType="end"/>
      </w:r>
      <w:r w:rsidRPr="00F07DEB">
        <w:rPr>
          <w:rFonts w:ascii="Times New Roman" w:hAnsi="Times New Roman" w:cs="Times New Roman"/>
          <w:sz w:val="24"/>
          <w:szCs w:val="24"/>
        </w:rPr>
        <w:t>.</w:t>
      </w:r>
      <w:r w:rsidR="00FB777F" w:rsidRPr="00F07DEB">
        <w:rPr>
          <w:rFonts w:ascii="Times New Roman" w:hAnsi="Times New Roman" w:cs="Times New Roman"/>
          <w:sz w:val="24"/>
          <w:szCs w:val="24"/>
        </w:rPr>
        <w:t xml:space="preserve"> The tall grass can serve as forage for livestock or habitat and food supply for birds, deer, and various insects </w:t>
      </w:r>
      <w:r w:rsidR="00FB777F" w:rsidRPr="00F07DEB">
        <w:rPr>
          <w:rFonts w:ascii="Times New Roman" w:hAnsi="Times New Roman" w:cs="Times New Roman"/>
          <w:sz w:val="24"/>
          <w:szCs w:val="24"/>
        </w:rPr>
        <w:fldChar w:fldCharType="begin"/>
      </w:r>
      <w:r w:rsidR="00FB777F" w:rsidRPr="00F07DEB">
        <w:rPr>
          <w:rFonts w:ascii="Times New Roman" w:hAnsi="Times New Roman" w:cs="Times New Roman"/>
          <w:sz w:val="24"/>
          <w:szCs w:val="24"/>
        </w:rPr>
        <w:instrText xml:space="preserve"> ADDIN ZOTERO_ITEM CSL_CITATION {"citationID":"utFdXZHr","properties":{"formattedCitation":"(Brakie, 2017)","plainCitation":"(Brakie, 2017)","noteIndex":0},"citationItems":[{"id":768,"uris":["http://zotero.org/users/5446453/items/8BCWB9DQ"],"uri":["http://zotero.org/users/5446453/items/8BCWB9DQ"],"itemData":{"id":768,"type":"report","event-place":"East Texas Plant Materials Center, Nacogdoches, TX 75964","page":"7","publisher":"USDA-Natural Resources Conservation Service","publisher-place":"East Texas Plant Materials Center, Nacogdoches, TX 75964","title":"Plant Guide for Indiangrass (Sorghastrum nutans)","author":[{"family":"Brakie","given":"Melinda"}],"issued":{"date-parts":[["2017"]]}}}],"schema":"https://github.com/citation-style-language/schema/raw/master/csl-citation.json"} </w:instrText>
      </w:r>
      <w:r w:rsidR="00FB777F"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(Brakie, 2017)</w:t>
      </w:r>
      <w:r w:rsidR="00FB777F" w:rsidRPr="00F07DEB">
        <w:rPr>
          <w:rFonts w:ascii="Times New Roman" w:hAnsi="Times New Roman" w:cs="Times New Roman"/>
          <w:sz w:val="24"/>
          <w:szCs w:val="24"/>
        </w:rPr>
        <w:fldChar w:fldCharType="end"/>
      </w:r>
      <w:r w:rsidR="00FB777F" w:rsidRPr="00F07DEB">
        <w:rPr>
          <w:rFonts w:ascii="Times New Roman" w:hAnsi="Times New Roman" w:cs="Times New Roman"/>
          <w:sz w:val="24"/>
          <w:szCs w:val="24"/>
        </w:rPr>
        <w:t xml:space="preserve">. Bermuda grass is a tropical grass that proliferates through </w:t>
      </w:r>
      <w:r w:rsidR="00355EB3" w:rsidRPr="00F07DEB">
        <w:rPr>
          <w:rFonts w:ascii="Times New Roman" w:hAnsi="Times New Roman" w:cs="Times New Roman"/>
          <w:sz w:val="24"/>
          <w:szCs w:val="24"/>
        </w:rPr>
        <w:t>belowground</w:t>
      </w:r>
      <w:r w:rsidR="00FB777F" w:rsidRPr="00F07DEB">
        <w:rPr>
          <w:rFonts w:ascii="Times New Roman" w:hAnsi="Times New Roman" w:cs="Times New Roman"/>
          <w:sz w:val="24"/>
          <w:szCs w:val="24"/>
        </w:rPr>
        <w:t xml:space="preserve"> rhizomes, </w:t>
      </w:r>
      <w:r w:rsidR="00355EB3" w:rsidRPr="00F07DEB">
        <w:rPr>
          <w:rFonts w:ascii="Times New Roman" w:hAnsi="Times New Roman" w:cs="Times New Roman"/>
          <w:sz w:val="24"/>
          <w:szCs w:val="24"/>
        </w:rPr>
        <w:t>aboveground</w:t>
      </w:r>
      <w:r w:rsidR="00FB777F" w:rsidRPr="00F07DEB">
        <w:rPr>
          <w:rFonts w:ascii="Times New Roman" w:hAnsi="Times New Roman" w:cs="Times New Roman"/>
          <w:sz w:val="24"/>
          <w:szCs w:val="24"/>
        </w:rPr>
        <w:t xml:space="preserve"> </w:t>
      </w:r>
      <w:proofErr w:type="spellStart"/>
      <w:r w:rsidR="00FB777F" w:rsidRPr="00F07DEB">
        <w:rPr>
          <w:rFonts w:ascii="Times New Roman" w:hAnsi="Times New Roman" w:cs="Times New Roman"/>
          <w:sz w:val="24"/>
          <w:szCs w:val="24"/>
        </w:rPr>
        <w:t>stolons</w:t>
      </w:r>
      <w:proofErr w:type="spellEnd"/>
      <w:r w:rsidR="00FB777F" w:rsidRPr="00F07DEB">
        <w:rPr>
          <w:rFonts w:ascii="Times New Roman" w:hAnsi="Times New Roman" w:cs="Times New Roman"/>
          <w:sz w:val="24"/>
          <w:szCs w:val="24"/>
        </w:rPr>
        <w:t xml:space="preserve">, and airborne seeds </w:t>
      </w:r>
      <w:r w:rsidR="00FB777F" w:rsidRPr="00F07DEB">
        <w:rPr>
          <w:rFonts w:ascii="Times New Roman" w:hAnsi="Times New Roman" w:cs="Times New Roman"/>
          <w:sz w:val="24"/>
          <w:szCs w:val="24"/>
        </w:rPr>
        <w:fldChar w:fldCharType="begin"/>
      </w:r>
      <w:r w:rsidR="00FB777F" w:rsidRPr="00F07DEB">
        <w:rPr>
          <w:rFonts w:ascii="Times New Roman" w:hAnsi="Times New Roman" w:cs="Times New Roman"/>
          <w:sz w:val="24"/>
          <w:szCs w:val="24"/>
        </w:rPr>
        <w:instrText xml:space="preserve"> ADDIN ZOTERO_ITEM CSL_CITATION {"citationID":"3zoyIkEn","properties":{"formattedCitation":"(Vandevender, 2006)","plainCitation":"(Vandevender, 2006)","noteIndex":0},"citationItems":[{"id":767,"uris":["http://zotero.org/users/5446453/items/TBC82GGU"],"uri":["http://zotero.org/users/5446453/items/TBC82GGU"],"itemData":{"id":767,"type":"report","event-place":"Appalachian Plant Materials Center, Alderson, WV","page":"3","publisher":"USDA-Natural Resources Conservation Service","publisher-place":"Appalachian Plant Materials Center, Alderson, WV","title":"Plant guide for Bermudagrass (Cynodon dactylon L.)","author":[{"family":"Vandevender","given":"John"}],"issued":{"date-parts":[["2006"]]}}}],"schema":"https://github.com/citation-style-language/schema/raw/master/csl-citation.json"} </w:instrText>
      </w:r>
      <w:r w:rsidR="00FB777F"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(Vandevender, 2006)</w:t>
      </w:r>
      <w:r w:rsidR="00FB777F" w:rsidRPr="00F07DEB">
        <w:rPr>
          <w:rFonts w:ascii="Times New Roman" w:hAnsi="Times New Roman" w:cs="Times New Roman"/>
          <w:sz w:val="24"/>
          <w:szCs w:val="24"/>
        </w:rPr>
        <w:fldChar w:fldCharType="end"/>
      </w:r>
      <w:r w:rsidR="00FB777F" w:rsidRPr="00F07DEB">
        <w:rPr>
          <w:rFonts w:ascii="Times New Roman" w:hAnsi="Times New Roman" w:cs="Times New Roman"/>
          <w:sz w:val="24"/>
          <w:szCs w:val="24"/>
        </w:rPr>
        <w:t>. Bermuda grass can be used as forage for livestock and wildlife, turf grass for recreation and public spaces, and as an erosion control measure</w:t>
      </w:r>
      <w:r w:rsidR="006541D2" w:rsidRPr="00F07DEB">
        <w:rPr>
          <w:rFonts w:ascii="Times New Roman" w:hAnsi="Times New Roman" w:cs="Times New Roman"/>
          <w:sz w:val="24"/>
          <w:szCs w:val="24"/>
        </w:rPr>
        <w:t xml:space="preserve"> </w:t>
      </w:r>
      <w:r w:rsidR="006541D2" w:rsidRPr="00F07DEB">
        <w:rPr>
          <w:rFonts w:ascii="Times New Roman" w:hAnsi="Times New Roman" w:cs="Times New Roman"/>
          <w:sz w:val="24"/>
          <w:szCs w:val="24"/>
        </w:rPr>
        <w:fldChar w:fldCharType="begin"/>
      </w:r>
      <w:r w:rsidR="006541D2" w:rsidRPr="00F07DEB">
        <w:rPr>
          <w:rFonts w:ascii="Times New Roman" w:hAnsi="Times New Roman" w:cs="Times New Roman"/>
          <w:sz w:val="24"/>
          <w:szCs w:val="24"/>
        </w:rPr>
        <w:instrText xml:space="preserve"> ADDIN ZOTERO_ITEM CSL_CITATION {"citationID":"aO46ApPB","properties":{"formattedCitation":"(Vandevender, 2006)","plainCitation":"(Vandevender, 2006)","noteIndex":0},"citationItems":[{"id":767,"uris":["http://zotero.org/users/5446453/items/TBC82GGU"],"uri":["http://zotero.org/users/5446453/items/TBC82GGU"],"itemData":{"id":767,"type":"report","event-place":"Appalachian Plant Materials Center, Alderson, WV","page":"3","publisher":"USDA-Natural Resources Conservation Service","publisher-place":"Appalachian Plant Materials Center, Alderson, WV","title":"Plant guide for Bermudagrass (Cynodon dactylon L.)","author":[{"family":"Vandevender","given":"John"}],"issued":{"date-parts":[["2006"]]}}}],"schema":"https://github.com/citation-style-language/schema/raw/master/csl-citation.json"} </w:instrText>
      </w:r>
      <w:r w:rsidR="006541D2"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(Vandevender, 2006)</w:t>
      </w:r>
      <w:r w:rsidR="006541D2" w:rsidRPr="00F07DEB">
        <w:rPr>
          <w:rFonts w:ascii="Times New Roman" w:hAnsi="Times New Roman" w:cs="Times New Roman"/>
          <w:sz w:val="24"/>
          <w:szCs w:val="24"/>
        </w:rPr>
        <w:fldChar w:fldCharType="end"/>
      </w:r>
      <w:r w:rsidR="00FB777F" w:rsidRPr="00F07DEB">
        <w:rPr>
          <w:rFonts w:ascii="Times New Roman" w:hAnsi="Times New Roman" w:cs="Times New Roman"/>
          <w:sz w:val="24"/>
          <w:szCs w:val="24"/>
        </w:rPr>
        <w:t>.</w:t>
      </w:r>
    </w:p>
    <w:p w14:paraId="116846C3" w14:textId="4CB5AD82" w:rsidR="008E00E7" w:rsidRPr="00641A81" w:rsidRDefault="000C3519" w:rsidP="002E66BC">
      <w:pPr>
        <w:spacing w:line="480" w:lineRule="auto"/>
        <w:ind w:firstLine="720"/>
        <w:rPr>
          <w:rFonts w:ascii="Times New Roman" w:hAnsi="Times New Roman" w:cs="Times New Roman"/>
          <w:sz w:val="24"/>
          <w:szCs w:val="24"/>
        </w:rPr>
      </w:pPr>
      <w:r w:rsidRPr="00F07DEB">
        <w:rPr>
          <w:rFonts w:ascii="Times New Roman" w:hAnsi="Times New Roman" w:cs="Times New Roman"/>
          <w:noProof/>
          <w:sz w:val="24"/>
          <w:szCs w:val="24"/>
          <w:lang w:eastAsia="en-US"/>
        </w:rPr>
        <mc:AlternateContent>
          <mc:Choice Requires="wps">
            <w:drawing>
              <wp:anchor distT="0" distB="0" distL="114300" distR="114300" simplePos="0" relativeHeight="251663360" behindDoc="0" locked="0" layoutInCell="1" allowOverlap="1" wp14:anchorId="1C437152" wp14:editId="558AE730">
                <wp:simplePos x="0" y="0"/>
                <wp:positionH relativeFrom="column">
                  <wp:posOffset>5077806</wp:posOffset>
                </wp:positionH>
                <wp:positionV relativeFrom="paragraph">
                  <wp:posOffset>4703098</wp:posOffset>
                </wp:positionV>
                <wp:extent cx="914400" cy="374316"/>
                <wp:effectExtent l="0" t="0" r="0" b="6985"/>
                <wp:wrapNone/>
                <wp:docPr id="40" name="Text Box 40"/>
                <wp:cNvGraphicFramePr/>
                <a:graphic xmlns:a="http://schemas.openxmlformats.org/drawingml/2006/main">
                  <a:graphicData uri="http://schemas.microsoft.com/office/word/2010/wordprocessingShape">
                    <wps:wsp>
                      <wps:cNvSpPr txBox="1"/>
                      <wps:spPr>
                        <a:xfrm>
                          <a:off x="0" y="0"/>
                          <a:ext cx="914400" cy="37431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2E402" w14:textId="0264528A" w:rsidR="00757A39" w:rsidRPr="00355EB3" w:rsidRDefault="00757A39">
                            <w:pPr>
                              <w:rPr>
                                <w:rFonts w:ascii="Times New Roman" w:hAnsi="Times New Roman" w:cs="Times New Roman"/>
                                <w:sz w:val="24"/>
                                <w:szCs w:val="24"/>
                              </w:rPr>
                            </w:pPr>
                            <w:r w:rsidRPr="00355EB3">
                              <w:rPr>
                                <w:rFonts w:ascii="Times New Roman" w:hAnsi="Times New Roman" w:cs="Times New Roman"/>
                                <w:sz w:val="24"/>
                                <w:szCs w:val="24"/>
                              </w:rPr>
                              <w:t xml:space="preserve">Equation </w:t>
                            </w:r>
                            <w:r>
                              <w:rPr>
                                <w:rFonts w:ascii="Times New Roman" w:hAnsi="Times New Roman" w:cs="Times New Roman"/>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37152" id="Text Box 40" o:spid="_x0000_s1027" type="#_x0000_t202" style="position:absolute;left:0;text-align:left;margin-left:399.85pt;margin-top:370.3pt;width:1in;height:2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" fillcolor="white [3201]" stroked="f" strokeweight=".5pt">
                <v:textbox>
                  <w:txbxContent>
                    <w:p w14:paraId="29B2E402" w14:textId="0264528A" w:rsidR="00757A39" w:rsidRPr="00355EB3" w:rsidRDefault="00757A39">
                      <w:pPr>
                        <w:rPr>
                          <w:rFonts w:ascii="Times New Roman" w:hAnsi="Times New Roman" w:cs="Times New Roman"/>
                          <w:sz w:val="24"/>
                          <w:szCs w:val="24"/>
                        </w:rPr>
                      </w:pPr>
                      <w:r w:rsidRPr="00355EB3">
                        <w:rPr>
                          <w:rFonts w:ascii="Times New Roman" w:hAnsi="Times New Roman" w:cs="Times New Roman"/>
                          <w:sz w:val="24"/>
                          <w:szCs w:val="24"/>
                        </w:rPr>
                        <w:t xml:space="preserve">Equation </w:t>
                      </w:r>
                      <w:r>
                        <w:rPr>
                          <w:rFonts w:ascii="Times New Roman" w:hAnsi="Times New Roman" w:cs="Times New Roman"/>
                          <w:sz w:val="24"/>
                          <w:szCs w:val="24"/>
                        </w:rPr>
                        <w:t>2</w:t>
                      </w:r>
                    </w:p>
                  </w:txbxContent>
                </v:textbox>
              </v:shape>
            </w:pict>
          </mc:Fallback>
        </mc:AlternateContent>
      </w:r>
      <w:r w:rsidR="008E00E7" w:rsidRPr="00F07DEB">
        <w:rPr>
          <w:rFonts w:ascii="Times New Roman" w:hAnsi="Times New Roman" w:cs="Times New Roman"/>
          <w:sz w:val="24"/>
          <w:szCs w:val="24"/>
        </w:rPr>
        <w:t xml:space="preserve">Because plant growth rates are heavily influenced by air temperature, tracking daily temperature fluctuations throughout the growth cycle provides an estimate of growth stage duration and time to maturity </w:t>
      </w:r>
      <w:r w:rsidR="008E00E7" w:rsidRPr="00F07DEB">
        <w:rPr>
          <w:rFonts w:ascii="Times New Roman" w:hAnsi="Times New Roman" w:cs="Times New Roman"/>
          <w:sz w:val="24"/>
          <w:szCs w:val="24"/>
        </w:rPr>
        <w:fldChar w:fldCharType="begin"/>
      </w:r>
      <w:r w:rsidR="008E00E7" w:rsidRPr="00F07DEB">
        <w:rPr>
          <w:rFonts w:ascii="Times New Roman" w:hAnsi="Times New Roman" w:cs="Times New Roman"/>
          <w:sz w:val="24"/>
          <w:szCs w:val="24"/>
        </w:rPr>
        <w:instrText xml:space="preserve"> ADDIN ZOTERO_ITEM CSL_CITATION {"citationID":"qbukBPCJ","properties":{"formattedCitation":"(Gerik et al., 2003)","plainCitation":"(Gerik et al., 2003)","noteIndex":0},"citationItems":[{"id":782,"uris":["http://zotero.org/users/5446453/items/WPMXLKJH"],"uri":["http://zotero.org/users/5446453/items/WPMXLKJH"],"itemData":{"id":782,"type":"report","language":"en","number":"B-6137 7-03","page":"8","publisher":"Texas A&amp;M University","source":"Zotero","title":"Sorghum Growth and Development","author":[{"family":"Gerik","given":"Thomas"},{"family":"Bean","given":"Brent"},{"family":"Vanderlip","given":"Richard"}],"issued":{"date-parts":[["2003"]]}}}],"schema":"https://github.com/citation-style-language/schema/raw/master/csl-citation.json"} </w:instrText>
      </w:r>
      <w:r w:rsidR="008E00E7"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(Gerik et al., 2003)</w:t>
      </w:r>
      <w:r w:rsidR="008E00E7" w:rsidRPr="00F07DEB">
        <w:rPr>
          <w:rFonts w:ascii="Times New Roman" w:hAnsi="Times New Roman" w:cs="Times New Roman"/>
          <w:sz w:val="24"/>
          <w:szCs w:val="24"/>
        </w:rPr>
        <w:fldChar w:fldCharType="end"/>
      </w:r>
      <w:r w:rsidR="008E00E7" w:rsidRPr="00F07DEB">
        <w:rPr>
          <w:rFonts w:ascii="Times New Roman" w:hAnsi="Times New Roman" w:cs="Times New Roman"/>
          <w:sz w:val="24"/>
          <w:szCs w:val="24"/>
        </w:rPr>
        <w:t xml:space="preserve">. Growing degree units (GDUs), which can be </w:t>
      </w:r>
      <w:r w:rsidR="008E00E7" w:rsidRPr="00F07DEB">
        <w:rPr>
          <w:rFonts w:ascii="Times New Roman" w:hAnsi="Times New Roman" w:cs="Times New Roman"/>
          <w:sz w:val="24"/>
          <w:szCs w:val="24"/>
        </w:rPr>
        <w:lastRenderedPageBreak/>
        <w:t xml:space="preserve">calculated from </w:t>
      </w:r>
      <w:r w:rsidR="006811C1" w:rsidRPr="00F07DEB">
        <w:rPr>
          <w:rFonts w:ascii="Times New Roman" w:hAnsi="Times New Roman" w:cs="Times New Roman"/>
          <w:sz w:val="24"/>
          <w:szCs w:val="24"/>
        </w:rPr>
        <w:t>E</w:t>
      </w:r>
      <w:r w:rsidR="00355EB3" w:rsidRPr="00F07DEB">
        <w:rPr>
          <w:rFonts w:ascii="Times New Roman" w:hAnsi="Times New Roman" w:cs="Times New Roman"/>
          <w:sz w:val="24"/>
          <w:szCs w:val="24"/>
        </w:rPr>
        <w:t xml:space="preserve">quation </w:t>
      </w:r>
      <w:r w:rsidR="006811C1" w:rsidRPr="00F07DEB">
        <w:rPr>
          <w:rFonts w:ascii="Times New Roman" w:hAnsi="Times New Roman" w:cs="Times New Roman"/>
          <w:sz w:val="24"/>
          <w:szCs w:val="24"/>
        </w:rPr>
        <w:t>2</w:t>
      </w:r>
      <w:r w:rsidR="008E00E7" w:rsidRPr="00F07DEB">
        <w:rPr>
          <w:rFonts w:ascii="Times New Roman" w:hAnsi="Times New Roman" w:cs="Times New Roman"/>
          <w:sz w:val="24"/>
          <w:szCs w:val="24"/>
        </w:rPr>
        <w:t xml:space="preserve">, account for the influences of planting date and spatial and temporal weather variability that are often neglected in calendar day approximations of the growing season </w:t>
      </w:r>
      <w:r w:rsidR="008E00E7" w:rsidRPr="00F07DEB">
        <w:rPr>
          <w:rFonts w:ascii="Times New Roman" w:hAnsi="Times New Roman" w:cs="Times New Roman"/>
          <w:sz w:val="24"/>
          <w:szCs w:val="24"/>
        </w:rPr>
        <w:fldChar w:fldCharType="begin"/>
      </w:r>
      <w:r w:rsidR="008E00E7" w:rsidRPr="00F07DEB">
        <w:rPr>
          <w:rFonts w:ascii="Times New Roman" w:hAnsi="Times New Roman" w:cs="Times New Roman"/>
          <w:sz w:val="24"/>
          <w:szCs w:val="24"/>
        </w:rPr>
        <w:instrText xml:space="preserve"> ADDIN ZOTERO_ITEM CSL_CITATION {"citationID":"KNqHm0uM","properties":{"formattedCitation":"(Duncan et al., 2007; Gerik et al., 2003)","plainCitation":"(Duncan et al., 2007; Gerik et al., 2003)","noteIndex":0},"citationItems":[{"id":779,"uris":["http://zotero.org/users/5446453/items/R6RQRMQ4"],"uri":["http://zotero.org/users/5446453/items/R6RQRMQ4"],"itemData":{"id":779,"type":"article","publisher":"Kansas State University","title":"Corn Production Handbook","URL":"https://bookstore.ksre.ksu.edu/pubs/c560.pdf","author":[{"family":"Duncan","given":"Stewart"},{"family":"Fjell","given":"Dale"},{"family":"Vanderlip","given":"Richard"}],"issued":{"date-parts":[["2007",9]]}}},{"id":782,"uris":["http://zotero.org/users/5446453/items/WPMXLKJH"],"uri":["http://zotero.org/users/5446453/items/WPMXLKJH"],"itemData":{"id":782,"type":"report","language":"en","number":"B-6137 7-03","page":"8","publisher":"Texas A&amp;M University","source":"Zotero","title":"Sorghum Growth and Development","author":[{"family":"Gerik","given":"Thomas"},{"family":"Bean","given":"Brent"},{"family":"Vanderlip","given":"Richard"}],"issued":{"date-parts":[["2003"]]}}}],"schema":"https://github.com/citation-style-language/schema/raw/master/csl-citation.json"} </w:instrText>
      </w:r>
      <w:r w:rsidR="008E00E7"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(Duncan et al., 2007; Gerik et al., 2003)</w:t>
      </w:r>
      <w:r w:rsidR="008E00E7" w:rsidRPr="00F07DEB">
        <w:rPr>
          <w:rFonts w:ascii="Times New Roman" w:hAnsi="Times New Roman" w:cs="Times New Roman"/>
          <w:sz w:val="24"/>
          <w:szCs w:val="24"/>
        </w:rPr>
        <w:fldChar w:fldCharType="end"/>
      </w:r>
      <w:r w:rsidR="008E00E7" w:rsidRPr="00F07DEB">
        <w:rPr>
          <w:rFonts w:ascii="Times New Roman" w:hAnsi="Times New Roman" w:cs="Times New Roman"/>
          <w:sz w:val="24"/>
          <w:szCs w:val="24"/>
        </w:rPr>
        <w:t>. GDU</w:t>
      </w:r>
      <w:r w:rsidR="00411344" w:rsidRPr="00F07DEB">
        <w:rPr>
          <w:rFonts w:ascii="Times New Roman" w:hAnsi="Times New Roman" w:cs="Times New Roman"/>
          <w:sz w:val="24"/>
          <w:szCs w:val="24"/>
        </w:rPr>
        <w:t>s</w:t>
      </w:r>
      <w:r w:rsidR="008E00E7" w:rsidRPr="00F07DEB">
        <w:rPr>
          <w:rFonts w:ascii="Times New Roman" w:hAnsi="Times New Roman" w:cs="Times New Roman"/>
          <w:sz w:val="24"/>
          <w:szCs w:val="24"/>
        </w:rPr>
        <w:t xml:space="preserve"> are calculated for each day after a crop is planted; daily maximum air temperatures above 30 ℃ are reported as 30 ℃ and daily minimum air temperatures below 10 ℃ are reported as 10 ℃ </w:t>
      </w:r>
      <w:r w:rsidR="008E00E7" w:rsidRPr="00F07DEB">
        <w:rPr>
          <w:rFonts w:ascii="Times New Roman" w:hAnsi="Times New Roman" w:cs="Times New Roman"/>
          <w:sz w:val="24"/>
          <w:szCs w:val="24"/>
        </w:rPr>
        <w:fldChar w:fldCharType="begin"/>
      </w:r>
      <w:r w:rsidR="008E00E7" w:rsidRPr="00F07DEB">
        <w:rPr>
          <w:rFonts w:ascii="Times New Roman" w:hAnsi="Times New Roman" w:cs="Times New Roman"/>
          <w:sz w:val="24"/>
          <w:szCs w:val="24"/>
        </w:rPr>
        <w:instrText xml:space="preserve"> ADDIN ZOTERO_ITEM CSL_CITATION {"citationID":"hBIR4xtq","properties":{"formattedCitation":"(Duncan et al., 2007)","plainCitation":"(Duncan et al., 2007)","noteIndex":0},"citationItems":[{"id":779,"uris":["http://zotero.org/users/5446453/items/R6RQRMQ4"],"uri":["http://zotero.org/users/5446453/items/R6RQRMQ4"],"itemData":{"id":779,"type":"article","publisher":"Kansas State University","title":"Corn Production Handbook","URL":"https://bookstore.ksre.ksu.edu/pubs/c560.pdf","author":[{"family":"Duncan","given":"Stewart"},{"family":"Fjell","given":"Dale"},{"family":"Vanderlip","given":"Richard"}],"issued":{"date-parts":[["2007",9]]}}}],"schema":"https://github.com/citation-style-language/schema/raw/master/csl-citation.json"} </w:instrText>
      </w:r>
      <w:r w:rsidR="008E00E7"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(Duncan et al., 2007)</w:t>
      </w:r>
      <w:r w:rsidR="008E00E7" w:rsidRPr="00F07DEB">
        <w:rPr>
          <w:rFonts w:ascii="Times New Roman" w:hAnsi="Times New Roman" w:cs="Times New Roman"/>
          <w:sz w:val="24"/>
          <w:szCs w:val="24"/>
        </w:rPr>
        <w:fldChar w:fldCharType="end"/>
      </w:r>
      <w:r w:rsidR="008E00E7" w:rsidRPr="00F07DEB">
        <w:rPr>
          <w:rFonts w:ascii="Times New Roman" w:hAnsi="Times New Roman" w:cs="Times New Roman"/>
          <w:sz w:val="24"/>
          <w:szCs w:val="24"/>
        </w:rPr>
        <w:t xml:space="preserve">. Some sources suggest reporting exact maximum daily air temperatures until temperatures exceed 37.8 ℃, but plant roots struggle to uptake sufficient water for growth above 30 ℃ and might not benefit from temperature increases above the 30 ℃ threshold </w:t>
      </w:r>
      <w:r w:rsidR="008E00E7" w:rsidRPr="00F07DEB">
        <w:rPr>
          <w:rFonts w:ascii="Times New Roman" w:hAnsi="Times New Roman" w:cs="Times New Roman"/>
          <w:sz w:val="24"/>
          <w:szCs w:val="24"/>
        </w:rPr>
        <w:fldChar w:fldCharType="begin"/>
      </w:r>
      <w:r w:rsidR="008E00E7" w:rsidRPr="00F07DEB">
        <w:rPr>
          <w:rFonts w:ascii="Times New Roman" w:hAnsi="Times New Roman" w:cs="Times New Roman"/>
          <w:sz w:val="24"/>
          <w:szCs w:val="24"/>
        </w:rPr>
        <w:instrText xml:space="preserve"> ADDIN ZOTERO_ITEM CSL_CITATION {"citationID":"xqGbgWPB","properties":{"formattedCitation":"(Duncan et al., 2007; Gerik et al., 2003)","plainCitation":"(Duncan et al., 2007; Gerik et al., 2003)","noteIndex":0},"citationItems":[{"id":779,"uris":["http://zotero.org/users/5446453/items/R6RQRMQ4"],"uri":["http://zotero.org/users/5446453/items/R6RQRMQ4"],"itemData":{"id":779,"type":"article","publisher":"Kansas State University","title":"Corn Production Handbook","URL":"https://bookstore.ksre.ksu.edu/pubs/c560.pdf","author":[{"family":"Duncan","given":"Stewart"},{"family":"Fjell","given":"Dale"},{"family":"Vanderlip","given":"Richard"}],"issued":{"date-parts":[["2007",9]]}}},{"id":782,"uris":["http://zotero.org/users/5446453/items/WPMXLKJH"],"uri":["http://zotero.org/users/5446453/items/WPMXLKJH"],"itemData":{"id":782,"type":"report","language":"en","number":"B-6137 7-03","page":"8","publisher":"Texas A&amp;M University","source":"Zotero","title":"Sorghum Growth and Development","author":[{"family":"Gerik","given":"Thomas"},{"family":"Bean","given":"Brent"},{"family":"Vanderlip","given":"Richard"}],"issued":{"date-parts":[["2003"]]}}}],"schema":"https://github.com/citation-style-language/schema/raw/master/csl-citation.json"} </w:instrText>
      </w:r>
      <w:r w:rsidR="008E00E7"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(Duncan et al., 2007; Gerik et al., 2003)</w:t>
      </w:r>
      <w:r w:rsidR="008E00E7" w:rsidRPr="00F07DEB">
        <w:rPr>
          <w:rFonts w:ascii="Times New Roman" w:hAnsi="Times New Roman" w:cs="Times New Roman"/>
          <w:sz w:val="24"/>
          <w:szCs w:val="24"/>
        </w:rPr>
        <w:fldChar w:fldCharType="end"/>
      </w:r>
      <w:r w:rsidR="008E00E7" w:rsidRPr="00F07DEB">
        <w:rPr>
          <w:rFonts w:ascii="Times New Roman" w:hAnsi="Times New Roman" w:cs="Times New Roman"/>
          <w:sz w:val="24"/>
          <w:szCs w:val="24"/>
        </w:rPr>
        <w:t>.</w:t>
      </w:r>
      <w:r w:rsidR="0080045C" w:rsidRPr="00F07DEB">
        <w:rPr>
          <w:rFonts w:ascii="Times New Roman" w:hAnsi="Times New Roman" w:cs="Times New Roman"/>
          <w:sz w:val="24"/>
          <w:szCs w:val="24"/>
        </w:rPr>
        <w:t xml:space="preserve"> </w:t>
      </w:r>
      <w:r w:rsidR="00411344" w:rsidRPr="00F07DEB">
        <w:rPr>
          <w:rFonts w:ascii="Times New Roman" w:hAnsi="Times New Roman" w:cs="Times New Roman"/>
          <w:sz w:val="24"/>
          <w:szCs w:val="24"/>
        </w:rPr>
        <w:t xml:space="preserve">The approximate cumulative GDUs for corn and sorghum to reach certain growth stages and for </w:t>
      </w:r>
      <w:r w:rsidR="00641A81" w:rsidRPr="00F07DEB">
        <w:rPr>
          <w:rFonts w:ascii="Times New Roman" w:hAnsi="Times New Roman" w:cs="Times New Roman"/>
          <w:noProof/>
          <w:sz w:val="24"/>
          <w:szCs w:val="24"/>
          <w:lang w:eastAsia="en-US"/>
        </w:rPr>
        <mc:AlternateContent>
          <mc:Choice Requires="wps">
            <w:drawing>
              <wp:anchor distT="0" distB="0" distL="114300" distR="114300" simplePos="0" relativeHeight="251673600" behindDoc="1" locked="0" layoutInCell="1" allowOverlap="1" wp14:anchorId="0767B8CE" wp14:editId="45A81F66">
                <wp:simplePos x="0" y="0"/>
                <wp:positionH relativeFrom="column">
                  <wp:posOffset>5073650</wp:posOffset>
                </wp:positionH>
                <wp:positionV relativeFrom="paragraph">
                  <wp:posOffset>3665673</wp:posOffset>
                </wp:positionV>
                <wp:extent cx="914400" cy="374015"/>
                <wp:effectExtent l="0" t="0" r="0" b="6985"/>
                <wp:wrapTight wrapText="bothSides">
                  <wp:wrapPolygon edited="0">
                    <wp:start x="0" y="0"/>
                    <wp:lineTo x="0" y="20903"/>
                    <wp:lineTo x="21150" y="20903"/>
                    <wp:lineTo x="21150" y="0"/>
                    <wp:lineTo x="0" y="0"/>
                  </wp:wrapPolygon>
                </wp:wrapTight>
                <wp:docPr id="49" name="Text Box 49"/>
                <wp:cNvGraphicFramePr/>
                <a:graphic xmlns:a="http://schemas.openxmlformats.org/drawingml/2006/main">
                  <a:graphicData uri="http://schemas.microsoft.com/office/word/2010/wordprocessingShape">
                    <wps:wsp>
                      <wps:cNvSpPr txBox="1"/>
                      <wps:spPr>
                        <a:xfrm>
                          <a:off x="0" y="0"/>
                          <a:ext cx="914400" cy="374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AD7E83" w14:textId="3EAA143C" w:rsidR="00757A39" w:rsidRPr="00355EB3" w:rsidRDefault="00757A39" w:rsidP="00252822">
                            <w:pPr>
                              <w:rPr>
                                <w:rFonts w:ascii="Times New Roman" w:hAnsi="Times New Roman" w:cs="Times New Roman"/>
                                <w:sz w:val="24"/>
                                <w:szCs w:val="24"/>
                              </w:rPr>
                            </w:pPr>
                            <w:r>
                              <w:rPr>
                                <w:rFonts w:ascii="Times New Roman" w:hAnsi="Times New Roman" w:cs="Times New Roman"/>
                                <w:sz w:val="24"/>
                                <w:szCs w:val="24"/>
                              </w:rPr>
                              <w:t>Equation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7B8CE" id="_x0000_t202" coordsize="21600,21600" o:spt="202" path="m,l,21600r21600,l21600,xe">
                <v:stroke joinstyle="miter"/>
                <v:path gradientshapeok="t" o:connecttype="rect"/>
              </v:shapetype>
              <v:shape id="Text Box 49" o:spid="_x0000_s1028" type="#_x0000_t202" style="position:absolute;left:0;text-align:left;margin-left:399.5pt;margin-top:288.65pt;width:1in;height:29.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" fillcolor="white [3201]" stroked="f" strokeweight=".5pt">
                <v:textbox>
                  <w:txbxContent>
                    <w:p w14:paraId="0BAD7E83" w14:textId="3EAA143C" w:rsidR="00757A39" w:rsidRPr="00355EB3" w:rsidRDefault="00757A39" w:rsidP="00252822">
                      <w:pPr>
                        <w:rPr>
                          <w:rFonts w:ascii="Times New Roman" w:hAnsi="Times New Roman" w:cs="Times New Roman"/>
                          <w:sz w:val="24"/>
                          <w:szCs w:val="24"/>
                        </w:rPr>
                      </w:pPr>
                      <w:r>
                        <w:rPr>
                          <w:rFonts w:ascii="Times New Roman" w:hAnsi="Times New Roman" w:cs="Times New Roman"/>
                          <w:sz w:val="24"/>
                          <w:szCs w:val="24"/>
                        </w:rPr>
                        <w:t>Equation 2</w:t>
                      </w:r>
                    </w:p>
                  </w:txbxContent>
                </v:textbox>
                <w10:wrap type="tight"/>
              </v:shape>
            </w:pict>
          </mc:Fallback>
        </mc:AlternateContent>
      </w:r>
      <w:r w:rsidR="00411344" w:rsidRPr="00F07DEB">
        <w:rPr>
          <w:rFonts w:ascii="Times New Roman" w:hAnsi="Times New Roman" w:cs="Times New Roman"/>
          <w:sz w:val="24"/>
          <w:szCs w:val="24"/>
        </w:rPr>
        <w:t>Bermuda grass to successfully establish</w:t>
      </w:r>
      <w:r w:rsidR="00641A81">
        <w:rPr>
          <w:rFonts w:ascii="Times New Roman" w:hAnsi="Times New Roman" w:cs="Times New Roman"/>
          <w:sz w:val="24"/>
          <w:szCs w:val="24"/>
        </w:rPr>
        <w:t xml:space="preserve"> after planting are provided in</w:t>
      </w:r>
      <w:r w:rsidR="00411344" w:rsidRPr="00641A81">
        <w:rPr>
          <w:rFonts w:ascii="Times New Roman" w:hAnsi="Times New Roman" w:cs="Times New Roman"/>
          <w:sz w:val="24"/>
          <w:szCs w:val="24"/>
        </w:rPr>
        <w:fldChar w:fldCharType="begin"/>
      </w:r>
      <w:r w:rsidR="00411344" w:rsidRPr="00641A81">
        <w:rPr>
          <w:rFonts w:ascii="Times New Roman" w:hAnsi="Times New Roman" w:cs="Times New Roman"/>
          <w:sz w:val="24"/>
          <w:szCs w:val="24"/>
        </w:rPr>
        <w:instrText xml:space="preserve"> REF _Ref55735792 \h  \* MERGEFORMAT </w:instrText>
      </w:r>
      <w:r w:rsidR="00411344" w:rsidRPr="00641A81">
        <w:rPr>
          <w:rFonts w:ascii="Times New Roman" w:hAnsi="Times New Roman" w:cs="Times New Roman"/>
          <w:sz w:val="24"/>
          <w:szCs w:val="24"/>
        </w:rPr>
      </w:r>
      <w:r w:rsidR="00411344" w:rsidRPr="00641A81">
        <w:rPr>
          <w:rFonts w:ascii="Times New Roman" w:hAnsi="Times New Roman" w:cs="Times New Roman"/>
          <w:sz w:val="24"/>
          <w:szCs w:val="24"/>
        </w:rPr>
        <w:fldChar w:fldCharType="separate"/>
      </w:r>
      <w:r w:rsidR="002E66BC">
        <w:rPr>
          <w:rFonts w:ascii="Times New Roman" w:hAnsi="Times New Roman" w:cs="Times New Roman"/>
          <w:sz w:val="24"/>
          <w:szCs w:val="24"/>
        </w:rPr>
        <w:t xml:space="preserve"> </w:t>
      </w:r>
      <w:r w:rsidR="00E179CA" w:rsidRPr="00E179CA">
        <w:rPr>
          <w:rFonts w:ascii="Times New Roman" w:hAnsi="Times New Roman" w:cs="Times New Roman"/>
          <w:noProof/>
          <w:sz w:val="24"/>
          <w:szCs w:val="24"/>
        </w:rPr>
        <w:t>Table 7</w:t>
      </w:r>
      <w:r w:rsidR="00411344" w:rsidRPr="00641A81">
        <w:rPr>
          <w:rFonts w:ascii="Times New Roman" w:hAnsi="Times New Roman" w:cs="Times New Roman"/>
          <w:sz w:val="24"/>
          <w:szCs w:val="24"/>
        </w:rPr>
        <w:fldChar w:fldCharType="end"/>
      </w:r>
      <w:r w:rsidR="00411344" w:rsidRPr="00641A81">
        <w:rPr>
          <w:rFonts w:ascii="Times New Roman" w:hAnsi="Times New Roman" w:cs="Times New Roman"/>
          <w:sz w:val="24"/>
          <w:szCs w:val="24"/>
        </w:rPr>
        <w:t>.</w:t>
      </w:r>
    </w:p>
    <w:p w14:paraId="6C86FB6C" w14:textId="530F103A" w:rsidR="008E00E7" w:rsidRPr="00F07DEB" w:rsidRDefault="008E00E7" w:rsidP="008E00E7">
      <w:pPr>
        <w:spacing w:line="480" w:lineRule="auto"/>
        <w:rPr>
          <w:rFonts w:ascii="Times New Roman" w:hAnsi="Times New Roman" w:cs="Times New Roman"/>
          <w:szCs w:val="24"/>
        </w:rPr>
      </w:pPr>
      <m:oMathPara>
        <m:oMathParaPr>
          <m:jc m:val="left"/>
        </m:oMathParaPr>
        <m:oMath>
          <m:r>
            <w:rPr>
              <w:rFonts w:ascii="Cambria Math" w:hAnsi="Cambria Math" w:cs="Times New Roman"/>
              <w:szCs w:val="24"/>
            </w:rPr>
            <m:t>GDU=</m:t>
          </m:r>
          <m:f>
            <m:fPr>
              <m:ctrlPr>
                <w:rPr>
                  <w:rFonts w:ascii="Cambria Math" w:hAnsi="Cambria Math" w:cs="Times New Roman"/>
                  <w:i/>
                  <w:szCs w:val="24"/>
                </w:rPr>
              </m:ctrlPr>
            </m:fPr>
            <m:num>
              <m:r>
                <w:rPr>
                  <w:rFonts w:ascii="Cambria Math" w:hAnsi="Cambria Math" w:cs="Times New Roman"/>
                  <w:szCs w:val="24"/>
                </w:rPr>
                <m:t>daily</m:t>
              </m:r>
              <m:func>
                <m:funcPr>
                  <m:ctrlPr>
                    <w:rPr>
                      <w:rFonts w:ascii="Cambria Math" w:hAnsi="Cambria Math" w:cs="Times New Roman"/>
                      <w:i/>
                      <w:szCs w:val="24"/>
                    </w:rPr>
                  </m:ctrlPr>
                </m:funcPr>
                <m:fName>
                  <m:r>
                    <m:rPr>
                      <m:sty m:val="p"/>
                    </m:rPr>
                    <w:rPr>
                      <w:rFonts w:ascii="Cambria Math" w:hAnsi="Cambria Math" w:cs="Times New Roman"/>
                      <w:szCs w:val="24"/>
                    </w:rPr>
                    <m:t>max</m:t>
                  </m:r>
                </m:fName>
                <m:e>
                  <m:r>
                    <w:rPr>
                      <w:rFonts w:ascii="Cambria Math" w:hAnsi="Cambria Math" w:cs="Times New Roman"/>
                      <w:szCs w:val="24"/>
                    </w:rPr>
                    <m:t>T+daily</m:t>
                  </m:r>
                  <m:func>
                    <m:funcPr>
                      <m:ctrlPr>
                        <w:rPr>
                          <w:rFonts w:ascii="Cambria Math" w:hAnsi="Cambria Math" w:cs="Times New Roman"/>
                          <w:i/>
                          <w:szCs w:val="24"/>
                        </w:rPr>
                      </m:ctrlPr>
                    </m:funcPr>
                    <m:fName>
                      <m:r>
                        <m:rPr>
                          <m:sty m:val="p"/>
                        </m:rPr>
                        <w:rPr>
                          <w:rFonts w:ascii="Cambria Math" w:hAnsi="Cambria Math" w:cs="Times New Roman"/>
                          <w:szCs w:val="24"/>
                        </w:rPr>
                        <m:t>min</m:t>
                      </m:r>
                    </m:fName>
                    <m:e>
                      <m:r>
                        <w:rPr>
                          <w:rFonts w:ascii="Cambria Math" w:hAnsi="Cambria Math" w:cs="Times New Roman"/>
                          <w:szCs w:val="24"/>
                        </w:rPr>
                        <m:t>T</m:t>
                      </m:r>
                    </m:e>
                  </m:func>
                </m:e>
              </m:func>
            </m:num>
            <m:den>
              <m:r>
                <w:rPr>
                  <w:rFonts w:ascii="Cambria Math" w:hAnsi="Cambria Math" w:cs="Times New Roman"/>
                  <w:szCs w:val="24"/>
                </w:rPr>
                <m:t>2</m:t>
              </m:r>
            </m:den>
          </m:f>
          <m:r>
            <w:rPr>
              <w:rFonts w:ascii="Cambria Math" w:hAnsi="Cambria Math" w:cs="Times New Roman"/>
              <w:szCs w:val="24"/>
            </w:rPr>
            <m:t>-10 ℃</m:t>
          </m:r>
        </m:oMath>
      </m:oMathPara>
    </w:p>
    <w:p w14:paraId="7B930857" w14:textId="389AC739" w:rsidR="000C3519" w:rsidRPr="00F07DEB" w:rsidRDefault="000C3519">
      <w:pPr>
        <w:rPr>
          <w:rFonts w:ascii="Times New Roman" w:hAnsi="Times New Roman" w:cs="Times New Roman"/>
          <w:b/>
          <w:sz w:val="20"/>
          <w:szCs w:val="20"/>
        </w:rPr>
      </w:pPr>
      <w:bookmarkStart w:id="19" w:name="_Ref55735792"/>
    </w:p>
    <w:p w14:paraId="6241AA54" w14:textId="6B6C8889" w:rsidR="00200678" w:rsidRPr="00F07DEB" w:rsidRDefault="00200678" w:rsidP="00204C13">
      <w:pPr>
        <w:pStyle w:val="Caption"/>
      </w:pPr>
      <w:bookmarkStart w:id="20" w:name="_Toc58975193"/>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7</w:t>
      </w:r>
      <w:r w:rsidR="00DE3B90" w:rsidRPr="00F07DEB">
        <w:rPr>
          <w:noProof/>
        </w:rPr>
        <w:fldChar w:fldCharType="end"/>
      </w:r>
      <w:bookmarkEnd w:id="19"/>
      <w:r w:rsidRPr="00F07DEB">
        <w:t xml:space="preserve">: Cumulative GDUs and associated growth stages for average grain corn and grain sorghum varieties </w:t>
      </w:r>
      <w:r w:rsidR="00411344" w:rsidRPr="00F07DEB">
        <w:t>in addition to</w:t>
      </w:r>
      <w:r w:rsidRPr="00F07DEB">
        <w:t xml:space="preserve"> accumulated GDUs for successful Bermuda grass establishment</w:t>
      </w:r>
      <w:r w:rsidR="00411344" w:rsidRPr="00F07DEB">
        <w:t xml:space="preserve">, adapted from </w:t>
      </w:r>
      <w:r w:rsidR="00411344" w:rsidRPr="00F07DEB">
        <w:fldChar w:fldCharType="begin"/>
      </w:r>
      <w:r w:rsidR="001A4467" w:rsidRPr="00F07DEB">
        <w:instrText xml:space="preserve"> ADDIN ZOTERO_ITEM CSL_CITATION {"citationID":"bJkH8E9a","properties":{"formattedCitation":"(Duncan et al., 2007; Gerik et al., 2003; Schiavon et al., 2012)","plainCitation":"(Duncan et al., 2007; Gerik et al., 2003; Schiavon et al., 2012)","noteIndex":0},"citationItems":[{"id":779,"uris":["http://zotero.org/users/5446453/items/R6RQRMQ4"],"uri":["http://zotero.org/users/5446453/items/R6RQRMQ4"],"itemData":{"id":779,"type":"article","publisher":"Kansas State University","title":"Corn Production Handbook","URL":"https://bookstore.ksre.ksu.edu/pubs/c560.pdf","author":[{"family":"Duncan","given":"Stewart"},{"family":"Fjell","given":"Dale"},{"family":"Vanderlip","given":"Richard"}],"issued":{"date-parts":[["2007",9]]}}},{"id":782,"uris":["http://zotero.org/users/5446453/items/WPMXLKJH"],"uri":["http://zotero.org/users/5446453/items/WPMXLKJH"],"itemData":{"id":782,"type":"report","language":"en","number":"B-6137 7-03","page":"8","publisher":"Texas A&amp;M University","source":"Zotero","title":"Sorghum Growth and Development","author":[{"family":"Gerik","given":"Thomas"},{"family":"Bean","given":"Brent"},{"family":"Vanderlip","given":"Richard"}],"issued":{"date-parts":[["2003"]]}}},{"id":789,"uris":["http://zotero.org/users/5446453/items/TJLLQT2E"],"uri":["http://zotero.org/users/5446453/items/TJLLQT2E"],"itemData":{"id":789,"type":"article-journal","abstract":"Two approaches, irrigation with impaired waters, and use of subsurface drip irrigation, have been identified as strategies to reduce the use of potable water for landscape irrigation. A study was conducted at New Mexico State University in Las Cruces in 2008 and 2009 to investigate the establishment of Princess 77 bermudagrass [Cynodon dactylon (L.)] and Sea Spray seashore paspalum [Paspalum vaginatum (Sw.)] seeded in March (dormant) or June (traditional). The grasses were irrigated at 98% reference evapotranspiration with saline [electrical conductivity (EC) = 2.3 dS m–1] or potable (EC = 0.6 dS m–1) water from either a sprinkler or a subsurfacedrip system. Establishment did not differ between the two grasses regardless of seeding date, irrigation type, or water quality. Generally, grasses that were seeded dormant reached 75% cover faster and exhibited greatest ground cover at the end of both growing seasons. When data were averaged over water qualities and seeding dates, sprinkler irrigation resulted in greater ground cover (90% in 2008 and 92% in 2009) than drip irrigation (58% in 2008 and 80% in 2009) at the end of both research periods. Highest EC levels at rootzone depths of 0 to 10 cm were observed in November 2009 on plots drip irrigated with saline water, averaging 4.4 dS m–1 compared to 2.3 dS m–1 on sprinkler irrigated plots. Our results indicate that when using subsurface-drip irrigation, early seeding is required to successfully establish seashore paspalum and bermudagrass from seed in one growing season.","container-title":"Agronomy Journal","DOI":"10.2134/agronj2011.0390","ISSN":"00021962","issue":"3","journalAbbreviation":"Agron. J.","language":"en","page":"706-714","source":"DOI.org (Crossref)","title":"Bermudagrass and Seashore Paspalum Establishment from Seed Using Differing Irrigation Methods and Water Qualities","volume":"104","author":[{"family":"Schiavon","given":"Marco"},{"family":"Leinauer","given":"Bernd"},{"family":"Serena","given":"Matteo"},{"family":"Sallenave","given":"Rossana"},{"family":"Maier","given":"Bernd"}],"issued":{"date-parts":[["2012",5]]}}}],"schema":"https://github.com/citation-style-language/schema/raw/master/csl-citation.json"} </w:instrText>
      </w:r>
      <w:r w:rsidR="00411344" w:rsidRPr="00F07DEB">
        <w:fldChar w:fldCharType="separate"/>
      </w:r>
      <w:r w:rsidR="00234033" w:rsidRPr="00234033">
        <w:t>(Duncan et al., 2007; Gerik et al., 2003; Schiavon et al., 2012)</w:t>
      </w:r>
      <w:bookmarkEnd w:id="20"/>
      <w:r w:rsidR="00411344" w:rsidRPr="00F07DEB">
        <w:fldChar w:fldCharType="end"/>
      </w:r>
    </w:p>
    <w:tbl>
      <w:tblPr>
        <w:tblW w:w="5000" w:type="pct"/>
        <w:tblLayout w:type="fixed"/>
        <w:tblLook w:val="04A0" w:firstRow="1" w:lastRow="0" w:firstColumn="1" w:lastColumn="0" w:noHBand="0" w:noVBand="1"/>
      </w:tblPr>
      <w:tblGrid>
        <w:gridCol w:w="1349"/>
        <w:gridCol w:w="1261"/>
        <w:gridCol w:w="270"/>
        <w:gridCol w:w="1440"/>
        <w:gridCol w:w="1260"/>
        <w:gridCol w:w="270"/>
        <w:gridCol w:w="2250"/>
        <w:gridCol w:w="1260"/>
      </w:tblGrid>
      <w:tr w:rsidR="002B64F8" w:rsidRPr="00F07DEB" w14:paraId="7B7CED95" w14:textId="77777777" w:rsidTr="000C3519">
        <w:trPr>
          <w:trHeight w:val="292"/>
        </w:trPr>
        <w:tc>
          <w:tcPr>
            <w:tcW w:w="1394" w:type="pct"/>
            <w:gridSpan w:val="2"/>
            <w:tcBorders>
              <w:top w:val="single" w:sz="8" w:space="0" w:color="auto"/>
              <w:left w:val="nil"/>
              <w:bottom w:val="single" w:sz="8" w:space="0" w:color="auto"/>
              <w:right w:val="nil"/>
            </w:tcBorders>
            <w:noWrap/>
            <w:vAlign w:val="center"/>
            <w:hideMark/>
          </w:tcPr>
          <w:p w14:paraId="545D5DC8" w14:textId="73D55341"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Corn (mid-season hybrid)</w:t>
            </w:r>
          </w:p>
        </w:tc>
        <w:tc>
          <w:tcPr>
            <w:tcW w:w="144" w:type="pct"/>
            <w:tcBorders>
              <w:top w:val="single" w:sz="8" w:space="0" w:color="auto"/>
              <w:left w:val="nil"/>
              <w:bottom w:val="nil"/>
              <w:right w:val="nil"/>
            </w:tcBorders>
            <w:vAlign w:val="center"/>
          </w:tcPr>
          <w:p w14:paraId="1BEAC20B" w14:textId="77777777" w:rsidR="002B64F8" w:rsidRPr="00F07DEB" w:rsidRDefault="002B64F8" w:rsidP="00F07DEB">
            <w:pPr>
              <w:spacing w:after="0"/>
              <w:rPr>
                <w:rFonts w:ascii="Times New Roman" w:hAnsi="Times New Roman" w:cs="Times New Roman"/>
                <w:sz w:val="20"/>
                <w:szCs w:val="20"/>
              </w:rPr>
            </w:pPr>
          </w:p>
        </w:tc>
        <w:tc>
          <w:tcPr>
            <w:tcW w:w="1442" w:type="pct"/>
            <w:gridSpan w:val="2"/>
            <w:tcBorders>
              <w:top w:val="single" w:sz="8" w:space="0" w:color="auto"/>
              <w:left w:val="nil"/>
              <w:bottom w:val="single" w:sz="8" w:space="0" w:color="auto"/>
              <w:right w:val="nil"/>
            </w:tcBorders>
            <w:noWrap/>
            <w:vAlign w:val="center"/>
            <w:hideMark/>
          </w:tcPr>
          <w:p w14:paraId="1CE396B4" w14:textId="19E25BDC"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Sorghum (short season hybrid)</w:t>
            </w:r>
          </w:p>
        </w:tc>
        <w:tc>
          <w:tcPr>
            <w:tcW w:w="144" w:type="pct"/>
            <w:tcBorders>
              <w:top w:val="single" w:sz="8" w:space="0" w:color="auto"/>
              <w:left w:val="nil"/>
              <w:bottom w:val="nil"/>
              <w:right w:val="nil"/>
            </w:tcBorders>
            <w:vAlign w:val="center"/>
          </w:tcPr>
          <w:p w14:paraId="0C8F897B" w14:textId="77777777" w:rsidR="002B64F8" w:rsidRPr="00F07DEB" w:rsidRDefault="002B64F8" w:rsidP="00F07DEB">
            <w:pPr>
              <w:spacing w:after="0"/>
              <w:rPr>
                <w:rFonts w:ascii="Times New Roman" w:hAnsi="Times New Roman" w:cs="Times New Roman"/>
                <w:sz w:val="20"/>
                <w:szCs w:val="20"/>
              </w:rPr>
            </w:pPr>
          </w:p>
        </w:tc>
        <w:tc>
          <w:tcPr>
            <w:tcW w:w="1875" w:type="pct"/>
            <w:gridSpan w:val="2"/>
            <w:tcBorders>
              <w:top w:val="single" w:sz="8" w:space="0" w:color="auto"/>
              <w:left w:val="nil"/>
              <w:bottom w:val="single" w:sz="8" w:space="0" w:color="auto"/>
              <w:right w:val="nil"/>
            </w:tcBorders>
            <w:noWrap/>
            <w:vAlign w:val="center"/>
            <w:hideMark/>
          </w:tcPr>
          <w:p w14:paraId="62193115" w14:textId="5116FB31"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Bermuda grass</w:t>
            </w:r>
          </w:p>
        </w:tc>
      </w:tr>
      <w:tr w:rsidR="002B64F8" w:rsidRPr="00F07DEB" w14:paraId="7FDAB982" w14:textId="77777777" w:rsidTr="000C3519">
        <w:trPr>
          <w:trHeight w:val="292"/>
        </w:trPr>
        <w:tc>
          <w:tcPr>
            <w:tcW w:w="721" w:type="pct"/>
            <w:tcBorders>
              <w:top w:val="single" w:sz="8" w:space="0" w:color="auto"/>
              <w:left w:val="nil"/>
              <w:bottom w:val="single" w:sz="8" w:space="0" w:color="auto"/>
              <w:right w:val="nil"/>
            </w:tcBorders>
            <w:noWrap/>
            <w:vAlign w:val="center"/>
            <w:hideMark/>
          </w:tcPr>
          <w:p w14:paraId="02B3701C"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Growth Stage</w:t>
            </w:r>
          </w:p>
        </w:tc>
        <w:tc>
          <w:tcPr>
            <w:tcW w:w="674" w:type="pct"/>
            <w:tcBorders>
              <w:top w:val="single" w:sz="8" w:space="0" w:color="auto"/>
              <w:left w:val="nil"/>
              <w:bottom w:val="single" w:sz="8" w:space="0" w:color="auto"/>
              <w:right w:val="nil"/>
            </w:tcBorders>
            <w:noWrap/>
            <w:vAlign w:val="center"/>
            <w:hideMark/>
          </w:tcPr>
          <w:p w14:paraId="38E082C4"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GDUs (℃)</w:t>
            </w:r>
          </w:p>
        </w:tc>
        <w:tc>
          <w:tcPr>
            <w:tcW w:w="144" w:type="pct"/>
            <w:tcBorders>
              <w:top w:val="nil"/>
              <w:left w:val="nil"/>
              <w:bottom w:val="single" w:sz="8" w:space="0" w:color="auto"/>
              <w:right w:val="nil"/>
            </w:tcBorders>
            <w:vAlign w:val="center"/>
          </w:tcPr>
          <w:p w14:paraId="0CE665D0" w14:textId="77777777" w:rsidR="002B64F8" w:rsidRPr="00F07DEB" w:rsidRDefault="002B64F8" w:rsidP="00F07DEB">
            <w:pPr>
              <w:spacing w:after="0"/>
              <w:rPr>
                <w:rFonts w:ascii="Times New Roman" w:hAnsi="Times New Roman" w:cs="Times New Roman"/>
                <w:sz w:val="20"/>
                <w:szCs w:val="20"/>
              </w:rPr>
            </w:pPr>
          </w:p>
        </w:tc>
        <w:tc>
          <w:tcPr>
            <w:tcW w:w="769" w:type="pct"/>
            <w:tcBorders>
              <w:top w:val="single" w:sz="8" w:space="0" w:color="auto"/>
              <w:left w:val="nil"/>
              <w:bottom w:val="single" w:sz="8" w:space="0" w:color="auto"/>
              <w:right w:val="nil"/>
            </w:tcBorders>
            <w:noWrap/>
            <w:vAlign w:val="center"/>
            <w:hideMark/>
          </w:tcPr>
          <w:p w14:paraId="18057392" w14:textId="1822DF8A"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Growth Stage</w:t>
            </w:r>
          </w:p>
        </w:tc>
        <w:tc>
          <w:tcPr>
            <w:tcW w:w="673" w:type="pct"/>
            <w:tcBorders>
              <w:top w:val="single" w:sz="8" w:space="0" w:color="auto"/>
              <w:left w:val="nil"/>
              <w:bottom w:val="single" w:sz="8" w:space="0" w:color="auto"/>
              <w:right w:val="nil"/>
            </w:tcBorders>
            <w:noWrap/>
            <w:vAlign w:val="center"/>
            <w:hideMark/>
          </w:tcPr>
          <w:p w14:paraId="242F74C5"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GDUs (℃)</w:t>
            </w:r>
          </w:p>
        </w:tc>
        <w:tc>
          <w:tcPr>
            <w:tcW w:w="144" w:type="pct"/>
            <w:tcBorders>
              <w:top w:val="nil"/>
              <w:left w:val="nil"/>
              <w:bottom w:val="single" w:sz="8" w:space="0" w:color="auto"/>
              <w:right w:val="nil"/>
            </w:tcBorders>
            <w:vAlign w:val="center"/>
          </w:tcPr>
          <w:p w14:paraId="1F6E4B45" w14:textId="77777777" w:rsidR="002B64F8" w:rsidRPr="00F07DEB" w:rsidRDefault="002B64F8" w:rsidP="00F07DEB">
            <w:pPr>
              <w:spacing w:after="0"/>
              <w:rPr>
                <w:rFonts w:ascii="Times New Roman" w:hAnsi="Times New Roman" w:cs="Times New Roman"/>
                <w:sz w:val="20"/>
                <w:szCs w:val="20"/>
              </w:rPr>
            </w:pPr>
          </w:p>
        </w:tc>
        <w:tc>
          <w:tcPr>
            <w:tcW w:w="1202" w:type="pct"/>
            <w:tcBorders>
              <w:top w:val="single" w:sz="8" w:space="0" w:color="auto"/>
              <w:left w:val="nil"/>
              <w:bottom w:val="single" w:sz="8" w:space="0" w:color="auto"/>
              <w:right w:val="nil"/>
            </w:tcBorders>
            <w:noWrap/>
            <w:vAlign w:val="center"/>
            <w:hideMark/>
          </w:tcPr>
          <w:p w14:paraId="4B9F5D0B" w14:textId="2405AC21"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Optimum Establishment</w:t>
            </w:r>
          </w:p>
        </w:tc>
        <w:tc>
          <w:tcPr>
            <w:tcW w:w="673" w:type="pct"/>
            <w:tcBorders>
              <w:top w:val="single" w:sz="8" w:space="0" w:color="auto"/>
              <w:left w:val="nil"/>
              <w:bottom w:val="single" w:sz="8" w:space="0" w:color="auto"/>
              <w:right w:val="nil"/>
            </w:tcBorders>
            <w:noWrap/>
            <w:vAlign w:val="center"/>
            <w:hideMark/>
          </w:tcPr>
          <w:p w14:paraId="3BC140AB"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GDUs (℃)</w:t>
            </w:r>
          </w:p>
        </w:tc>
      </w:tr>
      <w:tr w:rsidR="00200678" w:rsidRPr="00F07DEB" w14:paraId="632CB4F0" w14:textId="77777777" w:rsidTr="000C3519">
        <w:trPr>
          <w:trHeight w:val="292"/>
        </w:trPr>
        <w:tc>
          <w:tcPr>
            <w:tcW w:w="721" w:type="pct"/>
            <w:tcBorders>
              <w:top w:val="single" w:sz="8" w:space="0" w:color="auto"/>
              <w:left w:val="nil"/>
              <w:bottom w:val="nil"/>
              <w:right w:val="nil"/>
            </w:tcBorders>
            <w:noWrap/>
            <w:vAlign w:val="center"/>
            <w:hideMark/>
          </w:tcPr>
          <w:p w14:paraId="050BA4D2" w14:textId="77777777" w:rsidR="00200678" w:rsidRPr="00F07DEB" w:rsidRDefault="00200678" w:rsidP="00F07DEB">
            <w:pPr>
              <w:spacing w:after="0"/>
              <w:rPr>
                <w:rFonts w:ascii="Times New Roman" w:hAnsi="Times New Roman" w:cs="Times New Roman"/>
                <w:sz w:val="20"/>
                <w:szCs w:val="20"/>
              </w:rPr>
            </w:pPr>
            <w:r w:rsidRPr="00F07DEB">
              <w:rPr>
                <w:rFonts w:ascii="Times New Roman" w:hAnsi="Times New Roman" w:cs="Times New Roman"/>
                <w:sz w:val="20"/>
                <w:szCs w:val="20"/>
              </w:rPr>
              <w:t>VE</w:t>
            </w:r>
          </w:p>
        </w:tc>
        <w:tc>
          <w:tcPr>
            <w:tcW w:w="674" w:type="pct"/>
            <w:tcBorders>
              <w:top w:val="single" w:sz="8" w:space="0" w:color="auto"/>
              <w:left w:val="nil"/>
              <w:bottom w:val="nil"/>
              <w:right w:val="nil"/>
            </w:tcBorders>
            <w:noWrap/>
            <w:vAlign w:val="center"/>
            <w:hideMark/>
          </w:tcPr>
          <w:p w14:paraId="2ABEB1AE" w14:textId="77777777" w:rsidR="00200678" w:rsidRPr="00F07DEB" w:rsidRDefault="00200678" w:rsidP="00F07DEB">
            <w:pPr>
              <w:spacing w:after="0"/>
              <w:rPr>
                <w:rFonts w:ascii="Times New Roman" w:hAnsi="Times New Roman" w:cs="Times New Roman"/>
                <w:sz w:val="20"/>
                <w:szCs w:val="20"/>
              </w:rPr>
            </w:pPr>
            <w:r w:rsidRPr="00F07DEB">
              <w:rPr>
                <w:rFonts w:ascii="Times New Roman" w:hAnsi="Times New Roman" w:cs="Times New Roman"/>
                <w:sz w:val="20"/>
                <w:szCs w:val="20"/>
              </w:rPr>
              <w:t>52</w:t>
            </w:r>
          </w:p>
        </w:tc>
        <w:tc>
          <w:tcPr>
            <w:tcW w:w="144" w:type="pct"/>
            <w:tcBorders>
              <w:top w:val="single" w:sz="8" w:space="0" w:color="auto"/>
              <w:left w:val="nil"/>
              <w:bottom w:val="nil"/>
              <w:right w:val="nil"/>
            </w:tcBorders>
            <w:vAlign w:val="center"/>
          </w:tcPr>
          <w:p w14:paraId="0FCB559D" w14:textId="77777777" w:rsidR="00200678" w:rsidRPr="00F07DEB" w:rsidRDefault="00200678" w:rsidP="00F07DEB">
            <w:pPr>
              <w:spacing w:after="0"/>
              <w:rPr>
                <w:rFonts w:ascii="Times New Roman" w:hAnsi="Times New Roman" w:cs="Times New Roman"/>
                <w:sz w:val="20"/>
                <w:szCs w:val="20"/>
              </w:rPr>
            </w:pPr>
          </w:p>
        </w:tc>
        <w:tc>
          <w:tcPr>
            <w:tcW w:w="769" w:type="pct"/>
            <w:tcBorders>
              <w:top w:val="single" w:sz="8" w:space="0" w:color="auto"/>
              <w:left w:val="nil"/>
              <w:bottom w:val="nil"/>
              <w:right w:val="nil"/>
            </w:tcBorders>
            <w:noWrap/>
            <w:vAlign w:val="center"/>
            <w:hideMark/>
          </w:tcPr>
          <w:p w14:paraId="70B32C30" w14:textId="7DDC8445" w:rsidR="00200678" w:rsidRPr="00F07DEB" w:rsidRDefault="00200678" w:rsidP="00F07DEB">
            <w:pPr>
              <w:spacing w:after="0"/>
              <w:rPr>
                <w:rFonts w:ascii="Times New Roman" w:hAnsi="Times New Roman" w:cs="Times New Roman"/>
                <w:sz w:val="20"/>
                <w:szCs w:val="20"/>
              </w:rPr>
            </w:pPr>
            <w:r w:rsidRPr="00F07DEB">
              <w:rPr>
                <w:rFonts w:ascii="Times New Roman" w:hAnsi="Times New Roman" w:cs="Times New Roman"/>
                <w:sz w:val="20"/>
                <w:szCs w:val="20"/>
              </w:rPr>
              <w:t>0</w:t>
            </w:r>
          </w:p>
        </w:tc>
        <w:tc>
          <w:tcPr>
            <w:tcW w:w="673" w:type="pct"/>
            <w:tcBorders>
              <w:top w:val="single" w:sz="8" w:space="0" w:color="auto"/>
              <w:left w:val="nil"/>
              <w:bottom w:val="nil"/>
              <w:right w:val="nil"/>
            </w:tcBorders>
            <w:noWrap/>
            <w:vAlign w:val="center"/>
            <w:hideMark/>
          </w:tcPr>
          <w:p w14:paraId="24B30E52" w14:textId="77777777" w:rsidR="00200678" w:rsidRPr="00F07DEB" w:rsidRDefault="00200678" w:rsidP="00F07DEB">
            <w:pPr>
              <w:spacing w:after="0"/>
              <w:rPr>
                <w:rFonts w:ascii="Times New Roman" w:hAnsi="Times New Roman" w:cs="Times New Roman"/>
                <w:sz w:val="20"/>
                <w:szCs w:val="20"/>
              </w:rPr>
            </w:pPr>
            <w:r w:rsidRPr="00F07DEB">
              <w:rPr>
                <w:rFonts w:ascii="Times New Roman" w:hAnsi="Times New Roman" w:cs="Times New Roman"/>
                <w:sz w:val="20"/>
                <w:szCs w:val="20"/>
              </w:rPr>
              <w:t>93</w:t>
            </w:r>
          </w:p>
        </w:tc>
        <w:tc>
          <w:tcPr>
            <w:tcW w:w="144" w:type="pct"/>
            <w:tcBorders>
              <w:top w:val="single" w:sz="8" w:space="0" w:color="auto"/>
              <w:left w:val="nil"/>
              <w:bottom w:val="nil"/>
              <w:right w:val="nil"/>
            </w:tcBorders>
            <w:vAlign w:val="center"/>
          </w:tcPr>
          <w:p w14:paraId="6E392810" w14:textId="77777777" w:rsidR="00200678" w:rsidRPr="00F07DEB" w:rsidRDefault="00200678" w:rsidP="00F07DEB">
            <w:pPr>
              <w:spacing w:after="0"/>
              <w:rPr>
                <w:rFonts w:ascii="Times New Roman" w:hAnsi="Times New Roman" w:cs="Times New Roman"/>
                <w:sz w:val="20"/>
                <w:szCs w:val="20"/>
              </w:rPr>
            </w:pPr>
          </w:p>
        </w:tc>
        <w:tc>
          <w:tcPr>
            <w:tcW w:w="1202" w:type="pct"/>
            <w:vMerge w:val="restart"/>
            <w:tcBorders>
              <w:top w:val="single" w:sz="8" w:space="0" w:color="auto"/>
              <w:left w:val="nil"/>
              <w:right w:val="nil"/>
            </w:tcBorders>
            <w:noWrap/>
            <w:vAlign w:val="center"/>
            <w:hideMark/>
          </w:tcPr>
          <w:p w14:paraId="5FE306E1" w14:textId="77777777" w:rsidR="00200678" w:rsidRPr="00F07DEB" w:rsidRDefault="00200678" w:rsidP="00F07DEB">
            <w:pPr>
              <w:spacing w:after="0"/>
              <w:rPr>
                <w:rFonts w:ascii="Times New Roman" w:hAnsi="Times New Roman" w:cs="Times New Roman"/>
                <w:sz w:val="20"/>
                <w:szCs w:val="20"/>
              </w:rPr>
            </w:pPr>
            <w:r w:rsidRPr="00F07DEB">
              <w:rPr>
                <w:rFonts w:ascii="Times New Roman" w:hAnsi="Times New Roman" w:cs="Times New Roman"/>
                <w:sz w:val="20"/>
                <w:szCs w:val="20"/>
              </w:rPr>
              <w:t>GDUs between planting</w:t>
            </w:r>
          </w:p>
          <w:p w14:paraId="04393463" w14:textId="238BD9CE" w:rsidR="00200678" w:rsidRPr="00F07DEB" w:rsidRDefault="00200678" w:rsidP="00F07DEB">
            <w:pPr>
              <w:spacing w:after="0"/>
              <w:rPr>
                <w:rFonts w:ascii="Times New Roman" w:hAnsi="Times New Roman" w:cs="Times New Roman"/>
                <w:sz w:val="20"/>
                <w:szCs w:val="20"/>
              </w:rPr>
            </w:pPr>
            <w:r w:rsidRPr="00F07DEB">
              <w:rPr>
                <w:rFonts w:ascii="Times New Roman" w:hAnsi="Times New Roman" w:cs="Times New Roman"/>
                <w:sz w:val="20"/>
                <w:szCs w:val="20"/>
              </w:rPr>
              <w:t>and first frost</w:t>
            </w:r>
          </w:p>
        </w:tc>
        <w:tc>
          <w:tcPr>
            <w:tcW w:w="673" w:type="pct"/>
            <w:vMerge w:val="restart"/>
            <w:tcBorders>
              <w:top w:val="single" w:sz="8" w:space="0" w:color="auto"/>
              <w:left w:val="nil"/>
              <w:right w:val="nil"/>
            </w:tcBorders>
            <w:noWrap/>
            <w:vAlign w:val="center"/>
            <w:hideMark/>
          </w:tcPr>
          <w:p w14:paraId="219B7037" w14:textId="04C3251C" w:rsidR="00200678" w:rsidRPr="00F07DEB" w:rsidRDefault="00200678" w:rsidP="00F07DEB">
            <w:pPr>
              <w:spacing w:after="0"/>
              <w:rPr>
                <w:rFonts w:ascii="Times New Roman" w:hAnsi="Times New Roman" w:cs="Times New Roman"/>
                <w:sz w:val="20"/>
                <w:szCs w:val="20"/>
              </w:rPr>
            </w:pPr>
            <w:r w:rsidRPr="00F07DEB">
              <w:rPr>
                <w:rFonts w:ascii="Times New Roman" w:hAnsi="Times New Roman" w:cs="Times New Roman"/>
                <w:sz w:val="20"/>
                <w:szCs w:val="20"/>
              </w:rPr>
              <w:t>&gt;950</w:t>
            </w:r>
          </w:p>
        </w:tc>
      </w:tr>
      <w:tr w:rsidR="00200678" w:rsidRPr="00F07DEB" w14:paraId="75D82715" w14:textId="77777777" w:rsidTr="000C3519">
        <w:trPr>
          <w:trHeight w:val="292"/>
        </w:trPr>
        <w:tc>
          <w:tcPr>
            <w:tcW w:w="721" w:type="pct"/>
            <w:tcBorders>
              <w:top w:val="nil"/>
              <w:left w:val="nil"/>
              <w:bottom w:val="nil"/>
              <w:right w:val="nil"/>
            </w:tcBorders>
            <w:noWrap/>
            <w:vAlign w:val="center"/>
            <w:hideMark/>
          </w:tcPr>
          <w:p w14:paraId="4526358D" w14:textId="77777777" w:rsidR="00200678" w:rsidRPr="00F07DEB" w:rsidRDefault="00200678" w:rsidP="00F07DEB">
            <w:pPr>
              <w:spacing w:after="0"/>
              <w:rPr>
                <w:rFonts w:ascii="Times New Roman" w:hAnsi="Times New Roman" w:cs="Times New Roman"/>
                <w:sz w:val="20"/>
                <w:szCs w:val="20"/>
              </w:rPr>
            </w:pPr>
            <w:r w:rsidRPr="00F07DEB">
              <w:rPr>
                <w:rFonts w:ascii="Times New Roman" w:hAnsi="Times New Roman" w:cs="Times New Roman"/>
                <w:sz w:val="20"/>
                <w:szCs w:val="20"/>
              </w:rPr>
              <w:t>V6</w:t>
            </w:r>
          </w:p>
        </w:tc>
        <w:tc>
          <w:tcPr>
            <w:tcW w:w="674" w:type="pct"/>
            <w:tcBorders>
              <w:top w:val="nil"/>
              <w:left w:val="nil"/>
              <w:bottom w:val="nil"/>
              <w:right w:val="nil"/>
            </w:tcBorders>
            <w:noWrap/>
            <w:vAlign w:val="center"/>
            <w:hideMark/>
          </w:tcPr>
          <w:p w14:paraId="65E13E4F" w14:textId="77777777" w:rsidR="00200678" w:rsidRPr="00F07DEB" w:rsidRDefault="00200678" w:rsidP="00F07DEB">
            <w:pPr>
              <w:spacing w:after="0"/>
              <w:rPr>
                <w:rFonts w:ascii="Times New Roman" w:hAnsi="Times New Roman" w:cs="Times New Roman"/>
                <w:sz w:val="20"/>
                <w:szCs w:val="20"/>
              </w:rPr>
            </w:pPr>
            <w:r w:rsidRPr="00F07DEB">
              <w:rPr>
                <w:rFonts w:ascii="Times New Roman" w:hAnsi="Times New Roman" w:cs="Times New Roman"/>
                <w:sz w:val="20"/>
                <w:szCs w:val="20"/>
              </w:rPr>
              <w:t>246</w:t>
            </w:r>
          </w:p>
        </w:tc>
        <w:tc>
          <w:tcPr>
            <w:tcW w:w="144" w:type="pct"/>
            <w:tcBorders>
              <w:top w:val="nil"/>
              <w:left w:val="nil"/>
              <w:bottom w:val="nil"/>
              <w:right w:val="nil"/>
            </w:tcBorders>
            <w:vAlign w:val="center"/>
          </w:tcPr>
          <w:p w14:paraId="46778BD5" w14:textId="77777777" w:rsidR="00200678" w:rsidRPr="00F07DEB" w:rsidRDefault="00200678" w:rsidP="00F07DEB">
            <w:pPr>
              <w:spacing w:after="0"/>
              <w:rPr>
                <w:rFonts w:ascii="Times New Roman" w:hAnsi="Times New Roman" w:cs="Times New Roman"/>
                <w:sz w:val="20"/>
                <w:szCs w:val="20"/>
              </w:rPr>
            </w:pPr>
          </w:p>
        </w:tc>
        <w:tc>
          <w:tcPr>
            <w:tcW w:w="769" w:type="pct"/>
            <w:tcBorders>
              <w:top w:val="nil"/>
              <w:left w:val="nil"/>
              <w:bottom w:val="nil"/>
              <w:right w:val="nil"/>
            </w:tcBorders>
            <w:noWrap/>
            <w:vAlign w:val="center"/>
            <w:hideMark/>
          </w:tcPr>
          <w:p w14:paraId="0D203F9C" w14:textId="06A015F8" w:rsidR="00200678" w:rsidRPr="00F07DEB" w:rsidRDefault="00200678" w:rsidP="00F07DEB">
            <w:pPr>
              <w:spacing w:after="0"/>
              <w:rPr>
                <w:rFonts w:ascii="Times New Roman" w:hAnsi="Times New Roman" w:cs="Times New Roman"/>
                <w:sz w:val="20"/>
                <w:szCs w:val="20"/>
              </w:rPr>
            </w:pPr>
            <w:r w:rsidRPr="00F07DEB">
              <w:rPr>
                <w:rFonts w:ascii="Times New Roman" w:hAnsi="Times New Roman" w:cs="Times New Roman"/>
                <w:sz w:val="20"/>
                <w:szCs w:val="20"/>
              </w:rPr>
              <w:t>1</w:t>
            </w:r>
          </w:p>
        </w:tc>
        <w:tc>
          <w:tcPr>
            <w:tcW w:w="673" w:type="pct"/>
            <w:tcBorders>
              <w:top w:val="nil"/>
              <w:left w:val="nil"/>
              <w:bottom w:val="nil"/>
              <w:right w:val="nil"/>
            </w:tcBorders>
            <w:noWrap/>
            <w:vAlign w:val="center"/>
            <w:hideMark/>
          </w:tcPr>
          <w:p w14:paraId="2934EE28" w14:textId="77777777" w:rsidR="00200678" w:rsidRPr="00F07DEB" w:rsidRDefault="00200678" w:rsidP="00F07DEB">
            <w:pPr>
              <w:spacing w:after="0"/>
              <w:rPr>
                <w:rFonts w:ascii="Times New Roman" w:hAnsi="Times New Roman" w:cs="Times New Roman"/>
                <w:sz w:val="20"/>
                <w:szCs w:val="20"/>
              </w:rPr>
            </w:pPr>
            <w:r w:rsidRPr="00F07DEB">
              <w:rPr>
                <w:rFonts w:ascii="Times New Roman" w:hAnsi="Times New Roman" w:cs="Times New Roman"/>
                <w:sz w:val="20"/>
                <w:szCs w:val="20"/>
              </w:rPr>
              <w:t>260</w:t>
            </w:r>
          </w:p>
        </w:tc>
        <w:tc>
          <w:tcPr>
            <w:tcW w:w="144" w:type="pct"/>
            <w:tcBorders>
              <w:top w:val="nil"/>
              <w:left w:val="nil"/>
              <w:bottom w:val="nil"/>
              <w:right w:val="nil"/>
            </w:tcBorders>
            <w:vAlign w:val="center"/>
          </w:tcPr>
          <w:p w14:paraId="4ACDC842" w14:textId="77777777" w:rsidR="00200678" w:rsidRPr="00F07DEB" w:rsidRDefault="00200678" w:rsidP="00F07DEB">
            <w:pPr>
              <w:spacing w:after="0"/>
              <w:rPr>
                <w:rFonts w:ascii="Times New Roman" w:hAnsi="Times New Roman" w:cs="Times New Roman"/>
                <w:sz w:val="20"/>
                <w:szCs w:val="20"/>
              </w:rPr>
            </w:pPr>
          </w:p>
        </w:tc>
        <w:tc>
          <w:tcPr>
            <w:tcW w:w="1202" w:type="pct"/>
            <w:vMerge/>
            <w:tcBorders>
              <w:left w:val="nil"/>
              <w:bottom w:val="nil"/>
              <w:right w:val="nil"/>
            </w:tcBorders>
            <w:noWrap/>
            <w:vAlign w:val="center"/>
            <w:hideMark/>
          </w:tcPr>
          <w:p w14:paraId="6EA14DFE" w14:textId="25D7B90E" w:rsidR="00200678" w:rsidRPr="00F07DEB" w:rsidRDefault="00200678" w:rsidP="00F07DEB">
            <w:pPr>
              <w:spacing w:after="0"/>
              <w:rPr>
                <w:rFonts w:ascii="Times New Roman" w:hAnsi="Times New Roman" w:cs="Times New Roman"/>
                <w:sz w:val="20"/>
                <w:szCs w:val="20"/>
              </w:rPr>
            </w:pPr>
          </w:p>
        </w:tc>
        <w:tc>
          <w:tcPr>
            <w:tcW w:w="673" w:type="pct"/>
            <w:vMerge/>
            <w:tcBorders>
              <w:left w:val="nil"/>
              <w:bottom w:val="nil"/>
              <w:right w:val="nil"/>
            </w:tcBorders>
            <w:noWrap/>
            <w:vAlign w:val="center"/>
            <w:hideMark/>
          </w:tcPr>
          <w:p w14:paraId="3D3A04D5" w14:textId="77777777" w:rsidR="00200678" w:rsidRPr="00F07DEB" w:rsidRDefault="00200678" w:rsidP="00F07DEB">
            <w:pPr>
              <w:spacing w:after="0"/>
              <w:rPr>
                <w:rFonts w:ascii="Times New Roman" w:hAnsi="Times New Roman" w:cs="Times New Roman"/>
                <w:sz w:val="20"/>
                <w:szCs w:val="20"/>
              </w:rPr>
            </w:pPr>
          </w:p>
        </w:tc>
      </w:tr>
      <w:tr w:rsidR="002B64F8" w:rsidRPr="00F07DEB" w14:paraId="5CFBE4E1" w14:textId="77777777" w:rsidTr="000C3519">
        <w:trPr>
          <w:trHeight w:val="292"/>
        </w:trPr>
        <w:tc>
          <w:tcPr>
            <w:tcW w:w="721" w:type="pct"/>
            <w:tcBorders>
              <w:top w:val="nil"/>
              <w:left w:val="nil"/>
              <w:bottom w:val="nil"/>
              <w:right w:val="nil"/>
            </w:tcBorders>
            <w:noWrap/>
            <w:vAlign w:val="center"/>
            <w:hideMark/>
          </w:tcPr>
          <w:p w14:paraId="00604A51"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VT</w:t>
            </w:r>
          </w:p>
        </w:tc>
        <w:tc>
          <w:tcPr>
            <w:tcW w:w="674" w:type="pct"/>
            <w:tcBorders>
              <w:top w:val="nil"/>
              <w:left w:val="nil"/>
              <w:bottom w:val="nil"/>
              <w:right w:val="nil"/>
            </w:tcBorders>
            <w:noWrap/>
            <w:vAlign w:val="center"/>
            <w:hideMark/>
          </w:tcPr>
          <w:p w14:paraId="090FB84E"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621</w:t>
            </w:r>
          </w:p>
        </w:tc>
        <w:tc>
          <w:tcPr>
            <w:tcW w:w="144" w:type="pct"/>
            <w:tcBorders>
              <w:top w:val="nil"/>
              <w:left w:val="nil"/>
              <w:bottom w:val="nil"/>
              <w:right w:val="nil"/>
            </w:tcBorders>
            <w:vAlign w:val="center"/>
          </w:tcPr>
          <w:p w14:paraId="69B5EE27" w14:textId="77777777" w:rsidR="002B64F8" w:rsidRPr="00F07DEB" w:rsidRDefault="002B64F8" w:rsidP="00F07DEB">
            <w:pPr>
              <w:spacing w:after="0"/>
              <w:rPr>
                <w:rFonts w:ascii="Times New Roman" w:hAnsi="Times New Roman" w:cs="Times New Roman"/>
                <w:sz w:val="20"/>
                <w:szCs w:val="20"/>
              </w:rPr>
            </w:pPr>
          </w:p>
        </w:tc>
        <w:tc>
          <w:tcPr>
            <w:tcW w:w="769" w:type="pct"/>
            <w:tcBorders>
              <w:top w:val="nil"/>
              <w:left w:val="nil"/>
              <w:bottom w:val="nil"/>
              <w:right w:val="nil"/>
            </w:tcBorders>
            <w:noWrap/>
            <w:vAlign w:val="center"/>
            <w:hideMark/>
          </w:tcPr>
          <w:p w14:paraId="3B1E48A0" w14:textId="733C41D1"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2</w:t>
            </w:r>
          </w:p>
        </w:tc>
        <w:tc>
          <w:tcPr>
            <w:tcW w:w="673" w:type="pct"/>
            <w:tcBorders>
              <w:top w:val="nil"/>
              <w:left w:val="nil"/>
              <w:bottom w:val="nil"/>
              <w:right w:val="nil"/>
            </w:tcBorders>
            <w:noWrap/>
            <w:vAlign w:val="center"/>
            <w:hideMark/>
          </w:tcPr>
          <w:p w14:paraId="13D50480"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349</w:t>
            </w:r>
          </w:p>
        </w:tc>
        <w:tc>
          <w:tcPr>
            <w:tcW w:w="144" w:type="pct"/>
            <w:tcBorders>
              <w:top w:val="nil"/>
              <w:left w:val="nil"/>
              <w:bottom w:val="nil"/>
              <w:right w:val="nil"/>
            </w:tcBorders>
            <w:vAlign w:val="center"/>
          </w:tcPr>
          <w:p w14:paraId="307ACE56" w14:textId="77777777" w:rsidR="002B64F8" w:rsidRPr="00F07DEB" w:rsidRDefault="002B64F8" w:rsidP="00F07DEB">
            <w:pPr>
              <w:spacing w:after="0"/>
              <w:rPr>
                <w:rFonts w:ascii="Times New Roman" w:hAnsi="Times New Roman" w:cs="Times New Roman"/>
                <w:sz w:val="20"/>
                <w:szCs w:val="20"/>
              </w:rPr>
            </w:pPr>
          </w:p>
        </w:tc>
        <w:tc>
          <w:tcPr>
            <w:tcW w:w="1202" w:type="pct"/>
            <w:tcBorders>
              <w:top w:val="nil"/>
              <w:left w:val="nil"/>
              <w:bottom w:val="nil"/>
              <w:right w:val="nil"/>
            </w:tcBorders>
            <w:noWrap/>
            <w:vAlign w:val="center"/>
            <w:hideMark/>
          </w:tcPr>
          <w:p w14:paraId="6E1A59A5" w14:textId="538856E7" w:rsidR="002B64F8" w:rsidRPr="00F07DEB" w:rsidRDefault="002B64F8" w:rsidP="00F07DEB">
            <w:pPr>
              <w:spacing w:after="0"/>
              <w:rPr>
                <w:rFonts w:ascii="Times New Roman" w:hAnsi="Times New Roman" w:cs="Times New Roman"/>
                <w:sz w:val="20"/>
                <w:szCs w:val="20"/>
              </w:rPr>
            </w:pPr>
          </w:p>
        </w:tc>
        <w:tc>
          <w:tcPr>
            <w:tcW w:w="673" w:type="pct"/>
            <w:tcBorders>
              <w:top w:val="nil"/>
              <w:left w:val="nil"/>
              <w:bottom w:val="nil"/>
              <w:right w:val="nil"/>
            </w:tcBorders>
            <w:noWrap/>
            <w:vAlign w:val="center"/>
            <w:hideMark/>
          </w:tcPr>
          <w:p w14:paraId="03EE0329" w14:textId="77777777" w:rsidR="002B64F8" w:rsidRPr="00F07DEB" w:rsidRDefault="002B64F8" w:rsidP="00F07DEB">
            <w:pPr>
              <w:spacing w:after="0"/>
              <w:rPr>
                <w:rFonts w:ascii="Times New Roman" w:hAnsi="Times New Roman" w:cs="Times New Roman"/>
                <w:sz w:val="20"/>
                <w:szCs w:val="20"/>
              </w:rPr>
            </w:pPr>
          </w:p>
        </w:tc>
      </w:tr>
      <w:tr w:rsidR="002B64F8" w:rsidRPr="00F07DEB" w14:paraId="01ACF9DC" w14:textId="77777777" w:rsidTr="000C3519">
        <w:trPr>
          <w:trHeight w:val="292"/>
        </w:trPr>
        <w:tc>
          <w:tcPr>
            <w:tcW w:w="721" w:type="pct"/>
            <w:tcBorders>
              <w:top w:val="nil"/>
              <w:left w:val="nil"/>
              <w:bottom w:val="nil"/>
              <w:right w:val="nil"/>
            </w:tcBorders>
            <w:noWrap/>
            <w:vAlign w:val="center"/>
            <w:hideMark/>
          </w:tcPr>
          <w:p w14:paraId="4688734A"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R1</w:t>
            </w:r>
          </w:p>
        </w:tc>
        <w:tc>
          <w:tcPr>
            <w:tcW w:w="674" w:type="pct"/>
            <w:tcBorders>
              <w:top w:val="nil"/>
              <w:left w:val="nil"/>
              <w:bottom w:val="nil"/>
              <w:right w:val="nil"/>
            </w:tcBorders>
            <w:noWrap/>
            <w:vAlign w:val="center"/>
            <w:hideMark/>
          </w:tcPr>
          <w:p w14:paraId="7BBBB8C4"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760</w:t>
            </w:r>
          </w:p>
        </w:tc>
        <w:tc>
          <w:tcPr>
            <w:tcW w:w="144" w:type="pct"/>
            <w:tcBorders>
              <w:top w:val="nil"/>
              <w:left w:val="nil"/>
              <w:bottom w:val="nil"/>
              <w:right w:val="nil"/>
            </w:tcBorders>
            <w:vAlign w:val="center"/>
          </w:tcPr>
          <w:p w14:paraId="1C4A09F3" w14:textId="77777777" w:rsidR="002B64F8" w:rsidRPr="00F07DEB" w:rsidRDefault="002B64F8" w:rsidP="00F07DEB">
            <w:pPr>
              <w:spacing w:after="0"/>
              <w:rPr>
                <w:rFonts w:ascii="Times New Roman" w:hAnsi="Times New Roman" w:cs="Times New Roman"/>
                <w:sz w:val="20"/>
                <w:szCs w:val="20"/>
              </w:rPr>
            </w:pPr>
          </w:p>
        </w:tc>
        <w:tc>
          <w:tcPr>
            <w:tcW w:w="769" w:type="pct"/>
            <w:tcBorders>
              <w:top w:val="nil"/>
              <w:left w:val="nil"/>
              <w:bottom w:val="nil"/>
              <w:right w:val="nil"/>
            </w:tcBorders>
            <w:noWrap/>
            <w:vAlign w:val="center"/>
            <w:hideMark/>
          </w:tcPr>
          <w:p w14:paraId="6BAC4411" w14:textId="037E387F"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3</w:t>
            </w:r>
          </w:p>
        </w:tc>
        <w:tc>
          <w:tcPr>
            <w:tcW w:w="673" w:type="pct"/>
            <w:tcBorders>
              <w:top w:val="nil"/>
              <w:left w:val="nil"/>
              <w:bottom w:val="nil"/>
              <w:right w:val="nil"/>
            </w:tcBorders>
            <w:noWrap/>
            <w:vAlign w:val="center"/>
            <w:hideMark/>
          </w:tcPr>
          <w:p w14:paraId="4ABC2C99"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496</w:t>
            </w:r>
          </w:p>
        </w:tc>
        <w:tc>
          <w:tcPr>
            <w:tcW w:w="144" w:type="pct"/>
            <w:tcBorders>
              <w:top w:val="nil"/>
              <w:left w:val="nil"/>
              <w:bottom w:val="nil"/>
              <w:right w:val="nil"/>
            </w:tcBorders>
            <w:vAlign w:val="center"/>
          </w:tcPr>
          <w:p w14:paraId="2E532855" w14:textId="77777777" w:rsidR="002B64F8" w:rsidRPr="00F07DEB" w:rsidRDefault="002B64F8" w:rsidP="00F07DEB">
            <w:pPr>
              <w:spacing w:after="0"/>
              <w:rPr>
                <w:rFonts w:ascii="Times New Roman" w:hAnsi="Times New Roman" w:cs="Times New Roman"/>
                <w:sz w:val="20"/>
                <w:szCs w:val="20"/>
              </w:rPr>
            </w:pPr>
          </w:p>
        </w:tc>
        <w:tc>
          <w:tcPr>
            <w:tcW w:w="1202" w:type="pct"/>
            <w:tcBorders>
              <w:top w:val="nil"/>
              <w:left w:val="nil"/>
              <w:bottom w:val="nil"/>
              <w:right w:val="nil"/>
            </w:tcBorders>
            <w:noWrap/>
            <w:vAlign w:val="center"/>
            <w:hideMark/>
          </w:tcPr>
          <w:p w14:paraId="3007BD21" w14:textId="724A7ABA" w:rsidR="002B64F8" w:rsidRPr="00F07DEB" w:rsidRDefault="002B64F8" w:rsidP="00F07DEB">
            <w:pPr>
              <w:spacing w:after="0"/>
              <w:rPr>
                <w:rFonts w:ascii="Times New Roman" w:hAnsi="Times New Roman" w:cs="Times New Roman"/>
                <w:sz w:val="20"/>
                <w:szCs w:val="20"/>
              </w:rPr>
            </w:pPr>
          </w:p>
        </w:tc>
        <w:tc>
          <w:tcPr>
            <w:tcW w:w="673" w:type="pct"/>
            <w:tcBorders>
              <w:top w:val="nil"/>
              <w:left w:val="nil"/>
              <w:bottom w:val="nil"/>
              <w:right w:val="nil"/>
            </w:tcBorders>
            <w:noWrap/>
            <w:vAlign w:val="center"/>
            <w:hideMark/>
          </w:tcPr>
          <w:p w14:paraId="33EF62C5" w14:textId="77777777" w:rsidR="002B64F8" w:rsidRPr="00F07DEB" w:rsidRDefault="002B64F8" w:rsidP="00F07DEB">
            <w:pPr>
              <w:spacing w:after="0"/>
              <w:rPr>
                <w:rFonts w:ascii="Times New Roman" w:hAnsi="Times New Roman" w:cs="Times New Roman"/>
                <w:sz w:val="20"/>
                <w:szCs w:val="20"/>
              </w:rPr>
            </w:pPr>
          </w:p>
        </w:tc>
      </w:tr>
      <w:tr w:rsidR="002B64F8" w:rsidRPr="00F07DEB" w14:paraId="6F580EC1" w14:textId="77777777" w:rsidTr="000C3519">
        <w:trPr>
          <w:trHeight w:val="292"/>
        </w:trPr>
        <w:tc>
          <w:tcPr>
            <w:tcW w:w="721" w:type="pct"/>
            <w:tcBorders>
              <w:top w:val="nil"/>
              <w:left w:val="nil"/>
              <w:bottom w:val="nil"/>
              <w:right w:val="nil"/>
            </w:tcBorders>
            <w:noWrap/>
            <w:vAlign w:val="center"/>
            <w:hideMark/>
          </w:tcPr>
          <w:p w14:paraId="63FA1BAD"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R4</w:t>
            </w:r>
          </w:p>
        </w:tc>
        <w:tc>
          <w:tcPr>
            <w:tcW w:w="674" w:type="pct"/>
            <w:tcBorders>
              <w:top w:val="nil"/>
              <w:left w:val="nil"/>
              <w:bottom w:val="nil"/>
              <w:right w:val="nil"/>
            </w:tcBorders>
            <w:noWrap/>
            <w:vAlign w:val="center"/>
            <w:hideMark/>
          </w:tcPr>
          <w:p w14:paraId="0D04A2E1"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1052</w:t>
            </w:r>
          </w:p>
        </w:tc>
        <w:tc>
          <w:tcPr>
            <w:tcW w:w="144" w:type="pct"/>
            <w:tcBorders>
              <w:top w:val="nil"/>
              <w:left w:val="nil"/>
              <w:bottom w:val="nil"/>
              <w:right w:val="nil"/>
            </w:tcBorders>
            <w:vAlign w:val="center"/>
          </w:tcPr>
          <w:p w14:paraId="5E20803F" w14:textId="77777777" w:rsidR="002B64F8" w:rsidRPr="00F07DEB" w:rsidRDefault="002B64F8" w:rsidP="00F07DEB">
            <w:pPr>
              <w:spacing w:after="0"/>
              <w:rPr>
                <w:rFonts w:ascii="Times New Roman" w:hAnsi="Times New Roman" w:cs="Times New Roman"/>
                <w:sz w:val="20"/>
                <w:szCs w:val="20"/>
              </w:rPr>
            </w:pPr>
          </w:p>
        </w:tc>
        <w:tc>
          <w:tcPr>
            <w:tcW w:w="769" w:type="pct"/>
            <w:tcBorders>
              <w:top w:val="nil"/>
              <w:left w:val="nil"/>
              <w:bottom w:val="nil"/>
              <w:right w:val="nil"/>
            </w:tcBorders>
            <w:noWrap/>
            <w:vAlign w:val="center"/>
            <w:hideMark/>
          </w:tcPr>
          <w:p w14:paraId="05E952DB" w14:textId="5F6C7063"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4</w:t>
            </w:r>
          </w:p>
        </w:tc>
        <w:tc>
          <w:tcPr>
            <w:tcW w:w="673" w:type="pct"/>
            <w:tcBorders>
              <w:top w:val="nil"/>
              <w:left w:val="nil"/>
              <w:bottom w:val="nil"/>
              <w:right w:val="nil"/>
            </w:tcBorders>
            <w:noWrap/>
            <w:vAlign w:val="center"/>
            <w:hideMark/>
          </w:tcPr>
          <w:p w14:paraId="631C491D"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697</w:t>
            </w:r>
          </w:p>
        </w:tc>
        <w:tc>
          <w:tcPr>
            <w:tcW w:w="144" w:type="pct"/>
            <w:tcBorders>
              <w:top w:val="nil"/>
              <w:left w:val="nil"/>
              <w:bottom w:val="nil"/>
              <w:right w:val="nil"/>
            </w:tcBorders>
            <w:vAlign w:val="center"/>
          </w:tcPr>
          <w:p w14:paraId="5AFA90FB" w14:textId="77777777" w:rsidR="002B64F8" w:rsidRPr="00F07DEB" w:rsidRDefault="002B64F8" w:rsidP="00F07DEB">
            <w:pPr>
              <w:spacing w:after="0"/>
              <w:rPr>
                <w:rFonts w:ascii="Times New Roman" w:hAnsi="Times New Roman" w:cs="Times New Roman"/>
                <w:sz w:val="20"/>
                <w:szCs w:val="20"/>
              </w:rPr>
            </w:pPr>
          </w:p>
        </w:tc>
        <w:tc>
          <w:tcPr>
            <w:tcW w:w="1202" w:type="pct"/>
            <w:tcBorders>
              <w:top w:val="nil"/>
              <w:left w:val="nil"/>
              <w:bottom w:val="nil"/>
              <w:right w:val="nil"/>
            </w:tcBorders>
            <w:noWrap/>
            <w:vAlign w:val="center"/>
            <w:hideMark/>
          </w:tcPr>
          <w:p w14:paraId="4F2DC828" w14:textId="473F1AF9" w:rsidR="002B64F8" w:rsidRPr="00F07DEB" w:rsidRDefault="002B64F8" w:rsidP="00F07DEB">
            <w:pPr>
              <w:spacing w:after="0"/>
              <w:rPr>
                <w:rFonts w:ascii="Times New Roman" w:hAnsi="Times New Roman" w:cs="Times New Roman"/>
                <w:sz w:val="20"/>
                <w:szCs w:val="20"/>
              </w:rPr>
            </w:pPr>
          </w:p>
        </w:tc>
        <w:tc>
          <w:tcPr>
            <w:tcW w:w="673" w:type="pct"/>
            <w:tcBorders>
              <w:top w:val="nil"/>
              <w:left w:val="nil"/>
              <w:bottom w:val="nil"/>
              <w:right w:val="nil"/>
            </w:tcBorders>
            <w:noWrap/>
            <w:vAlign w:val="center"/>
            <w:hideMark/>
          </w:tcPr>
          <w:p w14:paraId="2A649294" w14:textId="77777777" w:rsidR="002B64F8" w:rsidRPr="00F07DEB" w:rsidRDefault="002B64F8" w:rsidP="00F07DEB">
            <w:pPr>
              <w:spacing w:after="0"/>
              <w:rPr>
                <w:rFonts w:ascii="Times New Roman" w:hAnsi="Times New Roman" w:cs="Times New Roman"/>
                <w:sz w:val="20"/>
                <w:szCs w:val="20"/>
              </w:rPr>
            </w:pPr>
          </w:p>
        </w:tc>
      </w:tr>
      <w:tr w:rsidR="002B64F8" w:rsidRPr="00F07DEB" w14:paraId="25C4E00C" w14:textId="77777777" w:rsidTr="000C3519">
        <w:trPr>
          <w:trHeight w:val="292"/>
        </w:trPr>
        <w:tc>
          <w:tcPr>
            <w:tcW w:w="721" w:type="pct"/>
            <w:tcBorders>
              <w:top w:val="nil"/>
              <w:left w:val="nil"/>
              <w:bottom w:val="nil"/>
              <w:right w:val="nil"/>
            </w:tcBorders>
            <w:noWrap/>
            <w:vAlign w:val="center"/>
            <w:hideMark/>
          </w:tcPr>
          <w:p w14:paraId="203AFDE6"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R5</w:t>
            </w:r>
          </w:p>
        </w:tc>
        <w:tc>
          <w:tcPr>
            <w:tcW w:w="674" w:type="pct"/>
            <w:tcBorders>
              <w:top w:val="nil"/>
              <w:left w:val="nil"/>
              <w:bottom w:val="nil"/>
              <w:right w:val="nil"/>
            </w:tcBorders>
            <w:noWrap/>
            <w:vAlign w:val="center"/>
            <w:hideMark/>
          </w:tcPr>
          <w:p w14:paraId="122B16BB"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1343</w:t>
            </w:r>
          </w:p>
        </w:tc>
        <w:tc>
          <w:tcPr>
            <w:tcW w:w="144" w:type="pct"/>
            <w:tcBorders>
              <w:top w:val="nil"/>
              <w:left w:val="nil"/>
              <w:bottom w:val="nil"/>
              <w:right w:val="nil"/>
            </w:tcBorders>
            <w:vAlign w:val="center"/>
          </w:tcPr>
          <w:p w14:paraId="29C5F646" w14:textId="77777777" w:rsidR="002B64F8" w:rsidRPr="00F07DEB" w:rsidRDefault="002B64F8" w:rsidP="00F07DEB">
            <w:pPr>
              <w:spacing w:after="0"/>
              <w:rPr>
                <w:rFonts w:ascii="Times New Roman" w:hAnsi="Times New Roman" w:cs="Times New Roman"/>
                <w:sz w:val="20"/>
                <w:szCs w:val="20"/>
              </w:rPr>
            </w:pPr>
          </w:p>
        </w:tc>
        <w:tc>
          <w:tcPr>
            <w:tcW w:w="769" w:type="pct"/>
            <w:tcBorders>
              <w:top w:val="nil"/>
              <w:left w:val="nil"/>
              <w:bottom w:val="nil"/>
              <w:right w:val="nil"/>
            </w:tcBorders>
            <w:noWrap/>
            <w:vAlign w:val="center"/>
            <w:hideMark/>
          </w:tcPr>
          <w:p w14:paraId="1A13C3ED" w14:textId="1FE4DB83"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5</w:t>
            </w:r>
          </w:p>
        </w:tc>
        <w:tc>
          <w:tcPr>
            <w:tcW w:w="673" w:type="pct"/>
            <w:tcBorders>
              <w:top w:val="nil"/>
              <w:left w:val="nil"/>
              <w:bottom w:val="nil"/>
              <w:right w:val="nil"/>
            </w:tcBorders>
            <w:noWrap/>
            <w:vAlign w:val="center"/>
            <w:hideMark/>
          </w:tcPr>
          <w:p w14:paraId="03501339"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917</w:t>
            </w:r>
          </w:p>
        </w:tc>
        <w:tc>
          <w:tcPr>
            <w:tcW w:w="144" w:type="pct"/>
            <w:tcBorders>
              <w:top w:val="nil"/>
              <w:left w:val="nil"/>
              <w:bottom w:val="nil"/>
              <w:right w:val="nil"/>
            </w:tcBorders>
            <w:vAlign w:val="center"/>
          </w:tcPr>
          <w:p w14:paraId="5728EB0E" w14:textId="77777777" w:rsidR="002B64F8" w:rsidRPr="00F07DEB" w:rsidRDefault="002B64F8" w:rsidP="00F07DEB">
            <w:pPr>
              <w:spacing w:after="0"/>
              <w:rPr>
                <w:rFonts w:ascii="Times New Roman" w:hAnsi="Times New Roman" w:cs="Times New Roman"/>
                <w:sz w:val="20"/>
                <w:szCs w:val="20"/>
              </w:rPr>
            </w:pPr>
          </w:p>
        </w:tc>
        <w:tc>
          <w:tcPr>
            <w:tcW w:w="1202" w:type="pct"/>
            <w:tcBorders>
              <w:top w:val="nil"/>
              <w:left w:val="nil"/>
              <w:bottom w:val="nil"/>
              <w:right w:val="nil"/>
            </w:tcBorders>
            <w:noWrap/>
            <w:vAlign w:val="center"/>
            <w:hideMark/>
          </w:tcPr>
          <w:p w14:paraId="31FE270F" w14:textId="5998D4CF" w:rsidR="002B64F8" w:rsidRPr="00F07DEB" w:rsidRDefault="002B64F8" w:rsidP="00F07DEB">
            <w:pPr>
              <w:spacing w:after="0"/>
              <w:rPr>
                <w:rFonts w:ascii="Times New Roman" w:hAnsi="Times New Roman" w:cs="Times New Roman"/>
                <w:sz w:val="20"/>
                <w:szCs w:val="20"/>
              </w:rPr>
            </w:pPr>
          </w:p>
        </w:tc>
        <w:tc>
          <w:tcPr>
            <w:tcW w:w="673" w:type="pct"/>
            <w:tcBorders>
              <w:top w:val="nil"/>
              <w:left w:val="nil"/>
              <w:bottom w:val="nil"/>
              <w:right w:val="nil"/>
            </w:tcBorders>
            <w:noWrap/>
            <w:vAlign w:val="center"/>
            <w:hideMark/>
          </w:tcPr>
          <w:p w14:paraId="7E2D2A83" w14:textId="77777777" w:rsidR="002B64F8" w:rsidRPr="00F07DEB" w:rsidRDefault="002B64F8" w:rsidP="00F07DEB">
            <w:pPr>
              <w:spacing w:after="0"/>
              <w:rPr>
                <w:rFonts w:ascii="Times New Roman" w:hAnsi="Times New Roman" w:cs="Times New Roman"/>
                <w:sz w:val="20"/>
                <w:szCs w:val="20"/>
              </w:rPr>
            </w:pPr>
          </w:p>
        </w:tc>
      </w:tr>
      <w:tr w:rsidR="002B64F8" w:rsidRPr="00F07DEB" w14:paraId="4C744FD7" w14:textId="77777777" w:rsidTr="000C3519">
        <w:trPr>
          <w:trHeight w:val="292"/>
        </w:trPr>
        <w:tc>
          <w:tcPr>
            <w:tcW w:w="721" w:type="pct"/>
            <w:tcBorders>
              <w:top w:val="nil"/>
              <w:left w:val="nil"/>
              <w:bottom w:val="nil"/>
              <w:right w:val="nil"/>
            </w:tcBorders>
            <w:noWrap/>
            <w:vAlign w:val="center"/>
            <w:hideMark/>
          </w:tcPr>
          <w:p w14:paraId="0CD3FAF6"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R6</w:t>
            </w:r>
          </w:p>
        </w:tc>
        <w:tc>
          <w:tcPr>
            <w:tcW w:w="674" w:type="pct"/>
            <w:tcBorders>
              <w:top w:val="nil"/>
              <w:left w:val="nil"/>
              <w:bottom w:val="nil"/>
              <w:right w:val="nil"/>
            </w:tcBorders>
            <w:noWrap/>
            <w:vAlign w:val="center"/>
            <w:hideMark/>
          </w:tcPr>
          <w:p w14:paraId="3B4F7799"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1482</w:t>
            </w:r>
          </w:p>
        </w:tc>
        <w:tc>
          <w:tcPr>
            <w:tcW w:w="144" w:type="pct"/>
            <w:tcBorders>
              <w:top w:val="nil"/>
              <w:left w:val="nil"/>
              <w:bottom w:val="nil"/>
              <w:right w:val="nil"/>
            </w:tcBorders>
            <w:vAlign w:val="center"/>
          </w:tcPr>
          <w:p w14:paraId="661AAEA7" w14:textId="77777777" w:rsidR="002B64F8" w:rsidRPr="00F07DEB" w:rsidRDefault="002B64F8" w:rsidP="00F07DEB">
            <w:pPr>
              <w:spacing w:after="0"/>
              <w:rPr>
                <w:rFonts w:ascii="Times New Roman" w:hAnsi="Times New Roman" w:cs="Times New Roman"/>
                <w:sz w:val="20"/>
                <w:szCs w:val="20"/>
              </w:rPr>
            </w:pPr>
          </w:p>
        </w:tc>
        <w:tc>
          <w:tcPr>
            <w:tcW w:w="769" w:type="pct"/>
            <w:tcBorders>
              <w:top w:val="nil"/>
              <w:left w:val="nil"/>
              <w:bottom w:val="nil"/>
              <w:right w:val="nil"/>
            </w:tcBorders>
            <w:noWrap/>
            <w:vAlign w:val="center"/>
            <w:hideMark/>
          </w:tcPr>
          <w:p w14:paraId="72AC0651" w14:textId="2A85B26C"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6</w:t>
            </w:r>
          </w:p>
        </w:tc>
        <w:tc>
          <w:tcPr>
            <w:tcW w:w="673" w:type="pct"/>
            <w:tcBorders>
              <w:top w:val="nil"/>
              <w:left w:val="nil"/>
              <w:bottom w:val="nil"/>
              <w:right w:val="nil"/>
            </w:tcBorders>
            <w:noWrap/>
            <w:vAlign w:val="center"/>
            <w:hideMark/>
          </w:tcPr>
          <w:p w14:paraId="4C7B342E"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1009</w:t>
            </w:r>
          </w:p>
        </w:tc>
        <w:tc>
          <w:tcPr>
            <w:tcW w:w="144" w:type="pct"/>
            <w:tcBorders>
              <w:top w:val="nil"/>
              <w:left w:val="nil"/>
              <w:bottom w:val="nil"/>
              <w:right w:val="nil"/>
            </w:tcBorders>
            <w:vAlign w:val="center"/>
          </w:tcPr>
          <w:p w14:paraId="22717407" w14:textId="77777777" w:rsidR="002B64F8" w:rsidRPr="00F07DEB" w:rsidRDefault="002B64F8" w:rsidP="00F07DEB">
            <w:pPr>
              <w:spacing w:after="0"/>
              <w:rPr>
                <w:rFonts w:ascii="Times New Roman" w:hAnsi="Times New Roman" w:cs="Times New Roman"/>
                <w:sz w:val="20"/>
                <w:szCs w:val="20"/>
              </w:rPr>
            </w:pPr>
          </w:p>
        </w:tc>
        <w:tc>
          <w:tcPr>
            <w:tcW w:w="1202" w:type="pct"/>
            <w:tcBorders>
              <w:top w:val="nil"/>
              <w:left w:val="nil"/>
              <w:bottom w:val="nil"/>
              <w:right w:val="nil"/>
            </w:tcBorders>
            <w:noWrap/>
            <w:vAlign w:val="center"/>
            <w:hideMark/>
          </w:tcPr>
          <w:p w14:paraId="2D8DB223" w14:textId="57CE5A77" w:rsidR="002B64F8" w:rsidRPr="00F07DEB" w:rsidRDefault="002B64F8" w:rsidP="00F07DEB">
            <w:pPr>
              <w:spacing w:after="0"/>
              <w:rPr>
                <w:rFonts w:ascii="Times New Roman" w:hAnsi="Times New Roman" w:cs="Times New Roman"/>
                <w:sz w:val="20"/>
                <w:szCs w:val="20"/>
              </w:rPr>
            </w:pPr>
          </w:p>
        </w:tc>
        <w:tc>
          <w:tcPr>
            <w:tcW w:w="673" w:type="pct"/>
            <w:tcBorders>
              <w:top w:val="nil"/>
              <w:left w:val="nil"/>
              <w:bottom w:val="nil"/>
              <w:right w:val="nil"/>
            </w:tcBorders>
            <w:noWrap/>
            <w:vAlign w:val="center"/>
            <w:hideMark/>
          </w:tcPr>
          <w:p w14:paraId="2FF7B1FF" w14:textId="77777777" w:rsidR="002B64F8" w:rsidRPr="00F07DEB" w:rsidRDefault="002B64F8" w:rsidP="00F07DEB">
            <w:pPr>
              <w:spacing w:after="0"/>
              <w:rPr>
                <w:rFonts w:ascii="Times New Roman" w:hAnsi="Times New Roman" w:cs="Times New Roman"/>
                <w:sz w:val="20"/>
                <w:szCs w:val="20"/>
              </w:rPr>
            </w:pPr>
          </w:p>
        </w:tc>
      </w:tr>
      <w:tr w:rsidR="002B64F8" w:rsidRPr="00F07DEB" w14:paraId="26FF106C" w14:textId="77777777" w:rsidTr="000C3519">
        <w:trPr>
          <w:trHeight w:val="292"/>
        </w:trPr>
        <w:tc>
          <w:tcPr>
            <w:tcW w:w="721" w:type="pct"/>
            <w:tcBorders>
              <w:top w:val="nil"/>
              <w:left w:val="nil"/>
              <w:bottom w:val="nil"/>
              <w:right w:val="nil"/>
            </w:tcBorders>
            <w:noWrap/>
            <w:vAlign w:val="center"/>
            <w:hideMark/>
          </w:tcPr>
          <w:p w14:paraId="2527BA88" w14:textId="77777777" w:rsidR="002B64F8" w:rsidRPr="00F07DEB" w:rsidRDefault="002B64F8" w:rsidP="00F07DEB">
            <w:pPr>
              <w:spacing w:after="0"/>
              <w:rPr>
                <w:rFonts w:ascii="Times New Roman" w:hAnsi="Times New Roman" w:cs="Times New Roman"/>
                <w:sz w:val="20"/>
                <w:szCs w:val="20"/>
              </w:rPr>
            </w:pPr>
          </w:p>
        </w:tc>
        <w:tc>
          <w:tcPr>
            <w:tcW w:w="674" w:type="pct"/>
            <w:tcBorders>
              <w:top w:val="nil"/>
              <w:left w:val="nil"/>
              <w:bottom w:val="nil"/>
              <w:right w:val="nil"/>
            </w:tcBorders>
            <w:noWrap/>
            <w:vAlign w:val="center"/>
            <w:hideMark/>
          </w:tcPr>
          <w:p w14:paraId="002BBB91" w14:textId="77777777" w:rsidR="002B64F8" w:rsidRPr="00F07DEB" w:rsidRDefault="002B64F8" w:rsidP="00F07DEB">
            <w:pPr>
              <w:spacing w:after="0"/>
              <w:rPr>
                <w:rFonts w:ascii="Times New Roman" w:hAnsi="Times New Roman" w:cs="Times New Roman"/>
                <w:sz w:val="20"/>
                <w:szCs w:val="20"/>
              </w:rPr>
            </w:pPr>
          </w:p>
        </w:tc>
        <w:tc>
          <w:tcPr>
            <w:tcW w:w="144" w:type="pct"/>
            <w:tcBorders>
              <w:top w:val="nil"/>
              <w:left w:val="nil"/>
              <w:bottom w:val="nil"/>
              <w:right w:val="nil"/>
            </w:tcBorders>
            <w:vAlign w:val="center"/>
          </w:tcPr>
          <w:p w14:paraId="46F2C63E" w14:textId="77777777" w:rsidR="002B64F8" w:rsidRPr="00F07DEB" w:rsidRDefault="002B64F8" w:rsidP="00F07DEB">
            <w:pPr>
              <w:spacing w:after="0"/>
              <w:rPr>
                <w:rFonts w:ascii="Times New Roman" w:hAnsi="Times New Roman" w:cs="Times New Roman"/>
                <w:sz w:val="20"/>
                <w:szCs w:val="20"/>
              </w:rPr>
            </w:pPr>
          </w:p>
        </w:tc>
        <w:tc>
          <w:tcPr>
            <w:tcW w:w="769" w:type="pct"/>
            <w:tcBorders>
              <w:top w:val="nil"/>
              <w:left w:val="nil"/>
              <w:bottom w:val="nil"/>
              <w:right w:val="nil"/>
            </w:tcBorders>
            <w:noWrap/>
            <w:vAlign w:val="center"/>
            <w:hideMark/>
          </w:tcPr>
          <w:p w14:paraId="28C75A15" w14:textId="28AB1935"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7</w:t>
            </w:r>
          </w:p>
        </w:tc>
        <w:tc>
          <w:tcPr>
            <w:tcW w:w="673" w:type="pct"/>
            <w:tcBorders>
              <w:top w:val="nil"/>
              <w:left w:val="nil"/>
              <w:bottom w:val="nil"/>
              <w:right w:val="nil"/>
            </w:tcBorders>
            <w:noWrap/>
            <w:vAlign w:val="center"/>
            <w:hideMark/>
          </w:tcPr>
          <w:p w14:paraId="02D79826"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1211</w:t>
            </w:r>
          </w:p>
        </w:tc>
        <w:tc>
          <w:tcPr>
            <w:tcW w:w="144" w:type="pct"/>
            <w:tcBorders>
              <w:top w:val="nil"/>
              <w:left w:val="nil"/>
              <w:bottom w:val="nil"/>
              <w:right w:val="nil"/>
            </w:tcBorders>
            <w:vAlign w:val="center"/>
          </w:tcPr>
          <w:p w14:paraId="5788B458" w14:textId="77777777" w:rsidR="002B64F8" w:rsidRPr="00F07DEB" w:rsidRDefault="002B64F8" w:rsidP="00F07DEB">
            <w:pPr>
              <w:spacing w:after="0"/>
              <w:rPr>
                <w:rFonts w:ascii="Times New Roman" w:hAnsi="Times New Roman" w:cs="Times New Roman"/>
                <w:sz w:val="20"/>
                <w:szCs w:val="20"/>
              </w:rPr>
            </w:pPr>
          </w:p>
        </w:tc>
        <w:tc>
          <w:tcPr>
            <w:tcW w:w="1202" w:type="pct"/>
            <w:tcBorders>
              <w:top w:val="nil"/>
              <w:left w:val="nil"/>
              <w:bottom w:val="nil"/>
              <w:right w:val="nil"/>
            </w:tcBorders>
            <w:noWrap/>
            <w:vAlign w:val="center"/>
            <w:hideMark/>
          </w:tcPr>
          <w:p w14:paraId="23F4945E" w14:textId="757D007D" w:rsidR="002B64F8" w:rsidRPr="00F07DEB" w:rsidRDefault="002B64F8" w:rsidP="00F07DEB">
            <w:pPr>
              <w:spacing w:after="0"/>
              <w:rPr>
                <w:rFonts w:ascii="Times New Roman" w:hAnsi="Times New Roman" w:cs="Times New Roman"/>
                <w:sz w:val="20"/>
                <w:szCs w:val="20"/>
              </w:rPr>
            </w:pPr>
          </w:p>
        </w:tc>
        <w:tc>
          <w:tcPr>
            <w:tcW w:w="673" w:type="pct"/>
            <w:tcBorders>
              <w:top w:val="nil"/>
              <w:left w:val="nil"/>
              <w:bottom w:val="nil"/>
              <w:right w:val="nil"/>
            </w:tcBorders>
            <w:noWrap/>
            <w:vAlign w:val="center"/>
            <w:hideMark/>
          </w:tcPr>
          <w:p w14:paraId="78EC9438" w14:textId="77777777" w:rsidR="002B64F8" w:rsidRPr="00F07DEB" w:rsidRDefault="002B64F8" w:rsidP="00F07DEB">
            <w:pPr>
              <w:spacing w:after="0"/>
              <w:rPr>
                <w:rFonts w:ascii="Times New Roman" w:hAnsi="Times New Roman" w:cs="Times New Roman"/>
                <w:sz w:val="20"/>
                <w:szCs w:val="20"/>
              </w:rPr>
            </w:pPr>
          </w:p>
        </w:tc>
      </w:tr>
      <w:tr w:rsidR="002B64F8" w:rsidRPr="00F07DEB" w14:paraId="0DBEF3CF" w14:textId="77777777" w:rsidTr="000C3519">
        <w:trPr>
          <w:trHeight w:val="292"/>
        </w:trPr>
        <w:tc>
          <w:tcPr>
            <w:tcW w:w="721" w:type="pct"/>
            <w:tcBorders>
              <w:top w:val="nil"/>
              <w:left w:val="nil"/>
              <w:bottom w:val="nil"/>
              <w:right w:val="nil"/>
            </w:tcBorders>
            <w:noWrap/>
            <w:vAlign w:val="center"/>
            <w:hideMark/>
          </w:tcPr>
          <w:p w14:paraId="2225BE40" w14:textId="77777777" w:rsidR="002B64F8" w:rsidRPr="00F07DEB" w:rsidRDefault="002B64F8" w:rsidP="00F07DEB">
            <w:pPr>
              <w:spacing w:after="0"/>
              <w:rPr>
                <w:rFonts w:ascii="Times New Roman" w:hAnsi="Times New Roman" w:cs="Times New Roman"/>
                <w:sz w:val="20"/>
                <w:szCs w:val="20"/>
              </w:rPr>
            </w:pPr>
          </w:p>
        </w:tc>
        <w:tc>
          <w:tcPr>
            <w:tcW w:w="674" w:type="pct"/>
            <w:tcBorders>
              <w:top w:val="nil"/>
              <w:left w:val="nil"/>
              <w:bottom w:val="nil"/>
              <w:right w:val="nil"/>
            </w:tcBorders>
            <w:noWrap/>
            <w:vAlign w:val="center"/>
            <w:hideMark/>
          </w:tcPr>
          <w:p w14:paraId="1D006DE0" w14:textId="77777777" w:rsidR="002B64F8" w:rsidRPr="00F07DEB" w:rsidRDefault="002B64F8" w:rsidP="00F07DEB">
            <w:pPr>
              <w:spacing w:after="0"/>
              <w:rPr>
                <w:rFonts w:ascii="Times New Roman" w:hAnsi="Times New Roman" w:cs="Times New Roman"/>
                <w:sz w:val="20"/>
                <w:szCs w:val="20"/>
              </w:rPr>
            </w:pPr>
          </w:p>
        </w:tc>
        <w:tc>
          <w:tcPr>
            <w:tcW w:w="144" w:type="pct"/>
            <w:tcBorders>
              <w:top w:val="nil"/>
              <w:left w:val="nil"/>
              <w:bottom w:val="nil"/>
              <w:right w:val="nil"/>
            </w:tcBorders>
            <w:vAlign w:val="center"/>
          </w:tcPr>
          <w:p w14:paraId="66FB8370" w14:textId="77777777" w:rsidR="002B64F8" w:rsidRPr="00F07DEB" w:rsidRDefault="002B64F8" w:rsidP="00F07DEB">
            <w:pPr>
              <w:spacing w:after="0"/>
              <w:rPr>
                <w:rFonts w:ascii="Times New Roman" w:hAnsi="Times New Roman" w:cs="Times New Roman"/>
                <w:sz w:val="20"/>
                <w:szCs w:val="20"/>
              </w:rPr>
            </w:pPr>
          </w:p>
        </w:tc>
        <w:tc>
          <w:tcPr>
            <w:tcW w:w="769" w:type="pct"/>
            <w:tcBorders>
              <w:top w:val="nil"/>
              <w:left w:val="nil"/>
              <w:bottom w:val="nil"/>
              <w:right w:val="nil"/>
            </w:tcBorders>
            <w:noWrap/>
            <w:vAlign w:val="center"/>
            <w:hideMark/>
          </w:tcPr>
          <w:p w14:paraId="3483EEEF" w14:textId="6AAC1701"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8</w:t>
            </w:r>
          </w:p>
        </w:tc>
        <w:tc>
          <w:tcPr>
            <w:tcW w:w="673" w:type="pct"/>
            <w:tcBorders>
              <w:top w:val="nil"/>
              <w:left w:val="nil"/>
              <w:bottom w:val="nil"/>
              <w:right w:val="nil"/>
            </w:tcBorders>
            <w:noWrap/>
            <w:vAlign w:val="center"/>
            <w:hideMark/>
          </w:tcPr>
          <w:p w14:paraId="44722862"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1376</w:t>
            </w:r>
          </w:p>
        </w:tc>
        <w:tc>
          <w:tcPr>
            <w:tcW w:w="144" w:type="pct"/>
            <w:tcBorders>
              <w:top w:val="nil"/>
              <w:left w:val="nil"/>
              <w:bottom w:val="nil"/>
              <w:right w:val="nil"/>
            </w:tcBorders>
            <w:vAlign w:val="center"/>
          </w:tcPr>
          <w:p w14:paraId="452D647E" w14:textId="77777777" w:rsidR="002B64F8" w:rsidRPr="00F07DEB" w:rsidRDefault="002B64F8" w:rsidP="00F07DEB">
            <w:pPr>
              <w:spacing w:after="0"/>
              <w:rPr>
                <w:rFonts w:ascii="Times New Roman" w:hAnsi="Times New Roman" w:cs="Times New Roman"/>
                <w:sz w:val="20"/>
                <w:szCs w:val="20"/>
              </w:rPr>
            </w:pPr>
          </w:p>
        </w:tc>
        <w:tc>
          <w:tcPr>
            <w:tcW w:w="1202" w:type="pct"/>
            <w:tcBorders>
              <w:top w:val="nil"/>
              <w:left w:val="nil"/>
              <w:bottom w:val="nil"/>
              <w:right w:val="nil"/>
            </w:tcBorders>
            <w:noWrap/>
            <w:vAlign w:val="center"/>
            <w:hideMark/>
          </w:tcPr>
          <w:p w14:paraId="6A83FE1B" w14:textId="327B7467" w:rsidR="002B64F8" w:rsidRPr="00F07DEB" w:rsidRDefault="002B64F8" w:rsidP="00F07DEB">
            <w:pPr>
              <w:spacing w:after="0"/>
              <w:rPr>
                <w:rFonts w:ascii="Times New Roman" w:hAnsi="Times New Roman" w:cs="Times New Roman"/>
                <w:sz w:val="20"/>
                <w:szCs w:val="20"/>
              </w:rPr>
            </w:pPr>
          </w:p>
        </w:tc>
        <w:tc>
          <w:tcPr>
            <w:tcW w:w="673" w:type="pct"/>
            <w:tcBorders>
              <w:top w:val="nil"/>
              <w:left w:val="nil"/>
              <w:bottom w:val="nil"/>
              <w:right w:val="nil"/>
            </w:tcBorders>
            <w:noWrap/>
            <w:vAlign w:val="center"/>
            <w:hideMark/>
          </w:tcPr>
          <w:p w14:paraId="64B84F16" w14:textId="77777777" w:rsidR="002B64F8" w:rsidRPr="00F07DEB" w:rsidRDefault="002B64F8" w:rsidP="00F07DEB">
            <w:pPr>
              <w:spacing w:after="0"/>
              <w:rPr>
                <w:rFonts w:ascii="Times New Roman" w:hAnsi="Times New Roman" w:cs="Times New Roman"/>
                <w:sz w:val="20"/>
                <w:szCs w:val="20"/>
              </w:rPr>
            </w:pPr>
          </w:p>
        </w:tc>
      </w:tr>
      <w:tr w:rsidR="002B64F8" w:rsidRPr="00F07DEB" w14:paraId="7BB09582" w14:textId="77777777" w:rsidTr="000C3519">
        <w:trPr>
          <w:trHeight w:val="292"/>
        </w:trPr>
        <w:tc>
          <w:tcPr>
            <w:tcW w:w="721" w:type="pct"/>
            <w:tcBorders>
              <w:top w:val="nil"/>
              <w:left w:val="nil"/>
              <w:bottom w:val="single" w:sz="8" w:space="0" w:color="auto"/>
              <w:right w:val="nil"/>
            </w:tcBorders>
            <w:noWrap/>
            <w:vAlign w:val="center"/>
            <w:hideMark/>
          </w:tcPr>
          <w:p w14:paraId="719C067E" w14:textId="77777777" w:rsidR="002B64F8" w:rsidRPr="00F07DEB" w:rsidRDefault="002B64F8" w:rsidP="00F07DEB">
            <w:pPr>
              <w:spacing w:after="0"/>
              <w:rPr>
                <w:rFonts w:ascii="Times New Roman" w:hAnsi="Times New Roman" w:cs="Times New Roman"/>
                <w:sz w:val="20"/>
                <w:szCs w:val="20"/>
              </w:rPr>
            </w:pPr>
          </w:p>
        </w:tc>
        <w:tc>
          <w:tcPr>
            <w:tcW w:w="674" w:type="pct"/>
            <w:tcBorders>
              <w:top w:val="nil"/>
              <w:left w:val="nil"/>
              <w:bottom w:val="single" w:sz="8" w:space="0" w:color="auto"/>
              <w:right w:val="nil"/>
            </w:tcBorders>
            <w:noWrap/>
            <w:vAlign w:val="center"/>
            <w:hideMark/>
          </w:tcPr>
          <w:p w14:paraId="09B1F5C1" w14:textId="77777777" w:rsidR="002B64F8" w:rsidRPr="00F07DEB" w:rsidRDefault="002B64F8" w:rsidP="00F07DEB">
            <w:pPr>
              <w:spacing w:after="0"/>
              <w:rPr>
                <w:rFonts w:ascii="Times New Roman" w:hAnsi="Times New Roman" w:cs="Times New Roman"/>
                <w:sz w:val="20"/>
                <w:szCs w:val="20"/>
              </w:rPr>
            </w:pPr>
          </w:p>
        </w:tc>
        <w:tc>
          <w:tcPr>
            <w:tcW w:w="144" w:type="pct"/>
            <w:tcBorders>
              <w:top w:val="nil"/>
              <w:left w:val="nil"/>
              <w:bottom w:val="single" w:sz="8" w:space="0" w:color="auto"/>
              <w:right w:val="nil"/>
            </w:tcBorders>
            <w:vAlign w:val="center"/>
          </w:tcPr>
          <w:p w14:paraId="2504ABFD" w14:textId="77777777" w:rsidR="002B64F8" w:rsidRPr="00F07DEB" w:rsidRDefault="002B64F8" w:rsidP="00F07DEB">
            <w:pPr>
              <w:spacing w:after="0"/>
              <w:rPr>
                <w:rFonts w:ascii="Times New Roman" w:hAnsi="Times New Roman" w:cs="Times New Roman"/>
                <w:sz w:val="20"/>
                <w:szCs w:val="20"/>
              </w:rPr>
            </w:pPr>
          </w:p>
        </w:tc>
        <w:tc>
          <w:tcPr>
            <w:tcW w:w="769" w:type="pct"/>
            <w:tcBorders>
              <w:top w:val="nil"/>
              <w:left w:val="nil"/>
              <w:bottom w:val="single" w:sz="8" w:space="0" w:color="auto"/>
              <w:right w:val="nil"/>
            </w:tcBorders>
            <w:noWrap/>
            <w:vAlign w:val="center"/>
            <w:hideMark/>
          </w:tcPr>
          <w:p w14:paraId="0B2DA8D6" w14:textId="59EE461D"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9</w:t>
            </w:r>
          </w:p>
        </w:tc>
        <w:tc>
          <w:tcPr>
            <w:tcW w:w="673" w:type="pct"/>
            <w:tcBorders>
              <w:top w:val="nil"/>
              <w:left w:val="nil"/>
              <w:bottom w:val="single" w:sz="8" w:space="0" w:color="auto"/>
              <w:right w:val="nil"/>
            </w:tcBorders>
            <w:noWrap/>
            <w:vAlign w:val="center"/>
            <w:hideMark/>
          </w:tcPr>
          <w:p w14:paraId="71B2C44C" w14:textId="77777777" w:rsidR="002B64F8" w:rsidRPr="00F07DEB" w:rsidRDefault="002B64F8" w:rsidP="00F07DEB">
            <w:pPr>
              <w:spacing w:after="0"/>
              <w:rPr>
                <w:rFonts w:ascii="Times New Roman" w:hAnsi="Times New Roman" w:cs="Times New Roman"/>
                <w:sz w:val="20"/>
                <w:szCs w:val="20"/>
              </w:rPr>
            </w:pPr>
            <w:r w:rsidRPr="00F07DEB">
              <w:rPr>
                <w:rFonts w:ascii="Times New Roman" w:hAnsi="Times New Roman" w:cs="Times New Roman"/>
                <w:sz w:val="20"/>
                <w:szCs w:val="20"/>
              </w:rPr>
              <w:t>1467</w:t>
            </w:r>
          </w:p>
        </w:tc>
        <w:tc>
          <w:tcPr>
            <w:tcW w:w="144" w:type="pct"/>
            <w:tcBorders>
              <w:top w:val="nil"/>
              <w:left w:val="nil"/>
              <w:bottom w:val="single" w:sz="8" w:space="0" w:color="auto"/>
              <w:right w:val="nil"/>
            </w:tcBorders>
            <w:vAlign w:val="center"/>
          </w:tcPr>
          <w:p w14:paraId="1838AA7D" w14:textId="77777777" w:rsidR="002B64F8" w:rsidRPr="00F07DEB" w:rsidRDefault="002B64F8" w:rsidP="00F07DEB">
            <w:pPr>
              <w:spacing w:after="0"/>
              <w:rPr>
                <w:rFonts w:ascii="Times New Roman" w:hAnsi="Times New Roman" w:cs="Times New Roman"/>
                <w:sz w:val="20"/>
                <w:szCs w:val="20"/>
              </w:rPr>
            </w:pPr>
          </w:p>
        </w:tc>
        <w:tc>
          <w:tcPr>
            <w:tcW w:w="1202" w:type="pct"/>
            <w:tcBorders>
              <w:top w:val="nil"/>
              <w:left w:val="nil"/>
              <w:bottom w:val="single" w:sz="8" w:space="0" w:color="auto"/>
              <w:right w:val="nil"/>
            </w:tcBorders>
            <w:noWrap/>
            <w:vAlign w:val="center"/>
            <w:hideMark/>
          </w:tcPr>
          <w:p w14:paraId="72219E67" w14:textId="7974FDC7" w:rsidR="002B64F8" w:rsidRPr="00F07DEB" w:rsidRDefault="002B64F8" w:rsidP="00F07DEB">
            <w:pPr>
              <w:spacing w:after="0"/>
              <w:rPr>
                <w:rFonts w:ascii="Times New Roman" w:hAnsi="Times New Roman" w:cs="Times New Roman"/>
                <w:sz w:val="20"/>
                <w:szCs w:val="20"/>
              </w:rPr>
            </w:pPr>
          </w:p>
        </w:tc>
        <w:tc>
          <w:tcPr>
            <w:tcW w:w="673" w:type="pct"/>
            <w:tcBorders>
              <w:top w:val="nil"/>
              <w:left w:val="nil"/>
              <w:bottom w:val="single" w:sz="8" w:space="0" w:color="auto"/>
              <w:right w:val="nil"/>
            </w:tcBorders>
            <w:noWrap/>
            <w:vAlign w:val="center"/>
            <w:hideMark/>
          </w:tcPr>
          <w:p w14:paraId="0EC6CCEF" w14:textId="77777777" w:rsidR="002B64F8" w:rsidRPr="00F07DEB" w:rsidRDefault="002B64F8" w:rsidP="00F07DEB">
            <w:pPr>
              <w:spacing w:after="0"/>
              <w:rPr>
                <w:rFonts w:ascii="Times New Roman" w:hAnsi="Times New Roman" w:cs="Times New Roman"/>
                <w:sz w:val="20"/>
                <w:szCs w:val="20"/>
              </w:rPr>
            </w:pPr>
          </w:p>
        </w:tc>
      </w:tr>
    </w:tbl>
    <w:p w14:paraId="69EBD90B" w14:textId="39A9C535" w:rsidR="00641A81" w:rsidRDefault="00641A81" w:rsidP="008E00E7">
      <w:pPr>
        <w:spacing w:line="480" w:lineRule="auto"/>
        <w:rPr>
          <w:rFonts w:ascii="Times New Roman" w:hAnsi="Times New Roman" w:cs="Times New Roman"/>
          <w:sz w:val="24"/>
          <w:szCs w:val="24"/>
        </w:rPr>
      </w:pPr>
    </w:p>
    <w:p w14:paraId="234C1AB8" w14:textId="1FA7F474" w:rsidR="002B64F8" w:rsidRPr="00F07DEB" w:rsidRDefault="00641A81" w:rsidP="00641A81">
      <w:pPr>
        <w:rPr>
          <w:rFonts w:ascii="Times New Roman" w:hAnsi="Times New Roman" w:cs="Times New Roman"/>
          <w:sz w:val="24"/>
          <w:szCs w:val="24"/>
        </w:rPr>
      </w:pPr>
      <w:r>
        <w:rPr>
          <w:rFonts w:ascii="Times New Roman" w:hAnsi="Times New Roman" w:cs="Times New Roman"/>
          <w:sz w:val="24"/>
          <w:szCs w:val="24"/>
        </w:rPr>
        <w:br w:type="page"/>
      </w:r>
    </w:p>
    <w:p w14:paraId="4FADCDB8" w14:textId="3CAD3CB0" w:rsidR="006B24F7" w:rsidRPr="00F07DEB" w:rsidRDefault="00AC2B36" w:rsidP="001B7F1C">
      <w:pPr>
        <w:pStyle w:val="Heading1"/>
        <w:spacing w:line="480" w:lineRule="auto"/>
        <w:contextualSpacing w:val="0"/>
      </w:pPr>
      <w:bookmarkStart w:id="21" w:name="_Toc58975153"/>
      <w:r w:rsidRPr="00F07DEB">
        <w:lastRenderedPageBreak/>
        <w:t>Hypotheses</w:t>
      </w:r>
      <w:r w:rsidR="00B71023" w:rsidRPr="00F07DEB">
        <w:t>,</w:t>
      </w:r>
      <w:r w:rsidRPr="00F07DEB">
        <w:t xml:space="preserve"> Objectives</w:t>
      </w:r>
      <w:r w:rsidR="00B71023" w:rsidRPr="00F07DEB">
        <w:t>, and Goals</w:t>
      </w:r>
      <w:bookmarkEnd w:id="21"/>
    </w:p>
    <w:p w14:paraId="37658840" w14:textId="099675E2" w:rsidR="008037E2" w:rsidRPr="00F07DEB" w:rsidRDefault="008037E2" w:rsidP="008037E2">
      <w:pPr>
        <w:pStyle w:val="ListParagraph"/>
        <w:numPr>
          <w:ilvl w:val="1"/>
          <w:numId w:val="1"/>
        </w:numPr>
        <w:spacing w:line="240" w:lineRule="auto"/>
        <w:ind w:left="1166"/>
        <w:contextualSpacing w:val="0"/>
        <w:rPr>
          <w:rFonts w:ascii="Times New Roman" w:hAnsi="Times New Roman" w:cs="Times New Roman"/>
          <w:sz w:val="24"/>
          <w:szCs w:val="24"/>
        </w:rPr>
      </w:pPr>
      <w:bookmarkStart w:id="22" w:name="_Toc37108670"/>
      <w:r w:rsidRPr="00F07DEB">
        <w:rPr>
          <w:rFonts w:ascii="Times New Roman" w:hAnsi="Times New Roman" w:cs="Times New Roman"/>
          <w:sz w:val="24"/>
          <w:szCs w:val="24"/>
        </w:rPr>
        <w:t>The hypotheses for this research are:</w:t>
      </w:r>
    </w:p>
    <w:bookmarkEnd w:id="22"/>
    <w:p w14:paraId="119B24E5" w14:textId="4BCD08B7" w:rsidR="0050106C" w:rsidRDefault="0050106C" w:rsidP="00F8101B">
      <w:pPr>
        <w:pStyle w:val="ListParagraph"/>
        <w:numPr>
          <w:ilvl w:val="3"/>
          <w:numId w:val="1"/>
        </w:numPr>
        <w:spacing w:line="480" w:lineRule="auto"/>
        <w:ind w:left="1800"/>
        <w:contextualSpacing w:val="0"/>
        <w:rPr>
          <w:rFonts w:ascii="Times New Roman" w:hAnsi="Times New Roman" w:cs="Times New Roman"/>
          <w:sz w:val="24"/>
          <w:szCs w:val="24"/>
        </w:rPr>
      </w:pPr>
      <w:r>
        <w:rPr>
          <w:rFonts w:ascii="Times New Roman" w:hAnsi="Times New Roman" w:cs="Times New Roman"/>
          <w:sz w:val="24"/>
          <w:szCs w:val="24"/>
        </w:rPr>
        <w:t>Livestock consumption of treated mine drainage would expose cattle to chemical concentrations greater than accepted criteria</w:t>
      </w:r>
    </w:p>
    <w:p w14:paraId="4F2B3406" w14:textId="44FF7386" w:rsidR="0073044E" w:rsidRPr="00F07DEB" w:rsidRDefault="00D301C0" w:rsidP="00F8101B">
      <w:pPr>
        <w:pStyle w:val="ListParagraph"/>
        <w:numPr>
          <w:ilvl w:val="3"/>
          <w:numId w:val="1"/>
        </w:numPr>
        <w:spacing w:line="480" w:lineRule="auto"/>
        <w:ind w:left="1800"/>
        <w:contextualSpacing w:val="0"/>
        <w:rPr>
          <w:rFonts w:ascii="Times New Roman" w:hAnsi="Times New Roman" w:cs="Times New Roman"/>
          <w:sz w:val="24"/>
          <w:szCs w:val="24"/>
        </w:rPr>
      </w:pPr>
      <w:r w:rsidRPr="00F07DEB">
        <w:rPr>
          <w:rFonts w:ascii="Times New Roman" w:hAnsi="Times New Roman" w:cs="Times New Roman"/>
          <w:sz w:val="24"/>
          <w:szCs w:val="24"/>
        </w:rPr>
        <w:t>Select c</w:t>
      </w:r>
      <w:r w:rsidR="00571E67" w:rsidRPr="00F07DEB">
        <w:rPr>
          <w:rFonts w:ascii="Times New Roman" w:hAnsi="Times New Roman" w:cs="Times New Roman"/>
          <w:sz w:val="24"/>
          <w:szCs w:val="24"/>
        </w:rPr>
        <w:t xml:space="preserve">rops irrigated with treated mine drainage will not exhibit significant </w:t>
      </w:r>
      <w:r w:rsidR="00B7048A" w:rsidRPr="00F07DEB">
        <w:rPr>
          <w:rFonts w:ascii="Times New Roman" w:hAnsi="Times New Roman" w:cs="Times New Roman"/>
          <w:sz w:val="24"/>
          <w:szCs w:val="24"/>
        </w:rPr>
        <w:t>reductions</w:t>
      </w:r>
      <w:r w:rsidR="00571E67" w:rsidRPr="00F07DEB">
        <w:rPr>
          <w:rFonts w:ascii="Times New Roman" w:hAnsi="Times New Roman" w:cs="Times New Roman"/>
          <w:sz w:val="24"/>
          <w:szCs w:val="24"/>
        </w:rPr>
        <w:t xml:space="preserve"> in biomass production when compared to crops irrigated with groundwater</w:t>
      </w:r>
    </w:p>
    <w:p w14:paraId="4777BA46" w14:textId="6460E80B" w:rsidR="0073044E" w:rsidRPr="00F07DEB" w:rsidRDefault="00D301C0" w:rsidP="009C3E4A">
      <w:pPr>
        <w:pStyle w:val="ListParagraph"/>
        <w:numPr>
          <w:ilvl w:val="3"/>
          <w:numId w:val="1"/>
        </w:numPr>
        <w:spacing w:line="480" w:lineRule="auto"/>
        <w:ind w:left="1800"/>
        <w:contextualSpacing w:val="0"/>
        <w:rPr>
          <w:rFonts w:ascii="Times New Roman" w:hAnsi="Times New Roman" w:cs="Times New Roman"/>
          <w:sz w:val="24"/>
          <w:szCs w:val="24"/>
        </w:rPr>
      </w:pPr>
      <w:r w:rsidRPr="00F07DEB">
        <w:rPr>
          <w:rFonts w:ascii="Times New Roman" w:hAnsi="Times New Roman" w:cs="Times New Roman"/>
          <w:sz w:val="24"/>
          <w:szCs w:val="24"/>
        </w:rPr>
        <w:t xml:space="preserve">Select crops </w:t>
      </w:r>
      <w:r w:rsidR="00571E67" w:rsidRPr="00F07DEB">
        <w:rPr>
          <w:rFonts w:ascii="Times New Roman" w:hAnsi="Times New Roman" w:cs="Times New Roman"/>
          <w:sz w:val="24"/>
          <w:szCs w:val="24"/>
        </w:rPr>
        <w:t xml:space="preserve">irrigated with treated mine drainage will experience elevated </w:t>
      </w:r>
      <w:r w:rsidR="00CC1DC0" w:rsidRPr="00F07DEB">
        <w:rPr>
          <w:rFonts w:ascii="Times New Roman" w:hAnsi="Times New Roman" w:cs="Times New Roman"/>
          <w:sz w:val="24"/>
          <w:szCs w:val="24"/>
        </w:rPr>
        <w:t xml:space="preserve">recoverable </w:t>
      </w:r>
      <w:r w:rsidR="00571E67" w:rsidRPr="00F07DEB">
        <w:rPr>
          <w:rFonts w:ascii="Times New Roman" w:hAnsi="Times New Roman" w:cs="Times New Roman"/>
          <w:sz w:val="24"/>
          <w:szCs w:val="24"/>
        </w:rPr>
        <w:t xml:space="preserve">metals concentrations in above- </w:t>
      </w:r>
      <w:r w:rsidR="00AB6A8B">
        <w:rPr>
          <w:rFonts w:ascii="Times New Roman" w:hAnsi="Times New Roman" w:cs="Times New Roman"/>
          <w:sz w:val="24"/>
          <w:szCs w:val="24"/>
        </w:rPr>
        <w:t>or</w:t>
      </w:r>
      <w:r w:rsidR="00571E67" w:rsidRPr="00F07DEB">
        <w:rPr>
          <w:rFonts w:ascii="Times New Roman" w:hAnsi="Times New Roman" w:cs="Times New Roman"/>
          <w:sz w:val="24"/>
          <w:szCs w:val="24"/>
        </w:rPr>
        <w:t xml:space="preserve"> </w:t>
      </w:r>
      <w:r w:rsidR="00355EB3" w:rsidRPr="00F07DEB">
        <w:rPr>
          <w:rFonts w:ascii="Times New Roman" w:hAnsi="Times New Roman" w:cs="Times New Roman"/>
          <w:sz w:val="24"/>
          <w:szCs w:val="24"/>
        </w:rPr>
        <w:t>belowground</w:t>
      </w:r>
      <w:r w:rsidR="00571E67" w:rsidRPr="00F07DEB">
        <w:rPr>
          <w:rFonts w:ascii="Times New Roman" w:hAnsi="Times New Roman" w:cs="Times New Roman"/>
          <w:sz w:val="24"/>
          <w:szCs w:val="24"/>
        </w:rPr>
        <w:t xml:space="preserve"> biomass</w:t>
      </w:r>
      <w:r w:rsidR="009C3E4A" w:rsidRPr="00F07DEB">
        <w:rPr>
          <w:rFonts w:ascii="Times New Roman" w:hAnsi="Times New Roman" w:cs="Times New Roman"/>
          <w:sz w:val="24"/>
          <w:szCs w:val="24"/>
        </w:rPr>
        <w:t xml:space="preserve"> compared to crops irrigated with groundwater</w:t>
      </w:r>
    </w:p>
    <w:p w14:paraId="5731DF14" w14:textId="5B1F1D73" w:rsidR="0073044E" w:rsidRPr="00F07DEB" w:rsidRDefault="00C160CE" w:rsidP="00C22158">
      <w:pPr>
        <w:pStyle w:val="ListParagraph"/>
        <w:numPr>
          <w:ilvl w:val="3"/>
          <w:numId w:val="1"/>
        </w:numPr>
        <w:spacing w:line="480" w:lineRule="auto"/>
        <w:ind w:left="1800"/>
        <w:contextualSpacing w:val="0"/>
        <w:rPr>
          <w:rFonts w:ascii="Times New Roman" w:hAnsi="Times New Roman" w:cs="Times New Roman"/>
          <w:sz w:val="24"/>
          <w:szCs w:val="24"/>
        </w:rPr>
      </w:pPr>
      <w:r w:rsidRPr="00F07DEB">
        <w:rPr>
          <w:rFonts w:ascii="Times New Roman" w:hAnsi="Times New Roman" w:cs="Times New Roman"/>
          <w:sz w:val="24"/>
          <w:szCs w:val="24"/>
        </w:rPr>
        <w:t xml:space="preserve">Soils irrigated with treated mine drainage will experience elevated </w:t>
      </w:r>
      <w:r w:rsidR="00CC1DC0" w:rsidRPr="00F07DEB">
        <w:rPr>
          <w:rFonts w:ascii="Times New Roman" w:hAnsi="Times New Roman" w:cs="Times New Roman"/>
          <w:sz w:val="24"/>
          <w:szCs w:val="24"/>
        </w:rPr>
        <w:t xml:space="preserve">recoverable </w:t>
      </w:r>
      <w:r w:rsidRPr="00F07DEB">
        <w:rPr>
          <w:rFonts w:ascii="Times New Roman" w:hAnsi="Times New Roman" w:cs="Times New Roman"/>
          <w:sz w:val="24"/>
          <w:szCs w:val="24"/>
        </w:rPr>
        <w:t>metals concentrations</w:t>
      </w:r>
      <w:r w:rsidR="009C3E4A" w:rsidRPr="00F07DEB">
        <w:rPr>
          <w:rFonts w:ascii="Times New Roman" w:hAnsi="Times New Roman" w:cs="Times New Roman"/>
          <w:sz w:val="24"/>
          <w:szCs w:val="24"/>
        </w:rPr>
        <w:t xml:space="preserve"> compared to </w:t>
      </w:r>
      <w:r w:rsidR="00DE0283">
        <w:rPr>
          <w:rFonts w:ascii="Times New Roman" w:hAnsi="Times New Roman" w:cs="Times New Roman"/>
          <w:sz w:val="24"/>
          <w:szCs w:val="24"/>
        </w:rPr>
        <w:t>soils</w:t>
      </w:r>
      <w:r w:rsidR="009C3E4A" w:rsidRPr="00F07DEB">
        <w:rPr>
          <w:rFonts w:ascii="Times New Roman" w:hAnsi="Times New Roman" w:cs="Times New Roman"/>
          <w:sz w:val="24"/>
          <w:szCs w:val="24"/>
        </w:rPr>
        <w:t xml:space="preserve"> irrigated with groundwater</w:t>
      </w:r>
    </w:p>
    <w:p w14:paraId="2F47DF54" w14:textId="7647C5CA" w:rsidR="0073044E" w:rsidRPr="00F07DEB" w:rsidRDefault="00E313AB" w:rsidP="008037E2">
      <w:pPr>
        <w:pStyle w:val="ListParagraph"/>
        <w:numPr>
          <w:ilvl w:val="1"/>
          <w:numId w:val="1"/>
        </w:numPr>
        <w:spacing w:line="240" w:lineRule="auto"/>
        <w:ind w:left="1166"/>
        <w:contextualSpacing w:val="0"/>
        <w:rPr>
          <w:rFonts w:ascii="Times New Roman" w:hAnsi="Times New Roman" w:cs="Times New Roman"/>
          <w:sz w:val="24"/>
          <w:szCs w:val="24"/>
        </w:rPr>
      </w:pPr>
      <w:r w:rsidRPr="00F07DEB">
        <w:rPr>
          <w:rFonts w:ascii="Times New Roman" w:hAnsi="Times New Roman" w:cs="Times New Roman"/>
          <w:sz w:val="24"/>
          <w:szCs w:val="24"/>
        </w:rPr>
        <w:t>The o</w:t>
      </w:r>
      <w:r w:rsidR="0073044E" w:rsidRPr="00F07DEB">
        <w:rPr>
          <w:rFonts w:ascii="Times New Roman" w:hAnsi="Times New Roman" w:cs="Times New Roman"/>
          <w:sz w:val="24"/>
          <w:szCs w:val="24"/>
        </w:rPr>
        <w:t>bjectives</w:t>
      </w:r>
      <w:r w:rsidRPr="00F07DEB">
        <w:rPr>
          <w:rFonts w:ascii="Times New Roman" w:hAnsi="Times New Roman" w:cs="Times New Roman"/>
          <w:sz w:val="24"/>
          <w:szCs w:val="24"/>
        </w:rPr>
        <w:t xml:space="preserve"> for this research are</w:t>
      </w:r>
      <w:r w:rsidR="00EA19E7" w:rsidRPr="00F07DEB">
        <w:rPr>
          <w:rFonts w:ascii="Times New Roman" w:hAnsi="Times New Roman" w:cs="Times New Roman"/>
          <w:sz w:val="24"/>
          <w:szCs w:val="24"/>
        </w:rPr>
        <w:t>:</w:t>
      </w:r>
    </w:p>
    <w:p w14:paraId="59B3BC4C" w14:textId="29BA6C52" w:rsidR="00666B9C" w:rsidRDefault="00666B9C" w:rsidP="00C22158">
      <w:pPr>
        <w:pStyle w:val="ListParagraph"/>
        <w:numPr>
          <w:ilvl w:val="3"/>
          <w:numId w:val="1"/>
        </w:numPr>
        <w:spacing w:line="480" w:lineRule="auto"/>
        <w:ind w:left="1800"/>
        <w:contextualSpacing w:val="0"/>
        <w:rPr>
          <w:rFonts w:ascii="Times New Roman" w:hAnsi="Times New Roman" w:cs="Times New Roman"/>
          <w:sz w:val="24"/>
          <w:szCs w:val="24"/>
        </w:rPr>
      </w:pPr>
      <w:r>
        <w:rPr>
          <w:rFonts w:ascii="Times New Roman" w:hAnsi="Times New Roman" w:cs="Times New Roman"/>
          <w:sz w:val="24"/>
        </w:rPr>
        <w:t xml:space="preserve">Examine </w:t>
      </w:r>
      <w:r w:rsidRPr="00F07DEB">
        <w:rPr>
          <w:rFonts w:ascii="Times New Roman" w:hAnsi="Times New Roman" w:cs="Times New Roman"/>
          <w:sz w:val="24"/>
        </w:rPr>
        <w:t xml:space="preserve">MRPTS effluent quality to understand </w:t>
      </w:r>
      <w:r w:rsidR="0050106C">
        <w:rPr>
          <w:rFonts w:ascii="Times New Roman" w:hAnsi="Times New Roman" w:cs="Times New Roman"/>
          <w:sz w:val="24"/>
        </w:rPr>
        <w:t xml:space="preserve">if </w:t>
      </w:r>
      <w:r w:rsidRPr="00F07DEB">
        <w:rPr>
          <w:rFonts w:ascii="Times New Roman" w:hAnsi="Times New Roman" w:cs="Times New Roman"/>
          <w:sz w:val="24"/>
        </w:rPr>
        <w:t xml:space="preserve">it </w:t>
      </w:r>
      <w:r w:rsidR="0050106C">
        <w:rPr>
          <w:rFonts w:ascii="Times New Roman" w:hAnsi="Times New Roman" w:cs="Times New Roman"/>
          <w:sz w:val="24"/>
        </w:rPr>
        <w:t>could</w:t>
      </w:r>
      <w:r w:rsidRPr="00F07DEB">
        <w:rPr>
          <w:rFonts w:ascii="Times New Roman" w:hAnsi="Times New Roman" w:cs="Times New Roman"/>
          <w:sz w:val="24"/>
        </w:rPr>
        <w:t xml:space="preserve"> be benefi</w:t>
      </w:r>
      <w:r>
        <w:rPr>
          <w:rFonts w:ascii="Times New Roman" w:hAnsi="Times New Roman" w:cs="Times New Roman"/>
          <w:sz w:val="24"/>
        </w:rPr>
        <w:t>cially reused in raising cattle</w:t>
      </w:r>
      <w:r w:rsidRPr="00F07DEB">
        <w:rPr>
          <w:rFonts w:ascii="Times New Roman" w:hAnsi="Times New Roman" w:cs="Times New Roman"/>
          <w:sz w:val="24"/>
        </w:rPr>
        <w:t xml:space="preserve"> and how the consumption of treated mine drainage might affect the growth, reproduction, and productivity of livestock</w:t>
      </w:r>
    </w:p>
    <w:p w14:paraId="734F63EB" w14:textId="577125CC" w:rsidR="0073044E" w:rsidRPr="00F07DEB" w:rsidRDefault="00ED3498" w:rsidP="00C22158">
      <w:pPr>
        <w:pStyle w:val="ListParagraph"/>
        <w:numPr>
          <w:ilvl w:val="3"/>
          <w:numId w:val="1"/>
        </w:numPr>
        <w:spacing w:line="480" w:lineRule="auto"/>
        <w:ind w:left="1800"/>
        <w:contextualSpacing w:val="0"/>
        <w:rPr>
          <w:rFonts w:ascii="Times New Roman" w:hAnsi="Times New Roman" w:cs="Times New Roman"/>
          <w:sz w:val="24"/>
          <w:szCs w:val="24"/>
        </w:rPr>
      </w:pPr>
      <w:r w:rsidRPr="00F07DEB">
        <w:rPr>
          <w:rFonts w:ascii="Times New Roman" w:hAnsi="Times New Roman" w:cs="Times New Roman"/>
          <w:sz w:val="24"/>
          <w:szCs w:val="24"/>
        </w:rPr>
        <w:t>Evaluate biomass production of three Oklahoma crops irrigated with either passively-treated mine drainage or groundwater during a series of common garden experiments</w:t>
      </w:r>
    </w:p>
    <w:p w14:paraId="6CF20AEB" w14:textId="77777777" w:rsidR="00DB7064" w:rsidRDefault="00185284" w:rsidP="00DB7064">
      <w:pPr>
        <w:pStyle w:val="ListParagraph"/>
        <w:numPr>
          <w:ilvl w:val="3"/>
          <w:numId w:val="1"/>
        </w:numPr>
        <w:spacing w:line="480" w:lineRule="auto"/>
        <w:ind w:left="1800"/>
        <w:contextualSpacing w:val="0"/>
        <w:rPr>
          <w:rFonts w:ascii="Times New Roman" w:hAnsi="Times New Roman" w:cs="Times New Roman"/>
          <w:sz w:val="24"/>
          <w:szCs w:val="24"/>
        </w:rPr>
      </w:pPr>
      <w:r w:rsidRPr="00F07DEB">
        <w:rPr>
          <w:rFonts w:ascii="Times New Roman" w:hAnsi="Times New Roman" w:cs="Times New Roman"/>
          <w:sz w:val="24"/>
          <w:szCs w:val="24"/>
        </w:rPr>
        <w:t xml:space="preserve">Determine </w:t>
      </w:r>
      <w:r w:rsidR="00CC1DC0" w:rsidRPr="00F07DEB">
        <w:rPr>
          <w:rFonts w:ascii="Times New Roman" w:hAnsi="Times New Roman" w:cs="Times New Roman"/>
          <w:sz w:val="24"/>
          <w:szCs w:val="24"/>
        </w:rPr>
        <w:t xml:space="preserve">total recoverable </w:t>
      </w:r>
      <w:r w:rsidRPr="00F07DEB">
        <w:rPr>
          <w:rFonts w:ascii="Times New Roman" w:hAnsi="Times New Roman" w:cs="Times New Roman"/>
          <w:sz w:val="24"/>
          <w:szCs w:val="24"/>
        </w:rPr>
        <w:t>metals concentrations in periodic samples of three Oklahoma crops irrigated with either passively-treated mine drainage or groundwater during a series of common garden experiments</w:t>
      </w:r>
    </w:p>
    <w:p w14:paraId="121830EC" w14:textId="02658788" w:rsidR="008A3524" w:rsidRPr="00641A81" w:rsidRDefault="00263E48" w:rsidP="00641A81">
      <w:pPr>
        <w:pStyle w:val="ListParagraph"/>
        <w:numPr>
          <w:ilvl w:val="3"/>
          <w:numId w:val="1"/>
        </w:numPr>
        <w:spacing w:line="480" w:lineRule="auto"/>
        <w:ind w:left="1800"/>
        <w:contextualSpacing w:val="0"/>
        <w:rPr>
          <w:rFonts w:ascii="Times New Roman" w:hAnsi="Times New Roman" w:cs="Times New Roman"/>
          <w:sz w:val="24"/>
          <w:szCs w:val="24"/>
        </w:rPr>
      </w:pPr>
      <w:r w:rsidRPr="00DB7064">
        <w:rPr>
          <w:rFonts w:ascii="Times New Roman" w:hAnsi="Times New Roman" w:cs="Times New Roman"/>
          <w:sz w:val="24"/>
          <w:szCs w:val="24"/>
        </w:rPr>
        <w:lastRenderedPageBreak/>
        <w:t xml:space="preserve">Determine pre- and post-irrigation </w:t>
      </w:r>
      <w:r w:rsidR="00CC1DC0" w:rsidRPr="00DB7064">
        <w:rPr>
          <w:rFonts w:ascii="Times New Roman" w:hAnsi="Times New Roman" w:cs="Times New Roman"/>
          <w:sz w:val="24"/>
          <w:szCs w:val="24"/>
        </w:rPr>
        <w:t xml:space="preserve">total recoverable </w:t>
      </w:r>
      <w:r w:rsidRPr="00DB7064">
        <w:rPr>
          <w:rFonts w:ascii="Times New Roman" w:hAnsi="Times New Roman" w:cs="Times New Roman"/>
          <w:sz w:val="24"/>
          <w:szCs w:val="24"/>
        </w:rPr>
        <w:t>metals concentrations in soils irrigated with either passively-treated mine drainage or groundwater during a series of common garden experiments</w:t>
      </w:r>
    </w:p>
    <w:p w14:paraId="09B2262E" w14:textId="5F671EDF" w:rsidR="00AC2B36" w:rsidRPr="00F07DEB" w:rsidRDefault="00186310" w:rsidP="007D33DD">
      <w:pPr>
        <w:pStyle w:val="Heading1"/>
        <w:spacing w:line="480" w:lineRule="auto"/>
        <w:contextualSpacing w:val="0"/>
      </w:pPr>
      <w:bookmarkStart w:id="23" w:name="_Toc58975154"/>
      <w:r w:rsidRPr="00F07DEB">
        <w:t xml:space="preserve">Approach and </w:t>
      </w:r>
      <w:r w:rsidR="00AC2B36" w:rsidRPr="00F07DEB">
        <w:t>Methods</w:t>
      </w:r>
      <w:bookmarkEnd w:id="23"/>
    </w:p>
    <w:p w14:paraId="532B2A44" w14:textId="5CDD1AD0" w:rsidR="00DC5010" w:rsidRPr="00F07DEB" w:rsidRDefault="00186310" w:rsidP="00F8101B">
      <w:pPr>
        <w:pStyle w:val="Heading2"/>
        <w:spacing w:line="480" w:lineRule="auto"/>
      </w:pPr>
      <w:bookmarkStart w:id="24" w:name="_Toc58975155"/>
      <w:r w:rsidRPr="00F07DEB">
        <w:t>Approach</w:t>
      </w:r>
      <w:bookmarkEnd w:id="24"/>
    </w:p>
    <w:p w14:paraId="0E9318DC" w14:textId="0745897A" w:rsidR="007D33DD" w:rsidRPr="00F07DEB" w:rsidRDefault="00AD1282" w:rsidP="00F8101B">
      <w:pPr>
        <w:spacing w:line="480" w:lineRule="auto"/>
        <w:ind w:firstLine="720"/>
        <w:rPr>
          <w:rFonts w:ascii="Times New Roman" w:hAnsi="Times New Roman" w:cs="Times New Roman"/>
          <w:sz w:val="24"/>
          <w:szCs w:val="24"/>
        </w:rPr>
      </w:pPr>
      <w:bookmarkStart w:id="25" w:name="_Toc37108673"/>
      <w:r w:rsidRPr="00F07DEB">
        <w:rPr>
          <w:rFonts w:ascii="Times New Roman" w:hAnsi="Times New Roman" w:cs="Times New Roman"/>
          <w:sz w:val="24"/>
          <w:szCs w:val="24"/>
        </w:rPr>
        <w:t>Th</w:t>
      </w:r>
      <w:r>
        <w:rPr>
          <w:rFonts w:ascii="Times New Roman" w:hAnsi="Times New Roman" w:cs="Times New Roman"/>
          <w:sz w:val="24"/>
          <w:szCs w:val="24"/>
        </w:rPr>
        <w:t>e</w:t>
      </w:r>
      <w:r w:rsidRPr="00F07DEB">
        <w:rPr>
          <w:rFonts w:ascii="Times New Roman" w:hAnsi="Times New Roman" w:cs="Times New Roman"/>
          <w:sz w:val="24"/>
          <w:szCs w:val="24"/>
        </w:rPr>
        <w:t xml:space="preserve"> </w:t>
      </w:r>
      <w:r w:rsidR="007D33DD" w:rsidRPr="00F07DEB">
        <w:rPr>
          <w:rFonts w:ascii="Times New Roman" w:hAnsi="Times New Roman" w:cs="Times New Roman"/>
          <w:sz w:val="24"/>
          <w:szCs w:val="24"/>
        </w:rPr>
        <w:t>research approach first require</w:t>
      </w:r>
      <w:r>
        <w:rPr>
          <w:rFonts w:ascii="Times New Roman" w:hAnsi="Times New Roman" w:cs="Times New Roman"/>
          <w:sz w:val="24"/>
          <w:szCs w:val="24"/>
        </w:rPr>
        <w:t>d</w:t>
      </w:r>
      <w:r w:rsidR="007D33DD" w:rsidRPr="00F07DEB">
        <w:rPr>
          <w:rFonts w:ascii="Times New Roman" w:hAnsi="Times New Roman" w:cs="Times New Roman"/>
          <w:sz w:val="24"/>
          <w:szCs w:val="24"/>
        </w:rPr>
        <w:t xml:space="preserve"> w</w:t>
      </w:r>
      <w:r w:rsidR="002169AA" w:rsidRPr="00F07DEB">
        <w:rPr>
          <w:rFonts w:ascii="Times New Roman" w:hAnsi="Times New Roman" w:cs="Times New Roman"/>
          <w:sz w:val="24"/>
          <w:szCs w:val="24"/>
        </w:rPr>
        <w:t>ater quality and quantity assessment</w:t>
      </w:r>
      <w:r w:rsidR="00797787" w:rsidRPr="00F07DEB">
        <w:rPr>
          <w:rFonts w:ascii="Times New Roman" w:hAnsi="Times New Roman" w:cs="Times New Roman"/>
          <w:sz w:val="24"/>
          <w:szCs w:val="24"/>
        </w:rPr>
        <w:t>s</w:t>
      </w:r>
      <w:r w:rsidR="002169AA" w:rsidRPr="00F07DEB">
        <w:rPr>
          <w:rFonts w:ascii="Times New Roman" w:hAnsi="Times New Roman" w:cs="Times New Roman"/>
          <w:sz w:val="24"/>
          <w:szCs w:val="24"/>
        </w:rPr>
        <w:t xml:space="preserve"> of </w:t>
      </w:r>
      <w:r w:rsidR="0057510A" w:rsidRPr="00F07DEB">
        <w:rPr>
          <w:rFonts w:ascii="Times New Roman" w:hAnsi="Times New Roman" w:cs="Times New Roman"/>
          <w:sz w:val="24"/>
          <w:szCs w:val="24"/>
        </w:rPr>
        <w:t xml:space="preserve">the </w:t>
      </w:r>
      <w:r w:rsidR="002169AA" w:rsidRPr="00F07DEB">
        <w:rPr>
          <w:rFonts w:ascii="Times New Roman" w:hAnsi="Times New Roman" w:cs="Times New Roman"/>
          <w:sz w:val="24"/>
          <w:szCs w:val="24"/>
        </w:rPr>
        <w:t xml:space="preserve">existing </w:t>
      </w:r>
      <w:r w:rsidR="0057510A" w:rsidRPr="00F07DEB">
        <w:rPr>
          <w:rFonts w:ascii="Times New Roman" w:hAnsi="Times New Roman" w:cs="Times New Roman"/>
          <w:sz w:val="24"/>
          <w:szCs w:val="24"/>
        </w:rPr>
        <w:t>Tar Creek</w:t>
      </w:r>
      <w:r w:rsidR="007D33DD" w:rsidRPr="00F07DEB">
        <w:rPr>
          <w:rFonts w:ascii="Times New Roman" w:hAnsi="Times New Roman" w:cs="Times New Roman"/>
          <w:sz w:val="24"/>
          <w:szCs w:val="24"/>
        </w:rPr>
        <w:t xml:space="preserve"> passive treatment systems </w:t>
      </w:r>
      <w:r w:rsidR="002169AA" w:rsidRPr="00F07DEB">
        <w:rPr>
          <w:rFonts w:ascii="Times New Roman" w:hAnsi="Times New Roman" w:cs="Times New Roman"/>
          <w:sz w:val="24"/>
          <w:szCs w:val="24"/>
        </w:rPr>
        <w:t>and artesian mine water discharges</w:t>
      </w:r>
      <w:r w:rsidR="007D33DD" w:rsidRPr="00F07DEB">
        <w:rPr>
          <w:rFonts w:ascii="Times New Roman" w:hAnsi="Times New Roman" w:cs="Times New Roman"/>
          <w:sz w:val="24"/>
          <w:szCs w:val="24"/>
        </w:rPr>
        <w:t xml:space="preserve">. To complement these data, a literature review of relevant parameters for cattle watering </w:t>
      </w:r>
      <w:r>
        <w:rPr>
          <w:rFonts w:ascii="Times New Roman" w:hAnsi="Times New Roman" w:cs="Times New Roman"/>
          <w:sz w:val="24"/>
          <w:szCs w:val="24"/>
        </w:rPr>
        <w:t>was</w:t>
      </w:r>
      <w:r w:rsidR="007D33DD" w:rsidRPr="00F07DEB">
        <w:rPr>
          <w:rFonts w:ascii="Times New Roman" w:hAnsi="Times New Roman" w:cs="Times New Roman"/>
          <w:sz w:val="24"/>
          <w:szCs w:val="24"/>
        </w:rPr>
        <w:t xml:space="preserve"> carried out, followed by a literature review of relevant parameters for crop irrigation. The influent and effluent water quality data that CREW has collected from the MRPTS during </w:t>
      </w:r>
      <w:r>
        <w:rPr>
          <w:rFonts w:ascii="Times New Roman" w:hAnsi="Times New Roman" w:cs="Times New Roman"/>
          <w:sz w:val="24"/>
          <w:szCs w:val="24"/>
        </w:rPr>
        <w:t>more than</w:t>
      </w:r>
      <w:r w:rsidRPr="00F07DEB">
        <w:rPr>
          <w:rFonts w:ascii="Times New Roman" w:hAnsi="Times New Roman" w:cs="Times New Roman"/>
          <w:sz w:val="24"/>
          <w:szCs w:val="24"/>
        </w:rPr>
        <w:t xml:space="preserve"> </w:t>
      </w:r>
      <w:r w:rsidR="007D33DD" w:rsidRPr="00F07DEB">
        <w:rPr>
          <w:rFonts w:ascii="Times New Roman" w:hAnsi="Times New Roman" w:cs="Times New Roman"/>
          <w:sz w:val="24"/>
          <w:szCs w:val="24"/>
        </w:rPr>
        <w:t xml:space="preserve">a decade of operation and research </w:t>
      </w:r>
      <w:r w:rsidR="00307E54">
        <w:rPr>
          <w:rFonts w:ascii="Times New Roman" w:hAnsi="Times New Roman" w:cs="Times New Roman"/>
          <w:sz w:val="24"/>
          <w:szCs w:val="24"/>
        </w:rPr>
        <w:t>was</w:t>
      </w:r>
      <w:r w:rsidR="007D33DD" w:rsidRPr="00F07DEB">
        <w:rPr>
          <w:rFonts w:ascii="Times New Roman" w:hAnsi="Times New Roman" w:cs="Times New Roman"/>
          <w:sz w:val="24"/>
          <w:szCs w:val="24"/>
        </w:rPr>
        <w:t xml:space="preserve"> compared to cattle and crop irrigation water quality criteria from </w:t>
      </w:r>
      <w:r w:rsidR="00307E54">
        <w:rPr>
          <w:rFonts w:ascii="Times New Roman" w:hAnsi="Times New Roman" w:cs="Times New Roman"/>
          <w:sz w:val="24"/>
          <w:szCs w:val="24"/>
        </w:rPr>
        <w:t xml:space="preserve">the </w:t>
      </w:r>
      <w:r w:rsidR="007D33DD" w:rsidRPr="00F07DEB">
        <w:rPr>
          <w:rFonts w:ascii="Times New Roman" w:hAnsi="Times New Roman" w:cs="Times New Roman"/>
          <w:sz w:val="24"/>
          <w:szCs w:val="24"/>
        </w:rPr>
        <w:t xml:space="preserve">literature. Finally, a </w:t>
      </w:r>
      <w:r w:rsidR="009B4386" w:rsidRPr="00F07DEB">
        <w:rPr>
          <w:rFonts w:ascii="Times New Roman" w:hAnsi="Times New Roman" w:cs="Times New Roman"/>
          <w:sz w:val="24"/>
          <w:szCs w:val="24"/>
        </w:rPr>
        <w:t>three-stage</w:t>
      </w:r>
      <w:r w:rsidR="007D33DD" w:rsidRPr="00F07DEB">
        <w:rPr>
          <w:rFonts w:ascii="Times New Roman" w:hAnsi="Times New Roman" w:cs="Times New Roman"/>
          <w:sz w:val="24"/>
          <w:szCs w:val="24"/>
        </w:rPr>
        <w:t xml:space="preserve"> experiment </w:t>
      </w:r>
      <w:r w:rsidR="00307E54">
        <w:rPr>
          <w:rFonts w:ascii="Times New Roman" w:hAnsi="Times New Roman" w:cs="Times New Roman"/>
          <w:sz w:val="24"/>
          <w:szCs w:val="24"/>
        </w:rPr>
        <w:t>was</w:t>
      </w:r>
      <w:r w:rsidR="007D33DD" w:rsidRPr="00F07DEB">
        <w:rPr>
          <w:rFonts w:ascii="Times New Roman" w:hAnsi="Times New Roman" w:cs="Times New Roman"/>
          <w:sz w:val="24"/>
          <w:szCs w:val="24"/>
        </w:rPr>
        <w:t xml:space="preserve"> conducted, in which two irrigation treatments </w:t>
      </w:r>
      <w:r w:rsidR="00307E54">
        <w:rPr>
          <w:rFonts w:ascii="Times New Roman" w:hAnsi="Times New Roman" w:cs="Times New Roman"/>
          <w:sz w:val="24"/>
          <w:szCs w:val="24"/>
        </w:rPr>
        <w:t>we</w:t>
      </w:r>
      <w:r w:rsidR="00307E54" w:rsidRPr="00F07DEB">
        <w:rPr>
          <w:rFonts w:ascii="Times New Roman" w:hAnsi="Times New Roman" w:cs="Times New Roman"/>
          <w:sz w:val="24"/>
          <w:szCs w:val="24"/>
        </w:rPr>
        <w:t xml:space="preserve">re </w:t>
      </w:r>
      <w:r w:rsidR="007D33DD" w:rsidRPr="00F07DEB">
        <w:rPr>
          <w:rFonts w:ascii="Times New Roman" w:hAnsi="Times New Roman" w:cs="Times New Roman"/>
          <w:sz w:val="24"/>
          <w:szCs w:val="24"/>
        </w:rPr>
        <w:t>applied to three Oklahoma crops</w:t>
      </w:r>
      <w:r w:rsidR="009F6359" w:rsidRPr="00F07DEB">
        <w:rPr>
          <w:rFonts w:ascii="Times New Roman" w:hAnsi="Times New Roman" w:cs="Times New Roman"/>
          <w:sz w:val="24"/>
          <w:szCs w:val="24"/>
        </w:rPr>
        <w:t xml:space="preserve"> to assess the suitability of passively</w:t>
      </w:r>
      <w:r w:rsidR="00191F32" w:rsidRPr="00F07DEB">
        <w:rPr>
          <w:rFonts w:ascii="Times New Roman" w:hAnsi="Times New Roman" w:cs="Times New Roman"/>
          <w:sz w:val="24"/>
          <w:szCs w:val="24"/>
        </w:rPr>
        <w:t>-</w:t>
      </w:r>
      <w:r w:rsidR="009F6359" w:rsidRPr="00F07DEB">
        <w:rPr>
          <w:rFonts w:ascii="Times New Roman" w:hAnsi="Times New Roman" w:cs="Times New Roman"/>
          <w:sz w:val="24"/>
          <w:szCs w:val="24"/>
        </w:rPr>
        <w:t xml:space="preserve">treated mine water for </w:t>
      </w:r>
      <w:r w:rsidR="00C65AFA" w:rsidRPr="00F07DEB">
        <w:rPr>
          <w:rFonts w:ascii="Times New Roman" w:hAnsi="Times New Roman" w:cs="Times New Roman"/>
          <w:sz w:val="24"/>
          <w:szCs w:val="24"/>
        </w:rPr>
        <w:t>agricultur</w:t>
      </w:r>
      <w:r w:rsidR="00307E54">
        <w:rPr>
          <w:rFonts w:ascii="Times New Roman" w:hAnsi="Times New Roman" w:cs="Times New Roman"/>
          <w:sz w:val="24"/>
          <w:szCs w:val="24"/>
        </w:rPr>
        <w:t>al use</w:t>
      </w:r>
      <w:r w:rsidR="007D33DD" w:rsidRPr="00F07DEB">
        <w:rPr>
          <w:rFonts w:ascii="Times New Roman" w:hAnsi="Times New Roman" w:cs="Times New Roman"/>
          <w:sz w:val="24"/>
          <w:szCs w:val="24"/>
        </w:rPr>
        <w:t>.</w:t>
      </w:r>
      <w:bookmarkEnd w:id="25"/>
    </w:p>
    <w:p w14:paraId="36253E65" w14:textId="3396E38F" w:rsidR="00565D4E" w:rsidRPr="00F07DEB" w:rsidRDefault="002A5952" w:rsidP="00F8101B">
      <w:pPr>
        <w:pStyle w:val="Heading2"/>
        <w:spacing w:line="480" w:lineRule="auto"/>
      </w:pPr>
      <w:bookmarkStart w:id="26" w:name="_Toc58975156"/>
      <w:r w:rsidRPr="00F07DEB">
        <w:t>Modeling of Reuse for Livestock Watering</w:t>
      </w:r>
      <w:bookmarkEnd w:id="26"/>
    </w:p>
    <w:p w14:paraId="13544B5E" w14:textId="13013C36" w:rsidR="0085395C" w:rsidRPr="00F07DEB" w:rsidRDefault="00103F86" w:rsidP="00F8101B">
      <w:pPr>
        <w:pStyle w:val="NoSpacing"/>
        <w:spacing w:line="480" w:lineRule="auto"/>
        <w:ind w:firstLine="720"/>
        <w:rPr>
          <w:rFonts w:ascii="Times New Roman" w:hAnsi="Times New Roman" w:cs="Times New Roman"/>
          <w:sz w:val="24"/>
        </w:rPr>
      </w:pPr>
      <w:r w:rsidRPr="00F07DEB">
        <w:rPr>
          <w:rFonts w:ascii="Times New Roman" w:hAnsi="Times New Roman" w:cs="Times New Roman"/>
          <w:sz w:val="24"/>
        </w:rPr>
        <w:t xml:space="preserve">Before any experimentation, a thorough </w:t>
      </w:r>
      <w:r w:rsidR="00E87C43" w:rsidRPr="00F07DEB">
        <w:rPr>
          <w:rFonts w:ascii="Times New Roman" w:hAnsi="Times New Roman" w:cs="Times New Roman"/>
          <w:sz w:val="24"/>
        </w:rPr>
        <w:t>assessment of effluent w</w:t>
      </w:r>
      <w:r w:rsidR="00185860" w:rsidRPr="00F07DEB">
        <w:rPr>
          <w:rFonts w:ascii="Times New Roman" w:hAnsi="Times New Roman" w:cs="Times New Roman"/>
          <w:sz w:val="24"/>
        </w:rPr>
        <w:t xml:space="preserve">ater quality and quantity </w:t>
      </w:r>
      <w:r w:rsidR="00666B9C">
        <w:rPr>
          <w:rFonts w:ascii="Times New Roman" w:hAnsi="Times New Roman" w:cs="Times New Roman"/>
          <w:sz w:val="24"/>
        </w:rPr>
        <w:t>at</w:t>
      </w:r>
      <w:r w:rsidR="00185860" w:rsidRPr="00F07DEB">
        <w:rPr>
          <w:rFonts w:ascii="Times New Roman" w:hAnsi="Times New Roman" w:cs="Times New Roman"/>
          <w:sz w:val="24"/>
        </w:rPr>
        <w:t xml:space="preserve"> </w:t>
      </w:r>
      <w:r w:rsidR="00666B9C">
        <w:rPr>
          <w:rFonts w:ascii="Times New Roman" w:hAnsi="Times New Roman" w:cs="Times New Roman"/>
          <w:sz w:val="24"/>
        </w:rPr>
        <w:t>MRPTS was conducted</w:t>
      </w:r>
      <w:r w:rsidR="00DC0754" w:rsidRPr="00F07DEB">
        <w:rPr>
          <w:rFonts w:ascii="Times New Roman" w:hAnsi="Times New Roman" w:cs="Times New Roman"/>
          <w:sz w:val="24"/>
        </w:rPr>
        <w:t xml:space="preserve">. </w:t>
      </w:r>
      <w:r w:rsidR="0085395C" w:rsidRPr="00F07DEB">
        <w:rPr>
          <w:rFonts w:ascii="Times New Roman" w:hAnsi="Times New Roman" w:cs="Times New Roman"/>
          <w:sz w:val="24"/>
        </w:rPr>
        <w:t>Because an exp</w:t>
      </w:r>
      <w:r w:rsidR="00666B9C">
        <w:rPr>
          <w:rFonts w:ascii="Times New Roman" w:hAnsi="Times New Roman" w:cs="Times New Roman"/>
          <w:sz w:val="24"/>
        </w:rPr>
        <w:t>eriment involving live animals wa</w:t>
      </w:r>
      <w:r w:rsidR="0085395C" w:rsidRPr="00F07DEB">
        <w:rPr>
          <w:rFonts w:ascii="Times New Roman" w:hAnsi="Times New Roman" w:cs="Times New Roman"/>
          <w:sz w:val="24"/>
        </w:rPr>
        <w:t>s impractical, the potential for beneficial reuse of passively</w:t>
      </w:r>
      <w:r w:rsidR="00191F32" w:rsidRPr="00F07DEB">
        <w:rPr>
          <w:rFonts w:ascii="Times New Roman" w:hAnsi="Times New Roman" w:cs="Times New Roman"/>
          <w:sz w:val="24"/>
        </w:rPr>
        <w:t>-</w:t>
      </w:r>
      <w:r w:rsidR="0085395C" w:rsidRPr="00F07DEB">
        <w:rPr>
          <w:rFonts w:ascii="Times New Roman" w:hAnsi="Times New Roman" w:cs="Times New Roman"/>
          <w:sz w:val="24"/>
        </w:rPr>
        <w:t xml:space="preserve">treated mine drainage for livestock watering </w:t>
      </w:r>
      <w:r w:rsidR="00666B9C">
        <w:rPr>
          <w:rFonts w:ascii="Times New Roman" w:hAnsi="Times New Roman" w:cs="Times New Roman"/>
          <w:sz w:val="24"/>
        </w:rPr>
        <w:t>was</w:t>
      </w:r>
      <w:r w:rsidR="0057510A" w:rsidRPr="00F07DEB">
        <w:rPr>
          <w:rFonts w:ascii="Times New Roman" w:hAnsi="Times New Roman" w:cs="Times New Roman"/>
          <w:sz w:val="24"/>
        </w:rPr>
        <w:t xml:space="preserve"> assessed with the help of </w:t>
      </w:r>
      <w:r w:rsidR="00006044" w:rsidRPr="00F07DEB">
        <w:rPr>
          <w:rFonts w:ascii="Times New Roman" w:hAnsi="Times New Roman" w:cs="Times New Roman"/>
          <w:sz w:val="24"/>
        </w:rPr>
        <w:t>spreadsheet</w:t>
      </w:r>
      <w:r w:rsidR="0057510A" w:rsidRPr="00F07DEB">
        <w:rPr>
          <w:rFonts w:ascii="Times New Roman" w:hAnsi="Times New Roman" w:cs="Times New Roman"/>
          <w:sz w:val="24"/>
        </w:rPr>
        <w:t xml:space="preserve"> </w:t>
      </w:r>
      <w:r w:rsidR="00006044" w:rsidRPr="00F07DEB">
        <w:rPr>
          <w:rFonts w:ascii="Times New Roman" w:hAnsi="Times New Roman" w:cs="Times New Roman"/>
          <w:sz w:val="24"/>
        </w:rPr>
        <w:t xml:space="preserve">modeling and a </w:t>
      </w:r>
      <w:r w:rsidR="0085395C" w:rsidRPr="00F07DEB">
        <w:rPr>
          <w:rFonts w:ascii="Times New Roman" w:hAnsi="Times New Roman" w:cs="Times New Roman"/>
          <w:sz w:val="24"/>
        </w:rPr>
        <w:t>comprehensive literature review</w:t>
      </w:r>
      <w:r w:rsidR="0057510A" w:rsidRPr="00F07DEB">
        <w:rPr>
          <w:rFonts w:ascii="Times New Roman" w:hAnsi="Times New Roman" w:cs="Times New Roman"/>
          <w:sz w:val="24"/>
        </w:rPr>
        <w:t xml:space="preserve">. </w:t>
      </w:r>
      <w:r w:rsidR="00E43466" w:rsidRPr="00F07DEB">
        <w:rPr>
          <w:rFonts w:ascii="Times New Roman" w:hAnsi="Times New Roman" w:cs="Times New Roman"/>
          <w:sz w:val="24"/>
        </w:rPr>
        <w:t>T</w:t>
      </w:r>
      <w:r w:rsidR="00216054">
        <w:rPr>
          <w:rFonts w:ascii="Times New Roman" w:hAnsi="Times New Roman" w:cs="Times New Roman"/>
          <w:sz w:val="24"/>
        </w:rPr>
        <w:t>reated</w:t>
      </w:r>
      <w:r w:rsidR="00E43466" w:rsidRPr="00F07DEB">
        <w:rPr>
          <w:rFonts w:ascii="Times New Roman" w:hAnsi="Times New Roman" w:cs="Times New Roman"/>
          <w:sz w:val="24"/>
        </w:rPr>
        <w:t xml:space="preserve"> mine water flow rates</w:t>
      </w:r>
      <w:r w:rsidR="00666B9C">
        <w:rPr>
          <w:rFonts w:ascii="Times New Roman" w:hAnsi="Times New Roman" w:cs="Times New Roman"/>
          <w:sz w:val="24"/>
        </w:rPr>
        <w:t xml:space="preserve"> at MRPTS</w:t>
      </w:r>
      <w:r w:rsidR="00E43466" w:rsidRPr="00F07DEB">
        <w:rPr>
          <w:rFonts w:ascii="Times New Roman" w:hAnsi="Times New Roman" w:cs="Times New Roman"/>
          <w:sz w:val="24"/>
        </w:rPr>
        <w:t xml:space="preserve"> </w:t>
      </w:r>
      <w:r w:rsidR="00216054">
        <w:rPr>
          <w:rFonts w:ascii="Times New Roman" w:hAnsi="Times New Roman" w:cs="Times New Roman"/>
          <w:sz w:val="24"/>
        </w:rPr>
        <w:t xml:space="preserve">were compared </w:t>
      </w:r>
      <w:r w:rsidR="00E43466" w:rsidRPr="00F07DEB">
        <w:rPr>
          <w:rFonts w:ascii="Times New Roman" w:hAnsi="Times New Roman" w:cs="Times New Roman"/>
          <w:sz w:val="24"/>
        </w:rPr>
        <w:t xml:space="preserve">to the water demands of local </w:t>
      </w:r>
      <w:r w:rsidR="003D3C71" w:rsidRPr="00F07DEB">
        <w:rPr>
          <w:rFonts w:ascii="Times New Roman" w:hAnsi="Times New Roman" w:cs="Times New Roman"/>
          <w:sz w:val="24"/>
        </w:rPr>
        <w:t>cattle</w:t>
      </w:r>
      <w:r w:rsidR="00E43466" w:rsidRPr="00F07DEB">
        <w:rPr>
          <w:rFonts w:ascii="Times New Roman" w:hAnsi="Times New Roman" w:cs="Times New Roman"/>
          <w:sz w:val="24"/>
        </w:rPr>
        <w:t xml:space="preserve"> populations. Water quality data </w:t>
      </w:r>
      <w:r w:rsidR="00666B9C">
        <w:rPr>
          <w:rFonts w:ascii="Times New Roman" w:hAnsi="Times New Roman" w:cs="Times New Roman"/>
          <w:sz w:val="24"/>
        </w:rPr>
        <w:t>were</w:t>
      </w:r>
      <w:r w:rsidR="003D3C71" w:rsidRPr="00F07DEB">
        <w:rPr>
          <w:rFonts w:ascii="Times New Roman" w:hAnsi="Times New Roman" w:cs="Times New Roman"/>
          <w:sz w:val="24"/>
        </w:rPr>
        <w:t xml:space="preserve"> used to determine the contaminant concentrations </w:t>
      </w:r>
      <w:r w:rsidR="001E236C" w:rsidRPr="00F07DEB">
        <w:rPr>
          <w:rFonts w:ascii="Times New Roman" w:hAnsi="Times New Roman" w:cs="Times New Roman"/>
          <w:sz w:val="24"/>
        </w:rPr>
        <w:t xml:space="preserve">to which </w:t>
      </w:r>
      <w:r w:rsidR="003D3C71" w:rsidRPr="00F07DEB">
        <w:rPr>
          <w:rFonts w:ascii="Times New Roman" w:hAnsi="Times New Roman" w:cs="Times New Roman"/>
          <w:sz w:val="24"/>
        </w:rPr>
        <w:t>catt</w:t>
      </w:r>
      <w:r w:rsidR="00666B9C">
        <w:rPr>
          <w:rFonts w:ascii="Times New Roman" w:hAnsi="Times New Roman" w:cs="Times New Roman"/>
          <w:sz w:val="24"/>
        </w:rPr>
        <w:t>le populations would be exposed</w:t>
      </w:r>
      <w:r w:rsidR="003D3C71" w:rsidRPr="00F07DEB">
        <w:rPr>
          <w:rFonts w:ascii="Times New Roman" w:hAnsi="Times New Roman" w:cs="Times New Roman"/>
          <w:sz w:val="24"/>
        </w:rPr>
        <w:t xml:space="preserve"> and to </w:t>
      </w:r>
      <w:r w:rsidR="00666B9C">
        <w:rPr>
          <w:rFonts w:ascii="Times New Roman" w:hAnsi="Times New Roman" w:cs="Times New Roman"/>
          <w:sz w:val="24"/>
        </w:rPr>
        <w:t>investigate how</w:t>
      </w:r>
      <w:r w:rsidR="003D3C71" w:rsidRPr="00F07DEB">
        <w:rPr>
          <w:rFonts w:ascii="Times New Roman" w:hAnsi="Times New Roman" w:cs="Times New Roman"/>
          <w:sz w:val="24"/>
        </w:rPr>
        <w:t xml:space="preserve"> </w:t>
      </w:r>
      <w:r w:rsidR="00666B9C">
        <w:rPr>
          <w:rFonts w:ascii="Times New Roman" w:hAnsi="Times New Roman" w:cs="Times New Roman"/>
          <w:sz w:val="24"/>
        </w:rPr>
        <w:t>cattle have responded to similar concentrations according to the literature</w:t>
      </w:r>
      <w:r w:rsidR="003D3C71" w:rsidRPr="00F07DEB">
        <w:rPr>
          <w:rFonts w:ascii="Times New Roman" w:hAnsi="Times New Roman" w:cs="Times New Roman"/>
          <w:sz w:val="24"/>
        </w:rPr>
        <w:t xml:space="preserve">. </w:t>
      </w:r>
      <w:r w:rsidR="00666B9C">
        <w:rPr>
          <w:rFonts w:ascii="Times New Roman" w:hAnsi="Times New Roman" w:cs="Times New Roman"/>
          <w:sz w:val="24"/>
        </w:rPr>
        <w:t xml:space="preserve">The water quality constituents of interest included </w:t>
      </w:r>
      <w:r w:rsidR="00666B9C">
        <w:rPr>
          <w:rFonts w:ascii="Times New Roman" w:hAnsi="Times New Roman" w:cs="Times New Roman"/>
          <w:sz w:val="24"/>
        </w:rPr>
        <w:lastRenderedPageBreak/>
        <w:t xml:space="preserve">salinity, hardness, trace metals, and nutrients. </w:t>
      </w:r>
      <w:r w:rsidR="00426BA1" w:rsidRPr="00F07DEB">
        <w:rPr>
          <w:rFonts w:ascii="Times New Roman" w:hAnsi="Times New Roman" w:cs="Times New Roman"/>
          <w:sz w:val="24"/>
        </w:rPr>
        <w:t xml:space="preserve">Data on livestock weight and consumption habits </w:t>
      </w:r>
      <w:r w:rsidR="00666B9C">
        <w:rPr>
          <w:rFonts w:ascii="Times New Roman" w:hAnsi="Times New Roman" w:cs="Times New Roman"/>
          <w:sz w:val="24"/>
        </w:rPr>
        <w:t>were</w:t>
      </w:r>
      <w:r w:rsidR="00426BA1" w:rsidRPr="00F07DEB">
        <w:rPr>
          <w:rFonts w:ascii="Times New Roman" w:hAnsi="Times New Roman" w:cs="Times New Roman"/>
          <w:sz w:val="24"/>
        </w:rPr>
        <w:t xml:space="preserve"> also gathered. </w:t>
      </w:r>
    </w:p>
    <w:p w14:paraId="67559586" w14:textId="306BD2EA" w:rsidR="002A5952" w:rsidRPr="00F07DEB" w:rsidRDefault="00CD4B79" w:rsidP="002A5952">
      <w:pPr>
        <w:pStyle w:val="Heading2"/>
        <w:spacing w:line="480" w:lineRule="auto"/>
      </w:pPr>
      <w:bookmarkStart w:id="27" w:name="_Toc58975157"/>
      <w:r>
        <w:t xml:space="preserve">Crop Irrigation </w:t>
      </w:r>
      <w:r w:rsidR="00D03EB7" w:rsidRPr="00F07DEB">
        <w:t>Proof-of-</w:t>
      </w:r>
      <w:r w:rsidR="002A5952" w:rsidRPr="00F07DEB">
        <w:t>Concept Experimental Setup</w:t>
      </w:r>
      <w:bookmarkEnd w:id="27"/>
    </w:p>
    <w:p w14:paraId="3CD16647" w14:textId="1C29C307" w:rsidR="002A5952" w:rsidRPr="00F07DEB" w:rsidRDefault="00A65C1B" w:rsidP="002A5952">
      <w:pPr>
        <w:pStyle w:val="NoSpacing"/>
        <w:spacing w:line="480" w:lineRule="auto"/>
        <w:ind w:firstLine="720"/>
        <w:rPr>
          <w:rFonts w:ascii="Times New Roman" w:hAnsi="Times New Roman" w:cs="Times New Roman"/>
          <w:sz w:val="24"/>
        </w:rPr>
      </w:pPr>
      <w:r w:rsidRPr="00F07DEB">
        <w:rPr>
          <w:rFonts w:ascii="Times New Roman" w:hAnsi="Times New Roman" w:cs="Times New Roman"/>
          <w:sz w:val="24"/>
        </w:rPr>
        <w:t xml:space="preserve">In the proof-of-concept stage of this study, which took place in a greenhouse </w:t>
      </w:r>
      <w:r w:rsidR="002F7D18" w:rsidRPr="00F07DEB">
        <w:rPr>
          <w:rFonts w:ascii="Times New Roman" w:hAnsi="Times New Roman" w:cs="Times New Roman"/>
          <w:sz w:val="24"/>
        </w:rPr>
        <w:t>at</w:t>
      </w:r>
      <w:r w:rsidRPr="00F07DEB">
        <w:rPr>
          <w:rFonts w:ascii="Times New Roman" w:hAnsi="Times New Roman" w:cs="Times New Roman"/>
          <w:sz w:val="24"/>
        </w:rPr>
        <w:t xml:space="preserve"> the University of Oklahoma</w:t>
      </w:r>
      <w:r w:rsidR="002F7D18" w:rsidRPr="00F07DEB">
        <w:rPr>
          <w:rFonts w:ascii="Times New Roman" w:hAnsi="Times New Roman" w:cs="Times New Roman"/>
          <w:sz w:val="24"/>
        </w:rPr>
        <w:t>’s Aquatic Research Facility (ARF)</w:t>
      </w:r>
      <w:r w:rsidR="00C77B56" w:rsidRPr="00F07DEB">
        <w:rPr>
          <w:rFonts w:ascii="Times New Roman" w:hAnsi="Times New Roman" w:cs="Times New Roman"/>
          <w:sz w:val="24"/>
        </w:rPr>
        <w:t xml:space="preserve"> from January 16, 2020 to February 3, 2020</w:t>
      </w:r>
      <w:r w:rsidR="00E35740" w:rsidRPr="00F07DEB">
        <w:rPr>
          <w:rFonts w:ascii="Times New Roman" w:hAnsi="Times New Roman" w:cs="Times New Roman"/>
          <w:sz w:val="24"/>
        </w:rPr>
        <w:t>,</w:t>
      </w:r>
      <w:r w:rsidR="002B131C" w:rsidRPr="00F07DEB">
        <w:rPr>
          <w:rFonts w:ascii="Times New Roman" w:hAnsi="Times New Roman" w:cs="Times New Roman"/>
          <w:sz w:val="24"/>
        </w:rPr>
        <w:t xml:space="preserve"> </w:t>
      </w:r>
      <w:r w:rsidRPr="00F07DEB">
        <w:rPr>
          <w:rFonts w:ascii="Times New Roman" w:hAnsi="Times New Roman" w:cs="Times New Roman"/>
          <w:sz w:val="24"/>
        </w:rPr>
        <w:t>three Oklahoma crops - field corn (</w:t>
      </w:r>
      <w:proofErr w:type="spellStart"/>
      <w:r w:rsidRPr="00F07DEB">
        <w:rPr>
          <w:rFonts w:ascii="Times New Roman" w:hAnsi="Times New Roman" w:cs="Times New Roman"/>
          <w:i/>
          <w:sz w:val="24"/>
        </w:rPr>
        <w:t>Zea</w:t>
      </w:r>
      <w:proofErr w:type="spellEnd"/>
      <w:r w:rsidRPr="00F07DEB">
        <w:rPr>
          <w:rFonts w:ascii="Times New Roman" w:hAnsi="Times New Roman" w:cs="Times New Roman"/>
          <w:i/>
          <w:sz w:val="24"/>
        </w:rPr>
        <w:t xml:space="preserve"> mays</w:t>
      </w:r>
      <w:r w:rsidR="00780F46" w:rsidRPr="00F07DEB">
        <w:rPr>
          <w:rFonts w:ascii="Times New Roman" w:hAnsi="Times New Roman" w:cs="Times New Roman"/>
          <w:sz w:val="24"/>
        </w:rPr>
        <w:t>), s</w:t>
      </w:r>
      <w:r w:rsidRPr="00F07DEB">
        <w:rPr>
          <w:rFonts w:ascii="Times New Roman" w:hAnsi="Times New Roman" w:cs="Times New Roman"/>
          <w:sz w:val="24"/>
        </w:rPr>
        <w:t>orghum (</w:t>
      </w:r>
      <w:r w:rsidRPr="00F07DEB">
        <w:rPr>
          <w:rFonts w:ascii="Times New Roman" w:hAnsi="Times New Roman" w:cs="Times New Roman"/>
          <w:i/>
          <w:sz w:val="24"/>
        </w:rPr>
        <w:t>Sorghum bicolor</w:t>
      </w:r>
      <w:r w:rsidRPr="00F07DEB">
        <w:rPr>
          <w:rFonts w:ascii="Times New Roman" w:hAnsi="Times New Roman" w:cs="Times New Roman"/>
          <w:sz w:val="24"/>
        </w:rPr>
        <w:t xml:space="preserve">), and </w:t>
      </w:r>
      <w:proofErr w:type="spellStart"/>
      <w:r w:rsidRPr="00F07DEB">
        <w:rPr>
          <w:rFonts w:ascii="Times New Roman" w:hAnsi="Times New Roman" w:cs="Times New Roman"/>
          <w:sz w:val="24"/>
        </w:rPr>
        <w:t>Indiangrass</w:t>
      </w:r>
      <w:proofErr w:type="spellEnd"/>
      <w:r w:rsidRPr="00F07DEB">
        <w:rPr>
          <w:rFonts w:ascii="Times New Roman" w:hAnsi="Times New Roman" w:cs="Times New Roman"/>
          <w:sz w:val="24"/>
        </w:rPr>
        <w:t xml:space="preserve"> (</w:t>
      </w:r>
      <w:proofErr w:type="spellStart"/>
      <w:r w:rsidRPr="00F07DEB">
        <w:rPr>
          <w:rFonts w:ascii="Times New Roman" w:hAnsi="Times New Roman" w:cs="Times New Roman"/>
          <w:i/>
          <w:sz w:val="24"/>
        </w:rPr>
        <w:t>Sorghastrum</w:t>
      </w:r>
      <w:proofErr w:type="spellEnd"/>
      <w:r w:rsidRPr="00F07DEB">
        <w:rPr>
          <w:rFonts w:ascii="Times New Roman" w:hAnsi="Times New Roman" w:cs="Times New Roman"/>
          <w:i/>
          <w:sz w:val="24"/>
        </w:rPr>
        <w:t xml:space="preserve"> </w:t>
      </w:r>
      <w:proofErr w:type="spellStart"/>
      <w:r w:rsidRPr="00F07DEB">
        <w:rPr>
          <w:rFonts w:ascii="Times New Roman" w:hAnsi="Times New Roman" w:cs="Times New Roman"/>
          <w:i/>
          <w:sz w:val="24"/>
        </w:rPr>
        <w:t>nutans</w:t>
      </w:r>
      <w:proofErr w:type="spellEnd"/>
      <w:r w:rsidRPr="00F07DEB">
        <w:rPr>
          <w:rFonts w:ascii="Times New Roman" w:hAnsi="Times New Roman" w:cs="Times New Roman"/>
          <w:sz w:val="24"/>
        </w:rPr>
        <w:t xml:space="preserve">) - were irrigated from seed </w:t>
      </w:r>
      <w:r w:rsidR="002B131C" w:rsidRPr="00F07DEB">
        <w:rPr>
          <w:rFonts w:ascii="Times New Roman" w:hAnsi="Times New Roman" w:cs="Times New Roman"/>
          <w:sz w:val="24"/>
        </w:rPr>
        <w:t xml:space="preserve">to juvenile </w:t>
      </w:r>
      <w:r w:rsidRPr="00F07DEB">
        <w:rPr>
          <w:rFonts w:ascii="Times New Roman" w:hAnsi="Times New Roman" w:cs="Times New Roman"/>
          <w:sz w:val="24"/>
        </w:rPr>
        <w:t xml:space="preserve">in topsoil with either groundwater, treated mine water, or a combination thereof. </w:t>
      </w:r>
      <w:r w:rsidR="00C77B56" w:rsidRPr="00F07DEB">
        <w:rPr>
          <w:rFonts w:ascii="Times New Roman" w:hAnsi="Times New Roman" w:cs="Times New Roman"/>
          <w:sz w:val="24"/>
        </w:rPr>
        <w:t xml:space="preserve">The “combination” treatment consisted of irrigating with groundwater until germination occurred, and then switching to treated mine water to help examine possible germination constraints. </w:t>
      </w:r>
      <w:r w:rsidR="00154E6B" w:rsidRPr="00F07DEB">
        <w:rPr>
          <w:rFonts w:ascii="Times New Roman" w:hAnsi="Times New Roman" w:cs="Times New Roman"/>
          <w:sz w:val="24"/>
        </w:rPr>
        <w:t xml:space="preserve">Each species received twelve dedicated pots, </w:t>
      </w:r>
      <w:r w:rsidR="007E76A1" w:rsidRPr="00F07DEB">
        <w:rPr>
          <w:rFonts w:ascii="Times New Roman" w:hAnsi="Times New Roman" w:cs="Times New Roman"/>
          <w:sz w:val="24"/>
        </w:rPr>
        <w:t>which were divided</w:t>
      </w:r>
      <w:r w:rsidR="00C77B56" w:rsidRPr="00F07DEB">
        <w:rPr>
          <w:rFonts w:ascii="Times New Roman" w:hAnsi="Times New Roman" w:cs="Times New Roman"/>
          <w:sz w:val="24"/>
        </w:rPr>
        <w:t xml:space="preserve"> evenly between the three treatments in a randomized block design</w:t>
      </w:r>
      <w:r w:rsidR="00154E6B" w:rsidRPr="00F07DEB">
        <w:rPr>
          <w:rFonts w:ascii="Times New Roman" w:hAnsi="Times New Roman" w:cs="Times New Roman"/>
          <w:sz w:val="24"/>
        </w:rPr>
        <w:t xml:space="preserve">. </w:t>
      </w:r>
      <w:r w:rsidR="00E35740" w:rsidRPr="00F07DEB">
        <w:rPr>
          <w:rFonts w:ascii="Times New Roman" w:hAnsi="Times New Roman" w:cs="Times New Roman"/>
          <w:sz w:val="24"/>
        </w:rPr>
        <w:t xml:space="preserve">The </w:t>
      </w:r>
      <w:r w:rsidR="001739FF" w:rsidRPr="00F07DEB">
        <w:rPr>
          <w:rFonts w:ascii="Times New Roman" w:hAnsi="Times New Roman" w:cs="Times New Roman"/>
          <w:sz w:val="24"/>
        </w:rPr>
        <w:t>9</w:t>
      </w:r>
      <w:r w:rsidR="001739FF">
        <w:rPr>
          <w:rFonts w:ascii="Times New Roman" w:hAnsi="Times New Roman" w:cs="Times New Roman"/>
          <w:sz w:val="24"/>
        </w:rPr>
        <w:t>-</w:t>
      </w:r>
      <w:r w:rsidR="00E35740" w:rsidRPr="00F07DEB">
        <w:rPr>
          <w:rFonts w:ascii="Times New Roman" w:hAnsi="Times New Roman" w:cs="Times New Roman"/>
          <w:sz w:val="24"/>
        </w:rPr>
        <w:t xml:space="preserve">cm wide </w:t>
      </w:r>
      <w:r w:rsidR="00EE5725" w:rsidRPr="00F07DEB">
        <w:rPr>
          <w:rFonts w:ascii="Times New Roman" w:hAnsi="Times New Roman" w:cs="Times New Roman"/>
          <w:sz w:val="24"/>
        </w:rPr>
        <w:t xml:space="preserve">square </w:t>
      </w:r>
      <w:r w:rsidR="00E35740" w:rsidRPr="00F07DEB">
        <w:rPr>
          <w:rFonts w:ascii="Times New Roman" w:hAnsi="Times New Roman" w:cs="Times New Roman"/>
          <w:sz w:val="24"/>
        </w:rPr>
        <w:t xml:space="preserve">seed-starting pots were </w:t>
      </w:r>
      <w:r w:rsidR="00C77B56" w:rsidRPr="00F07DEB">
        <w:rPr>
          <w:rFonts w:ascii="Times New Roman" w:hAnsi="Times New Roman" w:cs="Times New Roman"/>
          <w:sz w:val="24"/>
        </w:rPr>
        <w:t>filled with 0.5 L of Vigoro All-</w:t>
      </w:r>
      <w:r w:rsidR="00EE5725" w:rsidRPr="00F07DEB">
        <w:rPr>
          <w:rFonts w:ascii="Times New Roman" w:hAnsi="Times New Roman" w:cs="Times New Roman"/>
          <w:sz w:val="24"/>
        </w:rPr>
        <w:t>Purpose Potting Mix. Nine pots, randomly</w:t>
      </w:r>
      <w:r w:rsidR="00FB1415" w:rsidRPr="00F07DEB">
        <w:rPr>
          <w:rFonts w:ascii="Times New Roman" w:hAnsi="Times New Roman" w:cs="Times New Roman"/>
          <w:sz w:val="24"/>
        </w:rPr>
        <w:t xml:space="preserve"> selected from the replicates but</w:t>
      </w:r>
      <w:r w:rsidR="00EE5725" w:rsidRPr="00F07DEB">
        <w:rPr>
          <w:rFonts w:ascii="Times New Roman" w:hAnsi="Times New Roman" w:cs="Times New Roman"/>
          <w:sz w:val="24"/>
        </w:rPr>
        <w:t xml:space="preserve"> represent</w:t>
      </w:r>
      <w:r w:rsidR="00FB1415" w:rsidRPr="00F07DEB">
        <w:rPr>
          <w:rFonts w:ascii="Times New Roman" w:hAnsi="Times New Roman" w:cs="Times New Roman"/>
          <w:sz w:val="24"/>
        </w:rPr>
        <w:t>ative of</w:t>
      </w:r>
      <w:r w:rsidR="00EE5725" w:rsidRPr="00F07DEB">
        <w:rPr>
          <w:rFonts w:ascii="Times New Roman" w:hAnsi="Times New Roman" w:cs="Times New Roman"/>
          <w:sz w:val="24"/>
        </w:rPr>
        <w:t xml:space="preserve"> the nine unique combinations of species and treatment, were amended with </w:t>
      </w:r>
      <w:r w:rsidR="00207154" w:rsidRPr="00F07DEB">
        <w:rPr>
          <w:rFonts w:ascii="Times New Roman" w:hAnsi="Times New Roman" w:cs="Times New Roman"/>
          <w:sz w:val="24"/>
        </w:rPr>
        <w:t>spent mushroom compost (SMC) in a 1:3 ratio of SMC to potting mix</w:t>
      </w:r>
      <w:r w:rsidR="002A5952" w:rsidRPr="00F07DEB">
        <w:rPr>
          <w:rFonts w:ascii="Times New Roman" w:hAnsi="Times New Roman" w:cs="Times New Roman"/>
          <w:sz w:val="24"/>
        </w:rPr>
        <w:t xml:space="preserve"> to evaluate the effect of soil amendments on seedling emergence</w:t>
      </w:r>
      <w:r w:rsidR="00207154" w:rsidRPr="00F07DEB">
        <w:rPr>
          <w:rFonts w:ascii="Times New Roman" w:hAnsi="Times New Roman" w:cs="Times New Roman"/>
          <w:sz w:val="24"/>
        </w:rPr>
        <w:t>.</w:t>
      </w:r>
      <w:r w:rsidR="002A5952" w:rsidRPr="00F07DEB">
        <w:rPr>
          <w:rFonts w:ascii="Times New Roman" w:hAnsi="Times New Roman" w:cs="Times New Roman"/>
          <w:sz w:val="24"/>
        </w:rPr>
        <w:t xml:space="preserve"> </w:t>
      </w:r>
      <w:r w:rsidR="000D482D" w:rsidRPr="00F07DEB">
        <w:rPr>
          <w:rFonts w:ascii="Times New Roman" w:hAnsi="Times New Roman" w:cs="Times New Roman"/>
          <w:sz w:val="24"/>
        </w:rPr>
        <w:t>Six GE Lighting P</w:t>
      </w:r>
      <w:r w:rsidR="001739FF">
        <w:rPr>
          <w:rFonts w:ascii="Times New Roman" w:hAnsi="Times New Roman" w:cs="Times New Roman"/>
          <w:sz w:val="24"/>
        </w:rPr>
        <w:t>l</w:t>
      </w:r>
      <w:r w:rsidR="000D482D" w:rsidRPr="00F07DEB">
        <w:rPr>
          <w:rFonts w:ascii="Times New Roman" w:hAnsi="Times New Roman" w:cs="Times New Roman"/>
          <w:sz w:val="24"/>
        </w:rPr>
        <w:t xml:space="preserve">ant and Aquarium 48” </w:t>
      </w:r>
      <w:r w:rsidR="001739FF" w:rsidRPr="00F07DEB">
        <w:rPr>
          <w:rFonts w:ascii="Times New Roman" w:hAnsi="Times New Roman" w:cs="Times New Roman"/>
          <w:sz w:val="24"/>
        </w:rPr>
        <w:t>40</w:t>
      </w:r>
      <w:r w:rsidR="001739FF">
        <w:rPr>
          <w:rFonts w:ascii="Times New Roman" w:hAnsi="Times New Roman" w:cs="Times New Roman"/>
          <w:sz w:val="24"/>
        </w:rPr>
        <w:t>-</w:t>
      </w:r>
      <w:r w:rsidR="000D482D" w:rsidRPr="00F07DEB">
        <w:rPr>
          <w:rFonts w:ascii="Times New Roman" w:hAnsi="Times New Roman" w:cs="Times New Roman"/>
          <w:sz w:val="24"/>
        </w:rPr>
        <w:t>W grow lights and two Phillips 48” 32</w:t>
      </w:r>
      <w:r w:rsidR="001739FF">
        <w:rPr>
          <w:rFonts w:ascii="Times New Roman" w:hAnsi="Times New Roman" w:cs="Times New Roman"/>
          <w:sz w:val="24"/>
        </w:rPr>
        <w:t>-</w:t>
      </w:r>
      <w:r w:rsidR="000D482D" w:rsidRPr="00F07DEB">
        <w:rPr>
          <w:rFonts w:ascii="Times New Roman" w:hAnsi="Times New Roman" w:cs="Times New Roman"/>
          <w:sz w:val="24"/>
        </w:rPr>
        <w:t>W lights were installed in randomized pairs above the pots. The lights provided a 16 hour photoperiod contro</w:t>
      </w:r>
      <w:r w:rsidR="00B76594" w:rsidRPr="00F07DEB">
        <w:rPr>
          <w:rFonts w:ascii="Times New Roman" w:hAnsi="Times New Roman" w:cs="Times New Roman"/>
          <w:sz w:val="24"/>
        </w:rPr>
        <w:t>lled by a</w:t>
      </w:r>
      <w:r w:rsidR="000D482D" w:rsidRPr="00F07DEB">
        <w:rPr>
          <w:rFonts w:ascii="Times New Roman" w:hAnsi="Times New Roman" w:cs="Times New Roman"/>
          <w:sz w:val="24"/>
        </w:rPr>
        <w:t xml:space="preserve"> </w:t>
      </w:r>
      <w:r w:rsidR="00B76594" w:rsidRPr="00F07DEB">
        <w:rPr>
          <w:rFonts w:ascii="Times New Roman" w:hAnsi="Times New Roman" w:cs="Times New Roman"/>
          <w:sz w:val="24"/>
        </w:rPr>
        <w:t>digital</w:t>
      </w:r>
      <w:r w:rsidR="000D482D" w:rsidRPr="00F07DEB">
        <w:rPr>
          <w:rFonts w:ascii="Times New Roman" w:hAnsi="Times New Roman" w:cs="Times New Roman"/>
          <w:sz w:val="24"/>
        </w:rPr>
        <w:t xml:space="preserve"> timer, and were powered each day from 6:00 to 20:00</w:t>
      </w:r>
      <w:r w:rsidR="005E59BF" w:rsidRPr="00F07DEB">
        <w:rPr>
          <w:rFonts w:ascii="Times New Roman" w:hAnsi="Times New Roman" w:cs="Times New Roman"/>
          <w:sz w:val="24"/>
        </w:rPr>
        <w:t xml:space="preserve"> </w:t>
      </w:r>
      <w:r w:rsidR="005E59BF" w:rsidRPr="00F07DEB">
        <w:rPr>
          <w:rFonts w:ascii="Times New Roman" w:hAnsi="Times New Roman" w:cs="Times New Roman"/>
          <w:sz w:val="24"/>
        </w:rPr>
        <w:fldChar w:fldCharType="begin"/>
      </w:r>
      <w:r w:rsidR="004B13BE">
        <w:rPr>
          <w:rFonts w:ascii="Times New Roman" w:hAnsi="Times New Roman" w:cs="Times New Roman"/>
          <w:sz w:val="24"/>
        </w:rPr>
        <w:instrText xml:space="preserve"> ADDIN ZOTERO_ITEM CSL_CITATION {"citationID":"6eTAgn1X","properties":{"formattedCitation":"(Eddy &amp; Hahn, 2013)","plainCitation":"(Eddy &amp; Hahn, 2013)","dontUpdate":true,"noteIndex":0},"citationItems":[{"id":762,"uris":["http://zotero.org/users/5446453/items/R7HJS4ZR"],"uri":["http://zotero.org/users/5446453/items/R7HJS4ZR"],"itemData":{"id":762,"type":"report","collection-title":"Purdue Methods for Corn Growth","language":"en","number":"Paper 13","page":"5","source":"Zotero","title":"Optimizing Greenhouse Corn Production: What Is the Best Lighting and Plant Density?","URL":"http://docs.lib.purdue.edu/pmcg/13","author":[{"family":"Eddy","given":"Robert"},{"family":"Hahn","given":"Daniel T"}],"issued":{"date-parts":[["2013"]]}}}],"schema":"https://github.com/citation-style-language/schema/raw/master/csl-citation.json"} </w:instrText>
      </w:r>
      <w:r w:rsidR="005E59BF" w:rsidRPr="00F07DEB">
        <w:rPr>
          <w:rFonts w:ascii="Times New Roman" w:hAnsi="Times New Roman" w:cs="Times New Roman"/>
          <w:sz w:val="24"/>
        </w:rPr>
        <w:fldChar w:fldCharType="separate"/>
      </w:r>
      <w:r w:rsidR="005E59BF" w:rsidRPr="00F07DEB">
        <w:rPr>
          <w:rFonts w:ascii="Times New Roman" w:hAnsi="Times New Roman" w:cs="Times New Roman"/>
          <w:sz w:val="24"/>
        </w:rPr>
        <w:t xml:space="preserve">(Eddy </w:t>
      </w:r>
      <w:r w:rsidR="002A6AB5">
        <w:rPr>
          <w:rFonts w:ascii="Times New Roman" w:hAnsi="Times New Roman" w:cs="Times New Roman"/>
          <w:sz w:val="24"/>
        </w:rPr>
        <w:t>and</w:t>
      </w:r>
      <w:r w:rsidR="005E59BF" w:rsidRPr="00F07DEB">
        <w:rPr>
          <w:rFonts w:ascii="Times New Roman" w:hAnsi="Times New Roman" w:cs="Times New Roman"/>
          <w:sz w:val="24"/>
        </w:rPr>
        <w:t xml:space="preserve"> Hahn, 2013)</w:t>
      </w:r>
      <w:r w:rsidR="005E59BF" w:rsidRPr="00F07DEB">
        <w:rPr>
          <w:rFonts w:ascii="Times New Roman" w:hAnsi="Times New Roman" w:cs="Times New Roman"/>
          <w:sz w:val="24"/>
        </w:rPr>
        <w:fldChar w:fldCharType="end"/>
      </w:r>
      <w:r w:rsidR="000D482D" w:rsidRPr="00F07DEB">
        <w:rPr>
          <w:rFonts w:ascii="Times New Roman" w:hAnsi="Times New Roman" w:cs="Times New Roman"/>
          <w:sz w:val="24"/>
        </w:rPr>
        <w:t>.</w:t>
      </w:r>
      <w:r w:rsidR="00780F46" w:rsidRPr="00F07DEB">
        <w:rPr>
          <w:rFonts w:ascii="Times New Roman" w:hAnsi="Times New Roman" w:cs="Times New Roman"/>
          <w:sz w:val="24"/>
        </w:rPr>
        <w:t xml:space="preserve"> </w:t>
      </w:r>
      <w:r w:rsidR="0017058C" w:rsidRPr="00F07DEB">
        <w:rPr>
          <w:rFonts w:ascii="Times New Roman" w:hAnsi="Times New Roman" w:cs="Times New Roman"/>
          <w:sz w:val="24"/>
        </w:rPr>
        <w:t xml:space="preserve">Whereas natural light is sufficient for germination and emergence of most plants grown in greenhouses between March and September in the Northern Hemisphere, </w:t>
      </w:r>
      <w:r w:rsidR="00FB6A0A" w:rsidRPr="00F07DEB">
        <w:rPr>
          <w:rFonts w:ascii="Times New Roman" w:hAnsi="Times New Roman" w:cs="Times New Roman"/>
          <w:sz w:val="24"/>
        </w:rPr>
        <w:t>supplemental</w:t>
      </w:r>
      <w:r w:rsidR="0017058C" w:rsidRPr="00F07DEB">
        <w:rPr>
          <w:rFonts w:ascii="Times New Roman" w:hAnsi="Times New Roman" w:cs="Times New Roman"/>
          <w:sz w:val="24"/>
        </w:rPr>
        <w:t xml:space="preserve"> lighting can beneficially augment the shorter and less intense photoperiods from October to February</w:t>
      </w:r>
      <w:r w:rsidR="00FB6A0A" w:rsidRPr="00F07DEB">
        <w:rPr>
          <w:rFonts w:ascii="Times New Roman" w:hAnsi="Times New Roman" w:cs="Times New Roman"/>
          <w:sz w:val="24"/>
        </w:rPr>
        <w:t xml:space="preserve"> </w:t>
      </w:r>
      <w:r w:rsidR="00EE1587" w:rsidRPr="00F07DEB">
        <w:rPr>
          <w:rFonts w:ascii="Times New Roman" w:hAnsi="Times New Roman" w:cs="Times New Roman"/>
          <w:sz w:val="24"/>
        </w:rPr>
        <w:fldChar w:fldCharType="begin"/>
      </w:r>
      <w:r w:rsidR="00EE1587" w:rsidRPr="00F07DEB">
        <w:rPr>
          <w:rFonts w:ascii="Times New Roman" w:hAnsi="Times New Roman" w:cs="Times New Roman"/>
          <w:sz w:val="24"/>
        </w:rPr>
        <w:instrText xml:space="preserve"> ADDIN ZOTERO_ITEM CSL_CITATION {"citationID":"FoGtyDP4","properties":{"formattedCitation":"(Houseal et al., 2007; Torres et al., 2012)","plainCitation":"(Houseal et al., 2007; Torres et al., 2012)","noteIndex":0},"citationItems":[{"id":753,"uris":["http://zotero.org/users/5446453/items/7A89MNNI"],"uri":["http://zotero.org/users/5446453/items/7A89MNNI"],"itemData":{"id":753,"type":"book","event-place":"Cedar Falls, IA","language":"en","number-of-pages":"123","publisher":"University of Northern Iowa","publisher-place":"Cedar Falls, IA","source":"Zotero","title":"Tallgrass Prairie Center’s Native Seed Production Manual","author":[{"family":"Houseal","given":"Greg A"},{"family":"Kaiser","given":"Jerry"},{"family":"Wuebker","given":"Eileen"},{"family":"Butler","given":"Brent"}],"issued":{"date-parts":[["2007"]]}}},{"id":758,"uris":["http://zotero.org/users/5446453/items/9CL3IHQ5"],"uri":["http://zotero.org/users/5446453/items/9CL3IHQ5"],"itemData":{"id":758,"type":"report","abstract":"In commercial greenhouses, several strategies can be used to help properly manage light levels throughout the day and seasonally. Some of the primary reasons why greenhouses manipulate light levels include temperature and irrigation management, photoperiod control, minimizing crop stress, and optimizing photosynthesis. Supplemental lighting with high-intensity discharge (HID) lamps can increase the light intensity a crop receives and improve and accelerate its growth and development. Retractable shade curtains and whitewash can reduce and scatter light intensity to create a more desirable growing environment during high-light periods. This publication examines the characteristics of greenhouse lighting and describes one management option, daily light integral (DLI). What Is Light and Why Is It Important? Light is a form of energy called electromagnetic radiation. Electromagnetic radiation, whether from sunlight or HID lamps [e.g., high-pressure sodium lamps (HPS) or metal halide] varies in duration (energy over time), quality (wavelength or color), and intensity (the amount of light at each wavelength or color). We will only focus on photosynthetically active radiation (PAR), which is light with a wavelength","event-place":"Purdue Extension","number":"HO-238-W","page":"7","publisher":"Department of Landscape Architecture and Horticulture, Purdue University","publisher-place":"Purdue Extension","source":"ResearchGate","title":"Measuring Daily Light Integral in a Greenhouse","author":[{"family":"Torres","given":"Ariana"},{"family":"Lopez","given":"Roberto"},{"family":"Floriculture","given":"Purdue"}],"issued":{"date-parts":[["2012",5,8]]}}}],"schema":"https://github.com/citation-style-language/schema/raw/master/csl-citation.json"} </w:instrText>
      </w:r>
      <w:r w:rsidR="00EE1587" w:rsidRPr="00F07DEB">
        <w:rPr>
          <w:rFonts w:ascii="Times New Roman" w:hAnsi="Times New Roman" w:cs="Times New Roman"/>
          <w:sz w:val="24"/>
        </w:rPr>
        <w:fldChar w:fldCharType="separate"/>
      </w:r>
      <w:r w:rsidR="00234033" w:rsidRPr="00234033">
        <w:rPr>
          <w:rFonts w:ascii="Times New Roman" w:hAnsi="Times New Roman" w:cs="Times New Roman"/>
          <w:sz w:val="24"/>
        </w:rPr>
        <w:t>(Houseal et al., 2007; Torres et al., 2012)</w:t>
      </w:r>
      <w:r w:rsidR="00EE1587" w:rsidRPr="00F07DEB">
        <w:rPr>
          <w:rFonts w:ascii="Times New Roman" w:hAnsi="Times New Roman" w:cs="Times New Roman"/>
          <w:sz w:val="24"/>
        </w:rPr>
        <w:fldChar w:fldCharType="end"/>
      </w:r>
      <w:r w:rsidR="0017058C" w:rsidRPr="00F07DEB">
        <w:rPr>
          <w:rFonts w:ascii="Times New Roman" w:hAnsi="Times New Roman" w:cs="Times New Roman"/>
          <w:sz w:val="24"/>
        </w:rPr>
        <w:t xml:space="preserve">. </w:t>
      </w:r>
      <w:r w:rsidR="00780F46" w:rsidRPr="00F07DEB">
        <w:rPr>
          <w:rFonts w:ascii="Times New Roman" w:hAnsi="Times New Roman" w:cs="Times New Roman"/>
          <w:sz w:val="24"/>
        </w:rPr>
        <w:t xml:space="preserve">The greenhouse maintained </w:t>
      </w:r>
      <w:r w:rsidR="00D74B5F" w:rsidRPr="00F07DEB">
        <w:rPr>
          <w:rFonts w:ascii="Times New Roman" w:hAnsi="Times New Roman" w:cs="Times New Roman"/>
          <w:sz w:val="24"/>
        </w:rPr>
        <w:t xml:space="preserve">a </w:t>
      </w:r>
      <w:r w:rsidR="00D74B5F" w:rsidRPr="00F07DEB">
        <w:rPr>
          <w:rFonts w:ascii="Times New Roman" w:hAnsi="Times New Roman" w:cs="Times New Roman"/>
          <w:sz w:val="24"/>
        </w:rPr>
        <w:lastRenderedPageBreak/>
        <w:t>temperature of approximately 26.7</w:t>
      </w:r>
      <w:r w:rsidR="00780F46" w:rsidRPr="00F07DEB">
        <w:rPr>
          <w:rFonts w:ascii="Times New Roman" w:hAnsi="Times New Roman" w:cs="Times New Roman"/>
          <w:sz w:val="24"/>
        </w:rPr>
        <w:t xml:space="preserve"> ℃</w:t>
      </w:r>
      <w:r w:rsidR="00D74B5F" w:rsidRPr="00F07DEB">
        <w:rPr>
          <w:rFonts w:ascii="Times New Roman" w:hAnsi="Times New Roman" w:cs="Times New Roman"/>
          <w:sz w:val="24"/>
        </w:rPr>
        <w:t xml:space="preserve">, which is sufficiently above the minimum temperature of 21.1 ℃ recommended for warm-season grass establishment </w:t>
      </w:r>
      <w:r w:rsidR="00D74B5F" w:rsidRPr="00F07DEB">
        <w:rPr>
          <w:rFonts w:ascii="Times New Roman" w:hAnsi="Times New Roman" w:cs="Times New Roman"/>
          <w:sz w:val="24"/>
        </w:rPr>
        <w:fldChar w:fldCharType="begin"/>
      </w:r>
      <w:r w:rsidR="00D74B5F" w:rsidRPr="00F07DEB">
        <w:rPr>
          <w:rFonts w:ascii="Times New Roman" w:hAnsi="Times New Roman" w:cs="Times New Roman"/>
          <w:sz w:val="24"/>
        </w:rPr>
        <w:instrText xml:space="preserve"> ADDIN ZOTERO_ITEM CSL_CITATION {"citationID":"SGvzrd3u","properties":{"formattedCitation":"(Houseal et al., 2007)","plainCitation":"(Houseal et al., 2007)","noteIndex":0},"citationItems":[{"id":753,"uris":["http://zotero.org/users/5446453/items/7A89MNNI"],"uri":["http://zotero.org/users/5446453/items/7A89MNNI"],"itemData":{"id":753,"type":"book","event-place":"Cedar Falls, IA","language":"en","number-of-pages":"123","publisher":"University of Northern Iowa","publisher-place":"Cedar Falls, IA","source":"Zotero","title":"Tallgrass Prairie Center’s Native Seed Production Manual","author":[{"family":"Houseal","given":"Greg A"},{"family":"Kaiser","given":"Jerry"},{"family":"Wuebker","given":"Eileen"},{"family":"Butler","given":"Brent"}],"issued":{"date-parts":[["2007"]]}}}],"schema":"https://github.com/citation-style-language/schema/raw/master/csl-citation.json"} </w:instrText>
      </w:r>
      <w:r w:rsidR="00D74B5F" w:rsidRPr="00F07DEB">
        <w:rPr>
          <w:rFonts w:ascii="Times New Roman" w:hAnsi="Times New Roman" w:cs="Times New Roman"/>
          <w:sz w:val="24"/>
        </w:rPr>
        <w:fldChar w:fldCharType="separate"/>
      </w:r>
      <w:r w:rsidR="00234033" w:rsidRPr="00234033">
        <w:rPr>
          <w:rFonts w:ascii="Times New Roman" w:hAnsi="Times New Roman" w:cs="Times New Roman"/>
          <w:sz w:val="24"/>
        </w:rPr>
        <w:t>(Houseal et al., 2007)</w:t>
      </w:r>
      <w:r w:rsidR="00D74B5F" w:rsidRPr="00F07DEB">
        <w:rPr>
          <w:rFonts w:ascii="Times New Roman" w:hAnsi="Times New Roman" w:cs="Times New Roman"/>
          <w:sz w:val="24"/>
        </w:rPr>
        <w:fldChar w:fldCharType="end"/>
      </w:r>
      <w:r w:rsidR="00780F46" w:rsidRPr="00F07DEB">
        <w:rPr>
          <w:rFonts w:ascii="Times New Roman" w:hAnsi="Times New Roman" w:cs="Times New Roman"/>
          <w:sz w:val="24"/>
        </w:rPr>
        <w:t>.</w:t>
      </w:r>
    </w:p>
    <w:p w14:paraId="61B406E5" w14:textId="71CB0C99" w:rsidR="00007BD8" w:rsidRPr="00F07DEB" w:rsidRDefault="00D03EB7" w:rsidP="00007BD8">
      <w:pPr>
        <w:pStyle w:val="Heading2"/>
        <w:spacing w:line="480" w:lineRule="auto"/>
      </w:pPr>
      <w:bookmarkStart w:id="28" w:name="_Toc58975158"/>
      <w:r w:rsidRPr="00F07DEB">
        <w:t>Proof-of-</w:t>
      </w:r>
      <w:r w:rsidR="009B50E0" w:rsidRPr="00F07DEB">
        <w:t>Concept Planting,</w:t>
      </w:r>
      <w:r w:rsidR="00EE00E2" w:rsidRPr="00F07DEB">
        <w:t xml:space="preserve"> </w:t>
      </w:r>
      <w:r w:rsidR="00007BD8" w:rsidRPr="00F07DEB">
        <w:t>Irrigation</w:t>
      </w:r>
      <w:r w:rsidR="00EE00E2" w:rsidRPr="00F07DEB">
        <w:t>, and Data Collection</w:t>
      </w:r>
      <w:bookmarkEnd w:id="28"/>
    </w:p>
    <w:p w14:paraId="4FF67DA6" w14:textId="2A0D06CF" w:rsidR="00EE00E2" w:rsidRPr="00F07DEB" w:rsidRDefault="00D76F3F" w:rsidP="00EE00E2">
      <w:pPr>
        <w:pStyle w:val="NoSpacing"/>
        <w:spacing w:line="480" w:lineRule="auto"/>
        <w:ind w:firstLine="720"/>
        <w:rPr>
          <w:rFonts w:ascii="Times New Roman" w:hAnsi="Times New Roman" w:cs="Times New Roman"/>
          <w:sz w:val="24"/>
        </w:rPr>
      </w:pPr>
      <w:r>
        <w:rPr>
          <w:rFonts w:ascii="Times New Roman" w:hAnsi="Times New Roman" w:cs="Times New Roman"/>
          <w:sz w:val="24"/>
        </w:rPr>
        <w:t>Thirty-five (</w:t>
      </w:r>
      <w:r w:rsidR="002D740C" w:rsidRPr="00F07DEB">
        <w:rPr>
          <w:rFonts w:ascii="Times New Roman" w:hAnsi="Times New Roman" w:cs="Times New Roman"/>
          <w:sz w:val="24"/>
        </w:rPr>
        <w:t>35</w:t>
      </w:r>
      <w:r>
        <w:rPr>
          <w:rFonts w:ascii="Times New Roman" w:hAnsi="Times New Roman" w:cs="Times New Roman"/>
          <w:sz w:val="24"/>
        </w:rPr>
        <w:t>)</w:t>
      </w:r>
      <w:r w:rsidR="002D740C" w:rsidRPr="00F07DEB">
        <w:rPr>
          <w:rFonts w:ascii="Times New Roman" w:hAnsi="Times New Roman" w:cs="Times New Roman"/>
          <w:sz w:val="24"/>
        </w:rPr>
        <w:t xml:space="preserve"> g of </w:t>
      </w:r>
      <w:proofErr w:type="spellStart"/>
      <w:r w:rsidR="002D740C" w:rsidRPr="00F07DEB">
        <w:rPr>
          <w:rFonts w:ascii="Times New Roman" w:hAnsi="Times New Roman" w:cs="Times New Roman"/>
          <w:sz w:val="24"/>
        </w:rPr>
        <w:t>Indiangrass</w:t>
      </w:r>
      <w:proofErr w:type="spellEnd"/>
      <w:r w:rsidR="002D740C" w:rsidRPr="00F07DEB">
        <w:rPr>
          <w:rFonts w:ascii="Times New Roman" w:hAnsi="Times New Roman" w:cs="Times New Roman"/>
          <w:sz w:val="24"/>
        </w:rPr>
        <w:t xml:space="preserve"> seed and 450 g of grain sorghum seed were purchased from </w:t>
      </w:r>
      <w:proofErr w:type="spellStart"/>
      <w:r w:rsidR="002D740C" w:rsidRPr="00F07DEB">
        <w:rPr>
          <w:rFonts w:ascii="Times New Roman" w:hAnsi="Times New Roman" w:cs="Times New Roman"/>
          <w:sz w:val="24"/>
        </w:rPr>
        <w:t>Roundstone</w:t>
      </w:r>
      <w:proofErr w:type="spellEnd"/>
      <w:r w:rsidR="002D740C" w:rsidRPr="00F07DEB">
        <w:rPr>
          <w:rFonts w:ascii="Times New Roman" w:hAnsi="Times New Roman" w:cs="Times New Roman"/>
          <w:sz w:val="24"/>
        </w:rPr>
        <w:t xml:space="preserve"> Native Seed</w:t>
      </w:r>
      <w:r w:rsidR="008D4A41" w:rsidRPr="00F07DEB">
        <w:rPr>
          <w:rFonts w:ascii="Times New Roman" w:hAnsi="Times New Roman" w:cs="Times New Roman"/>
          <w:sz w:val="24"/>
        </w:rPr>
        <w:t xml:space="preserve"> LLC (roundstoneseed.com). </w:t>
      </w:r>
      <w:r w:rsidR="001739FF">
        <w:rPr>
          <w:rFonts w:ascii="Times New Roman" w:hAnsi="Times New Roman" w:cs="Times New Roman"/>
          <w:sz w:val="24"/>
        </w:rPr>
        <w:t>Nine-hundred (</w:t>
      </w:r>
      <w:r w:rsidR="008D4A41" w:rsidRPr="00F07DEB">
        <w:rPr>
          <w:rFonts w:ascii="Times New Roman" w:hAnsi="Times New Roman" w:cs="Times New Roman"/>
          <w:sz w:val="24"/>
        </w:rPr>
        <w:t>900</w:t>
      </w:r>
      <w:r w:rsidR="001739FF">
        <w:rPr>
          <w:rFonts w:ascii="Times New Roman" w:hAnsi="Times New Roman" w:cs="Times New Roman"/>
          <w:sz w:val="24"/>
        </w:rPr>
        <w:t>)</w:t>
      </w:r>
      <w:r w:rsidR="008D4A41" w:rsidRPr="00F07DEB">
        <w:rPr>
          <w:rFonts w:ascii="Times New Roman" w:hAnsi="Times New Roman" w:cs="Times New Roman"/>
          <w:sz w:val="24"/>
        </w:rPr>
        <w:t xml:space="preserve"> </w:t>
      </w:r>
      <w:r w:rsidR="002D740C" w:rsidRPr="00F07DEB">
        <w:rPr>
          <w:rFonts w:ascii="Times New Roman" w:hAnsi="Times New Roman" w:cs="Times New Roman"/>
          <w:sz w:val="24"/>
        </w:rPr>
        <w:t xml:space="preserve">g of yellow-dent corn seed were purchased from </w:t>
      </w:r>
      <w:r w:rsidR="00DE1E1D" w:rsidRPr="00F07DEB">
        <w:rPr>
          <w:rFonts w:ascii="Times New Roman" w:hAnsi="Times New Roman" w:cs="Times New Roman"/>
          <w:sz w:val="24"/>
        </w:rPr>
        <w:t>Ross Seed Company in Chickasha, OK.</w:t>
      </w:r>
      <w:r w:rsidR="002D740C" w:rsidRPr="00F07DEB">
        <w:rPr>
          <w:rFonts w:ascii="Times New Roman" w:hAnsi="Times New Roman" w:cs="Times New Roman"/>
          <w:sz w:val="24"/>
        </w:rPr>
        <w:t xml:space="preserve"> </w:t>
      </w:r>
      <w:r w:rsidR="00780F46" w:rsidRPr="00F07DEB">
        <w:rPr>
          <w:rFonts w:ascii="Times New Roman" w:hAnsi="Times New Roman" w:cs="Times New Roman"/>
          <w:sz w:val="24"/>
        </w:rPr>
        <w:t>Planting took place on January 16, 2020. Each corn and sorghum pot received three seeds, planted 5 cm and 2.5 cm below the surface, respectively</w:t>
      </w:r>
      <w:r w:rsidR="00AB10C2" w:rsidRPr="00F07DEB">
        <w:rPr>
          <w:rFonts w:ascii="Times New Roman" w:hAnsi="Times New Roman" w:cs="Times New Roman"/>
          <w:sz w:val="24"/>
        </w:rPr>
        <w:t xml:space="preserve"> </w:t>
      </w:r>
      <w:r w:rsidR="00AB10C2" w:rsidRPr="00F07DEB">
        <w:rPr>
          <w:rFonts w:ascii="Times New Roman" w:hAnsi="Times New Roman" w:cs="Times New Roman"/>
          <w:sz w:val="24"/>
        </w:rPr>
        <w:fldChar w:fldCharType="begin"/>
      </w:r>
      <w:r w:rsidR="00AB10C2" w:rsidRPr="00F07DEB">
        <w:rPr>
          <w:rFonts w:ascii="Times New Roman" w:hAnsi="Times New Roman" w:cs="Times New Roman"/>
          <w:sz w:val="24"/>
        </w:rPr>
        <w:instrText xml:space="preserve"> ADDIN ZOTERO_ITEM CSL_CITATION {"citationID":"qTiLNbM5","properties":{"formattedCitation":"(Brandenberger et al., 2017; Dial, 2012)","plainCitation":"(Brandenberger et al., 2017; Dial, 2012)","noteIndex":0},"citationItems":[{"id":766,"uris":["http://zotero.org/users/5446453/items/UD72MFJC"],"uri":["http://zotero.org/users/5446453/items/UD72MFJC"],"itemData":{"id":766,"type":"report","event-place":"Tucson Plant Materials Center, Tucson, AZ","language":"en","page":"5","publisher":"USDA-Natural Resources Conservation Service","publisher-place":"Tucson Plant Materials Center, Tucson, AZ","source":"Zotero","title":"Plant guide for sorghum (Sorghum bicolor L.)","author":[{"family":"Dial","given":"Heather"}],"issued":{"date-parts":[["2012"]]}}},{"id":769,"uris":["http://zotero.org/users/5446453/items/3QWCTEQ9"],"uri":["http://zotero.org/users/5446453/items/3QWCTEQ9"],"itemData":{"id":769,"type":"report","abstract":"Basic information about the different production requirements of sweet corn, from site and soil selection to harvesting and handling.","collection-title":"Oklahoma Cooperative Extension Fact Sheets","language":"en","number":"HLA-6021","page":"4","publisher":"Oklahoma State University Extension Service","title":"Sweet Corn Production","URL":"https://extension.okstate.edu/fact-sheets/sweet-corn-production.html","author":[{"family":"Brandenberger","given":"Lynn"},{"family":"Kahn","given":"Brian"},{"family":"Rebek","given":"Eric"}],"accessed":{"date-parts":[["2020",11,7]]},"issued":{"date-parts":[["2017"]]}}}],"schema":"https://github.com/citation-style-language/schema/raw/master/csl-citation.json"} </w:instrText>
      </w:r>
      <w:r w:rsidR="00AB10C2" w:rsidRPr="00F07DEB">
        <w:rPr>
          <w:rFonts w:ascii="Times New Roman" w:hAnsi="Times New Roman" w:cs="Times New Roman"/>
          <w:sz w:val="24"/>
        </w:rPr>
        <w:fldChar w:fldCharType="separate"/>
      </w:r>
      <w:r w:rsidR="00234033" w:rsidRPr="00234033">
        <w:rPr>
          <w:rFonts w:ascii="Times New Roman" w:hAnsi="Times New Roman" w:cs="Times New Roman"/>
          <w:sz w:val="24"/>
        </w:rPr>
        <w:t>(Brandenberger et al., 2017; Dial, 2012)</w:t>
      </w:r>
      <w:r w:rsidR="00AB10C2" w:rsidRPr="00F07DEB">
        <w:rPr>
          <w:rFonts w:ascii="Times New Roman" w:hAnsi="Times New Roman" w:cs="Times New Roman"/>
          <w:sz w:val="24"/>
        </w:rPr>
        <w:fldChar w:fldCharType="end"/>
      </w:r>
      <w:r w:rsidR="00780F46" w:rsidRPr="00F07DEB">
        <w:rPr>
          <w:rFonts w:ascii="Times New Roman" w:hAnsi="Times New Roman" w:cs="Times New Roman"/>
          <w:sz w:val="24"/>
        </w:rPr>
        <w:t xml:space="preserve">. Nine seeds were planted at a depth of 0.5 cm in each </w:t>
      </w:r>
      <w:proofErr w:type="spellStart"/>
      <w:r w:rsidR="00780F46" w:rsidRPr="00F07DEB">
        <w:rPr>
          <w:rFonts w:ascii="Times New Roman" w:hAnsi="Times New Roman" w:cs="Times New Roman"/>
          <w:sz w:val="24"/>
        </w:rPr>
        <w:t>Indiangrass</w:t>
      </w:r>
      <w:proofErr w:type="spellEnd"/>
      <w:r w:rsidR="00780F46" w:rsidRPr="00F07DEB">
        <w:rPr>
          <w:rFonts w:ascii="Times New Roman" w:hAnsi="Times New Roman" w:cs="Times New Roman"/>
          <w:sz w:val="24"/>
        </w:rPr>
        <w:t xml:space="preserve"> pot</w:t>
      </w:r>
      <w:r w:rsidR="00AB10C2" w:rsidRPr="00F07DEB">
        <w:rPr>
          <w:rFonts w:ascii="Times New Roman" w:hAnsi="Times New Roman" w:cs="Times New Roman"/>
          <w:sz w:val="24"/>
        </w:rPr>
        <w:t xml:space="preserve"> </w:t>
      </w:r>
      <w:r w:rsidR="00AB10C2" w:rsidRPr="00F07DEB">
        <w:rPr>
          <w:rFonts w:ascii="Times New Roman" w:hAnsi="Times New Roman" w:cs="Times New Roman"/>
          <w:sz w:val="24"/>
        </w:rPr>
        <w:fldChar w:fldCharType="begin"/>
      </w:r>
      <w:r w:rsidR="00AB10C2" w:rsidRPr="00F07DEB">
        <w:rPr>
          <w:rFonts w:ascii="Times New Roman" w:hAnsi="Times New Roman" w:cs="Times New Roman"/>
          <w:sz w:val="24"/>
        </w:rPr>
        <w:instrText xml:space="preserve"> ADDIN ZOTERO_ITEM CSL_CITATION {"citationID":"8K697nEH","properties":{"formattedCitation":"(Brakie, 2017)","plainCitation":"(Brakie, 2017)","noteIndex":0},"citationItems":[{"id":768,"uris":["http://zotero.org/users/5446453/items/8BCWB9DQ"],"uri":["http://zotero.org/users/5446453/items/8BCWB9DQ"],"itemData":{"id":768,"type":"report","event-place":"East Texas Plant Materials Center, Nacogdoches, TX 75964","page":"7","publisher":"USDA-Natural Resources Conservation Service","publisher-place":"East Texas Plant Materials Center, Nacogdoches, TX 75964","title":"Plant Guide for Indiangrass (Sorghastrum nutans)","author":[{"family":"Brakie","given":"Melinda"}],"issued":{"date-parts":[["2017"]]}}}],"schema":"https://github.com/citation-style-language/schema/raw/master/csl-citation.json"} </w:instrText>
      </w:r>
      <w:r w:rsidR="00AB10C2" w:rsidRPr="00F07DEB">
        <w:rPr>
          <w:rFonts w:ascii="Times New Roman" w:hAnsi="Times New Roman" w:cs="Times New Roman"/>
          <w:sz w:val="24"/>
        </w:rPr>
        <w:fldChar w:fldCharType="separate"/>
      </w:r>
      <w:r w:rsidR="00234033" w:rsidRPr="00234033">
        <w:rPr>
          <w:rFonts w:ascii="Times New Roman" w:hAnsi="Times New Roman" w:cs="Times New Roman"/>
          <w:sz w:val="24"/>
        </w:rPr>
        <w:t>(Brakie, 2017)</w:t>
      </w:r>
      <w:r w:rsidR="00AB10C2" w:rsidRPr="00F07DEB">
        <w:rPr>
          <w:rFonts w:ascii="Times New Roman" w:hAnsi="Times New Roman" w:cs="Times New Roman"/>
          <w:sz w:val="24"/>
        </w:rPr>
        <w:fldChar w:fldCharType="end"/>
      </w:r>
      <w:r w:rsidR="00780F46" w:rsidRPr="00F07DEB">
        <w:rPr>
          <w:rFonts w:ascii="Times New Roman" w:hAnsi="Times New Roman" w:cs="Times New Roman"/>
          <w:sz w:val="24"/>
        </w:rPr>
        <w:t xml:space="preserve">. </w:t>
      </w:r>
      <w:r w:rsidR="00922CBD" w:rsidRPr="00F07DEB">
        <w:rPr>
          <w:rFonts w:ascii="Times New Roman" w:hAnsi="Times New Roman" w:cs="Times New Roman"/>
          <w:sz w:val="24"/>
        </w:rPr>
        <w:t xml:space="preserve">Seeds were chosen randomly and distributed evenly throughout each pot. </w:t>
      </w:r>
      <w:r w:rsidR="008C393D" w:rsidRPr="00F07DEB">
        <w:rPr>
          <w:rFonts w:ascii="Times New Roman" w:hAnsi="Times New Roman" w:cs="Times New Roman"/>
          <w:sz w:val="24"/>
        </w:rPr>
        <w:t xml:space="preserve">The pots were watered five times between January 16, 2020 and January 31, 2020. </w:t>
      </w:r>
      <w:r w:rsidR="00480E27" w:rsidRPr="00F07DEB">
        <w:rPr>
          <w:rFonts w:ascii="Times New Roman" w:hAnsi="Times New Roman" w:cs="Times New Roman"/>
          <w:sz w:val="24"/>
        </w:rPr>
        <w:t xml:space="preserve">Groundwater was collected in small quantities from a well at the ARF on the days that irrigation took place. A </w:t>
      </w:r>
      <w:r w:rsidR="001739FF" w:rsidRPr="00F07DEB">
        <w:rPr>
          <w:rFonts w:ascii="Times New Roman" w:hAnsi="Times New Roman" w:cs="Times New Roman"/>
          <w:sz w:val="24"/>
        </w:rPr>
        <w:t>20</w:t>
      </w:r>
      <w:r w:rsidR="001739FF">
        <w:rPr>
          <w:rFonts w:ascii="Times New Roman" w:hAnsi="Times New Roman" w:cs="Times New Roman"/>
          <w:sz w:val="24"/>
        </w:rPr>
        <w:t>-</w:t>
      </w:r>
      <w:r w:rsidR="00480E27" w:rsidRPr="00F07DEB">
        <w:rPr>
          <w:rFonts w:ascii="Times New Roman" w:hAnsi="Times New Roman" w:cs="Times New Roman"/>
          <w:sz w:val="24"/>
        </w:rPr>
        <w:t xml:space="preserve">L carboy of treated mine water was collected from the final outflow of the Mayer Ranch Passive Treatment System before the experiment began. </w:t>
      </w:r>
      <w:r w:rsidR="008C393D" w:rsidRPr="00F07DEB">
        <w:rPr>
          <w:rFonts w:ascii="Times New Roman" w:hAnsi="Times New Roman" w:cs="Times New Roman"/>
          <w:sz w:val="24"/>
        </w:rPr>
        <w:t xml:space="preserve">Irrigation volumes were calculated from initial growth state evapotranspiration estimates provided in the UN FAO </w:t>
      </w:r>
      <w:r w:rsidR="008C393D" w:rsidRPr="0033756A">
        <w:rPr>
          <w:rFonts w:ascii="Times New Roman" w:hAnsi="Times New Roman"/>
          <w:i/>
          <w:sz w:val="24"/>
        </w:rPr>
        <w:t>Manual for the Design and Construction of Water Harvesting Schemes for Plant Production</w:t>
      </w:r>
      <w:r w:rsidR="008C393D" w:rsidRPr="00F07DEB">
        <w:rPr>
          <w:rFonts w:ascii="Times New Roman" w:hAnsi="Times New Roman" w:cs="Times New Roman"/>
          <w:sz w:val="24"/>
        </w:rPr>
        <w:t xml:space="preserve"> </w:t>
      </w:r>
      <w:r w:rsidR="00D03EB7" w:rsidRPr="00F07DEB">
        <w:rPr>
          <w:rFonts w:ascii="Times New Roman" w:hAnsi="Times New Roman" w:cs="Times New Roman"/>
          <w:sz w:val="24"/>
        </w:rPr>
        <w:fldChar w:fldCharType="begin"/>
      </w:r>
      <w:r w:rsidR="004B13BE">
        <w:rPr>
          <w:rFonts w:ascii="Times New Roman" w:hAnsi="Times New Roman" w:cs="Times New Roman"/>
          <w:sz w:val="24"/>
        </w:rPr>
        <w:instrText xml:space="preserve"> ADDIN ZOTERO_ITEM CSL_CITATION {"citationID":"ndBttEUh","properties":{"formattedCitation":"(Critchley &amp; Siegert, 1991)","plainCitation":"(Critchley &amp; Siegert, 1991)","dontUpdate":true,"noteIndex":0},"citationItems":[{"id":700,"uris":["http://zotero.org/users/5446453/items/NQDJNWPU"],"uri":["http://zotero.org/users/5446453/items/NQDJNWPU"],"itemData":{"id":700,"type":"webpage","container-title":"Food and Agriculture Organization of the United Nations","title":"A Manual for the Design and Construction of Water Harvesting Schemes for Plant Production","title-short":"UN FAO","URL":"http://www.fao.org/3/U3160E/u3160e00.htm","author":[{"family":"Critchley","given":"Will"},{"family":"Siegert","given":"Klaus"}],"accessed":{"date-parts":[["2020",7,24]]},"issued":{"date-parts":[["1991"]]}}}],"schema":"https://github.com/citation-style-language/schema/raw/master/csl-citation.json"} </w:instrText>
      </w:r>
      <w:r w:rsidR="00D03EB7" w:rsidRPr="00F07DEB">
        <w:rPr>
          <w:rFonts w:ascii="Times New Roman" w:hAnsi="Times New Roman" w:cs="Times New Roman"/>
          <w:sz w:val="24"/>
        </w:rPr>
        <w:fldChar w:fldCharType="separate"/>
      </w:r>
      <w:r w:rsidR="00D03EB7" w:rsidRPr="00F07DEB">
        <w:rPr>
          <w:rFonts w:ascii="Times New Roman" w:hAnsi="Times New Roman" w:cs="Times New Roman"/>
          <w:sz w:val="24"/>
        </w:rPr>
        <w:t xml:space="preserve">(Critchley </w:t>
      </w:r>
      <w:r w:rsidR="002A6AB5">
        <w:rPr>
          <w:rFonts w:ascii="Times New Roman" w:hAnsi="Times New Roman" w:cs="Times New Roman"/>
          <w:sz w:val="24"/>
        </w:rPr>
        <w:t>and</w:t>
      </w:r>
      <w:r w:rsidR="00D03EB7" w:rsidRPr="00F07DEB">
        <w:rPr>
          <w:rFonts w:ascii="Times New Roman" w:hAnsi="Times New Roman" w:cs="Times New Roman"/>
          <w:sz w:val="24"/>
        </w:rPr>
        <w:t xml:space="preserve"> Siegert, 1991)</w:t>
      </w:r>
      <w:r w:rsidR="00D03EB7" w:rsidRPr="00F07DEB">
        <w:rPr>
          <w:rFonts w:ascii="Times New Roman" w:hAnsi="Times New Roman" w:cs="Times New Roman"/>
          <w:sz w:val="24"/>
        </w:rPr>
        <w:fldChar w:fldCharType="end"/>
      </w:r>
      <w:r w:rsidR="008C393D" w:rsidRPr="00F07DEB">
        <w:rPr>
          <w:rFonts w:ascii="Times New Roman" w:hAnsi="Times New Roman" w:cs="Times New Roman"/>
          <w:sz w:val="24"/>
        </w:rPr>
        <w:t xml:space="preserve">. The total </w:t>
      </w:r>
      <w:r w:rsidR="00D03EB7" w:rsidRPr="00F07DEB">
        <w:rPr>
          <w:rFonts w:ascii="Times New Roman" w:hAnsi="Times New Roman" w:cs="Times New Roman"/>
          <w:sz w:val="24"/>
        </w:rPr>
        <w:t xml:space="preserve">irrigation volumes per pot over the course of the proof-of-concept were 251 mL, 220 mL, and 146 mL for corn, sorghum, and </w:t>
      </w:r>
      <w:proofErr w:type="spellStart"/>
      <w:r w:rsidR="00D03EB7" w:rsidRPr="00F07DEB">
        <w:rPr>
          <w:rFonts w:ascii="Times New Roman" w:hAnsi="Times New Roman" w:cs="Times New Roman"/>
          <w:sz w:val="24"/>
        </w:rPr>
        <w:t>Indiangrass</w:t>
      </w:r>
      <w:proofErr w:type="spellEnd"/>
      <w:r w:rsidR="00D03EB7" w:rsidRPr="00F07DEB">
        <w:rPr>
          <w:rFonts w:ascii="Times New Roman" w:hAnsi="Times New Roman" w:cs="Times New Roman"/>
          <w:sz w:val="24"/>
        </w:rPr>
        <w:t>.</w:t>
      </w:r>
      <w:r w:rsidR="00662577" w:rsidRPr="00F07DEB">
        <w:rPr>
          <w:rFonts w:ascii="Times New Roman" w:hAnsi="Times New Roman" w:cs="Times New Roman"/>
          <w:sz w:val="24"/>
        </w:rPr>
        <w:t xml:space="preserve"> The </w:t>
      </w:r>
      <w:r w:rsidR="00EE00E2" w:rsidRPr="00F07DEB">
        <w:rPr>
          <w:rFonts w:ascii="Times New Roman" w:hAnsi="Times New Roman" w:cs="Times New Roman"/>
          <w:sz w:val="24"/>
        </w:rPr>
        <w:t>“</w:t>
      </w:r>
      <w:r w:rsidR="000D2EE7" w:rsidRPr="00F07DEB">
        <w:rPr>
          <w:rFonts w:ascii="Times New Roman" w:hAnsi="Times New Roman" w:cs="Times New Roman"/>
          <w:sz w:val="24"/>
        </w:rPr>
        <w:t>combination</w:t>
      </w:r>
      <w:r w:rsidR="00EE00E2" w:rsidRPr="00F07DEB">
        <w:rPr>
          <w:rFonts w:ascii="Times New Roman" w:hAnsi="Times New Roman" w:cs="Times New Roman"/>
          <w:sz w:val="24"/>
        </w:rPr>
        <w:t>”</w:t>
      </w:r>
      <w:r w:rsidR="000D2EE7" w:rsidRPr="00F07DEB">
        <w:rPr>
          <w:rFonts w:ascii="Times New Roman" w:hAnsi="Times New Roman" w:cs="Times New Roman"/>
          <w:sz w:val="24"/>
        </w:rPr>
        <w:t xml:space="preserve"> irrigation treatment </w:t>
      </w:r>
      <w:r w:rsidR="00EE00E2" w:rsidRPr="00F07DEB">
        <w:rPr>
          <w:rFonts w:ascii="Times New Roman" w:hAnsi="Times New Roman" w:cs="Times New Roman"/>
          <w:sz w:val="24"/>
        </w:rPr>
        <w:t xml:space="preserve">did not switch from groundwater to mine water because the experiment was cut short by mice, who dug up a substantial number of seeds between days 15 and 18, but no germination bottleneck was observed. </w:t>
      </w:r>
      <w:r w:rsidR="008C3AB4" w:rsidRPr="00F07DEB">
        <w:rPr>
          <w:rFonts w:ascii="Times New Roman" w:hAnsi="Times New Roman" w:cs="Times New Roman"/>
          <w:sz w:val="24"/>
        </w:rPr>
        <w:t>Emergence rates</w:t>
      </w:r>
      <w:r w:rsidR="00A65C1B" w:rsidRPr="00F07DEB">
        <w:rPr>
          <w:rFonts w:ascii="Times New Roman" w:hAnsi="Times New Roman" w:cs="Times New Roman"/>
          <w:sz w:val="24"/>
        </w:rPr>
        <w:t xml:space="preserve"> were evaluated for each treatment and crop. Results indicated that irrigation treatment had no significant effect on </w:t>
      </w:r>
      <w:r w:rsidR="00EE00E2" w:rsidRPr="00F07DEB">
        <w:rPr>
          <w:rFonts w:ascii="Times New Roman" w:hAnsi="Times New Roman" w:cs="Times New Roman"/>
          <w:sz w:val="24"/>
        </w:rPr>
        <w:t>emergence</w:t>
      </w:r>
      <w:r w:rsidR="00A65C1B" w:rsidRPr="00F07DEB">
        <w:rPr>
          <w:rFonts w:ascii="Times New Roman" w:hAnsi="Times New Roman" w:cs="Times New Roman"/>
          <w:sz w:val="24"/>
        </w:rPr>
        <w:t xml:space="preserve"> rates, which were similarly high for corn and sorghum but near-zero for </w:t>
      </w:r>
      <w:proofErr w:type="spellStart"/>
      <w:r w:rsidR="00A65C1B" w:rsidRPr="00F07DEB">
        <w:rPr>
          <w:rFonts w:ascii="Times New Roman" w:hAnsi="Times New Roman" w:cs="Times New Roman"/>
          <w:sz w:val="24"/>
        </w:rPr>
        <w:t>Indiangrass</w:t>
      </w:r>
      <w:proofErr w:type="spellEnd"/>
      <w:r w:rsidR="00A65C1B" w:rsidRPr="00F07DEB">
        <w:rPr>
          <w:rFonts w:ascii="Times New Roman" w:hAnsi="Times New Roman" w:cs="Times New Roman"/>
          <w:sz w:val="24"/>
        </w:rPr>
        <w:t xml:space="preserve">. </w:t>
      </w:r>
    </w:p>
    <w:p w14:paraId="19421C73" w14:textId="3BFF912A" w:rsidR="00EE00E2" w:rsidRPr="00F07DEB" w:rsidRDefault="00EE00E2" w:rsidP="00EE00E2">
      <w:pPr>
        <w:pStyle w:val="Heading2"/>
        <w:spacing w:line="480" w:lineRule="auto"/>
      </w:pPr>
      <w:bookmarkStart w:id="29" w:name="_Toc58975159"/>
      <w:r w:rsidRPr="00F07DEB">
        <w:lastRenderedPageBreak/>
        <w:t>Assessment of Grass Germination</w:t>
      </w:r>
      <w:bookmarkEnd w:id="29"/>
    </w:p>
    <w:p w14:paraId="42E28E86" w14:textId="7EFDFBC1" w:rsidR="00A65C1B" w:rsidRPr="00F07DEB" w:rsidRDefault="00DC0754" w:rsidP="00EE00E2">
      <w:pPr>
        <w:pStyle w:val="NoSpacing"/>
        <w:spacing w:line="480" w:lineRule="auto"/>
        <w:ind w:firstLine="720"/>
        <w:rPr>
          <w:rFonts w:ascii="Times New Roman" w:hAnsi="Times New Roman" w:cs="Times New Roman"/>
          <w:sz w:val="24"/>
        </w:rPr>
      </w:pPr>
      <w:r w:rsidRPr="00F07DEB">
        <w:rPr>
          <w:rFonts w:ascii="Times New Roman" w:hAnsi="Times New Roman" w:cs="Times New Roman"/>
          <w:sz w:val="24"/>
        </w:rPr>
        <w:t xml:space="preserve">To investigate poor </w:t>
      </w:r>
      <w:proofErr w:type="spellStart"/>
      <w:r w:rsidRPr="00F07DEB">
        <w:rPr>
          <w:rFonts w:ascii="Times New Roman" w:hAnsi="Times New Roman" w:cs="Times New Roman"/>
          <w:sz w:val="24"/>
        </w:rPr>
        <w:t>Indiangrass</w:t>
      </w:r>
      <w:proofErr w:type="spellEnd"/>
      <w:r w:rsidRPr="00F07DEB">
        <w:rPr>
          <w:rFonts w:ascii="Times New Roman" w:hAnsi="Times New Roman" w:cs="Times New Roman"/>
          <w:sz w:val="24"/>
        </w:rPr>
        <w:t xml:space="preserve"> </w:t>
      </w:r>
      <w:r w:rsidR="00EE00E2" w:rsidRPr="00F07DEB">
        <w:rPr>
          <w:rFonts w:ascii="Times New Roman" w:hAnsi="Times New Roman" w:cs="Times New Roman"/>
          <w:sz w:val="24"/>
        </w:rPr>
        <w:t>emergence</w:t>
      </w:r>
      <w:r w:rsidRPr="00F07DEB">
        <w:rPr>
          <w:rFonts w:ascii="Times New Roman" w:hAnsi="Times New Roman" w:cs="Times New Roman"/>
          <w:sz w:val="24"/>
        </w:rPr>
        <w:t xml:space="preserve"> rates, a second proof-of-concept experiment compared </w:t>
      </w:r>
      <w:proofErr w:type="spellStart"/>
      <w:r w:rsidRPr="00F07DEB">
        <w:rPr>
          <w:rFonts w:ascii="Times New Roman" w:hAnsi="Times New Roman" w:cs="Times New Roman"/>
          <w:sz w:val="24"/>
        </w:rPr>
        <w:t>Indiangrass</w:t>
      </w:r>
      <w:proofErr w:type="spellEnd"/>
      <w:r w:rsidRPr="00F07DEB">
        <w:rPr>
          <w:rFonts w:ascii="Times New Roman" w:hAnsi="Times New Roman" w:cs="Times New Roman"/>
          <w:sz w:val="24"/>
        </w:rPr>
        <w:t xml:space="preserve"> and another common Oklahoma grass, Bermuda</w:t>
      </w:r>
      <w:r w:rsidR="00F64099" w:rsidRPr="00F07DEB">
        <w:rPr>
          <w:rFonts w:ascii="Times New Roman" w:hAnsi="Times New Roman" w:cs="Times New Roman"/>
          <w:sz w:val="24"/>
        </w:rPr>
        <w:t xml:space="preserve"> g</w:t>
      </w:r>
      <w:r w:rsidRPr="00F07DEB">
        <w:rPr>
          <w:rFonts w:ascii="Times New Roman" w:hAnsi="Times New Roman" w:cs="Times New Roman"/>
          <w:sz w:val="24"/>
        </w:rPr>
        <w:t xml:space="preserve">rass. </w:t>
      </w:r>
      <w:r w:rsidR="004A1611" w:rsidRPr="00F07DEB">
        <w:rPr>
          <w:rFonts w:ascii="Times New Roman" w:hAnsi="Times New Roman" w:cs="Times New Roman"/>
          <w:sz w:val="24"/>
        </w:rPr>
        <w:t>In an NK Pro-Hex Seed Starting Tray</w:t>
      </w:r>
      <w:r w:rsidR="001E236C" w:rsidRPr="00F07DEB">
        <w:rPr>
          <w:rFonts w:ascii="Times New Roman" w:hAnsi="Times New Roman" w:cs="Times New Roman"/>
          <w:sz w:val="24"/>
        </w:rPr>
        <w:t xml:space="preserve">, </w:t>
      </w:r>
      <w:r w:rsidRPr="00F07DEB">
        <w:rPr>
          <w:rFonts w:ascii="Times New Roman" w:hAnsi="Times New Roman" w:cs="Times New Roman"/>
          <w:sz w:val="24"/>
        </w:rPr>
        <w:t xml:space="preserve">360 seeds </w:t>
      </w:r>
      <w:r w:rsidR="004A1611" w:rsidRPr="00F07DEB">
        <w:rPr>
          <w:rFonts w:ascii="Times New Roman" w:hAnsi="Times New Roman" w:cs="Times New Roman"/>
          <w:sz w:val="24"/>
        </w:rPr>
        <w:t xml:space="preserve">of each species </w:t>
      </w:r>
      <w:r w:rsidRPr="00F07DEB">
        <w:rPr>
          <w:rFonts w:ascii="Times New Roman" w:hAnsi="Times New Roman" w:cs="Times New Roman"/>
          <w:sz w:val="24"/>
        </w:rPr>
        <w:t>were divided evenly between potting mix and topsoil</w:t>
      </w:r>
      <w:r w:rsidR="00D01F8D" w:rsidRPr="00F07DEB">
        <w:rPr>
          <w:rFonts w:ascii="Times New Roman" w:hAnsi="Times New Roman" w:cs="Times New Roman"/>
          <w:sz w:val="24"/>
        </w:rPr>
        <w:t xml:space="preserve"> and watered with groundwater until germination. </w:t>
      </w:r>
      <w:r w:rsidR="00326FBB" w:rsidRPr="00F07DEB">
        <w:rPr>
          <w:rFonts w:ascii="Times New Roman" w:hAnsi="Times New Roman" w:cs="Times New Roman"/>
          <w:sz w:val="24"/>
        </w:rPr>
        <w:t xml:space="preserve">The total irrigation volumes were approximately 14 mL for each cell of </w:t>
      </w:r>
      <w:proofErr w:type="spellStart"/>
      <w:r w:rsidR="00326FBB" w:rsidRPr="00F07DEB">
        <w:rPr>
          <w:rFonts w:ascii="Times New Roman" w:hAnsi="Times New Roman" w:cs="Times New Roman"/>
          <w:sz w:val="24"/>
        </w:rPr>
        <w:t>Indiangrass</w:t>
      </w:r>
      <w:proofErr w:type="spellEnd"/>
      <w:r w:rsidR="00326FBB" w:rsidRPr="00F07DEB">
        <w:rPr>
          <w:rFonts w:ascii="Times New Roman" w:hAnsi="Times New Roman" w:cs="Times New Roman"/>
          <w:sz w:val="24"/>
        </w:rPr>
        <w:t xml:space="preserve"> and 12 mL for each cell of Bermuda grass.</w:t>
      </w:r>
      <w:r w:rsidR="003C5D55" w:rsidRPr="00F07DEB">
        <w:rPr>
          <w:rFonts w:ascii="Times New Roman" w:hAnsi="Times New Roman" w:cs="Times New Roman"/>
          <w:sz w:val="24"/>
        </w:rPr>
        <w:t xml:space="preserve"> </w:t>
      </w:r>
    </w:p>
    <w:p w14:paraId="515613AF" w14:textId="33872304" w:rsidR="00EE00E2" w:rsidRPr="00F07DEB" w:rsidRDefault="00CD4B79" w:rsidP="00742283">
      <w:pPr>
        <w:pStyle w:val="Heading2"/>
        <w:spacing w:line="480" w:lineRule="auto"/>
      </w:pPr>
      <w:bookmarkStart w:id="30" w:name="_Toc58975160"/>
      <w:r>
        <w:t xml:space="preserve">Crop Irrigation </w:t>
      </w:r>
      <w:r w:rsidR="000C67E9" w:rsidRPr="00F07DEB">
        <w:t>Full-</w:t>
      </w:r>
      <w:r w:rsidR="00742283" w:rsidRPr="00F07DEB">
        <w:t>Scale Experimental Setup</w:t>
      </w:r>
      <w:bookmarkEnd w:id="30"/>
    </w:p>
    <w:p w14:paraId="6DA1DF70" w14:textId="0C0D0FC7" w:rsidR="00B84CCD" w:rsidRPr="00F07DEB" w:rsidRDefault="00A65C1B" w:rsidP="00742283">
      <w:pPr>
        <w:pStyle w:val="NoSpacing"/>
        <w:spacing w:line="480" w:lineRule="auto"/>
        <w:ind w:firstLine="720"/>
        <w:rPr>
          <w:rFonts w:ascii="Times New Roman" w:hAnsi="Times New Roman" w:cs="Times New Roman"/>
          <w:sz w:val="24"/>
        </w:rPr>
      </w:pPr>
      <w:r w:rsidRPr="00F07DEB">
        <w:rPr>
          <w:rFonts w:ascii="Times New Roman" w:hAnsi="Times New Roman" w:cs="Times New Roman"/>
          <w:sz w:val="24"/>
        </w:rPr>
        <w:t xml:space="preserve">Consequently, the </w:t>
      </w:r>
      <w:r w:rsidR="005F3190" w:rsidRPr="00F07DEB">
        <w:rPr>
          <w:rFonts w:ascii="Times New Roman" w:hAnsi="Times New Roman" w:cs="Times New Roman"/>
          <w:sz w:val="24"/>
        </w:rPr>
        <w:t>following</w:t>
      </w:r>
      <w:r w:rsidRPr="00F07DEB">
        <w:rPr>
          <w:rFonts w:ascii="Times New Roman" w:hAnsi="Times New Roman" w:cs="Times New Roman"/>
          <w:sz w:val="24"/>
        </w:rPr>
        <w:t xml:space="preserve"> phase of the study, during which crops </w:t>
      </w:r>
      <w:r w:rsidR="005F3190" w:rsidRPr="00F07DEB">
        <w:rPr>
          <w:rFonts w:ascii="Times New Roman" w:hAnsi="Times New Roman" w:cs="Times New Roman"/>
          <w:sz w:val="24"/>
        </w:rPr>
        <w:t>were</w:t>
      </w:r>
      <w:r w:rsidRPr="00F07DEB">
        <w:rPr>
          <w:rFonts w:ascii="Times New Roman" w:hAnsi="Times New Roman" w:cs="Times New Roman"/>
          <w:sz w:val="24"/>
        </w:rPr>
        <w:t xml:space="preserve"> grown from seed to </w:t>
      </w:r>
      <w:r w:rsidR="000571EF" w:rsidRPr="00F07DEB">
        <w:rPr>
          <w:rFonts w:ascii="Times New Roman" w:hAnsi="Times New Roman" w:cs="Times New Roman"/>
          <w:sz w:val="24"/>
        </w:rPr>
        <w:t>maturity</w:t>
      </w:r>
      <w:r w:rsidRPr="00F07DEB">
        <w:rPr>
          <w:rFonts w:ascii="Times New Roman" w:hAnsi="Times New Roman" w:cs="Times New Roman"/>
          <w:sz w:val="24"/>
        </w:rPr>
        <w:t xml:space="preserve"> in potting </w:t>
      </w:r>
      <w:r w:rsidR="000571EF" w:rsidRPr="00F07DEB">
        <w:rPr>
          <w:rFonts w:ascii="Times New Roman" w:hAnsi="Times New Roman" w:cs="Times New Roman"/>
          <w:sz w:val="24"/>
        </w:rPr>
        <w:t>mix</w:t>
      </w:r>
      <w:r w:rsidRPr="00F07DEB">
        <w:rPr>
          <w:rFonts w:ascii="Times New Roman" w:hAnsi="Times New Roman" w:cs="Times New Roman"/>
          <w:sz w:val="24"/>
        </w:rPr>
        <w:t>, exclude</w:t>
      </w:r>
      <w:r w:rsidR="005F3190" w:rsidRPr="00F07DEB">
        <w:rPr>
          <w:rFonts w:ascii="Times New Roman" w:hAnsi="Times New Roman" w:cs="Times New Roman"/>
          <w:sz w:val="24"/>
        </w:rPr>
        <w:t>d</w:t>
      </w:r>
      <w:r w:rsidRPr="00F07DEB">
        <w:rPr>
          <w:rFonts w:ascii="Times New Roman" w:hAnsi="Times New Roman" w:cs="Times New Roman"/>
          <w:sz w:val="24"/>
        </w:rPr>
        <w:t xml:space="preserve"> the “combination” t</w:t>
      </w:r>
      <w:r w:rsidR="00EE00E2" w:rsidRPr="00F07DEB">
        <w:rPr>
          <w:rFonts w:ascii="Times New Roman" w:hAnsi="Times New Roman" w:cs="Times New Roman"/>
          <w:sz w:val="24"/>
        </w:rPr>
        <w:t>reatment and substitute</w:t>
      </w:r>
      <w:r w:rsidR="00B84CCD" w:rsidRPr="00F07DEB">
        <w:rPr>
          <w:rFonts w:ascii="Times New Roman" w:hAnsi="Times New Roman" w:cs="Times New Roman"/>
          <w:sz w:val="24"/>
        </w:rPr>
        <w:t>d</w:t>
      </w:r>
      <w:r w:rsidR="00A10524" w:rsidRPr="00F07DEB">
        <w:rPr>
          <w:rFonts w:ascii="Times New Roman" w:hAnsi="Times New Roman" w:cs="Times New Roman"/>
          <w:sz w:val="24"/>
        </w:rPr>
        <w:t xml:space="preserve"> Bermuda</w:t>
      </w:r>
      <w:r w:rsidR="00EE00E2" w:rsidRPr="00F07DEB">
        <w:rPr>
          <w:rFonts w:ascii="Times New Roman" w:hAnsi="Times New Roman" w:cs="Times New Roman"/>
          <w:sz w:val="24"/>
        </w:rPr>
        <w:t xml:space="preserve"> g</w:t>
      </w:r>
      <w:r w:rsidRPr="00F07DEB">
        <w:rPr>
          <w:rFonts w:ascii="Times New Roman" w:hAnsi="Times New Roman" w:cs="Times New Roman"/>
          <w:sz w:val="24"/>
        </w:rPr>
        <w:t>rass (</w:t>
      </w:r>
      <w:proofErr w:type="spellStart"/>
      <w:r w:rsidRPr="00F07DEB">
        <w:rPr>
          <w:rFonts w:ascii="Times New Roman" w:hAnsi="Times New Roman" w:cs="Times New Roman"/>
          <w:i/>
          <w:sz w:val="24"/>
        </w:rPr>
        <w:t>Cynodon</w:t>
      </w:r>
      <w:proofErr w:type="spellEnd"/>
      <w:r w:rsidRPr="00F07DEB">
        <w:rPr>
          <w:rFonts w:ascii="Times New Roman" w:hAnsi="Times New Roman" w:cs="Times New Roman"/>
          <w:i/>
          <w:sz w:val="24"/>
        </w:rPr>
        <w:t xml:space="preserve"> </w:t>
      </w:r>
      <w:proofErr w:type="spellStart"/>
      <w:r w:rsidRPr="00F07DEB">
        <w:rPr>
          <w:rFonts w:ascii="Times New Roman" w:hAnsi="Times New Roman" w:cs="Times New Roman"/>
          <w:i/>
          <w:sz w:val="24"/>
        </w:rPr>
        <w:t>dactylon</w:t>
      </w:r>
      <w:proofErr w:type="spellEnd"/>
      <w:r w:rsidRPr="00F07DEB">
        <w:rPr>
          <w:rFonts w:ascii="Times New Roman" w:hAnsi="Times New Roman" w:cs="Times New Roman"/>
          <w:sz w:val="24"/>
        </w:rPr>
        <w:t xml:space="preserve">) for </w:t>
      </w:r>
      <w:proofErr w:type="spellStart"/>
      <w:r w:rsidRPr="00F07DEB">
        <w:rPr>
          <w:rFonts w:ascii="Times New Roman" w:hAnsi="Times New Roman" w:cs="Times New Roman"/>
          <w:sz w:val="24"/>
        </w:rPr>
        <w:t>Indiangrass</w:t>
      </w:r>
      <w:proofErr w:type="spellEnd"/>
      <w:r w:rsidR="004D00A8" w:rsidRPr="00F07DEB">
        <w:rPr>
          <w:rFonts w:ascii="Times New Roman" w:hAnsi="Times New Roman" w:cs="Times New Roman"/>
          <w:sz w:val="24"/>
        </w:rPr>
        <w:t xml:space="preserve">. This full-scale experiment </w:t>
      </w:r>
      <w:r w:rsidR="005F3190" w:rsidRPr="00F07DEB">
        <w:rPr>
          <w:rFonts w:ascii="Times New Roman" w:hAnsi="Times New Roman" w:cs="Times New Roman"/>
          <w:sz w:val="24"/>
        </w:rPr>
        <w:t>began</w:t>
      </w:r>
      <w:r w:rsidR="004D00A8" w:rsidRPr="00F07DEB">
        <w:rPr>
          <w:rFonts w:ascii="Times New Roman" w:hAnsi="Times New Roman" w:cs="Times New Roman"/>
          <w:sz w:val="24"/>
        </w:rPr>
        <w:t xml:space="preserve"> on </w:t>
      </w:r>
      <w:r w:rsidR="003A7BE1" w:rsidRPr="00F07DEB">
        <w:rPr>
          <w:rFonts w:ascii="Times New Roman" w:hAnsi="Times New Roman" w:cs="Times New Roman"/>
          <w:sz w:val="24"/>
        </w:rPr>
        <w:t xml:space="preserve">June 10, 2020 on </w:t>
      </w:r>
      <w:r w:rsidR="003C16DD" w:rsidRPr="00F07DEB">
        <w:rPr>
          <w:rFonts w:ascii="Times New Roman" w:hAnsi="Times New Roman" w:cs="Times New Roman"/>
          <w:sz w:val="24"/>
        </w:rPr>
        <w:t>private</w:t>
      </w:r>
      <w:r w:rsidR="00A01540" w:rsidRPr="00F07DEB">
        <w:rPr>
          <w:rFonts w:ascii="Times New Roman" w:hAnsi="Times New Roman" w:cs="Times New Roman"/>
          <w:sz w:val="24"/>
        </w:rPr>
        <w:t xml:space="preserve"> property</w:t>
      </w:r>
      <w:r w:rsidR="005F3190" w:rsidRPr="00F07DEB">
        <w:rPr>
          <w:rFonts w:ascii="Times New Roman" w:hAnsi="Times New Roman" w:cs="Times New Roman"/>
          <w:sz w:val="24"/>
        </w:rPr>
        <w:t xml:space="preserve"> in Norman, OK</w:t>
      </w:r>
      <w:r w:rsidR="00A01540" w:rsidRPr="00F07DEB">
        <w:rPr>
          <w:rFonts w:ascii="Times New Roman" w:hAnsi="Times New Roman" w:cs="Times New Roman"/>
          <w:sz w:val="24"/>
        </w:rPr>
        <w:t>, to</w:t>
      </w:r>
      <w:r w:rsidR="004D00A8" w:rsidRPr="00F07DEB">
        <w:rPr>
          <w:rFonts w:ascii="Times New Roman" w:hAnsi="Times New Roman" w:cs="Times New Roman"/>
          <w:sz w:val="24"/>
        </w:rPr>
        <w:t xml:space="preserve"> comply with </w:t>
      </w:r>
      <w:r w:rsidR="00A01540" w:rsidRPr="00F07DEB">
        <w:rPr>
          <w:rFonts w:ascii="Times New Roman" w:hAnsi="Times New Roman" w:cs="Times New Roman"/>
          <w:sz w:val="24"/>
        </w:rPr>
        <w:t xml:space="preserve">University of Oklahoma </w:t>
      </w:r>
      <w:r w:rsidR="004D00A8" w:rsidRPr="00F07DEB">
        <w:rPr>
          <w:rFonts w:ascii="Times New Roman" w:hAnsi="Times New Roman" w:cs="Times New Roman"/>
          <w:sz w:val="24"/>
        </w:rPr>
        <w:t xml:space="preserve">COVID-19 </w:t>
      </w:r>
      <w:r w:rsidR="00A01540" w:rsidRPr="00F07DEB">
        <w:rPr>
          <w:rFonts w:ascii="Times New Roman" w:hAnsi="Times New Roman" w:cs="Times New Roman"/>
          <w:sz w:val="24"/>
        </w:rPr>
        <w:t>travel and contact restrictions</w:t>
      </w:r>
      <w:r w:rsidR="004D00A8" w:rsidRPr="00F07DEB">
        <w:rPr>
          <w:rFonts w:ascii="Times New Roman" w:hAnsi="Times New Roman" w:cs="Times New Roman"/>
          <w:sz w:val="24"/>
        </w:rPr>
        <w:t xml:space="preserve">. </w:t>
      </w:r>
      <w:r w:rsidR="005F3190" w:rsidRPr="00F07DEB">
        <w:rPr>
          <w:rFonts w:ascii="Times New Roman" w:hAnsi="Times New Roman" w:cs="Times New Roman"/>
          <w:sz w:val="24"/>
        </w:rPr>
        <w:t xml:space="preserve">Pots were moved from private property to the ARF on </w:t>
      </w:r>
      <w:r w:rsidR="003A7BE1" w:rsidRPr="00F07DEB">
        <w:rPr>
          <w:rFonts w:ascii="Times New Roman" w:hAnsi="Times New Roman" w:cs="Times New Roman"/>
          <w:sz w:val="24"/>
        </w:rPr>
        <w:t>September 1, 2020</w:t>
      </w:r>
      <w:r w:rsidR="000571EF" w:rsidRPr="00F07DEB">
        <w:rPr>
          <w:rFonts w:ascii="Times New Roman" w:hAnsi="Times New Roman" w:cs="Times New Roman"/>
          <w:sz w:val="24"/>
        </w:rPr>
        <w:t xml:space="preserve">, </w:t>
      </w:r>
      <w:r w:rsidR="001739FF">
        <w:rPr>
          <w:rFonts w:ascii="Times New Roman" w:hAnsi="Times New Roman" w:cs="Times New Roman"/>
          <w:sz w:val="24"/>
        </w:rPr>
        <w:t xml:space="preserve">after approval of research-specific COVID-19 Conduct of Operations Plans, </w:t>
      </w:r>
      <w:r w:rsidR="000571EF" w:rsidRPr="00F07DEB">
        <w:rPr>
          <w:rFonts w:ascii="Times New Roman" w:hAnsi="Times New Roman" w:cs="Times New Roman"/>
          <w:sz w:val="24"/>
        </w:rPr>
        <w:t>and they remained at the ARF until the plants were harvested on September 25, 2020</w:t>
      </w:r>
      <w:r w:rsidR="005F3190" w:rsidRPr="00F07DEB">
        <w:rPr>
          <w:rFonts w:ascii="Times New Roman" w:hAnsi="Times New Roman" w:cs="Times New Roman"/>
          <w:sz w:val="24"/>
        </w:rPr>
        <w:t xml:space="preserve">. </w:t>
      </w:r>
      <w:r w:rsidR="00E35740" w:rsidRPr="00F07DEB">
        <w:rPr>
          <w:rFonts w:ascii="Times New Roman" w:hAnsi="Times New Roman" w:cs="Times New Roman"/>
          <w:sz w:val="24"/>
        </w:rPr>
        <w:t xml:space="preserve">Polyethylene, </w:t>
      </w:r>
      <w:r w:rsidR="001739FF" w:rsidRPr="00F07DEB">
        <w:rPr>
          <w:rFonts w:ascii="Times New Roman" w:hAnsi="Times New Roman" w:cs="Times New Roman"/>
          <w:sz w:val="24"/>
        </w:rPr>
        <w:t>22</w:t>
      </w:r>
      <w:r w:rsidR="001739FF">
        <w:rPr>
          <w:rFonts w:ascii="Times New Roman" w:hAnsi="Times New Roman" w:cs="Times New Roman"/>
          <w:sz w:val="24"/>
        </w:rPr>
        <w:t>-</w:t>
      </w:r>
      <w:r w:rsidR="00E35740" w:rsidRPr="00F07DEB">
        <w:rPr>
          <w:rFonts w:ascii="Times New Roman" w:hAnsi="Times New Roman" w:cs="Times New Roman"/>
          <w:sz w:val="24"/>
        </w:rPr>
        <w:t>cm</w:t>
      </w:r>
      <w:r w:rsidR="00C148FF" w:rsidRPr="00F07DEB">
        <w:rPr>
          <w:rFonts w:ascii="Times New Roman" w:hAnsi="Times New Roman" w:cs="Times New Roman"/>
          <w:sz w:val="24"/>
        </w:rPr>
        <w:t xml:space="preserve"> diameter</w:t>
      </w:r>
      <w:r w:rsidR="001739FF">
        <w:rPr>
          <w:rFonts w:ascii="Times New Roman" w:hAnsi="Times New Roman" w:cs="Times New Roman"/>
          <w:sz w:val="24"/>
        </w:rPr>
        <w:t>,</w:t>
      </w:r>
      <w:r w:rsidR="00C148FF" w:rsidRPr="00F07DEB">
        <w:rPr>
          <w:rFonts w:ascii="Times New Roman" w:hAnsi="Times New Roman" w:cs="Times New Roman"/>
          <w:sz w:val="24"/>
        </w:rPr>
        <w:t xml:space="preserve"> black nursery pots were filled with </w:t>
      </w:r>
      <w:r w:rsidR="005F3190" w:rsidRPr="00F07DEB">
        <w:rPr>
          <w:rFonts w:ascii="Times New Roman" w:hAnsi="Times New Roman" w:cs="Times New Roman"/>
          <w:sz w:val="24"/>
        </w:rPr>
        <w:t xml:space="preserve">6 L of Vigoro All-Purpose Potting Mix. </w:t>
      </w:r>
      <w:r w:rsidR="003C16DD" w:rsidRPr="00F07DEB">
        <w:rPr>
          <w:rFonts w:ascii="Times New Roman" w:hAnsi="Times New Roman" w:cs="Times New Roman"/>
          <w:sz w:val="24"/>
        </w:rPr>
        <w:t xml:space="preserve">Again, </w:t>
      </w:r>
      <w:r w:rsidR="00F20B8E" w:rsidRPr="00F07DEB">
        <w:rPr>
          <w:rFonts w:ascii="Times New Roman" w:hAnsi="Times New Roman" w:cs="Times New Roman"/>
          <w:sz w:val="24"/>
        </w:rPr>
        <w:t xml:space="preserve">36 pots </w:t>
      </w:r>
      <w:r w:rsidR="005F3190" w:rsidRPr="00F07DEB">
        <w:rPr>
          <w:rFonts w:ascii="Times New Roman" w:hAnsi="Times New Roman" w:cs="Times New Roman"/>
          <w:sz w:val="24"/>
        </w:rPr>
        <w:t>were</w:t>
      </w:r>
      <w:r w:rsidR="00F20B8E" w:rsidRPr="00F07DEB">
        <w:rPr>
          <w:rFonts w:ascii="Times New Roman" w:hAnsi="Times New Roman" w:cs="Times New Roman"/>
          <w:sz w:val="24"/>
        </w:rPr>
        <w:t xml:space="preserve"> split between the three species</w:t>
      </w:r>
      <w:r w:rsidR="00B84CCD" w:rsidRPr="00F07DEB">
        <w:rPr>
          <w:rFonts w:ascii="Times New Roman" w:hAnsi="Times New Roman" w:cs="Times New Roman"/>
          <w:sz w:val="24"/>
        </w:rPr>
        <w:t xml:space="preserve"> in a randomized block design with two treatments and six replicates per</w:t>
      </w:r>
      <w:r w:rsidR="0062000A" w:rsidRPr="00F07DEB">
        <w:rPr>
          <w:rFonts w:ascii="Times New Roman" w:hAnsi="Times New Roman" w:cs="Times New Roman"/>
          <w:sz w:val="24"/>
        </w:rPr>
        <w:t xml:space="preserve"> treatment-species combination. The randomized block design is provide</w:t>
      </w:r>
      <w:r w:rsidR="0062000A" w:rsidRPr="00F07DEB">
        <w:rPr>
          <w:rFonts w:ascii="Times New Roman" w:hAnsi="Times New Roman" w:cs="Times New Roman"/>
          <w:sz w:val="24"/>
          <w:szCs w:val="24"/>
        </w:rPr>
        <w:t>d as</w:t>
      </w:r>
      <w:r w:rsidR="0062000A" w:rsidRPr="00636255">
        <w:rPr>
          <w:rFonts w:ascii="Times New Roman" w:hAnsi="Times New Roman" w:cs="Times New Roman"/>
          <w:sz w:val="24"/>
          <w:szCs w:val="24"/>
        </w:rPr>
        <w:t xml:space="preserve"> </w:t>
      </w:r>
      <w:r w:rsidR="00636255" w:rsidRPr="00636255">
        <w:rPr>
          <w:rFonts w:ascii="Times New Roman" w:hAnsi="Times New Roman" w:cs="Times New Roman"/>
          <w:sz w:val="24"/>
          <w:szCs w:val="24"/>
        </w:rPr>
        <w:fldChar w:fldCharType="begin"/>
      </w:r>
      <w:r w:rsidR="00636255" w:rsidRPr="00636255">
        <w:rPr>
          <w:rFonts w:ascii="Times New Roman" w:hAnsi="Times New Roman" w:cs="Times New Roman"/>
          <w:sz w:val="24"/>
          <w:szCs w:val="24"/>
        </w:rPr>
        <w:instrText xml:space="preserve"> REF _Ref56686275 \h  \* MERGEFORMAT </w:instrText>
      </w:r>
      <w:r w:rsidR="00636255" w:rsidRPr="00636255">
        <w:rPr>
          <w:rFonts w:ascii="Times New Roman" w:hAnsi="Times New Roman" w:cs="Times New Roman"/>
          <w:sz w:val="24"/>
          <w:szCs w:val="24"/>
        </w:rPr>
      </w:r>
      <w:r w:rsidR="00636255" w:rsidRPr="00636255">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4</w:t>
      </w:r>
      <w:r w:rsidR="00636255" w:rsidRPr="00636255">
        <w:rPr>
          <w:rFonts w:ascii="Times New Roman" w:hAnsi="Times New Roman" w:cs="Times New Roman"/>
          <w:sz w:val="24"/>
          <w:szCs w:val="24"/>
        </w:rPr>
        <w:fldChar w:fldCharType="end"/>
      </w:r>
      <w:r w:rsidR="00477433" w:rsidRPr="00F07DEB">
        <w:rPr>
          <w:rFonts w:ascii="Times New Roman" w:hAnsi="Times New Roman" w:cs="Times New Roman"/>
          <w:sz w:val="24"/>
          <w:szCs w:val="24"/>
        </w:rPr>
        <w:t>. Each pot was assigned a four character unique identifier</w:t>
      </w:r>
      <w:r w:rsidR="00477433" w:rsidRPr="00F07DEB">
        <w:rPr>
          <w:rFonts w:ascii="Times New Roman" w:hAnsi="Times New Roman" w:cs="Times New Roman"/>
          <w:sz w:val="24"/>
        </w:rPr>
        <w:t xml:space="preserve">: species, irrigation treatment, and row-column location within the species block. </w:t>
      </w:r>
      <w:r w:rsidR="00B84CCD" w:rsidRPr="00F07DEB">
        <w:rPr>
          <w:rFonts w:ascii="Times New Roman" w:hAnsi="Times New Roman" w:cs="Times New Roman"/>
          <w:sz w:val="24"/>
        </w:rPr>
        <w:t xml:space="preserve">The pots spent the first two weeks of the study underneath a </w:t>
      </w:r>
      <w:r w:rsidR="00DA191A" w:rsidRPr="00F07DEB">
        <w:rPr>
          <w:rFonts w:ascii="Times New Roman" w:hAnsi="Times New Roman" w:cs="Times New Roman"/>
          <w:sz w:val="24"/>
        </w:rPr>
        <w:t xml:space="preserve">covered </w:t>
      </w:r>
      <w:r w:rsidR="00B84CCD" w:rsidRPr="00F07DEB">
        <w:rPr>
          <w:rFonts w:ascii="Times New Roman" w:hAnsi="Times New Roman" w:cs="Times New Roman"/>
          <w:sz w:val="24"/>
        </w:rPr>
        <w:t>carport, where they still received sunlight</w:t>
      </w:r>
      <w:r w:rsidR="00DA191A" w:rsidRPr="00F07DEB">
        <w:rPr>
          <w:rFonts w:ascii="Times New Roman" w:hAnsi="Times New Roman" w:cs="Times New Roman"/>
          <w:sz w:val="24"/>
        </w:rPr>
        <w:t xml:space="preserve"> in the afternoon due to eastern-exposure. The carport provided protection from rain, which could dislodge seeds and fledgling root systems in loose, </w:t>
      </w:r>
      <w:proofErr w:type="spellStart"/>
      <w:r w:rsidR="00DA191A" w:rsidRPr="00F07DEB">
        <w:rPr>
          <w:rFonts w:ascii="Times New Roman" w:hAnsi="Times New Roman" w:cs="Times New Roman"/>
          <w:sz w:val="24"/>
        </w:rPr>
        <w:t>uncompacted</w:t>
      </w:r>
      <w:proofErr w:type="spellEnd"/>
      <w:r w:rsidR="00DA191A" w:rsidRPr="00F07DEB">
        <w:rPr>
          <w:rFonts w:ascii="Times New Roman" w:hAnsi="Times New Roman" w:cs="Times New Roman"/>
          <w:sz w:val="24"/>
        </w:rPr>
        <w:t xml:space="preserve"> potting mix, and </w:t>
      </w:r>
      <w:r w:rsidR="005F4AC6" w:rsidRPr="00F07DEB">
        <w:rPr>
          <w:rFonts w:ascii="Times New Roman" w:hAnsi="Times New Roman" w:cs="Times New Roman"/>
          <w:sz w:val="24"/>
        </w:rPr>
        <w:t>enabled</w:t>
      </w:r>
      <w:r w:rsidR="00DA191A" w:rsidRPr="00F07DEB">
        <w:rPr>
          <w:rFonts w:ascii="Times New Roman" w:hAnsi="Times New Roman" w:cs="Times New Roman"/>
          <w:sz w:val="24"/>
        </w:rPr>
        <w:t xml:space="preserve"> the hanging of a mosquito </w:t>
      </w:r>
      <w:r w:rsidR="00DA191A" w:rsidRPr="00F07DEB">
        <w:rPr>
          <w:rFonts w:ascii="Times New Roman" w:hAnsi="Times New Roman" w:cs="Times New Roman"/>
          <w:sz w:val="24"/>
        </w:rPr>
        <w:lastRenderedPageBreak/>
        <w:t xml:space="preserve">net to deter pests. During the third week of the experiment, the pots were moved out onto the </w:t>
      </w:r>
      <w:r w:rsidR="001739FF">
        <w:rPr>
          <w:rFonts w:ascii="Times New Roman" w:hAnsi="Times New Roman" w:cs="Times New Roman"/>
          <w:sz w:val="24"/>
        </w:rPr>
        <w:t>open</w:t>
      </w:r>
      <w:r w:rsidR="00DA191A" w:rsidRPr="00F07DEB">
        <w:rPr>
          <w:rFonts w:ascii="Times New Roman" w:hAnsi="Times New Roman" w:cs="Times New Roman"/>
          <w:sz w:val="24"/>
        </w:rPr>
        <w:t xml:space="preserve"> lawn, where they were typically exposed to direct sunlight from noon until nightfall.</w:t>
      </w:r>
    </w:p>
    <w:p w14:paraId="56E01E27" w14:textId="77777777" w:rsidR="00636255" w:rsidRDefault="00477433" w:rsidP="00636255">
      <w:pPr>
        <w:pStyle w:val="NoSpacing"/>
        <w:keepNext/>
        <w:spacing w:line="480" w:lineRule="auto"/>
      </w:pPr>
      <w:r w:rsidRPr="00F07DEB">
        <w:rPr>
          <w:rFonts w:ascii="Times New Roman" w:hAnsi="Times New Roman" w:cs="Times New Roman"/>
          <w:noProof/>
          <w:sz w:val="24"/>
          <w:lang w:eastAsia="en-US"/>
        </w:rPr>
        <w:drawing>
          <wp:inline distT="0" distB="0" distL="0" distR="0" wp14:anchorId="093B40E3" wp14:editId="274C9368">
            <wp:extent cx="5779509" cy="321287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Outside.png"/>
                    <pic:cNvPicPr/>
                  </pic:nvPicPr>
                  <pic:blipFill>
                    <a:blip r:embed="rId17">
                      <a:extLst>
                        <a:ext uri="{28A0092B-C50C-407E-A947-70E740481C1C}">
                          <a14:useLocalDpi xmlns:a14="http://schemas.microsoft.com/office/drawing/2010/main" val="0"/>
                        </a:ext>
                      </a:extLst>
                    </a:blip>
                    <a:stretch>
                      <a:fillRect/>
                    </a:stretch>
                  </pic:blipFill>
                  <pic:spPr>
                    <a:xfrm>
                      <a:off x="0" y="0"/>
                      <a:ext cx="5779509" cy="3212870"/>
                    </a:xfrm>
                    <a:prstGeom prst="rect">
                      <a:avLst/>
                    </a:prstGeom>
                  </pic:spPr>
                </pic:pic>
              </a:graphicData>
            </a:graphic>
          </wp:inline>
        </w:drawing>
      </w:r>
    </w:p>
    <w:p w14:paraId="43EBECC3" w14:textId="6ACCC7D8" w:rsidR="00477433" w:rsidRPr="00F07DEB" w:rsidRDefault="00636255" w:rsidP="00204C13">
      <w:pPr>
        <w:pStyle w:val="Caption"/>
      </w:pPr>
      <w:bookmarkStart w:id="31" w:name="_Ref56686275"/>
      <w:bookmarkStart w:id="32" w:name="_Toc58975214"/>
      <w:r>
        <w:t xml:space="preserve">Figure </w:t>
      </w:r>
      <w:r w:rsidR="0033797C">
        <w:rPr>
          <w:noProof/>
        </w:rPr>
        <w:fldChar w:fldCharType="begin"/>
      </w:r>
      <w:r w:rsidR="0033797C">
        <w:rPr>
          <w:noProof/>
        </w:rPr>
        <w:instrText xml:space="preserve"> SEQ Figure \* ARABIC </w:instrText>
      </w:r>
      <w:r w:rsidR="0033797C">
        <w:rPr>
          <w:noProof/>
        </w:rPr>
        <w:fldChar w:fldCharType="separate"/>
      </w:r>
      <w:r w:rsidR="00E179CA">
        <w:rPr>
          <w:noProof/>
        </w:rPr>
        <w:t>4</w:t>
      </w:r>
      <w:r w:rsidR="0033797C">
        <w:rPr>
          <w:noProof/>
        </w:rPr>
        <w:fldChar w:fldCharType="end"/>
      </w:r>
      <w:bookmarkEnd w:id="31"/>
      <w:r>
        <w:rPr>
          <w:noProof/>
        </w:rPr>
        <w:t xml:space="preserve">: </w:t>
      </w:r>
      <w:r w:rsidRPr="00D70C6F">
        <w:rPr>
          <w:noProof/>
        </w:rPr>
        <w:t>Pot setup and surroundings during full-scale experiment</w:t>
      </w:r>
      <w:bookmarkEnd w:id="32"/>
    </w:p>
    <w:p w14:paraId="2AD92126" w14:textId="7A90EDEC" w:rsidR="00477433" w:rsidRPr="00F07DEB" w:rsidRDefault="00477433" w:rsidP="00204C13">
      <w:pPr>
        <w:pStyle w:val="Caption"/>
        <w:rPr>
          <w:noProof/>
        </w:rPr>
      </w:pPr>
    </w:p>
    <w:p w14:paraId="0A6706E2" w14:textId="006A4C2B" w:rsidR="00DA191A" w:rsidRPr="00F07DEB" w:rsidRDefault="00DA191A" w:rsidP="00DA191A">
      <w:pPr>
        <w:pStyle w:val="Heading2"/>
        <w:spacing w:line="480" w:lineRule="auto"/>
        <w:contextualSpacing w:val="0"/>
      </w:pPr>
      <w:bookmarkStart w:id="33" w:name="_Toc58975161"/>
      <w:r w:rsidRPr="00F07DEB">
        <w:t>Full-Scale Planting, Irrigation, and Data Collection</w:t>
      </w:r>
      <w:bookmarkEnd w:id="33"/>
    </w:p>
    <w:p w14:paraId="7F54F529" w14:textId="2E9820C9" w:rsidR="00F5068A" w:rsidRPr="00F07DEB" w:rsidRDefault="00EC48DA" w:rsidP="00DA191A">
      <w:pPr>
        <w:pStyle w:val="NoSpacing"/>
        <w:spacing w:line="480" w:lineRule="auto"/>
        <w:ind w:firstLine="720"/>
        <w:rPr>
          <w:rFonts w:ascii="Times New Roman" w:hAnsi="Times New Roman" w:cs="Times New Roman"/>
          <w:sz w:val="24"/>
        </w:rPr>
      </w:pPr>
      <w:r w:rsidRPr="00F07DEB">
        <w:rPr>
          <w:rFonts w:ascii="Times New Roman" w:hAnsi="Times New Roman" w:cs="Times New Roman"/>
          <w:sz w:val="24"/>
        </w:rPr>
        <w:t xml:space="preserve">The corn and sorghum seeds were randomly selected from the same batches that supplied the proof-of-concept study. </w:t>
      </w:r>
      <w:r w:rsidRPr="007F239B">
        <w:rPr>
          <w:rFonts w:ascii="Times New Roman" w:hAnsi="Times New Roman"/>
          <w:sz w:val="24"/>
        </w:rPr>
        <w:t>The Bermuda</w:t>
      </w:r>
      <w:r w:rsidR="00A83EBB" w:rsidRPr="007F239B">
        <w:rPr>
          <w:rFonts w:ascii="Times New Roman" w:hAnsi="Times New Roman"/>
          <w:sz w:val="24"/>
        </w:rPr>
        <w:t xml:space="preserve"> grass seed was purchased from</w:t>
      </w:r>
      <w:r w:rsidR="007F239B" w:rsidRPr="007F239B">
        <w:rPr>
          <w:rFonts w:ascii="Times New Roman" w:hAnsi="Times New Roman" w:cs="Times New Roman"/>
          <w:sz w:val="24"/>
        </w:rPr>
        <w:t xml:space="preserve"> Ellison Feed and Seed</w:t>
      </w:r>
      <w:r w:rsidR="007F239B">
        <w:rPr>
          <w:rFonts w:ascii="Times New Roman" w:hAnsi="Times New Roman" w:cs="Times New Roman"/>
          <w:sz w:val="24"/>
        </w:rPr>
        <w:t xml:space="preserve"> in Norman, OK</w:t>
      </w:r>
      <w:r w:rsidR="007F239B">
        <w:rPr>
          <w:rFonts w:ascii="Times New Roman" w:hAnsi="Times New Roman"/>
          <w:sz w:val="24"/>
        </w:rPr>
        <w:t>.</w:t>
      </w:r>
      <w:r w:rsidRPr="00F07DEB">
        <w:rPr>
          <w:rFonts w:ascii="Times New Roman" w:hAnsi="Times New Roman" w:cs="Times New Roman"/>
          <w:sz w:val="24"/>
        </w:rPr>
        <w:t xml:space="preserve"> </w:t>
      </w:r>
      <w:r w:rsidR="00B84CCD" w:rsidRPr="00F07DEB">
        <w:rPr>
          <w:rFonts w:ascii="Times New Roman" w:hAnsi="Times New Roman" w:cs="Times New Roman"/>
          <w:sz w:val="24"/>
        </w:rPr>
        <w:t>E</w:t>
      </w:r>
      <w:r w:rsidR="00F20B8E" w:rsidRPr="00F07DEB">
        <w:rPr>
          <w:rFonts w:ascii="Times New Roman" w:hAnsi="Times New Roman" w:cs="Times New Roman"/>
          <w:sz w:val="24"/>
        </w:rPr>
        <w:t>ach pot receive</w:t>
      </w:r>
      <w:r w:rsidR="00A745DD" w:rsidRPr="00F07DEB">
        <w:rPr>
          <w:rFonts w:ascii="Times New Roman" w:hAnsi="Times New Roman" w:cs="Times New Roman"/>
          <w:sz w:val="24"/>
        </w:rPr>
        <w:t>d</w:t>
      </w:r>
      <w:r w:rsidR="00F20B8E" w:rsidRPr="00F07DEB">
        <w:rPr>
          <w:rFonts w:ascii="Times New Roman" w:hAnsi="Times New Roman" w:cs="Times New Roman"/>
          <w:sz w:val="24"/>
        </w:rPr>
        <w:t xml:space="preserve"> either three corn se</w:t>
      </w:r>
      <w:r w:rsidR="00377D85" w:rsidRPr="00F07DEB">
        <w:rPr>
          <w:rFonts w:ascii="Times New Roman" w:hAnsi="Times New Roman" w:cs="Times New Roman"/>
          <w:sz w:val="24"/>
        </w:rPr>
        <w:t>eds, three sorghum seeds, or 1</w:t>
      </w:r>
      <w:r w:rsidR="003C16DD" w:rsidRPr="00F07DEB">
        <w:rPr>
          <w:rFonts w:ascii="Times New Roman" w:hAnsi="Times New Roman" w:cs="Times New Roman"/>
          <w:sz w:val="24"/>
        </w:rPr>
        <w:t xml:space="preserve"> </w:t>
      </w:r>
      <w:r w:rsidR="00F20B8E" w:rsidRPr="00F07DEB">
        <w:rPr>
          <w:rFonts w:ascii="Times New Roman" w:hAnsi="Times New Roman" w:cs="Times New Roman"/>
          <w:sz w:val="24"/>
        </w:rPr>
        <w:t xml:space="preserve">g of </w:t>
      </w:r>
      <w:r w:rsidR="001E603B" w:rsidRPr="00F07DEB">
        <w:rPr>
          <w:rFonts w:ascii="Times New Roman" w:hAnsi="Times New Roman" w:cs="Times New Roman"/>
          <w:sz w:val="24"/>
        </w:rPr>
        <w:t>Bermuda grass</w:t>
      </w:r>
      <w:r w:rsidR="00F20B8E" w:rsidRPr="00F07DEB">
        <w:rPr>
          <w:rFonts w:ascii="Times New Roman" w:hAnsi="Times New Roman" w:cs="Times New Roman"/>
          <w:sz w:val="24"/>
        </w:rPr>
        <w:t xml:space="preserve"> seed. The corn and sorghum pots </w:t>
      </w:r>
      <w:r w:rsidR="005F3190" w:rsidRPr="00F07DEB">
        <w:rPr>
          <w:rFonts w:ascii="Times New Roman" w:hAnsi="Times New Roman" w:cs="Times New Roman"/>
          <w:sz w:val="24"/>
        </w:rPr>
        <w:t>were</w:t>
      </w:r>
      <w:r w:rsidR="00F20B8E" w:rsidRPr="00F07DEB">
        <w:rPr>
          <w:rFonts w:ascii="Times New Roman" w:hAnsi="Times New Roman" w:cs="Times New Roman"/>
          <w:sz w:val="24"/>
        </w:rPr>
        <w:t xml:space="preserve"> trimmed to one plant </w:t>
      </w:r>
      <w:r w:rsidR="005F3190" w:rsidRPr="00F07DEB">
        <w:rPr>
          <w:rFonts w:ascii="Times New Roman" w:hAnsi="Times New Roman" w:cs="Times New Roman"/>
          <w:sz w:val="24"/>
        </w:rPr>
        <w:t xml:space="preserve">each after </w:t>
      </w:r>
      <w:r w:rsidR="00A745DD" w:rsidRPr="00F07DEB">
        <w:rPr>
          <w:rFonts w:ascii="Times New Roman" w:hAnsi="Times New Roman" w:cs="Times New Roman"/>
          <w:sz w:val="24"/>
        </w:rPr>
        <w:t xml:space="preserve">16 and 28 </w:t>
      </w:r>
      <w:r w:rsidR="005F3190" w:rsidRPr="00F07DEB">
        <w:rPr>
          <w:rFonts w:ascii="Times New Roman" w:hAnsi="Times New Roman" w:cs="Times New Roman"/>
          <w:sz w:val="24"/>
        </w:rPr>
        <w:t>days</w:t>
      </w:r>
      <w:r w:rsidR="005423C6">
        <w:rPr>
          <w:rFonts w:ascii="Times New Roman" w:hAnsi="Times New Roman" w:cs="Times New Roman"/>
          <w:sz w:val="24"/>
        </w:rPr>
        <w:t>,</w:t>
      </w:r>
      <w:r w:rsidR="00A745DD" w:rsidRPr="00F07DEB">
        <w:rPr>
          <w:rFonts w:ascii="Times New Roman" w:hAnsi="Times New Roman" w:cs="Times New Roman"/>
          <w:sz w:val="24"/>
        </w:rPr>
        <w:t xml:space="preserve"> respectively</w:t>
      </w:r>
      <w:r w:rsidR="005423C6">
        <w:rPr>
          <w:rFonts w:ascii="Times New Roman" w:hAnsi="Times New Roman" w:cs="Times New Roman"/>
          <w:sz w:val="24"/>
        </w:rPr>
        <w:t>,</w:t>
      </w:r>
      <w:r w:rsidR="00F20B8E" w:rsidRPr="00F07DEB">
        <w:rPr>
          <w:rFonts w:ascii="Times New Roman" w:hAnsi="Times New Roman" w:cs="Times New Roman"/>
          <w:sz w:val="24"/>
        </w:rPr>
        <w:t xml:space="preserve"> to</w:t>
      </w:r>
      <w:r w:rsidR="00A745DD" w:rsidRPr="00F07DEB">
        <w:rPr>
          <w:rFonts w:ascii="Times New Roman" w:hAnsi="Times New Roman" w:cs="Times New Roman"/>
          <w:sz w:val="24"/>
        </w:rPr>
        <w:t xml:space="preserve"> mitigate</w:t>
      </w:r>
      <w:r w:rsidR="00F20B8E" w:rsidRPr="00F07DEB">
        <w:rPr>
          <w:rFonts w:ascii="Times New Roman" w:hAnsi="Times New Roman" w:cs="Times New Roman"/>
          <w:sz w:val="24"/>
        </w:rPr>
        <w:t xml:space="preserve"> competition between</w:t>
      </w:r>
      <w:r w:rsidR="00E35740" w:rsidRPr="00F07DEB">
        <w:rPr>
          <w:rFonts w:ascii="Times New Roman" w:hAnsi="Times New Roman" w:cs="Times New Roman"/>
          <w:sz w:val="24"/>
        </w:rPr>
        <w:t xml:space="preserve"> plants for water and nutrients</w:t>
      </w:r>
      <w:r w:rsidR="00F20B8E" w:rsidRPr="00F07DEB">
        <w:rPr>
          <w:rFonts w:ascii="Times New Roman" w:hAnsi="Times New Roman" w:cs="Times New Roman"/>
          <w:sz w:val="24"/>
        </w:rPr>
        <w:t xml:space="preserve">. </w:t>
      </w:r>
      <w:r w:rsidR="00DC2A88" w:rsidRPr="00F07DEB">
        <w:rPr>
          <w:rFonts w:ascii="Times New Roman" w:hAnsi="Times New Roman" w:cs="Times New Roman"/>
          <w:sz w:val="24"/>
        </w:rPr>
        <w:t xml:space="preserve">Groundwater was collected from </w:t>
      </w:r>
      <w:r w:rsidR="00480E27" w:rsidRPr="00F07DEB">
        <w:rPr>
          <w:rFonts w:ascii="Times New Roman" w:hAnsi="Times New Roman" w:cs="Times New Roman"/>
          <w:sz w:val="24"/>
        </w:rPr>
        <w:t xml:space="preserve">a well at </w:t>
      </w:r>
      <w:r w:rsidR="00DC2A88" w:rsidRPr="00F07DEB">
        <w:rPr>
          <w:rFonts w:ascii="Times New Roman" w:hAnsi="Times New Roman" w:cs="Times New Roman"/>
          <w:sz w:val="24"/>
        </w:rPr>
        <w:t xml:space="preserve">the ARF in </w:t>
      </w:r>
      <w:r w:rsidR="005423C6" w:rsidRPr="00F07DEB">
        <w:rPr>
          <w:rFonts w:ascii="Times New Roman" w:hAnsi="Times New Roman" w:cs="Times New Roman"/>
          <w:sz w:val="24"/>
        </w:rPr>
        <w:t>20</w:t>
      </w:r>
      <w:r w:rsidR="005423C6">
        <w:rPr>
          <w:rFonts w:ascii="Times New Roman" w:hAnsi="Times New Roman" w:cs="Times New Roman"/>
          <w:sz w:val="24"/>
        </w:rPr>
        <w:t>-</w:t>
      </w:r>
      <w:r w:rsidR="00DC2A88" w:rsidRPr="00F07DEB">
        <w:rPr>
          <w:rFonts w:ascii="Times New Roman" w:hAnsi="Times New Roman" w:cs="Times New Roman"/>
          <w:sz w:val="24"/>
        </w:rPr>
        <w:t>L carboys as often as necessary</w:t>
      </w:r>
      <w:r w:rsidR="005423C6">
        <w:rPr>
          <w:rFonts w:ascii="Times New Roman" w:hAnsi="Times New Roman" w:cs="Times New Roman"/>
          <w:sz w:val="24"/>
        </w:rPr>
        <w:t xml:space="preserve"> for irrigation</w:t>
      </w:r>
      <w:r w:rsidR="00DC2A88" w:rsidRPr="00F07DEB">
        <w:rPr>
          <w:rFonts w:ascii="Times New Roman" w:hAnsi="Times New Roman" w:cs="Times New Roman"/>
          <w:sz w:val="24"/>
        </w:rPr>
        <w:t xml:space="preserve">. </w:t>
      </w:r>
      <w:r w:rsidR="00480E27" w:rsidRPr="00F07DEB">
        <w:rPr>
          <w:rFonts w:ascii="Times New Roman" w:hAnsi="Times New Roman" w:cs="Times New Roman"/>
          <w:sz w:val="24"/>
        </w:rPr>
        <w:t xml:space="preserve">Treated mine water was collected in </w:t>
      </w:r>
      <w:r w:rsidR="005423C6" w:rsidRPr="00F07DEB">
        <w:rPr>
          <w:rFonts w:ascii="Times New Roman" w:hAnsi="Times New Roman" w:cs="Times New Roman"/>
          <w:sz w:val="24"/>
        </w:rPr>
        <w:t>20</w:t>
      </w:r>
      <w:r w:rsidR="005423C6">
        <w:rPr>
          <w:rFonts w:ascii="Times New Roman" w:hAnsi="Times New Roman" w:cs="Times New Roman"/>
          <w:sz w:val="24"/>
        </w:rPr>
        <w:t>-</w:t>
      </w:r>
      <w:r w:rsidR="00480E27" w:rsidRPr="00F07DEB">
        <w:rPr>
          <w:rFonts w:ascii="Times New Roman" w:hAnsi="Times New Roman" w:cs="Times New Roman"/>
          <w:sz w:val="24"/>
        </w:rPr>
        <w:t xml:space="preserve">L or </w:t>
      </w:r>
      <w:r w:rsidR="005423C6" w:rsidRPr="00F07DEB">
        <w:rPr>
          <w:rFonts w:ascii="Times New Roman" w:hAnsi="Times New Roman" w:cs="Times New Roman"/>
          <w:sz w:val="24"/>
        </w:rPr>
        <w:t>60</w:t>
      </w:r>
      <w:r w:rsidR="005423C6">
        <w:rPr>
          <w:rFonts w:ascii="Times New Roman" w:hAnsi="Times New Roman" w:cs="Times New Roman"/>
          <w:sz w:val="24"/>
        </w:rPr>
        <w:t>-</w:t>
      </w:r>
      <w:r w:rsidR="00480E27" w:rsidRPr="00F07DEB">
        <w:rPr>
          <w:rFonts w:ascii="Times New Roman" w:hAnsi="Times New Roman" w:cs="Times New Roman"/>
          <w:sz w:val="24"/>
        </w:rPr>
        <w:t xml:space="preserve">L carboys from the final outflow of the Mayer Ranch Passive Treatment System, typically during CREW trips to Tar Creek. </w:t>
      </w:r>
      <w:r w:rsidR="005F3190" w:rsidRPr="00F07DEB">
        <w:rPr>
          <w:rFonts w:ascii="Times New Roman" w:hAnsi="Times New Roman" w:cs="Times New Roman"/>
          <w:sz w:val="24"/>
        </w:rPr>
        <w:t>The plants were</w:t>
      </w:r>
      <w:r w:rsidR="00864520" w:rsidRPr="00F07DEB">
        <w:rPr>
          <w:rFonts w:ascii="Times New Roman" w:hAnsi="Times New Roman" w:cs="Times New Roman"/>
          <w:sz w:val="24"/>
        </w:rPr>
        <w:t xml:space="preserve"> </w:t>
      </w:r>
      <w:r w:rsidR="003C16DD" w:rsidRPr="00F07DEB">
        <w:rPr>
          <w:rFonts w:ascii="Times New Roman" w:hAnsi="Times New Roman" w:cs="Times New Roman"/>
          <w:sz w:val="24"/>
        </w:rPr>
        <w:t xml:space="preserve">irrigated </w:t>
      </w:r>
      <w:r w:rsidR="00864520" w:rsidRPr="00F07DEB">
        <w:rPr>
          <w:rFonts w:ascii="Times New Roman" w:hAnsi="Times New Roman" w:cs="Times New Roman"/>
          <w:sz w:val="24"/>
        </w:rPr>
        <w:t xml:space="preserve">according to </w:t>
      </w:r>
      <w:r w:rsidR="00FF2D43" w:rsidRPr="00F07DEB">
        <w:rPr>
          <w:rFonts w:ascii="Times New Roman" w:hAnsi="Times New Roman" w:cs="Times New Roman"/>
          <w:sz w:val="24"/>
        </w:rPr>
        <w:t xml:space="preserve">crop </w:t>
      </w:r>
      <w:r w:rsidR="00864520" w:rsidRPr="00F07DEB">
        <w:rPr>
          <w:rFonts w:ascii="Times New Roman" w:hAnsi="Times New Roman" w:cs="Times New Roman"/>
          <w:sz w:val="24"/>
        </w:rPr>
        <w:t>evapotranspiration calculations</w:t>
      </w:r>
      <w:r w:rsidR="00FF2D43" w:rsidRPr="00F07DEB">
        <w:rPr>
          <w:rFonts w:ascii="Times New Roman" w:hAnsi="Times New Roman" w:cs="Times New Roman"/>
          <w:sz w:val="24"/>
        </w:rPr>
        <w:t xml:space="preserve"> provided in </w:t>
      </w:r>
      <w:r w:rsidR="0047290C" w:rsidRPr="00F07DEB">
        <w:rPr>
          <w:rFonts w:ascii="Times New Roman" w:hAnsi="Times New Roman" w:cs="Times New Roman"/>
          <w:sz w:val="24"/>
        </w:rPr>
        <w:t xml:space="preserve">the UN FAO </w:t>
      </w:r>
      <w:r w:rsidR="0047290C" w:rsidRPr="007F239B">
        <w:rPr>
          <w:rFonts w:ascii="Times New Roman" w:hAnsi="Times New Roman"/>
          <w:i/>
          <w:sz w:val="24"/>
        </w:rPr>
        <w:t xml:space="preserve">Manual for </w:t>
      </w:r>
      <w:r w:rsidR="0047290C" w:rsidRPr="007F239B">
        <w:rPr>
          <w:rFonts w:ascii="Times New Roman" w:hAnsi="Times New Roman"/>
          <w:i/>
          <w:sz w:val="24"/>
        </w:rPr>
        <w:lastRenderedPageBreak/>
        <w:t>the Design and Construction of Water Harvesting Schemes for Plant Production</w:t>
      </w:r>
      <w:r w:rsidR="0047290C" w:rsidRPr="00F07DEB">
        <w:rPr>
          <w:rFonts w:ascii="Times New Roman" w:hAnsi="Times New Roman" w:cs="Times New Roman"/>
          <w:sz w:val="24"/>
        </w:rPr>
        <w:t xml:space="preserve"> </w:t>
      </w:r>
      <w:r w:rsidR="00FF2D43" w:rsidRPr="00F07DEB">
        <w:rPr>
          <w:rFonts w:ascii="Times New Roman" w:hAnsi="Times New Roman" w:cs="Times New Roman"/>
          <w:sz w:val="24"/>
        </w:rPr>
        <w:fldChar w:fldCharType="begin"/>
      </w:r>
      <w:r w:rsidR="004B13BE">
        <w:rPr>
          <w:rFonts w:ascii="Times New Roman" w:hAnsi="Times New Roman" w:cs="Times New Roman"/>
          <w:sz w:val="24"/>
        </w:rPr>
        <w:instrText xml:space="preserve"> ADDIN ZOTERO_ITEM CSL_CITATION {"citationID":"pX3p27Sh","properties":{"formattedCitation":"(Critchley &amp; Siegert, 1991)","plainCitation":"(Critchley &amp; Siegert, 1991)","dontUpdate":true,"noteIndex":0},"citationItems":[{"id":700,"uris":["http://zotero.org/users/5446453/items/NQDJNWPU"],"uri":["http://zotero.org/users/5446453/items/NQDJNWPU"],"itemData":{"id":700,"type":"webpage","container-title":"Food and Agriculture Organization of the United Nations","title":"A Manual for the Design and Construction of Water Harvesting Schemes for Plant Production","title-short":"UN FAO","URL":"http://www.fao.org/3/U3160E/u3160e00.htm","author":[{"family":"Critchley","given":"Will"},{"family":"Siegert","given":"Klaus"}],"accessed":{"date-parts":[["2020",7,24]]},"issued":{"date-parts":[["1991"]]}}}],"schema":"https://github.com/citation-style-language/schema/raw/master/csl-citation.json"} </w:instrText>
      </w:r>
      <w:r w:rsidR="00FF2D43" w:rsidRPr="00F07DEB">
        <w:rPr>
          <w:rFonts w:ascii="Times New Roman" w:hAnsi="Times New Roman" w:cs="Times New Roman"/>
          <w:sz w:val="24"/>
        </w:rPr>
        <w:fldChar w:fldCharType="separate"/>
      </w:r>
      <w:r w:rsidR="0085353D" w:rsidRPr="00F07DEB">
        <w:rPr>
          <w:rFonts w:ascii="Times New Roman" w:hAnsi="Times New Roman" w:cs="Times New Roman"/>
          <w:sz w:val="24"/>
        </w:rPr>
        <w:t xml:space="preserve">(Critchley </w:t>
      </w:r>
      <w:r w:rsidR="002A6AB5">
        <w:rPr>
          <w:rFonts w:ascii="Times New Roman" w:hAnsi="Times New Roman" w:cs="Times New Roman"/>
          <w:sz w:val="24"/>
        </w:rPr>
        <w:t>and</w:t>
      </w:r>
      <w:r w:rsidR="0085353D" w:rsidRPr="00F07DEB">
        <w:rPr>
          <w:rFonts w:ascii="Times New Roman" w:hAnsi="Times New Roman" w:cs="Times New Roman"/>
          <w:sz w:val="24"/>
        </w:rPr>
        <w:t xml:space="preserve"> Siegert, 1991)</w:t>
      </w:r>
      <w:r w:rsidR="00FF2D43" w:rsidRPr="00F07DEB">
        <w:rPr>
          <w:rFonts w:ascii="Times New Roman" w:hAnsi="Times New Roman" w:cs="Times New Roman"/>
          <w:sz w:val="24"/>
        </w:rPr>
        <w:fldChar w:fldCharType="end"/>
      </w:r>
      <w:r w:rsidR="0047290C" w:rsidRPr="00F07DEB">
        <w:rPr>
          <w:rFonts w:ascii="Times New Roman" w:hAnsi="Times New Roman" w:cs="Times New Roman"/>
          <w:sz w:val="24"/>
        </w:rPr>
        <w:t>.</w:t>
      </w:r>
      <w:r w:rsidR="00864520" w:rsidRPr="00F07DEB">
        <w:rPr>
          <w:rFonts w:ascii="Times New Roman" w:hAnsi="Times New Roman" w:cs="Times New Roman"/>
          <w:sz w:val="24"/>
        </w:rPr>
        <w:t xml:space="preserve"> </w:t>
      </w:r>
      <w:r w:rsidR="00E35740" w:rsidRPr="00F07DEB">
        <w:rPr>
          <w:rFonts w:ascii="Times New Roman" w:hAnsi="Times New Roman" w:cs="Times New Roman"/>
          <w:sz w:val="24"/>
        </w:rPr>
        <w:t>This manual outlines</w:t>
      </w:r>
      <w:r w:rsidR="00385ECA" w:rsidRPr="00F07DEB">
        <w:rPr>
          <w:rFonts w:ascii="Times New Roman" w:hAnsi="Times New Roman" w:cs="Times New Roman"/>
          <w:sz w:val="24"/>
        </w:rPr>
        <w:t xml:space="preserve"> the process for calculating a crop evapotranspiration value, which fluctuates throughout the growing season. T</w:t>
      </w:r>
      <w:r w:rsidR="00864520" w:rsidRPr="00F07DEB">
        <w:rPr>
          <w:rFonts w:ascii="Times New Roman" w:hAnsi="Times New Roman" w:cs="Times New Roman"/>
          <w:sz w:val="24"/>
        </w:rPr>
        <w:t>he</w:t>
      </w:r>
      <w:r w:rsidR="00385ECA" w:rsidRPr="00F07DEB">
        <w:rPr>
          <w:rFonts w:ascii="Times New Roman" w:hAnsi="Times New Roman" w:cs="Times New Roman"/>
          <w:sz w:val="24"/>
        </w:rPr>
        <w:t xml:space="preserve"> Oklahoma</w:t>
      </w:r>
      <w:r w:rsidR="005F3190" w:rsidRPr="00F07DEB">
        <w:rPr>
          <w:rFonts w:ascii="Times New Roman" w:hAnsi="Times New Roman" w:cs="Times New Roman"/>
          <w:sz w:val="24"/>
        </w:rPr>
        <w:t xml:space="preserve"> </w:t>
      </w:r>
      <w:proofErr w:type="spellStart"/>
      <w:r w:rsidR="005F3190" w:rsidRPr="00F07DEB">
        <w:rPr>
          <w:rFonts w:ascii="Times New Roman" w:hAnsi="Times New Roman" w:cs="Times New Roman"/>
          <w:sz w:val="24"/>
        </w:rPr>
        <w:t>Mesonet</w:t>
      </w:r>
      <w:proofErr w:type="spellEnd"/>
      <w:r w:rsidR="005F3190" w:rsidRPr="00F07DEB">
        <w:rPr>
          <w:rFonts w:ascii="Times New Roman" w:hAnsi="Times New Roman" w:cs="Times New Roman"/>
          <w:sz w:val="24"/>
        </w:rPr>
        <w:t xml:space="preserve"> irrigation planner </w:t>
      </w:r>
      <w:r w:rsidR="005423C6">
        <w:rPr>
          <w:rFonts w:ascii="Times New Roman" w:hAnsi="Times New Roman" w:cs="Times New Roman"/>
          <w:sz w:val="24"/>
        </w:rPr>
        <w:t>(</w:t>
      </w:r>
      <w:r w:rsidR="00DE6D89" w:rsidRPr="00DE6D89">
        <w:rPr>
          <w:rFonts w:ascii="Times New Roman" w:hAnsi="Times New Roman" w:cs="Times New Roman"/>
          <w:sz w:val="24"/>
        </w:rPr>
        <w:t>https://www.mesonet.org/index.php/agriculture/irrigation_planner</w:t>
      </w:r>
      <w:r w:rsidR="00DE6D89">
        <w:rPr>
          <w:rFonts w:ascii="Times New Roman" w:hAnsi="Times New Roman" w:cs="Times New Roman"/>
          <w:sz w:val="24"/>
        </w:rPr>
        <w:t>)</w:t>
      </w:r>
      <w:r w:rsidR="00DE6D89" w:rsidRPr="00DE6D89">
        <w:rPr>
          <w:rFonts w:ascii="Times New Roman" w:hAnsi="Times New Roman" w:cs="Times New Roman"/>
          <w:sz w:val="24"/>
        </w:rPr>
        <w:t xml:space="preserve"> </w:t>
      </w:r>
      <w:r w:rsidR="005F3190" w:rsidRPr="00F07DEB">
        <w:rPr>
          <w:rFonts w:ascii="Times New Roman" w:hAnsi="Times New Roman" w:cs="Times New Roman"/>
          <w:sz w:val="24"/>
        </w:rPr>
        <w:t>was also</w:t>
      </w:r>
      <w:r w:rsidR="00385ECA" w:rsidRPr="00F07DEB">
        <w:rPr>
          <w:rFonts w:ascii="Times New Roman" w:hAnsi="Times New Roman" w:cs="Times New Roman"/>
          <w:sz w:val="24"/>
        </w:rPr>
        <w:t xml:space="preserve"> consulted throughout the experiment</w:t>
      </w:r>
      <w:r w:rsidR="005F3190" w:rsidRPr="00F07DEB">
        <w:rPr>
          <w:rFonts w:ascii="Times New Roman" w:hAnsi="Times New Roman" w:cs="Times New Roman"/>
          <w:sz w:val="24"/>
        </w:rPr>
        <w:t>, because it generated</w:t>
      </w:r>
      <w:r w:rsidR="00385ECA" w:rsidRPr="00F07DEB">
        <w:rPr>
          <w:rFonts w:ascii="Times New Roman" w:hAnsi="Times New Roman" w:cs="Times New Roman"/>
          <w:sz w:val="24"/>
        </w:rPr>
        <w:t xml:space="preserve"> a daily water budget by comparing crop-specific evapotranspiration to </w:t>
      </w:r>
      <w:r w:rsidR="003C16DD" w:rsidRPr="00F07DEB">
        <w:rPr>
          <w:rFonts w:ascii="Times New Roman" w:hAnsi="Times New Roman" w:cs="Times New Roman"/>
          <w:sz w:val="24"/>
        </w:rPr>
        <w:t>rainfall and</w:t>
      </w:r>
      <w:r w:rsidR="00385ECA" w:rsidRPr="00F07DEB">
        <w:rPr>
          <w:rFonts w:ascii="Times New Roman" w:hAnsi="Times New Roman" w:cs="Times New Roman"/>
          <w:sz w:val="24"/>
        </w:rPr>
        <w:t xml:space="preserve"> </w:t>
      </w:r>
      <w:r w:rsidR="005F3190" w:rsidRPr="00F07DEB">
        <w:rPr>
          <w:rFonts w:ascii="Times New Roman" w:hAnsi="Times New Roman" w:cs="Times New Roman"/>
          <w:sz w:val="24"/>
        </w:rPr>
        <w:t>recommended</w:t>
      </w:r>
      <w:r w:rsidR="00385ECA" w:rsidRPr="00F07DEB">
        <w:rPr>
          <w:rFonts w:ascii="Times New Roman" w:hAnsi="Times New Roman" w:cs="Times New Roman"/>
          <w:sz w:val="24"/>
        </w:rPr>
        <w:t xml:space="preserve"> appr</w:t>
      </w:r>
      <w:r w:rsidR="005F3190" w:rsidRPr="00F07DEB">
        <w:rPr>
          <w:rFonts w:ascii="Times New Roman" w:hAnsi="Times New Roman" w:cs="Times New Roman"/>
          <w:sz w:val="24"/>
        </w:rPr>
        <w:t xml:space="preserve">opriate water application rates, taking </w:t>
      </w:r>
      <w:r w:rsidR="00385ECA" w:rsidRPr="00F07DEB">
        <w:rPr>
          <w:rFonts w:ascii="Times New Roman" w:hAnsi="Times New Roman" w:cs="Times New Roman"/>
          <w:sz w:val="24"/>
        </w:rPr>
        <w:t>the weather</w:t>
      </w:r>
      <w:r w:rsidR="005F3190" w:rsidRPr="00F07DEB">
        <w:rPr>
          <w:rFonts w:ascii="Times New Roman" w:hAnsi="Times New Roman" w:cs="Times New Roman"/>
          <w:sz w:val="24"/>
        </w:rPr>
        <w:t>, species,</w:t>
      </w:r>
      <w:r w:rsidR="00385ECA" w:rsidRPr="00F07DEB">
        <w:rPr>
          <w:rFonts w:ascii="Times New Roman" w:hAnsi="Times New Roman" w:cs="Times New Roman"/>
          <w:sz w:val="24"/>
        </w:rPr>
        <w:t xml:space="preserve"> and growth stage</w:t>
      </w:r>
      <w:r w:rsidR="005F3190" w:rsidRPr="00F07DEB">
        <w:rPr>
          <w:rFonts w:ascii="Times New Roman" w:hAnsi="Times New Roman" w:cs="Times New Roman"/>
          <w:sz w:val="24"/>
        </w:rPr>
        <w:t xml:space="preserve"> into account</w:t>
      </w:r>
      <w:r w:rsidR="009B50E0" w:rsidRPr="00F07DEB">
        <w:rPr>
          <w:rFonts w:ascii="Times New Roman" w:hAnsi="Times New Roman" w:cs="Times New Roman"/>
          <w:sz w:val="24"/>
        </w:rPr>
        <w:t xml:space="preserve"> </w:t>
      </w:r>
      <w:r w:rsidR="009B50E0" w:rsidRPr="00F07DEB">
        <w:rPr>
          <w:rFonts w:ascii="Times New Roman" w:hAnsi="Times New Roman" w:cs="Times New Roman"/>
          <w:sz w:val="24"/>
        </w:rPr>
        <w:fldChar w:fldCharType="begin"/>
      </w:r>
      <w:r w:rsidR="00FF5DF8">
        <w:rPr>
          <w:rFonts w:ascii="Times New Roman" w:hAnsi="Times New Roman" w:cs="Times New Roman"/>
          <w:sz w:val="24"/>
        </w:rPr>
        <w:instrText xml:space="preserve"> ADDIN ZOTERO_ITEM CSL_CITATION {"citationID":"En9KNzIA","properties":{"formattedCitation":"(University of Oklahoma, 2020b)","plainCitation":"(University of Oklahoma, 2020b)","noteIndex":0},"citationItems":[{"id":801,"uris":["http://zotero.org/users/5446453/items/P3A22W5K"],"uri":["http://zotero.org/users/5446453/items/P3A22W5K"],"itemData":{"id":801,"type":"webpage","container-title":"Mesonet","title":"Oklahoma Mesonet Irrigation Planner","URL":"https://www.mesonet.org/index.php/agriculture/irrigation_planner","author":[{"literal":"University of Oklahoma"}],"accessed":{"date-parts":[["2020",11,9]]},"issued":{"date-parts":[["2020"]]}}}],"schema":"https://github.com/citation-style-language/schema/raw/master/csl-citation.json"} </w:instrText>
      </w:r>
      <w:r w:rsidR="009B50E0" w:rsidRPr="00F07DEB">
        <w:rPr>
          <w:rFonts w:ascii="Times New Roman" w:hAnsi="Times New Roman" w:cs="Times New Roman"/>
          <w:sz w:val="24"/>
        </w:rPr>
        <w:fldChar w:fldCharType="separate"/>
      </w:r>
      <w:r w:rsidR="00234033" w:rsidRPr="00234033">
        <w:rPr>
          <w:rFonts w:ascii="Times New Roman" w:hAnsi="Times New Roman" w:cs="Times New Roman"/>
          <w:sz w:val="24"/>
        </w:rPr>
        <w:t>(University of Oklahoma, 2020b)</w:t>
      </w:r>
      <w:r w:rsidR="009B50E0" w:rsidRPr="00F07DEB">
        <w:rPr>
          <w:rFonts w:ascii="Times New Roman" w:hAnsi="Times New Roman" w:cs="Times New Roman"/>
          <w:sz w:val="24"/>
        </w:rPr>
        <w:fldChar w:fldCharType="end"/>
      </w:r>
      <w:r w:rsidR="00385ECA" w:rsidRPr="00F07DEB">
        <w:rPr>
          <w:rFonts w:ascii="Times New Roman" w:hAnsi="Times New Roman" w:cs="Times New Roman"/>
          <w:sz w:val="24"/>
        </w:rPr>
        <w:t>.</w:t>
      </w:r>
      <w:r w:rsidR="00864520" w:rsidRPr="00F07DEB">
        <w:rPr>
          <w:rFonts w:ascii="Times New Roman" w:hAnsi="Times New Roman" w:cs="Times New Roman"/>
          <w:sz w:val="24"/>
        </w:rPr>
        <w:t xml:space="preserve"> </w:t>
      </w:r>
      <w:r w:rsidR="00731539" w:rsidRPr="00F07DEB">
        <w:rPr>
          <w:rFonts w:ascii="Times New Roman" w:hAnsi="Times New Roman" w:cs="Times New Roman"/>
          <w:sz w:val="24"/>
        </w:rPr>
        <w:t xml:space="preserve">Lastly, </w:t>
      </w:r>
      <w:r w:rsidR="00864520" w:rsidRPr="00F07DEB">
        <w:rPr>
          <w:rFonts w:ascii="Times New Roman" w:hAnsi="Times New Roman" w:cs="Times New Roman"/>
          <w:sz w:val="24"/>
        </w:rPr>
        <w:t>soil moisture</w:t>
      </w:r>
      <w:r w:rsidR="00731539" w:rsidRPr="00F07DEB">
        <w:rPr>
          <w:rFonts w:ascii="Times New Roman" w:hAnsi="Times New Roman" w:cs="Times New Roman"/>
          <w:sz w:val="24"/>
        </w:rPr>
        <w:t xml:space="preserve"> </w:t>
      </w:r>
      <w:r w:rsidR="009B50E0" w:rsidRPr="00F07DEB">
        <w:rPr>
          <w:rFonts w:ascii="Times New Roman" w:hAnsi="Times New Roman" w:cs="Times New Roman"/>
          <w:sz w:val="24"/>
        </w:rPr>
        <w:t>and plant status were</w:t>
      </w:r>
      <w:r w:rsidR="00731539" w:rsidRPr="00F07DEB">
        <w:rPr>
          <w:rFonts w:ascii="Times New Roman" w:hAnsi="Times New Roman" w:cs="Times New Roman"/>
          <w:sz w:val="24"/>
        </w:rPr>
        <w:t xml:space="preserve"> observed before each irrigation </w:t>
      </w:r>
      <w:r w:rsidR="005423C6">
        <w:rPr>
          <w:rFonts w:ascii="Times New Roman" w:hAnsi="Times New Roman" w:cs="Times New Roman"/>
          <w:sz w:val="24"/>
        </w:rPr>
        <w:t>application</w:t>
      </w:r>
      <w:r w:rsidR="00731539" w:rsidRPr="00F07DEB">
        <w:rPr>
          <w:rFonts w:ascii="Times New Roman" w:hAnsi="Times New Roman" w:cs="Times New Roman"/>
          <w:sz w:val="24"/>
        </w:rPr>
        <w:t xml:space="preserve"> and throughout the day, and more water </w:t>
      </w:r>
      <w:r w:rsidR="005F3190" w:rsidRPr="00F07DEB">
        <w:rPr>
          <w:rFonts w:ascii="Times New Roman" w:hAnsi="Times New Roman" w:cs="Times New Roman"/>
          <w:sz w:val="24"/>
        </w:rPr>
        <w:t>was</w:t>
      </w:r>
      <w:r w:rsidR="00731539" w:rsidRPr="00F07DEB">
        <w:rPr>
          <w:rFonts w:ascii="Times New Roman" w:hAnsi="Times New Roman" w:cs="Times New Roman"/>
          <w:sz w:val="24"/>
        </w:rPr>
        <w:t xml:space="preserve"> applied when deemed necessary</w:t>
      </w:r>
      <w:r w:rsidR="00864520" w:rsidRPr="00F07DEB">
        <w:rPr>
          <w:rFonts w:ascii="Times New Roman" w:hAnsi="Times New Roman" w:cs="Times New Roman"/>
          <w:sz w:val="24"/>
        </w:rPr>
        <w:t xml:space="preserve">. </w:t>
      </w:r>
      <w:r w:rsidR="00B76594" w:rsidRPr="00F07DEB">
        <w:rPr>
          <w:rFonts w:ascii="Times New Roman" w:hAnsi="Times New Roman" w:cs="Times New Roman"/>
          <w:sz w:val="24"/>
        </w:rPr>
        <w:t>During the first three weeks of the study, all plants were watered by hand. A</w:t>
      </w:r>
      <w:r w:rsidR="005423C6">
        <w:rPr>
          <w:rFonts w:ascii="Times New Roman" w:hAnsi="Times New Roman" w:cs="Times New Roman"/>
          <w:sz w:val="24"/>
        </w:rPr>
        <w:t>fterward,</w:t>
      </w:r>
      <w:r w:rsidR="00B76594" w:rsidRPr="00F07DEB">
        <w:rPr>
          <w:rFonts w:ascii="Times New Roman" w:hAnsi="Times New Roman" w:cs="Times New Roman"/>
          <w:sz w:val="24"/>
        </w:rPr>
        <w:t xml:space="preserve"> </w:t>
      </w:r>
      <w:r w:rsidR="005423C6">
        <w:rPr>
          <w:rFonts w:ascii="Times New Roman" w:hAnsi="Times New Roman" w:cs="Times New Roman"/>
          <w:sz w:val="24"/>
        </w:rPr>
        <w:t>a</w:t>
      </w:r>
      <w:r w:rsidR="00B76594" w:rsidRPr="00F07DEB">
        <w:rPr>
          <w:rFonts w:ascii="Times New Roman" w:hAnsi="Times New Roman" w:cs="Times New Roman"/>
          <w:sz w:val="24"/>
        </w:rPr>
        <w:t xml:space="preserve"> </w:t>
      </w:r>
      <w:r w:rsidR="007D3BF7" w:rsidRPr="00F07DEB">
        <w:rPr>
          <w:rFonts w:ascii="Times New Roman" w:hAnsi="Times New Roman" w:cs="Times New Roman"/>
          <w:sz w:val="24"/>
        </w:rPr>
        <w:t xml:space="preserve">drip irrigation system </w:t>
      </w:r>
      <w:r w:rsidR="005F3190" w:rsidRPr="00F07DEB">
        <w:rPr>
          <w:rFonts w:ascii="Times New Roman" w:hAnsi="Times New Roman" w:cs="Times New Roman"/>
          <w:sz w:val="24"/>
        </w:rPr>
        <w:t>was</w:t>
      </w:r>
      <w:r w:rsidR="007D3BF7" w:rsidRPr="00F07DEB">
        <w:rPr>
          <w:rFonts w:ascii="Times New Roman" w:hAnsi="Times New Roman" w:cs="Times New Roman"/>
          <w:sz w:val="24"/>
        </w:rPr>
        <w:t xml:space="preserve"> constructed to ensure that </w:t>
      </w:r>
      <w:r w:rsidR="00397EF5" w:rsidRPr="00F07DEB">
        <w:rPr>
          <w:rFonts w:ascii="Times New Roman" w:hAnsi="Times New Roman" w:cs="Times New Roman"/>
          <w:sz w:val="24"/>
        </w:rPr>
        <w:t xml:space="preserve">the corn and sorghum </w:t>
      </w:r>
      <w:r w:rsidR="007D3BF7" w:rsidRPr="00F07DEB">
        <w:rPr>
          <w:rFonts w:ascii="Times New Roman" w:hAnsi="Times New Roman" w:cs="Times New Roman"/>
          <w:sz w:val="24"/>
        </w:rPr>
        <w:t xml:space="preserve">pots </w:t>
      </w:r>
      <w:r w:rsidR="005F3190" w:rsidRPr="00F07DEB">
        <w:rPr>
          <w:rFonts w:ascii="Times New Roman" w:hAnsi="Times New Roman" w:cs="Times New Roman"/>
          <w:sz w:val="24"/>
        </w:rPr>
        <w:t>were</w:t>
      </w:r>
      <w:r w:rsidR="007D3BF7" w:rsidRPr="00F07DEB">
        <w:rPr>
          <w:rFonts w:ascii="Times New Roman" w:hAnsi="Times New Roman" w:cs="Times New Roman"/>
          <w:sz w:val="24"/>
        </w:rPr>
        <w:t xml:space="preserve"> watered consi</w:t>
      </w:r>
      <w:r w:rsidR="00A315D6" w:rsidRPr="00F07DEB">
        <w:rPr>
          <w:rFonts w:ascii="Times New Roman" w:hAnsi="Times New Roman" w:cs="Times New Roman"/>
          <w:sz w:val="24"/>
        </w:rPr>
        <w:t>stently and throughout the day. I</w:t>
      </w:r>
      <w:r w:rsidR="007D3BF7" w:rsidRPr="00F07DEB">
        <w:rPr>
          <w:rFonts w:ascii="Times New Roman" w:hAnsi="Times New Roman" w:cs="Times New Roman"/>
          <w:sz w:val="24"/>
        </w:rPr>
        <w:t>rrigation intervals and durations</w:t>
      </w:r>
      <w:r w:rsidR="00B76594" w:rsidRPr="00F07DEB">
        <w:rPr>
          <w:rFonts w:ascii="Times New Roman" w:hAnsi="Times New Roman" w:cs="Times New Roman"/>
          <w:sz w:val="24"/>
        </w:rPr>
        <w:t xml:space="preserve"> were controlled by a digital timer, and</w:t>
      </w:r>
      <w:r w:rsidR="007D3BF7" w:rsidRPr="00F07DEB">
        <w:rPr>
          <w:rFonts w:ascii="Times New Roman" w:hAnsi="Times New Roman" w:cs="Times New Roman"/>
          <w:sz w:val="24"/>
        </w:rPr>
        <w:t xml:space="preserve"> change</w:t>
      </w:r>
      <w:r w:rsidR="005F3190" w:rsidRPr="00F07DEB">
        <w:rPr>
          <w:rFonts w:ascii="Times New Roman" w:hAnsi="Times New Roman" w:cs="Times New Roman"/>
          <w:sz w:val="24"/>
        </w:rPr>
        <w:t>d</w:t>
      </w:r>
      <w:r w:rsidR="007D3BF7" w:rsidRPr="00F07DEB">
        <w:rPr>
          <w:rFonts w:ascii="Times New Roman" w:hAnsi="Times New Roman" w:cs="Times New Roman"/>
          <w:sz w:val="24"/>
        </w:rPr>
        <w:t xml:space="preserve"> as the plants mature</w:t>
      </w:r>
      <w:r w:rsidR="005F3190" w:rsidRPr="00F07DEB">
        <w:rPr>
          <w:rFonts w:ascii="Times New Roman" w:hAnsi="Times New Roman" w:cs="Times New Roman"/>
          <w:sz w:val="24"/>
        </w:rPr>
        <w:t>d</w:t>
      </w:r>
      <w:r w:rsidR="007D3BF7" w:rsidRPr="00F07DEB">
        <w:rPr>
          <w:rFonts w:ascii="Times New Roman" w:hAnsi="Times New Roman" w:cs="Times New Roman"/>
          <w:sz w:val="24"/>
        </w:rPr>
        <w:t>.</w:t>
      </w:r>
      <w:r w:rsidR="00F507A9" w:rsidRPr="00F07DEB">
        <w:rPr>
          <w:rFonts w:ascii="Times New Roman" w:hAnsi="Times New Roman" w:cs="Times New Roman"/>
          <w:sz w:val="24"/>
        </w:rPr>
        <w:t xml:space="preserve"> </w:t>
      </w:r>
      <w:r w:rsidR="00A315D6" w:rsidRPr="00F07DEB">
        <w:rPr>
          <w:rFonts w:ascii="Times New Roman" w:hAnsi="Times New Roman" w:cs="Times New Roman"/>
          <w:sz w:val="24"/>
        </w:rPr>
        <w:t>Groundwater</w:t>
      </w:r>
      <w:r w:rsidR="0027307C" w:rsidRPr="00F07DEB">
        <w:rPr>
          <w:rFonts w:ascii="Times New Roman" w:hAnsi="Times New Roman" w:cs="Times New Roman"/>
          <w:sz w:val="24"/>
        </w:rPr>
        <w:t xml:space="preserve"> and mine water were stored in 18.</w:t>
      </w:r>
      <w:r w:rsidR="005423C6" w:rsidRPr="00F07DEB">
        <w:rPr>
          <w:rFonts w:ascii="Times New Roman" w:hAnsi="Times New Roman" w:cs="Times New Roman"/>
          <w:sz w:val="24"/>
        </w:rPr>
        <w:t>9</w:t>
      </w:r>
      <w:r w:rsidR="005423C6">
        <w:rPr>
          <w:rFonts w:ascii="Times New Roman" w:hAnsi="Times New Roman" w:cs="Times New Roman"/>
          <w:sz w:val="24"/>
        </w:rPr>
        <w:t>-</w:t>
      </w:r>
      <w:r w:rsidR="0027307C" w:rsidRPr="00F07DEB">
        <w:rPr>
          <w:rFonts w:ascii="Times New Roman" w:hAnsi="Times New Roman" w:cs="Times New Roman"/>
          <w:sz w:val="24"/>
        </w:rPr>
        <w:t>L</w:t>
      </w:r>
      <w:r w:rsidR="00A315D6" w:rsidRPr="00F07DEB">
        <w:rPr>
          <w:rFonts w:ascii="Times New Roman" w:hAnsi="Times New Roman" w:cs="Times New Roman"/>
          <w:sz w:val="24"/>
        </w:rPr>
        <w:t xml:space="preserve"> buckets adjacent to the pots. The timer controlled the power supply to submersible pumps, which pushed water from the </w:t>
      </w:r>
      <w:r w:rsidR="0027307C" w:rsidRPr="00F07DEB">
        <w:rPr>
          <w:rFonts w:ascii="Times New Roman" w:hAnsi="Times New Roman" w:cs="Times New Roman"/>
          <w:sz w:val="24"/>
        </w:rPr>
        <w:t>reservoir buckets through 1.</w:t>
      </w:r>
      <w:r w:rsidR="005423C6" w:rsidRPr="00F07DEB">
        <w:rPr>
          <w:rFonts w:ascii="Times New Roman" w:hAnsi="Times New Roman" w:cs="Times New Roman"/>
          <w:sz w:val="24"/>
        </w:rPr>
        <w:t>3</w:t>
      </w:r>
      <w:r w:rsidR="005423C6">
        <w:rPr>
          <w:rFonts w:ascii="Times New Roman" w:hAnsi="Times New Roman" w:cs="Times New Roman"/>
          <w:sz w:val="24"/>
        </w:rPr>
        <w:t>-</w:t>
      </w:r>
      <w:r w:rsidR="0027307C" w:rsidRPr="00F07DEB">
        <w:rPr>
          <w:rFonts w:ascii="Times New Roman" w:hAnsi="Times New Roman" w:cs="Times New Roman"/>
          <w:sz w:val="24"/>
        </w:rPr>
        <w:t>cm</w:t>
      </w:r>
      <w:r w:rsidR="00A315D6" w:rsidRPr="00F07DEB">
        <w:rPr>
          <w:rFonts w:ascii="Times New Roman" w:hAnsi="Times New Roman" w:cs="Times New Roman"/>
          <w:sz w:val="24"/>
        </w:rPr>
        <w:t xml:space="preserve"> diamet</w:t>
      </w:r>
      <w:r w:rsidR="0027307C" w:rsidRPr="00F07DEB">
        <w:rPr>
          <w:rFonts w:ascii="Times New Roman" w:hAnsi="Times New Roman" w:cs="Times New Roman"/>
          <w:sz w:val="24"/>
        </w:rPr>
        <w:t>er polyethylene tubing. Two 0.</w:t>
      </w:r>
      <w:r w:rsidR="005423C6" w:rsidRPr="00F07DEB">
        <w:rPr>
          <w:rFonts w:ascii="Times New Roman" w:hAnsi="Times New Roman" w:cs="Times New Roman"/>
          <w:sz w:val="24"/>
        </w:rPr>
        <w:t>64</w:t>
      </w:r>
      <w:r w:rsidR="005423C6">
        <w:rPr>
          <w:rFonts w:ascii="Times New Roman" w:hAnsi="Times New Roman" w:cs="Times New Roman"/>
          <w:sz w:val="24"/>
        </w:rPr>
        <w:t>-</w:t>
      </w:r>
      <w:r w:rsidR="0027307C" w:rsidRPr="00F07DEB">
        <w:rPr>
          <w:rFonts w:ascii="Times New Roman" w:hAnsi="Times New Roman" w:cs="Times New Roman"/>
          <w:sz w:val="24"/>
        </w:rPr>
        <w:t>cm</w:t>
      </w:r>
      <w:r w:rsidR="00A315D6" w:rsidRPr="00F07DEB">
        <w:rPr>
          <w:rFonts w:ascii="Times New Roman" w:hAnsi="Times New Roman" w:cs="Times New Roman"/>
          <w:sz w:val="24"/>
        </w:rPr>
        <w:t xml:space="preserve"> diameter distributio</w:t>
      </w:r>
      <w:r w:rsidR="0027307C" w:rsidRPr="00F07DEB">
        <w:rPr>
          <w:rFonts w:ascii="Times New Roman" w:hAnsi="Times New Roman" w:cs="Times New Roman"/>
          <w:sz w:val="24"/>
        </w:rPr>
        <w:t>n tubes and 1.</w:t>
      </w:r>
      <w:r w:rsidR="005423C6" w:rsidRPr="00F07DEB">
        <w:rPr>
          <w:rFonts w:ascii="Times New Roman" w:hAnsi="Times New Roman" w:cs="Times New Roman"/>
          <w:sz w:val="24"/>
        </w:rPr>
        <w:t>9</w:t>
      </w:r>
      <w:r w:rsidR="005423C6">
        <w:rPr>
          <w:rFonts w:ascii="Times New Roman" w:hAnsi="Times New Roman" w:cs="Times New Roman"/>
          <w:sz w:val="24"/>
        </w:rPr>
        <w:t>-</w:t>
      </w:r>
      <w:r w:rsidR="0027307C" w:rsidRPr="00F07DEB">
        <w:rPr>
          <w:rFonts w:ascii="Times New Roman" w:hAnsi="Times New Roman" w:cs="Times New Roman"/>
          <w:sz w:val="24"/>
        </w:rPr>
        <w:t>L</w:t>
      </w:r>
      <w:r w:rsidR="00A315D6" w:rsidRPr="00F07DEB">
        <w:rPr>
          <w:rFonts w:ascii="Times New Roman" w:hAnsi="Times New Roman" w:cs="Times New Roman"/>
          <w:sz w:val="24"/>
        </w:rPr>
        <w:t>PH drip emitters supplied each sorghum and corn pot</w:t>
      </w:r>
      <w:r w:rsidR="00D70335" w:rsidRPr="00F07DEB">
        <w:rPr>
          <w:rFonts w:ascii="Times New Roman" w:hAnsi="Times New Roman" w:cs="Times New Roman"/>
          <w:sz w:val="24"/>
        </w:rPr>
        <w:t xml:space="preserve">, resulting in </w:t>
      </w:r>
      <w:r w:rsidR="00A315D6" w:rsidRPr="00F07DEB">
        <w:rPr>
          <w:rFonts w:ascii="Times New Roman" w:hAnsi="Times New Roman" w:cs="Times New Roman"/>
          <w:sz w:val="24"/>
        </w:rPr>
        <w:t>a combined flo</w:t>
      </w:r>
      <w:r w:rsidR="0027307C" w:rsidRPr="00F07DEB">
        <w:rPr>
          <w:rFonts w:ascii="Times New Roman" w:hAnsi="Times New Roman" w:cs="Times New Roman"/>
          <w:sz w:val="24"/>
        </w:rPr>
        <w:t>w of 3.8</w:t>
      </w:r>
      <w:r w:rsidR="00D70335" w:rsidRPr="00F07DEB">
        <w:rPr>
          <w:rFonts w:ascii="Times New Roman" w:hAnsi="Times New Roman" w:cs="Times New Roman"/>
          <w:sz w:val="24"/>
        </w:rPr>
        <w:t xml:space="preserve"> </w:t>
      </w:r>
      <w:r w:rsidR="0027307C" w:rsidRPr="00F07DEB">
        <w:rPr>
          <w:rFonts w:ascii="Times New Roman" w:hAnsi="Times New Roman" w:cs="Times New Roman"/>
          <w:sz w:val="24"/>
        </w:rPr>
        <w:t>L</w:t>
      </w:r>
      <w:r w:rsidR="00D70335" w:rsidRPr="00F07DEB">
        <w:rPr>
          <w:rFonts w:ascii="Times New Roman" w:hAnsi="Times New Roman" w:cs="Times New Roman"/>
          <w:sz w:val="24"/>
        </w:rPr>
        <w:t>PH to</w:t>
      </w:r>
      <w:r w:rsidR="00A315D6" w:rsidRPr="00F07DEB">
        <w:rPr>
          <w:rFonts w:ascii="Times New Roman" w:hAnsi="Times New Roman" w:cs="Times New Roman"/>
          <w:sz w:val="24"/>
        </w:rPr>
        <w:t xml:space="preserve"> </w:t>
      </w:r>
      <w:r w:rsidR="00D70335" w:rsidRPr="00F07DEB">
        <w:rPr>
          <w:rFonts w:ascii="Times New Roman" w:hAnsi="Times New Roman" w:cs="Times New Roman"/>
          <w:sz w:val="24"/>
        </w:rPr>
        <w:t>every</w:t>
      </w:r>
      <w:r w:rsidR="00A315D6" w:rsidRPr="00F07DEB">
        <w:rPr>
          <w:rFonts w:ascii="Times New Roman" w:hAnsi="Times New Roman" w:cs="Times New Roman"/>
          <w:sz w:val="24"/>
        </w:rPr>
        <w:t xml:space="preserve"> pot. </w:t>
      </w:r>
      <w:r w:rsidR="00731539" w:rsidRPr="00F07DEB">
        <w:rPr>
          <w:rFonts w:ascii="Times New Roman" w:hAnsi="Times New Roman" w:cs="Times New Roman"/>
          <w:sz w:val="24"/>
        </w:rPr>
        <w:t xml:space="preserve">Drip emitter flow rates </w:t>
      </w:r>
      <w:r w:rsidR="005F3190" w:rsidRPr="00F07DEB">
        <w:rPr>
          <w:rFonts w:ascii="Times New Roman" w:hAnsi="Times New Roman" w:cs="Times New Roman"/>
          <w:sz w:val="24"/>
        </w:rPr>
        <w:t>were</w:t>
      </w:r>
      <w:r w:rsidR="00731539" w:rsidRPr="00F07DEB">
        <w:rPr>
          <w:rFonts w:ascii="Times New Roman" w:hAnsi="Times New Roman" w:cs="Times New Roman"/>
          <w:sz w:val="24"/>
        </w:rPr>
        <w:t xml:space="preserve"> periodically collected from multiple pots to track changes in </w:t>
      </w:r>
      <w:r w:rsidR="001F4510" w:rsidRPr="00F07DEB">
        <w:rPr>
          <w:rFonts w:ascii="Times New Roman" w:hAnsi="Times New Roman" w:cs="Times New Roman"/>
          <w:sz w:val="24"/>
        </w:rPr>
        <w:t>water</w:t>
      </w:r>
      <w:r w:rsidR="00731539" w:rsidRPr="00F07DEB">
        <w:rPr>
          <w:rFonts w:ascii="Times New Roman" w:hAnsi="Times New Roman" w:cs="Times New Roman"/>
          <w:sz w:val="24"/>
        </w:rPr>
        <w:t xml:space="preserve"> pressure and dripline clogging. </w:t>
      </w:r>
      <w:r w:rsidR="00397EF5" w:rsidRPr="00F07DEB">
        <w:rPr>
          <w:rFonts w:ascii="Times New Roman" w:hAnsi="Times New Roman" w:cs="Times New Roman"/>
          <w:sz w:val="24"/>
        </w:rPr>
        <w:t>Bermuda</w:t>
      </w:r>
      <w:r w:rsidR="00DC3567" w:rsidRPr="00F07DEB">
        <w:rPr>
          <w:rFonts w:ascii="Times New Roman" w:hAnsi="Times New Roman" w:cs="Times New Roman"/>
          <w:sz w:val="24"/>
        </w:rPr>
        <w:t xml:space="preserve"> </w:t>
      </w:r>
      <w:r w:rsidR="00397EF5" w:rsidRPr="00F07DEB">
        <w:rPr>
          <w:rFonts w:ascii="Times New Roman" w:hAnsi="Times New Roman" w:cs="Times New Roman"/>
          <w:sz w:val="24"/>
        </w:rPr>
        <w:t xml:space="preserve">grass </w:t>
      </w:r>
      <w:r w:rsidR="005F3190" w:rsidRPr="00F07DEB">
        <w:rPr>
          <w:rFonts w:ascii="Times New Roman" w:hAnsi="Times New Roman" w:cs="Times New Roman"/>
          <w:sz w:val="24"/>
        </w:rPr>
        <w:t xml:space="preserve">was </w:t>
      </w:r>
      <w:r w:rsidR="00B76594" w:rsidRPr="00F07DEB">
        <w:rPr>
          <w:rFonts w:ascii="Times New Roman" w:hAnsi="Times New Roman" w:cs="Times New Roman"/>
          <w:sz w:val="24"/>
        </w:rPr>
        <w:t xml:space="preserve">exclusively </w:t>
      </w:r>
      <w:r w:rsidR="005F3190" w:rsidRPr="00F07DEB">
        <w:rPr>
          <w:rFonts w:ascii="Times New Roman" w:hAnsi="Times New Roman" w:cs="Times New Roman"/>
          <w:sz w:val="24"/>
        </w:rPr>
        <w:t>watered by hand because it had</w:t>
      </w:r>
      <w:r w:rsidR="00397EF5" w:rsidRPr="00F07DEB">
        <w:rPr>
          <w:rFonts w:ascii="Times New Roman" w:hAnsi="Times New Roman" w:cs="Times New Roman"/>
          <w:sz w:val="24"/>
        </w:rPr>
        <w:t xml:space="preserve"> a smaller and less variable water demand than either corn or sorghum</w:t>
      </w:r>
      <w:r w:rsidR="009C74A3">
        <w:rPr>
          <w:rFonts w:ascii="Times New Roman" w:hAnsi="Times New Roman" w:cs="Times New Roman"/>
          <w:sz w:val="24"/>
        </w:rPr>
        <w:t>. Miracle-</w:t>
      </w:r>
      <w:proofErr w:type="spellStart"/>
      <w:r w:rsidR="005B3925" w:rsidRPr="00F07DEB">
        <w:rPr>
          <w:rFonts w:ascii="Times New Roman" w:hAnsi="Times New Roman" w:cs="Times New Roman"/>
          <w:sz w:val="24"/>
        </w:rPr>
        <w:t>Gro</w:t>
      </w:r>
      <w:proofErr w:type="spellEnd"/>
      <w:r w:rsidR="005B3925" w:rsidRPr="00F07DEB">
        <w:rPr>
          <w:rFonts w:ascii="Times New Roman" w:hAnsi="Times New Roman" w:cs="Times New Roman"/>
          <w:sz w:val="24"/>
        </w:rPr>
        <w:t xml:space="preserve"> Water Soluble All Purpose Plant Food 24-8-16 was applied </w:t>
      </w:r>
      <w:r w:rsidR="00D70335" w:rsidRPr="00F07DEB">
        <w:rPr>
          <w:rFonts w:ascii="Times New Roman" w:hAnsi="Times New Roman" w:cs="Times New Roman"/>
          <w:sz w:val="24"/>
        </w:rPr>
        <w:t xml:space="preserve">to every pot </w:t>
      </w:r>
      <w:r w:rsidR="005B3925" w:rsidRPr="00F07DEB">
        <w:rPr>
          <w:rFonts w:ascii="Times New Roman" w:hAnsi="Times New Roman" w:cs="Times New Roman"/>
          <w:sz w:val="24"/>
        </w:rPr>
        <w:t xml:space="preserve">eight times </w:t>
      </w:r>
      <w:r w:rsidR="00D70335" w:rsidRPr="00F07DEB">
        <w:rPr>
          <w:rFonts w:ascii="Times New Roman" w:hAnsi="Times New Roman" w:cs="Times New Roman"/>
          <w:sz w:val="24"/>
        </w:rPr>
        <w:t>throughout the study. On days when fertilizer was applied, one tablespoon weighing approximately 12 g was added to 3.78 L of each irrigation water.</w:t>
      </w:r>
    </w:p>
    <w:p w14:paraId="076F2577" w14:textId="54E467EA" w:rsidR="00892E46" w:rsidRDefault="00EE58B6" w:rsidP="004D00A8">
      <w:pPr>
        <w:pStyle w:val="NoSpacing"/>
        <w:spacing w:line="480" w:lineRule="auto"/>
        <w:ind w:firstLine="720"/>
        <w:rPr>
          <w:rFonts w:ascii="Times New Roman" w:hAnsi="Times New Roman" w:cs="Times New Roman"/>
          <w:sz w:val="24"/>
        </w:rPr>
      </w:pPr>
      <w:r w:rsidRPr="00F07DEB">
        <w:rPr>
          <w:rFonts w:ascii="Times New Roman" w:hAnsi="Times New Roman" w:cs="Times New Roman"/>
          <w:sz w:val="24"/>
        </w:rPr>
        <w:lastRenderedPageBreak/>
        <w:t xml:space="preserve">Weather and climate data </w:t>
      </w:r>
      <w:r w:rsidR="005F3190" w:rsidRPr="00F07DEB">
        <w:rPr>
          <w:rFonts w:ascii="Times New Roman" w:hAnsi="Times New Roman" w:cs="Times New Roman"/>
          <w:sz w:val="24"/>
        </w:rPr>
        <w:t>were</w:t>
      </w:r>
      <w:r w:rsidRPr="00F07DEB">
        <w:rPr>
          <w:rFonts w:ascii="Times New Roman" w:hAnsi="Times New Roman" w:cs="Times New Roman"/>
          <w:sz w:val="24"/>
        </w:rPr>
        <w:t xml:space="preserve"> </w:t>
      </w:r>
      <w:r w:rsidR="00AA6EC4" w:rsidRPr="00F07DEB">
        <w:rPr>
          <w:rFonts w:ascii="Times New Roman" w:hAnsi="Times New Roman" w:cs="Times New Roman"/>
          <w:sz w:val="24"/>
        </w:rPr>
        <w:t>sourced</w:t>
      </w:r>
      <w:r w:rsidRPr="00F07DEB">
        <w:rPr>
          <w:rFonts w:ascii="Times New Roman" w:hAnsi="Times New Roman" w:cs="Times New Roman"/>
          <w:sz w:val="24"/>
        </w:rPr>
        <w:t xml:space="preserve"> from the Norman station in the Oklaho</w:t>
      </w:r>
      <w:r w:rsidR="005F3190" w:rsidRPr="00F07DEB">
        <w:rPr>
          <w:rFonts w:ascii="Times New Roman" w:hAnsi="Times New Roman" w:cs="Times New Roman"/>
          <w:sz w:val="24"/>
        </w:rPr>
        <w:t xml:space="preserve">ma </w:t>
      </w:r>
      <w:proofErr w:type="spellStart"/>
      <w:r w:rsidR="005F3190" w:rsidRPr="00F07DEB">
        <w:rPr>
          <w:rFonts w:ascii="Times New Roman" w:hAnsi="Times New Roman" w:cs="Times New Roman"/>
          <w:sz w:val="24"/>
        </w:rPr>
        <w:t>Mesonet</w:t>
      </w:r>
      <w:proofErr w:type="spellEnd"/>
      <w:r w:rsidR="005F3190" w:rsidRPr="00F07DEB">
        <w:rPr>
          <w:rFonts w:ascii="Times New Roman" w:hAnsi="Times New Roman" w:cs="Times New Roman"/>
          <w:sz w:val="24"/>
        </w:rPr>
        <w:t xml:space="preserve"> system, which reported</w:t>
      </w:r>
      <w:r w:rsidRPr="00F07DEB">
        <w:rPr>
          <w:rFonts w:ascii="Times New Roman" w:hAnsi="Times New Roman" w:cs="Times New Roman"/>
          <w:sz w:val="24"/>
        </w:rPr>
        <w:t xml:space="preserve"> daily </w:t>
      </w:r>
      <w:r w:rsidR="00AA6EC4" w:rsidRPr="00F07DEB">
        <w:rPr>
          <w:rFonts w:ascii="Times New Roman" w:hAnsi="Times New Roman" w:cs="Times New Roman"/>
          <w:sz w:val="24"/>
        </w:rPr>
        <w:t xml:space="preserve">air </w:t>
      </w:r>
      <w:r w:rsidR="00F32200" w:rsidRPr="00F07DEB">
        <w:rPr>
          <w:rFonts w:ascii="Times New Roman" w:hAnsi="Times New Roman" w:cs="Times New Roman"/>
          <w:sz w:val="24"/>
        </w:rPr>
        <w:t>temperature</w:t>
      </w:r>
      <w:r w:rsidRPr="00F07DEB">
        <w:rPr>
          <w:rFonts w:ascii="Times New Roman" w:hAnsi="Times New Roman" w:cs="Times New Roman"/>
          <w:sz w:val="24"/>
        </w:rPr>
        <w:t>,</w:t>
      </w:r>
      <w:r w:rsidR="00AA6EC4" w:rsidRPr="00F07DEB">
        <w:rPr>
          <w:rFonts w:ascii="Times New Roman" w:hAnsi="Times New Roman" w:cs="Times New Roman"/>
          <w:sz w:val="24"/>
        </w:rPr>
        <w:t xml:space="preserve"> soil temperature,</w:t>
      </w:r>
      <w:r w:rsidRPr="00F07DEB">
        <w:rPr>
          <w:rFonts w:ascii="Times New Roman" w:hAnsi="Times New Roman" w:cs="Times New Roman"/>
          <w:sz w:val="24"/>
        </w:rPr>
        <w:t xml:space="preserve"> and rainfall data</w:t>
      </w:r>
      <w:r w:rsidR="00AA6EC4" w:rsidRPr="00F07DEB">
        <w:rPr>
          <w:rFonts w:ascii="Times New Roman" w:hAnsi="Times New Roman" w:cs="Times New Roman"/>
          <w:sz w:val="24"/>
        </w:rPr>
        <w:t>.</w:t>
      </w:r>
      <w:r w:rsidR="001E7E6D" w:rsidRPr="00F07DEB">
        <w:rPr>
          <w:rFonts w:ascii="Times New Roman" w:hAnsi="Times New Roman" w:cs="Times New Roman"/>
          <w:sz w:val="24"/>
        </w:rPr>
        <w:t xml:space="preserve"> The presence of foreign </w:t>
      </w:r>
      <w:r w:rsidR="00550564" w:rsidRPr="00F07DEB">
        <w:rPr>
          <w:rFonts w:ascii="Times New Roman" w:hAnsi="Times New Roman" w:cs="Times New Roman"/>
          <w:sz w:val="24"/>
        </w:rPr>
        <w:t xml:space="preserve">pests, disease, </w:t>
      </w:r>
      <w:r w:rsidR="001E7E6D" w:rsidRPr="00F07DEB">
        <w:rPr>
          <w:rFonts w:ascii="Times New Roman" w:hAnsi="Times New Roman" w:cs="Times New Roman"/>
          <w:sz w:val="24"/>
        </w:rPr>
        <w:t>plants</w:t>
      </w:r>
      <w:r w:rsidR="00550564" w:rsidRPr="00F07DEB">
        <w:rPr>
          <w:rFonts w:ascii="Times New Roman" w:hAnsi="Times New Roman" w:cs="Times New Roman"/>
          <w:sz w:val="24"/>
        </w:rPr>
        <w:t>,</w:t>
      </w:r>
      <w:r w:rsidR="001E7E6D" w:rsidRPr="00F07DEB">
        <w:rPr>
          <w:rFonts w:ascii="Times New Roman" w:hAnsi="Times New Roman" w:cs="Times New Roman"/>
          <w:sz w:val="24"/>
        </w:rPr>
        <w:t xml:space="preserve"> and animals in the</w:t>
      </w:r>
      <w:r w:rsidR="005F3190" w:rsidRPr="00F07DEB">
        <w:rPr>
          <w:rFonts w:ascii="Times New Roman" w:hAnsi="Times New Roman" w:cs="Times New Roman"/>
          <w:sz w:val="24"/>
        </w:rPr>
        <w:t xml:space="preserve"> pots was</w:t>
      </w:r>
      <w:r w:rsidR="001E7E6D" w:rsidRPr="00F07DEB">
        <w:rPr>
          <w:rFonts w:ascii="Times New Roman" w:hAnsi="Times New Roman" w:cs="Times New Roman"/>
          <w:sz w:val="24"/>
        </w:rPr>
        <w:t xml:space="preserve"> rec</w:t>
      </w:r>
      <w:r w:rsidR="00550564" w:rsidRPr="00F07DEB">
        <w:rPr>
          <w:rFonts w:ascii="Times New Roman" w:hAnsi="Times New Roman" w:cs="Times New Roman"/>
          <w:sz w:val="24"/>
        </w:rPr>
        <w:t>orded visually and descriptively</w:t>
      </w:r>
      <w:r w:rsidR="001E7E6D" w:rsidRPr="00F07DEB">
        <w:rPr>
          <w:rFonts w:ascii="Times New Roman" w:hAnsi="Times New Roman" w:cs="Times New Roman"/>
          <w:sz w:val="24"/>
        </w:rPr>
        <w:t>.</w:t>
      </w:r>
      <w:r w:rsidR="00AA6EC4" w:rsidRPr="00F07DEB">
        <w:rPr>
          <w:rFonts w:ascii="Times New Roman" w:hAnsi="Times New Roman" w:cs="Times New Roman"/>
          <w:sz w:val="24"/>
        </w:rPr>
        <w:t xml:space="preserve"> </w:t>
      </w:r>
      <w:r w:rsidR="001E603B" w:rsidRPr="00F07DEB">
        <w:rPr>
          <w:rFonts w:ascii="Times New Roman" w:hAnsi="Times New Roman" w:cs="Times New Roman"/>
          <w:sz w:val="24"/>
        </w:rPr>
        <w:t xml:space="preserve">Pests </w:t>
      </w:r>
      <w:r w:rsidR="005F3190" w:rsidRPr="00F07DEB">
        <w:rPr>
          <w:rFonts w:ascii="Times New Roman" w:hAnsi="Times New Roman" w:cs="Times New Roman"/>
          <w:sz w:val="24"/>
        </w:rPr>
        <w:t>were</w:t>
      </w:r>
      <w:r w:rsidR="001E603B" w:rsidRPr="00F07DEB">
        <w:rPr>
          <w:rFonts w:ascii="Times New Roman" w:hAnsi="Times New Roman" w:cs="Times New Roman"/>
          <w:sz w:val="24"/>
        </w:rPr>
        <w:t xml:space="preserve"> eliminated by physical methods, rather than via chemical controls. </w:t>
      </w:r>
      <w:r w:rsidR="004D00A8" w:rsidRPr="00F07DEB">
        <w:rPr>
          <w:rFonts w:ascii="Times New Roman" w:hAnsi="Times New Roman" w:cs="Times New Roman"/>
          <w:sz w:val="24"/>
        </w:rPr>
        <w:t xml:space="preserve">Soil </w:t>
      </w:r>
      <w:r w:rsidR="00051408" w:rsidRPr="00F07DEB">
        <w:rPr>
          <w:rFonts w:ascii="Times New Roman" w:hAnsi="Times New Roman" w:cs="Times New Roman"/>
          <w:sz w:val="24"/>
        </w:rPr>
        <w:t>temperature</w:t>
      </w:r>
      <w:r w:rsidR="004D00A8" w:rsidRPr="00F07DEB">
        <w:rPr>
          <w:rFonts w:ascii="Times New Roman" w:hAnsi="Times New Roman" w:cs="Times New Roman"/>
          <w:sz w:val="24"/>
        </w:rPr>
        <w:t xml:space="preserve">, </w:t>
      </w:r>
      <w:r w:rsidR="00A65C1B" w:rsidRPr="00F07DEB">
        <w:rPr>
          <w:rFonts w:ascii="Times New Roman" w:hAnsi="Times New Roman" w:cs="Times New Roman"/>
          <w:sz w:val="24"/>
        </w:rPr>
        <w:t xml:space="preserve">irrigation water quality, and light intensity </w:t>
      </w:r>
      <w:r w:rsidR="005F3190" w:rsidRPr="00F07DEB">
        <w:rPr>
          <w:rFonts w:ascii="Times New Roman" w:hAnsi="Times New Roman" w:cs="Times New Roman"/>
          <w:sz w:val="24"/>
        </w:rPr>
        <w:t xml:space="preserve">were </w:t>
      </w:r>
      <w:r w:rsidR="00A65C1B" w:rsidRPr="00F07DEB">
        <w:rPr>
          <w:rFonts w:ascii="Times New Roman" w:hAnsi="Times New Roman" w:cs="Times New Roman"/>
          <w:sz w:val="24"/>
        </w:rPr>
        <w:t>monitored over</w:t>
      </w:r>
      <w:r w:rsidR="00D018B6" w:rsidRPr="00F07DEB">
        <w:rPr>
          <w:rFonts w:ascii="Times New Roman" w:hAnsi="Times New Roman" w:cs="Times New Roman"/>
          <w:sz w:val="24"/>
        </w:rPr>
        <w:t xml:space="preserve"> the duration of the experiment</w:t>
      </w:r>
      <w:r w:rsidR="00F507A9" w:rsidRPr="00F07DEB">
        <w:rPr>
          <w:rFonts w:ascii="Times New Roman" w:hAnsi="Times New Roman" w:cs="Times New Roman"/>
          <w:sz w:val="24"/>
        </w:rPr>
        <w:t xml:space="preserve">. </w:t>
      </w:r>
      <w:r w:rsidR="003411DD" w:rsidRPr="00F07DEB">
        <w:rPr>
          <w:rFonts w:ascii="Times New Roman" w:hAnsi="Times New Roman" w:cs="Times New Roman"/>
          <w:sz w:val="24"/>
        </w:rPr>
        <w:t xml:space="preserve">A Photosynthetically Active Radiation (PAR) Meter </w:t>
      </w:r>
      <w:r w:rsidR="005F3190" w:rsidRPr="00F07DEB">
        <w:rPr>
          <w:rFonts w:ascii="Times New Roman" w:hAnsi="Times New Roman" w:cs="Times New Roman"/>
          <w:sz w:val="24"/>
        </w:rPr>
        <w:t>was</w:t>
      </w:r>
      <w:r w:rsidR="003411DD" w:rsidRPr="00F07DEB">
        <w:rPr>
          <w:rFonts w:ascii="Times New Roman" w:hAnsi="Times New Roman" w:cs="Times New Roman"/>
          <w:sz w:val="24"/>
        </w:rPr>
        <w:t xml:space="preserve"> employed to track levels of </w:t>
      </w:r>
      <w:r w:rsidR="00E21EA6" w:rsidRPr="00F07DEB">
        <w:rPr>
          <w:rFonts w:ascii="Times New Roman" w:hAnsi="Times New Roman" w:cs="Times New Roman"/>
          <w:sz w:val="24"/>
        </w:rPr>
        <w:t>photos</w:t>
      </w:r>
      <w:r w:rsidR="00051408" w:rsidRPr="00F07DEB">
        <w:rPr>
          <w:rFonts w:ascii="Times New Roman" w:hAnsi="Times New Roman" w:cs="Times New Roman"/>
          <w:sz w:val="24"/>
        </w:rPr>
        <w:t>ynthetic photon flux density (PPFD)</w:t>
      </w:r>
      <w:r w:rsidR="00103EA6" w:rsidRPr="00F07DEB">
        <w:rPr>
          <w:rFonts w:ascii="Times New Roman" w:hAnsi="Times New Roman" w:cs="Times New Roman"/>
          <w:sz w:val="24"/>
        </w:rPr>
        <w:t>, or photons with wavelengths between 400 and 700 nm,</w:t>
      </w:r>
      <w:r w:rsidR="003411DD" w:rsidRPr="00F07DEB">
        <w:rPr>
          <w:rFonts w:ascii="Times New Roman" w:hAnsi="Times New Roman" w:cs="Times New Roman"/>
          <w:sz w:val="24"/>
        </w:rPr>
        <w:t xml:space="preserve"> in </w:t>
      </w:r>
      <w:r w:rsidR="00B323D9">
        <w:rPr>
          <w:rFonts w:ascii="Symbol" w:hAnsi="Symbol" w:cs="Times New Roman"/>
          <w:sz w:val="24"/>
        </w:rPr>
        <w:t></w:t>
      </w:r>
      <w:proofErr w:type="spellStart"/>
      <w:r w:rsidR="00E21EA6" w:rsidRPr="00F07DEB">
        <w:rPr>
          <w:rFonts w:ascii="Times New Roman" w:hAnsi="Times New Roman" w:cs="Times New Roman"/>
          <w:sz w:val="24"/>
        </w:rPr>
        <w:t>mol</w:t>
      </w:r>
      <w:proofErr w:type="spellEnd"/>
      <w:r w:rsidR="00E21EA6" w:rsidRPr="00F07DEB">
        <w:rPr>
          <w:rFonts w:ascii="Times New Roman" w:hAnsi="Times New Roman" w:cs="Times New Roman"/>
          <w:sz w:val="24"/>
        </w:rPr>
        <w:t>/m</w:t>
      </w:r>
      <w:r w:rsidR="00E21EA6" w:rsidRPr="00F07DEB">
        <w:rPr>
          <w:rFonts w:ascii="Times New Roman" w:hAnsi="Times New Roman" w:cs="Times New Roman"/>
          <w:sz w:val="24"/>
          <w:vertAlign w:val="superscript"/>
        </w:rPr>
        <w:t>2</w:t>
      </w:r>
      <w:r w:rsidR="00E21EA6" w:rsidRPr="00F07DEB">
        <w:rPr>
          <w:rFonts w:ascii="Times New Roman" w:hAnsi="Times New Roman" w:cs="Times New Roman"/>
          <w:sz w:val="24"/>
        </w:rPr>
        <w:t xml:space="preserve">/s. </w:t>
      </w:r>
      <w:r w:rsidR="00103EA6" w:rsidRPr="00F07DEB">
        <w:rPr>
          <w:rFonts w:ascii="Times New Roman" w:hAnsi="Times New Roman" w:cs="Times New Roman"/>
          <w:sz w:val="24"/>
        </w:rPr>
        <w:t xml:space="preserve">The </w:t>
      </w:r>
      <w:proofErr w:type="spellStart"/>
      <w:r w:rsidR="00103EA6" w:rsidRPr="00F07DEB">
        <w:rPr>
          <w:rFonts w:ascii="Times New Roman" w:hAnsi="Times New Roman" w:cs="Times New Roman"/>
          <w:sz w:val="24"/>
        </w:rPr>
        <w:t>SpotOn</w:t>
      </w:r>
      <w:proofErr w:type="spellEnd"/>
      <w:r w:rsidR="00103EA6" w:rsidRPr="00F07DEB">
        <w:rPr>
          <w:rFonts w:ascii="Times New Roman" w:hAnsi="Times New Roman" w:cs="Times New Roman"/>
          <w:sz w:val="24"/>
        </w:rPr>
        <w:t xml:space="preserve"> Quantu</w:t>
      </w:r>
      <w:r w:rsidR="005F3190" w:rsidRPr="00F07DEB">
        <w:rPr>
          <w:rFonts w:ascii="Times New Roman" w:hAnsi="Times New Roman" w:cs="Times New Roman"/>
          <w:sz w:val="24"/>
        </w:rPr>
        <w:t>m PAR Light Meter also generated</w:t>
      </w:r>
      <w:r w:rsidR="00103EA6" w:rsidRPr="00F07DEB">
        <w:rPr>
          <w:rFonts w:ascii="Times New Roman" w:hAnsi="Times New Roman" w:cs="Times New Roman"/>
          <w:sz w:val="24"/>
        </w:rPr>
        <w:t xml:space="preserve"> a daily light integral (DLI), which is a running 24-hour total of the </w:t>
      </w:r>
      <w:r w:rsidR="003A6B8C" w:rsidRPr="00F07DEB">
        <w:rPr>
          <w:rFonts w:ascii="Times New Roman" w:hAnsi="Times New Roman" w:cs="Times New Roman"/>
          <w:sz w:val="24"/>
        </w:rPr>
        <w:t>moles of PAR</w:t>
      </w:r>
      <w:r w:rsidR="00051408" w:rsidRPr="00F07DEB">
        <w:rPr>
          <w:rFonts w:ascii="Times New Roman" w:hAnsi="Times New Roman" w:cs="Times New Roman"/>
          <w:sz w:val="24"/>
        </w:rPr>
        <w:t xml:space="preserve"> photons</w:t>
      </w:r>
      <w:r w:rsidR="003A6B8C" w:rsidRPr="00F07DEB">
        <w:rPr>
          <w:rFonts w:ascii="Times New Roman" w:hAnsi="Times New Roman" w:cs="Times New Roman"/>
          <w:sz w:val="24"/>
        </w:rPr>
        <w:t xml:space="preserve"> entering the surrounding square meter. </w:t>
      </w:r>
    </w:p>
    <w:p w14:paraId="7AF09E59" w14:textId="2615769F" w:rsidR="00892E46" w:rsidRDefault="001B1849" w:rsidP="004D00A8">
      <w:pPr>
        <w:pStyle w:val="NoSpacing"/>
        <w:spacing w:line="480" w:lineRule="auto"/>
        <w:ind w:firstLine="720"/>
        <w:rPr>
          <w:rFonts w:ascii="Times New Roman" w:hAnsi="Times New Roman" w:cs="Times New Roman"/>
          <w:sz w:val="24"/>
        </w:rPr>
      </w:pPr>
      <w:r w:rsidRPr="00F07DEB">
        <w:rPr>
          <w:rFonts w:ascii="Times New Roman" w:hAnsi="Times New Roman" w:cs="Times New Roman"/>
          <w:sz w:val="24"/>
        </w:rPr>
        <w:t>Water quality</w:t>
      </w:r>
      <w:r w:rsidR="00EF1141" w:rsidRPr="00F07DEB">
        <w:rPr>
          <w:rFonts w:ascii="Times New Roman" w:hAnsi="Times New Roman" w:cs="Times New Roman"/>
          <w:sz w:val="24"/>
        </w:rPr>
        <w:t xml:space="preserve"> </w:t>
      </w:r>
      <w:r w:rsidR="005F3190" w:rsidRPr="00F07DEB">
        <w:rPr>
          <w:rFonts w:ascii="Times New Roman" w:hAnsi="Times New Roman" w:cs="Times New Roman"/>
          <w:sz w:val="24"/>
        </w:rPr>
        <w:t>was</w:t>
      </w:r>
      <w:r w:rsidR="00EF1141" w:rsidRPr="00F07DEB">
        <w:rPr>
          <w:rFonts w:ascii="Times New Roman" w:hAnsi="Times New Roman" w:cs="Times New Roman"/>
          <w:sz w:val="24"/>
        </w:rPr>
        <w:t xml:space="preserve"> monitored on-site w</w:t>
      </w:r>
      <w:r w:rsidR="00051408" w:rsidRPr="00F07DEB">
        <w:rPr>
          <w:rFonts w:ascii="Times New Roman" w:hAnsi="Times New Roman" w:cs="Times New Roman"/>
          <w:sz w:val="24"/>
        </w:rPr>
        <w:t xml:space="preserve">ith </w:t>
      </w:r>
      <w:proofErr w:type="gramStart"/>
      <w:r w:rsidR="00051408" w:rsidRPr="00F07DEB">
        <w:rPr>
          <w:rFonts w:ascii="Times New Roman" w:hAnsi="Times New Roman" w:cs="Times New Roman"/>
          <w:sz w:val="24"/>
        </w:rPr>
        <w:t>a</w:t>
      </w:r>
      <w:proofErr w:type="gramEnd"/>
      <w:r w:rsidR="00051408" w:rsidRPr="00F07DEB">
        <w:rPr>
          <w:rFonts w:ascii="Times New Roman" w:hAnsi="Times New Roman" w:cs="Times New Roman"/>
          <w:sz w:val="24"/>
        </w:rPr>
        <w:t xml:space="preserve"> YSI </w:t>
      </w:r>
      <w:r w:rsidR="005423C6">
        <w:rPr>
          <w:rFonts w:ascii="Times New Roman" w:hAnsi="Times New Roman" w:cs="Times New Roman"/>
          <w:sz w:val="24"/>
        </w:rPr>
        <w:t xml:space="preserve">600 </w:t>
      </w:r>
      <w:proofErr w:type="spellStart"/>
      <w:r w:rsidR="00051408" w:rsidRPr="00F07DEB">
        <w:rPr>
          <w:rFonts w:ascii="Times New Roman" w:hAnsi="Times New Roman" w:cs="Times New Roman"/>
          <w:sz w:val="24"/>
        </w:rPr>
        <w:t>multiparameter</w:t>
      </w:r>
      <w:proofErr w:type="spellEnd"/>
      <w:r w:rsidR="00051408" w:rsidRPr="00F07DEB">
        <w:rPr>
          <w:rFonts w:ascii="Times New Roman" w:hAnsi="Times New Roman" w:cs="Times New Roman"/>
          <w:sz w:val="24"/>
        </w:rPr>
        <w:t xml:space="preserve"> </w:t>
      </w:r>
      <w:proofErr w:type="spellStart"/>
      <w:r w:rsidR="005423C6">
        <w:rPr>
          <w:rFonts w:ascii="Times New Roman" w:hAnsi="Times New Roman" w:cs="Times New Roman"/>
          <w:sz w:val="24"/>
        </w:rPr>
        <w:t>data</w:t>
      </w:r>
      <w:r w:rsidR="00051408" w:rsidRPr="00F07DEB">
        <w:rPr>
          <w:rFonts w:ascii="Times New Roman" w:hAnsi="Times New Roman" w:cs="Times New Roman"/>
          <w:sz w:val="24"/>
        </w:rPr>
        <w:t>sonde</w:t>
      </w:r>
      <w:proofErr w:type="spellEnd"/>
      <w:r w:rsidR="005423C6">
        <w:rPr>
          <w:rFonts w:ascii="Times New Roman" w:hAnsi="Times New Roman" w:cs="Times New Roman"/>
          <w:sz w:val="24"/>
        </w:rPr>
        <w:t xml:space="preserve"> and 650 MDS controller</w:t>
      </w:r>
      <w:r w:rsidR="00051408" w:rsidRPr="00F07DEB">
        <w:rPr>
          <w:rFonts w:ascii="Times New Roman" w:hAnsi="Times New Roman" w:cs="Times New Roman"/>
          <w:sz w:val="24"/>
        </w:rPr>
        <w:t xml:space="preserve">, </w:t>
      </w:r>
      <w:r w:rsidR="001E603B" w:rsidRPr="00F07DEB">
        <w:rPr>
          <w:rFonts w:ascii="Times New Roman" w:hAnsi="Times New Roman" w:cs="Times New Roman"/>
          <w:sz w:val="24"/>
        </w:rPr>
        <w:t xml:space="preserve">which records pH, salinity, TDS, and dissolved oxygen (DO). </w:t>
      </w:r>
      <w:r w:rsidR="00372289" w:rsidRPr="00F07DEB">
        <w:rPr>
          <w:rFonts w:ascii="Times New Roman" w:hAnsi="Times New Roman" w:cs="Times New Roman"/>
          <w:sz w:val="24"/>
        </w:rPr>
        <w:t xml:space="preserve">Total and dissolved metals samples were collected from the irrigation waters and preserved with </w:t>
      </w:r>
      <w:r w:rsidR="005423C6">
        <w:rPr>
          <w:rFonts w:ascii="Times New Roman" w:hAnsi="Times New Roman" w:cs="Times New Roman"/>
          <w:sz w:val="24"/>
        </w:rPr>
        <w:t xml:space="preserve">trace-metal grade </w:t>
      </w:r>
      <w:r w:rsidR="00372289" w:rsidRPr="00F07DEB">
        <w:rPr>
          <w:rFonts w:ascii="Times New Roman" w:hAnsi="Times New Roman" w:cs="Times New Roman"/>
          <w:sz w:val="24"/>
        </w:rPr>
        <w:t xml:space="preserve">nitric acid for trace metals </w:t>
      </w:r>
      <w:r w:rsidR="005423C6" w:rsidRPr="00F07DEB">
        <w:rPr>
          <w:rFonts w:ascii="Times New Roman" w:hAnsi="Times New Roman" w:cs="Times New Roman"/>
          <w:sz w:val="24"/>
        </w:rPr>
        <w:t>analys</w:t>
      </w:r>
      <w:r w:rsidR="005423C6">
        <w:rPr>
          <w:rFonts w:ascii="Times New Roman" w:hAnsi="Times New Roman" w:cs="Times New Roman"/>
          <w:sz w:val="24"/>
        </w:rPr>
        <w:t>e</w:t>
      </w:r>
      <w:r w:rsidR="005423C6" w:rsidRPr="00F07DEB">
        <w:rPr>
          <w:rFonts w:ascii="Times New Roman" w:hAnsi="Times New Roman" w:cs="Times New Roman"/>
          <w:sz w:val="24"/>
        </w:rPr>
        <w:t>s</w:t>
      </w:r>
      <w:r w:rsidR="00372289" w:rsidRPr="00F07DEB">
        <w:rPr>
          <w:rFonts w:ascii="Times New Roman" w:hAnsi="Times New Roman" w:cs="Times New Roman"/>
          <w:sz w:val="24"/>
        </w:rPr>
        <w:t xml:space="preserve">. Prior to acidification, samples </w:t>
      </w:r>
      <w:r w:rsidR="005423C6">
        <w:rPr>
          <w:rFonts w:ascii="Times New Roman" w:hAnsi="Times New Roman" w:cs="Times New Roman"/>
          <w:sz w:val="24"/>
        </w:rPr>
        <w:t xml:space="preserve">for dissolved analyses </w:t>
      </w:r>
      <w:r w:rsidR="00372289" w:rsidRPr="00F07DEB">
        <w:rPr>
          <w:rFonts w:ascii="Times New Roman" w:hAnsi="Times New Roman" w:cs="Times New Roman"/>
          <w:sz w:val="24"/>
        </w:rPr>
        <w:t>were filtered with 0.</w:t>
      </w:r>
      <w:r w:rsidR="005423C6" w:rsidRPr="00F07DEB">
        <w:rPr>
          <w:rFonts w:ascii="Times New Roman" w:hAnsi="Times New Roman" w:cs="Times New Roman"/>
          <w:sz w:val="24"/>
        </w:rPr>
        <w:t>45</w:t>
      </w:r>
      <w:r w:rsidR="005423C6">
        <w:rPr>
          <w:rFonts w:ascii="Times New Roman" w:hAnsi="Times New Roman" w:cs="Times New Roman"/>
          <w:sz w:val="24"/>
        </w:rPr>
        <w:t>-</w:t>
      </w:r>
      <w:r w:rsidR="00372289" w:rsidRPr="00F07DEB">
        <w:rPr>
          <w:rFonts w:ascii="Times New Roman" w:hAnsi="Times New Roman" w:cs="Times New Roman"/>
          <w:sz w:val="24"/>
        </w:rPr>
        <w:t xml:space="preserve">µm </w:t>
      </w:r>
      <w:proofErr w:type="spellStart"/>
      <w:r w:rsidR="00372289" w:rsidRPr="00F07DEB">
        <w:rPr>
          <w:rFonts w:ascii="Times New Roman" w:hAnsi="Times New Roman" w:cs="Times New Roman"/>
          <w:sz w:val="24"/>
        </w:rPr>
        <w:t>Whatman</w:t>
      </w:r>
      <w:proofErr w:type="spellEnd"/>
      <w:r w:rsidR="00372289" w:rsidRPr="00F07DEB">
        <w:rPr>
          <w:rFonts w:ascii="Times New Roman" w:hAnsi="Times New Roman" w:cs="Times New Roman"/>
          <w:sz w:val="24"/>
        </w:rPr>
        <w:t xml:space="preserve"> nylon membrane filters. </w:t>
      </w:r>
      <w:r w:rsidR="001E603B" w:rsidRPr="00F07DEB">
        <w:rPr>
          <w:rFonts w:ascii="Times New Roman" w:hAnsi="Times New Roman" w:cs="Times New Roman"/>
          <w:sz w:val="24"/>
        </w:rPr>
        <w:t>A</w:t>
      </w:r>
      <w:r w:rsidR="00051408" w:rsidRPr="00F07DEB">
        <w:rPr>
          <w:rFonts w:ascii="Times New Roman" w:hAnsi="Times New Roman" w:cs="Times New Roman"/>
          <w:sz w:val="24"/>
        </w:rPr>
        <w:t xml:space="preserve"> </w:t>
      </w:r>
      <w:proofErr w:type="spellStart"/>
      <w:r w:rsidR="00051408" w:rsidRPr="00F07DEB">
        <w:rPr>
          <w:rFonts w:ascii="Times New Roman" w:hAnsi="Times New Roman" w:cs="Times New Roman"/>
          <w:sz w:val="24"/>
        </w:rPr>
        <w:t>Hach</w:t>
      </w:r>
      <w:proofErr w:type="spellEnd"/>
      <w:r w:rsidR="00051408" w:rsidRPr="00F07DEB">
        <w:rPr>
          <w:rFonts w:ascii="Times New Roman" w:hAnsi="Times New Roman" w:cs="Times New Roman"/>
          <w:sz w:val="24"/>
        </w:rPr>
        <w:t xml:space="preserve"> 2100P </w:t>
      </w:r>
      <w:proofErr w:type="spellStart"/>
      <w:r w:rsidR="00051408" w:rsidRPr="00F07DEB">
        <w:rPr>
          <w:rFonts w:ascii="Times New Roman" w:hAnsi="Times New Roman" w:cs="Times New Roman"/>
          <w:sz w:val="24"/>
        </w:rPr>
        <w:t>turbidimeter</w:t>
      </w:r>
      <w:proofErr w:type="spellEnd"/>
      <w:r w:rsidR="001E603B" w:rsidRPr="00F07DEB">
        <w:rPr>
          <w:rFonts w:ascii="Times New Roman" w:hAnsi="Times New Roman" w:cs="Times New Roman"/>
          <w:sz w:val="24"/>
        </w:rPr>
        <w:t xml:space="preserve"> </w:t>
      </w:r>
      <w:r w:rsidR="005F3190" w:rsidRPr="00F07DEB">
        <w:rPr>
          <w:rFonts w:ascii="Times New Roman" w:hAnsi="Times New Roman" w:cs="Times New Roman"/>
          <w:sz w:val="24"/>
        </w:rPr>
        <w:t>was</w:t>
      </w:r>
      <w:r w:rsidR="001E603B" w:rsidRPr="00F07DEB">
        <w:rPr>
          <w:rFonts w:ascii="Times New Roman" w:hAnsi="Times New Roman" w:cs="Times New Roman"/>
          <w:sz w:val="24"/>
        </w:rPr>
        <w:t xml:space="preserve"> used to monitor turbidity</w:t>
      </w:r>
      <w:r w:rsidR="00892E46">
        <w:rPr>
          <w:rFonts w:ascii="Times New Roman" w:hAnsi="Times New Roman" w:cs="Times New Roman"/>
          <w:sz w:val="24"/>
        </w:rPr>
        <w:t xml:space="preserve"> (</w:t>
      </w:r>
      <w:r w:rsidR="00DE6D89">
        <w:rPr>
          <w:rFonts w:ascii="Times New Roman" w:hAnsi="Times New Roman" w:cs="Times New Roman"/>
          <w:sz w:val="24"/>
        </w:rPr>
        <w:t>EPA 180.1</w:t>
      </w:r>
      <w:r w:rsidR="00892E46">
        <w:rPr>
          <w:rFonts w:ascii="Times New Roman" w:hAnsi="Times New Roman" w:cs="Times New Roman"/>
          <w:sz w:val="24"/>
        </w:rPr>
        <w:t>)</w:t>
      </w:r>
      <w:r w:rsidR="001E603B" w:rsidRPr="00F07DEB">
        <w:rPr>
          <w:rFonts w:ascii="Times New Roman" w:hAnsi="Times New Roman" w:cs="Times New Roman"/>
          <w:sz w:val="24"/>
        </w:rPr>
        <w:t xml:space="preserve">, </w:t>
      </w:r>
      <w:r w:rsidR="00051408" w:rsidRPr="00F07DEB">
        <w:rPr>
          <w:rFonts w:ascii="Times New Roman" w:hAnsi="Times New Roman" w:cs="Times New Roman"/>
          <w:sz w:val="24"/>
        </w:rPr>
        <w:t xml:space="preserve">and a </w:t>
      </w:r>
      <w:proofErr w:type="spellStart"/>
      <w:r w:rsidR="00051408" w:rsidRPr="00F07DEB">
        <w:rPr>
          <w:rFonts w:ascii="Times New Roman" w:hAnsi="Times New Roman" w:cs="Times New Roman"/>
          <w:sz w:val="24"/>
        </w:rPr>
        <w:t>Hach</w:t>
      </w:r>
      <w:proofErr w:type="spellEnd"/>
      <w:r w:rsidR="00051408" w:rsidRPr="00F07DEB">
        <w:rPr>
          <w:rFonts w:ascii="Times New Roman" w:hAnsi="Times New Roman" w:cs="Times New Roman"/>
          <w:sz w:val="24"/>
        </w:rPr>
        <w:t xml:space="preserve"> digital </w:t>
      </w:r>
      <w:proofErr w:type="spellStart"/>
      <w:r w:rsidR="00051408" w:rsidRPr="00F07DEB">
        <w:rPr>
          <w:rFonts w:ascii="Times New Roman" w:hAnsi="Times New Roman" w:cs="Times New Roman"/>
          <w:sz w:val="24"/>
        </w:rPr>
        <w:t>titrator</w:t>
      </w:r>
      <w:proofErr w:type="spellEnd"/>
      <w:r w:rsidR="001E603B" w:rsidRPr="00F07DEB">
        <w:rPr>
          <w:rFonts w:ascii="Times New Roman" w:hAnsi="Times New Roman" w:cs="Times New Roman"/>
          <w:sz w:val="24"/>
        </w:rPr>
        <w:t xml:space="preserve"> </w:t>
      </w:r>
      <w:r w:rsidR="005F3190" w:rsidRPr="00F07DEB">
        <w:rPr>
          <w:rFonts w:ascii="Times New Roman" w:hAnsi="Times New Roman" w:cs="Times New Roman"/>
          <w:sz w:val="24"/>
        </w:rPr>
        <w:t>was</w:t>
      </w:r>
      <w:r w:rsidR="001E603B" w:rsidRPr="00F07DEB">
        <w:rPr>
          <w:rFonts w:ascii="Times New Roman" w:hAnsi="Times New Roman" w:cs="Times New Roman"/>
          <w:sz w:val="24"/>
        </w:rPr>
        <w:t xml:space="preserve"> used to calculate alkalinity</w:t>
      </w:r>
      <w:r w:rsidR="00892E46">
        <w:rPr>
          <w:rFonts w:ascii="Times New Roman" w:hAnsi="Times New Roman" w:cs="Times New Roman"/>
          <w:sz w:val="24"/>
        </w:rPr>
        <w:t xml:space="preserve"> (</w:t>
      </w:r>
      <w:r w:rsidR="00DE6D89">
        <w:rPr>
          <w:rFonts w:ascii="Times New Roman" w:hAnsi="Times New Roman" w:cs="Times New Roman"/>
          <w:sz w:val="24"/>
        </w:rPr>
        <w:t>EPA 310.1</w:t>
      </w:r>
      <w:r w:rsidR="00892E46">
        <w:rPr>
          <w:rFonts w:ascii="Times New Roman" w:hAnsi="Times New Roman" w:cs="Times New Roman"/>
          <w:sz w:val="24"/>
        </w:rPr>
        <w:t>)</w:t>
      </w:r>
      <w:r w:rsidR="00051408" w:rsidRPr="00F07DEB">
        <w:rPr>
          <w:rFonts w:ascii="Times New Roman" w:hAnsi="Times New Roman" w:cs="Times New Roman"/>
          <w:sz w:val="24"/>
        </w:rPr>
        <w:t xml:space="preserve">. </w:t>
      </w:r>
      <w:r w:rsidR="00D440E9" w:rsidRPr="00F07DEB">
        <w:rPr>
          <w:rFonts w:ascii="Times New Roman" w:hAnsi="Times New Roman" w:cs="Times New Roman"/>
          <w:sz w:val="24"/>
        </w:rPr>
        <w:t>N</w:t>
      </w:r>
      <w:r w:rsidRPr="00F07DEB">
        <w:rPr>
          <w:rFonts w:ascii="Times New Roman" w:hAnsi="Times New Roman" w:cs="Times New Roman"/>
          <w:sz w:val="24"/>
        </w:rPr>
        <w:t>utrient concentrations</w:t>
      </w:r>
      <w:r w:rsidR="005F3190" w:rsidRPr="00F07DEB">
        <w:rPr>
          <w:rFonts w:ascii="Times New Roman" w:hAnsi="Times New Roman" w:cs="Times New Roman"/>
          <w:sz w:val="24"/>
        </w:rPr>
        <w:t xml:space="preserve"> were</w:t>
      </w:r>
      <w:r w:rsidR="00EF1141" w:rsidRPr="00F07DEB">
        <w:rPr>
          <w:rFonts w:ascii="Times New Roman" w:hAnsi="Times New Roman" w:cs="Times New Roman"/>
          <w:sz w:val="24"/>
        </w:rPr>
        <w:t xml:space="preserve"> measured with</w:t>
      </w:r>
      <w:r w:rsidRPr="00F07DEB">
        <w:rPr>
          <w:rFonts w:ascii="Times New Roman" w:hAnsi="Times New Roman" w:cs="Times New Roman"/>
          <w:sz w:val="24"/>
        </w:rPr>
        <w:t xml:space="preserve"> </w:t>
      </w:r>
      <w:r w:rsidR="00C30E68" w:rsidRPr="00F07DEB">
        <w:rPr>
          <w:rFonts w:ascii="Times New Roman" w:hAnsi="Times New Roman" w:cs="Times New Roman"/>
          <w:sz w:val="24"/>
        </w:rPr>
        <w:t xml:space="preserve">various </w:t>
      </w:r>
      <w:proofErr w:type="spellStart"/>
      <w:r w:rsidR="00C30E68" w:rsidRPr="00F07DEB">
        <w:rPr>
          <w:rFonts w:ascii="Times New Roman" w:hAnsi="Times New Roman" w:cs="Times New Roman"/>
          <w:sz w:val="24"/>
        </w:rPr>
        <w:t>Hach</w:t>
      </w:r>
      <w:proofErr w:type="spellEnd"/>
      <w:r w:rsidR="00C30E68" w:rsidRPr="00F07DEB">
        <w:rPr>
          <w:rFonts w:ascii="Times New Roman" w:hAnsi="Times New Roman" w:cs="Times New Roman"/>
          <w:sz w:val="24"/>
        </w:rPr>
        <w:t xml:space="preserve"> methods</w:t>
      </w:r>
      <w:r w:rsidR="00DE6D89">
        <w:rPr>
          <w:rFonts w:ascii="Times New Roman" w:hAnsi="Times New Roman" w:cs="Times New Roman"/>
          <w:sz w:val="24"/>
        </w:rPr>
        <w:t>, listed i</w:t>
      </w:r>
      <w:r w:rsidR="00DE6D89" w:rsidRPr="00DE6D89">
        <w:rPr>
          <w:rFonts w:ascii="Times New Roman" w:hAnsi="Times New Roman" w:cs="Times New Roman"/>
          <w:sz w:val="24"/>
          <w:szCs w:val="24"/>
        </w:rPr>
        <w:t xml:space="preserve">n </w:t>
      </w:r>
      <w:r w:rsidR="00DE6D89" w:rsidRPr="00DE6D89">
        <w:rPr>
          <w:rFonts w:ascii="Times New Roman" w:hAnsi="Times New Roman" w:cs="Times New Roman"/>
          <w:sz w:val="24"/>
          <w:szCs w:val="24"/>
        </w:rPr>
        <w:fldChar w:fldCharType="begin"/>
      </w:r>
      <w:r w:rsidR="00DE6D89" w:rsidRPr="00DE6D89">
        <w:rPr>
          <w:rFonts w:ascii="Times New Roman" w:hAnsi="Times New Roman" w:cs="Times New Roman"/>
          <w:sz w:val="24"/>
          <w:szCs w:val="24"/>
        </w:rPr>
        <w:instrText xml:space="preserve"> REF _Ref56270688 \h  \* MERGEFORMAT </w:instrText>
      </w:r>
      <w:r w:rsidR="00DE6D89" w:rsidRPr="00DE6D89">
        <w:rPr>
          <w:rFonts w:ascii="Times New Roman" w:hAnsi="Times New Roman" w:cs="Times New Roman"/>
          <w:sz w:val="24"/>
          <w:szCs w:val="24"/>
        </w:rPr>
      </w:r>
      <w:r w:rsidR="00DE6D89" w:rsidRPr="00DE6D89">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Table </w:t>
      </w:r>
      <w:r w:rsidR="00E179CA" w:rsidRPr="00E179CA">
        <w:rPr>
          <w:rFonts w:ascii="Times New Roman" w:hAnsi="Times New Roman" w:cs="Times New Roman"/>
          <w:noProof/>
          <w:sz w:val="24"/>
          <w:szCs w:val="24"/>
        </w:rPr>
        <w:t>8</w:t>
      </w:r>
      <w:r w:rsidR="00DE6D89" w:rsidRPr="00DE6D89">
        <w:rPr>
          <w:rFonts w:ascii="Times New Roman" w:hAnsi="Times New Roman" w:cs="Times New Roman"/>
          <w:sz w:val="24"/>
          <w:szCs w:val="24"/>
        </w:rPr>
        <w:fldChar w:fldCharType="end"/>
      </w:r>
      <w:r w:rsidR="00C30E68" w:rsidRPr="00F07DEB">
        <w:rPr>
          <w:rFonts w:ascii="Times New Roman" w:hAnsi="Times New Roman" w:cs="Times New Roman"/>
          <w:sz w:val="24"/>
        </w:rPr>
        <w:t xml:space="preserve"> on </w:t>
      </w:r>
      <w:r w:rsidRPr="00F07DEB">
        <w:rPr>
          <w:rFonts w:ascii="Times New Roman" w:hAnsi="Times New Roman" w:cs="Times New Roman"/>
          <w:sz w:val="24"/>
        </w:rPr>
        <w:t xml:space="preserve">CREW’s </w:t>
      </w:r>
      <w:proofErr w:type="spellStart"/>
      <w:r w:rsidR="00377D85" w:rsidRPr="00F07DEB">
        <w:rPr>
          <w:rFonts w:ascii="Times New Roman" w:hAnsi="Times New Roman" w:cs="Times New Roman"/>
          <w:sz w:val="24"/>
        </w:rPr>
        <w:t>Hach</w:t>
      </w:r>
      <w:proofErr w:type="spellEnd"/>
      <w:r w:rsidR="00377D85" w:rsidRPr="00F07DEB">
        <w:rPr>
          <w:rFonts w:ascii="Times New Roman" w:hAnsi="Times New Roman" w:cs="Times New Roman"/>
          <w:sz w:val="24"/>
        </w:rPr>
        <w:t xml:space="preserve"> DR2800 Portable Spectrophotometer</w:t>
      </w:r>
      <w:r w:rsidR="00372289" w:rsidRPr="00F07DEB">
        <w:rPr>
          <w:rFonts w:ascii="Times New Roman" w:hAnsi="Times New Roman" w:cs="Times New Roman"/>
          <w:sz w:val="24"/>
        </w:rPr>
        <w:t>. Trace metals concentrations were analyzed</w:t>
      </w:r>
      <w:r w:rsidR="00C30E68" w:rsidRPr="00F07DEB">
        <w:rPr>
          <w:rFonts w:ascii="Times New Roman" w:hAnsi="Times New Roman" w:cs="Times New Roman"/>
          <w:sz w:val="24"/>
        </w:rPr>
        <w:t xml:space="preserve"> with EPA </w:t>
      </w:r>
      <w:r w:rsidR="00892E46">
        <w:rPr>
          <w:rFonts w:ascii="Times New Roman" w:hAnsi="Times New Roman" w:cs="Times New Roman"/>
          <w:sz w:val="24"/>
        </w:rPr>
        <w:t xml:space="preserve">Method </w:t>
      </w:r>
      <w:r w:rsidR="00C30E68" w:rsidRPr="00F07DEB">
        <w:rPr>
          <w:rFonts w:ascii="Times New Roman" w:hAnsi="Times New Roman" w:cs="Times New Roman"/>
          <w:sz w:val="24"/>
        </w:rPr>
        <w:t>6010D on a</w:t>
      </w:r>
      <w:r w:rsidR="004275C2" w:rsidRPr="00F07DEB">
        <w:rPr>
          <w:rFonts w:ascii="Times New Roman" w:hAnsi="Times New Roman" w:cs="Times New Roman"/>
          <w:sz w:val="24"/>
        </w:rPr>
        <w:t xml:space="preserve"> Varian Vista-PRO</w:t>
      </w:r>
      <w:r w:rsidRPr="00F07DEB">
        <w:rPr>
          <w:rFonts w:ascii="Times New Roman" w:hAnsi="Times New Roman" w:cs="Times New Roman"/>
          <w:sz w:val="24"/>
        </w:rPr>
        <w:t xml:space="preserve"> Inductively </w:t>
      </w:r>
      <w:r w:rsidR="00A7334B" w:rsidRPr="00F07DEB">
        <w:rPr>
          <w:rFonts w:ascii="Times New Roman" w:hAnsi="Times New Roman" w:cs="Times New Roman"/>
          <w:sz w:val="24"/>
        </w:rPr>
        <w:t>Coupled P</w:t>
      </w:r>
      <w:r w:rsidRPr="00F07DEB">
        <w:rPr>
          <w:rFonts w:ascii="Times New Roman" w:hAnsi="Times New Roman" w:cs="Times New Roman"/>
          <w:sz w:val="24"/>
        </w:rPr>
        <w:t>lasma –</w:t>
      </w:r>
      <w:r w:rsidR="00A7334B" w:rsidRPr="00F07DEB">
        <w:rPr>
          <w:rFonts w:ascii="Times New Roman" w:hAnsi="Times New Roman" w:cs="Times New Roman"/>
          <w:sz w:val="24"/>
        </w:rPr>
        <w:t xml:space="preserve"> O</w:t>
      </w:r>
      <w:r w:rsidRPr="00F07DEB">
        <w:rPr>
          <w:rFonts w:ascii="Times New Roman" w:hAnsi="Times New Roman" w:cs="Times New Roman"/>
          <w:sz w:val="24"/>
        </w:rPr>
        <w:t xml:space="preserve">ptical </w:t>
      </w:r>
      <w:r w:rsidR="00A7334B" w:rsidRPr="00F07DEB">
        <w:rPr>
          <w:rFonts w:ascii="Times New Roman" w:hAnsi="Times New Roman" w:cs="Times New Roman"/>
          <w:sz w:val="24"/>
        </w:rPr>
        <w:t>Emission S</w:t>
      </w:r>
      <w:r w:rsidRPr="00F07DEB">
        <w:rPr>
          <w:rFonts w:ascii="Times New Roman" w:hAnsi="Times New Roman" w:cs="Times New Roman"/>
          <w:sz w:val="24"/>
        </w:rPr>
        <w:t>pectro</w:t>
      </w:r>
      <w:r w:rsidR="00A7334B" w:rsidRPr="00F07DEB">
        <w:rPr>
          <w:rFonts w:ascii="Times New Roman" w:hAnsi="Times New Roman" w:cs="Times New Roman"/>
          <w:sz w:val="24"/>
        </w:rPr>
        <w:t>meter</w:t>
      </w:r>
      <w:r w:rsidR="004F7148" w:rsidRPr="00F07DEB">
        <w:rPr>
          <w:rFonts w:ascii="Times New Roman" w:hAnsi="Times New Roman" w:cs="Times New Roman"/>
          <w:sz w:val="24"/>
        </w:rPr>
        <w:t xml:space="preserve"> (ICP-OES)</w:t>
      </w:r>
      <w:r w:rsidRPr="00F07DEB">
        <w:rPr>
          <w:rFonts w:ascii="Times New Roman" w:hAnsi="Times New Roman" w:cs="Times New Roman"/>
          <w:sz w:val="24"/>
        </w:rPr>
        <w:t>.</w:t>
      </w:r>
      <w:r w:rsidR="00AA51C2" w:rsidRPr="00F07DEB">
        <w:rPr>
          <w:rFonts w:ascii="Times New Roman" w:hAnsi="Times New Roman" w:cs="Times New Roman"/>
          <w:sz w:val="24"/>
        </w:rPr>
        <w:t xml:space="preserve"> </w:t>
      </w:r>
      <w:r w:rsidR="004D00A8" w:rsidRPr="00F07DEB">
        <w:rPr>
          <w:rFonts w:ascii="Times New Roman" w:hAnsi="Times New Roman" w:cs="Times New Roman"/>
          <w:sz w:val="24"/>
        </w:rPr>
        <w:t>ICP-OES trace metal anal</w:t>
      </w:r>
      <w:r w:rsidR="005F3190" w:rsidRPr="00F07DEB">
        <w:rPr>
          <w:rFonts w:ascii="Times New Roman" w:hAnsi="Times New Roman" w:cs="Times New Roman"/>
          <w:sz w:val="24"/>
        </w:rPr>
        <w:t>ysis of irrigation water was</w:t>
      </w:r>
      <w:r w:rsidR="004D00A8" w:rsidRPr="00F07DEB">
        <w:rPr>
          <w:rFonts w:ascii="Times New Roman" w:hAnsi="Times New Roman" w:cs="Times New Roman"/>
          <w:sz w:val="24"/>
        </w:rPr>
        <w:t xml:space="preserve"> carried out on aqueous samples that </w:t>
      </w:r>
      <w:r w:rsidR="005F3190" w:rsidRPr="00F07DEB">
        <w:rPr>
          <w:rFonts w:ascii="Times New Roman" w:hAnsi="Times New Roman" w:cs="Times New Roman"/>
          <w:sz w:val="24"/>
        </w:rPr>
        <w:t>underwent</w:t>
      </w:r>
      <w:r w:rsidR="004D00A8" w:rsidRPr="00F07DEB">
        <w:rPr>
          <w:rFonts w:ascii="Times New Roman" w:hAnsi="Times New Roman" w:cs="Times New Roman"/>
          <w:sz w:val="24"/>
        </w:rPr>
        <w:t xml:space="preserve"> microwave-assisted aqueous digestion</w:t>
      </w:r>
      <w:r w:rsidRPr="00F07DEB">
        <w:rPr>
          <w:rFonts w:ascii="Times New Roman" w:hAnsi="Times New Roman" w:cs="Times New Roman"/>
          <w:sz w:val="24"/>
        </w:rPr>
        <w:t xml:space="preserve"> </w:t>
      </w:r>
      <w:r w:rsidR="004D00A8" w:rsidRPr="00F07DEB">
        <w:rPr>
          <w:rFonts w:ascii="Times New Roman" w:hAnsi="Times New Roman" w:cs="Times New Roman"/>
          <w:sz w:val="24"/>
        </w:rPr>
        <w:t xml:space="preserve">according to EPA Method 3015. </w:t>
      </w:r>
    </w:p>
    <w:p w14:paraId="71115C5F" w14:textId="5959821B" w:rsidR="00892E46" w:rsidRDefault="004D00A8" w:rsidP="004D00A8">
      <w:pPr>
        <w:pStyle w:val="NoSpacing"/>
        <w:spacing w:line="480" w:lineRule="auto"/>
        <w:ind w:firstLine="720"/>
        <w:rPr>
          <w:rFonts w:ascii="Times New Roman" w:hAnsi="Times New Roman" w:cs="Times New Roman"/>
          <w:sz w:val="24"/>
        </w:rPr>
      </w:pPr>
      <w:r w:rsidRPr="00F07DEB">
        <w:rPr>
          <w:rFonts w:ascii="Times New Roman" w:hAnsi="Times New Roman" w:cs="Times New Roman"/>
          <w:sz w:val="24"/>
        </w:rPr>
        <w:lastRenderedPageBreak/>
        <w:t xml:space="preserve">Quantity and quality of plants </w:t>
      </w:r>
      <w:r w:rsidR="005F3190" w:rsidRPr="00F07DEB">
        <w:rPr>
          <w:rFonts w:ascii="Times New Roman" w:hAnsi="Times New Roman" w:cs="Times New Roman"/>
          <w:sz w:val="24"/>
        </w:rPr>
        <w:t>were</w:t>
      </w:r>
      <w:r w:rsidRPr="00F07DEB">
        <w:rPr>
          <w:rFonts w:ascii="Times New Roman" w:hAnsi="Times New Roman" w:cs="Times New Roman"/>
          <w:sz w:val="24"/>
        </w:rPr>
        <w:t xml:space="preserve"> evaluated through data collection of</w:t>
      </w:r>
      <w:r w:rsidR="00DD231C" w:rsidRPr="00F07DEB">
        <w:rPr>
          <w:rFonts w:ascii="Times New Roman" w:hAnsi="Times New Roman" w:cs="Times New Roman"/>
          <w:sz w:val="24"/>
        </w:rPr>
        <w:t xml:space="preserve"> percent </w:t>
      </w:r>
      <w:r w:rsidR="008E40EF" w:rsidRPr="00F07DEB">
        <w:rPr>
          <w:rFonts w:ascii="Times New Roman" w:hAnsi="Times New Roman" w:cs="Times New Roman"/>
          <w:sz w:val="24"/>
        </w:rPr>
        <w:t>emergence</w:t>
      </w:r>
      <w:r w:rsidR="00DD231C" w:rsidRPr="00F07DEB">
        <w:rPr>
          <w:rFonts w:ascii="Times New Roman" w:hAnsi="Times New Roman" w:cs="Times New Roman"/>
          <w:sz w:val="24"/>
        </w:rPr>
        <w:t xml:space="preserve">, </w:t>
      </w:r>
      <w:r w:rsidR="008E40EF" w:rsidRPr="00F07DEB">
        <w:rPr>
          <w:rFonts w:ascii="Times New Roman" w:hAnsi="Times New Roman" w:cs="Times New Roman"/>
          <w:sz w:val="24"/>
        </w:rPr>
        <w:t xml:space="preserve">plant </w:t>
      </w:r>
      <w:r w:rsidR="00DD231C" w:rsidRPr="00F07DEB">
        <w:rPr>
          <w:rFonts w:ascii="Times New Roman" w:hAnsi="Times New Roman" w:cs="Times New Roman"/>
          <w:sz w:val="24"/>
        </w:rPr>
        <w:t xml:space="preserve">height, </w:t>
      </w:r>
      <w:r w:rsidR="00C256BF" w:rsidRPr="00F07DEB">
        <w:rPr>
          <w:rFonts w:ascii="Times New Roman" w:hAnsi="Times New Roman" w:cs="Times New Roman"/>
          <w:sz w:val="24"/>
        </w:rPr>
        <w:t xml:space="preserve">growth stage, </w:t>
      </w:r>
      <w:r w:rsidR="00D913C8" w:rsidRPr="00F07DEB">
        <w:rPr>
          <w:rFonts w:ascii="Times New Roman" w:hAnsi="Times New Roman" w:cs="Times New Roman"/>
          <w:sz w:val="24"/>
        </w:rPr>
        <w:t xml:space="preserve">leaf </w:t>
      </w:r>
      <w:r w:rsidR="002F7453" w:rsidRPr="00F07DEB">
        <w:rPr>
          <w:rFonts w:ascii="Times New Roman" w:hAnsi="Times New Roman" w:cs="Times New Roman"/>
          <w:sz w:val="24"/>
        </w:rPr>
        <w:t>firing</w:t>
      </w:r>
      <w:r w:rsidR="00D913C8" w:rsidRPr="00F07DEB">
        <w:rPr>
          <w:rFonts w:ascii="Times New Roman" w:hAnsi="Times New Roman" w:cs="Times New Roman"/>
          <w:sz w:val="24"/>
        </w:rPr>
        <w:t xml:space="preserve">, </w:t>
      </w:r>
      <w:r w:rsidR="00537819" w:rsidRPr="00F07DEB">
        <w:rPr>
          <w:rFonts w:ascii="Times New Roman" w:hAnsi="Times New Roman" w:cs="Times New Roman"/>
          <w:sz w:val="24"/>
        </w:rPr>
        <w:t xml:space="preserve">and above- and </w:t>
      </w:r>
      <w:r w:rsidR="00355EB3" w:rsidRPr="00F07DEB">
        <w:rPr>
          <w:rFonts w:ascii="Times New Roman" w:hAnsi="Times New Roman" w:cs="Times New Roman"/>
          <w:sz w:val="24"/>
        </w:rPr>
        <w:t>belowground</w:t>
      </w:r>
      <w:r w:rsidR="00D913C8" w:rsidRPr="00F07DEB">
        <w:rPr>
          <w:rFonts w:ascii="Times New Roman" w:hAnsi="Times New Roman" w:cs="Times New Roman"/>
          <w:sz w:val="24"/>
        </w:rPr>
        <w:t xml:space="preserve"> biomass production. </w:t>
      </w:r>
      <w:r w:rsidR="00B20773" w:rsidRPr="00F07DEB">
        <w:rPr>
          <w:rFonts w:ascii="Times New Roman" w:hAnsi="Times New Roman" w:cs="Times New Roman"/>
          <w:sz w:val="24"/>
          <w:szCs w:val="24"/>
        </w:rPr>
        <w:t xml:space="preserve">Corn heights were measured from the base to the apex of the highest leaf with a downward-pointing tip </w:t>
      </w:r>
      <w:r w:rsidR="00B20773" w:rsidRPr="00F07DEB">
        <w:rPr>
          <w:rFonts w:ascii="Times New Roman" w:hAnsi="Times New Roman" w:cs="Times New Roman"/>
          <w:sz w:val="24"/>
          <w:szCs w:val="24"/>
        </w:rPr>
        <w:fldChar w:fldCharType="begin"/>
      </w:r>
      <w:r w:rsidR="00B20773" w:rsidRPr="00F07DEB">
        <w:rPr>
          <w:rFonts w:ascii="Times New Roman" w:hAnsi="Times New Roman" w:cs="Times New Roman"/>
          <w:sz w:val="24"/>
          <w:szCs w:val="24"/>
        </w:rPr>
        <w:instrText xml:space="preserve"> ADDIN ZOTERO_ITEM CSL_CITATION {"citationID":"ex1EQiC2","properties":{"formattedCitation":"(P\\uc0\\u233{}rez-Harguindeguy et al., 2013)","plainCitation":"(Pérez-Harguindeguy et al., 2013)","noteIndex":0},"citationItems":[{"id":710,"uris":["http://zotero.org/users/5446453/items/6TRLJUDH"],"uri":["http://zotero.org/users/5446453/items/6TRLJUDH"],"itemData":{"id":710,"type":"article-journal","abstract":"Plant functional traits are the features (morphological, physiological, phenological) that represent ecological strategies and determine how plants respond to environmental factors, affect other trophic levels and inﬂuence ecosystem properties. Variation in plant functional traits, and trait syndromes, has proven useful for tackling many important ecological questions at a range of scales, giving rise to a demand for standardised ways to measure ecologically meaningful plant traits. This line of research has been among the most fruitful avenues for understanding ecological and evolutionary patterns and processes. It also has the potential both to build a predictive set of local, regional and global relationships between plants and environment and to quantify a wide range of natural and human-driven processes, including changes in biodiversity, the impacts of species invasions, alterations in biogeochemical processes and vegetation–atmosphere interactions. The importance of these topics dictates the urgent need for more and better data, and increases the value of standardised protocols for quantifying trait variation of different species, in particular for traits with power to predict plant- and ecosystemlevel processes, and for traits that can be measured relatively easily. Updated and expanded from the widely used previous version, this handbook retains the focus on clearly presented, widely applicable, step-by-step recipes, with a minimum of text on theory, and not only includes updated methods for the traits previously covered, but also introduces many new protocols for further traits. This new handbook has a better balance between whole-plant traits, leaf traits, root and stem traits and regenerative traits, and puts particular emphasis on traits important for predicting species’ effects on key ecosystem properties. We hope this new handbook becomes a standard companion in local and global efforts to learn about the responses and impacts of different plant species with respect to environmental changes in the present, past and future.","container-title":"Australian Journal of Botany","DOI":"10.1071/BT12225","ISSN":"0067-1924","issue":"3","journalAbbreviation":"Aust. J. Bot.","language":"en","page":"167-234","source":"DOI.org (Crossref)","title":"New handbook for standardised measurement of plant functional traits worldwide","volume":"61","author":[{"family":"Pérez-Harguindeguy","given":"N."},{"family":"Díaz","given":"S."},{"family":"Garnier","given":"E."},{"family":"Lavorel","given":"S."},{"family":"Poorter","given":"H."},{"family":"Jaureguiberry","given":"P."},{"family":"Bret-Harte","given":"M. S."},{"family":"Cornwell","given":"W. K."},{"family":"Craine","given":"J. M."},{"family":"Gurvich","given":"D. E."},{"family":"Urcelay","given":"C."},{"family":"Veneklaas","given":"E. J."},{"family":"Reich","given":"P. B."},{"family":"Poorter","given":"L."},{"family":"Wright","given":"I. J."},{"family":"Ray","given":"P."},{"family":"Enrico","given":"L."},{"family":"Pausas","given":"J. G."},{"family":"Vos","given":"A. C.","non-dropping-particle":"de"},{"family":"Buchmann","given":"N."},{"family":"Funes","given":"G."},{"family":"Quétier","given":"F."},{"family":"Hodgson","given":"J. G."},{"family":"Thompson","given":"K."},{"family":"Morgan","given":"H. D."},{"family":"Steege","given":"H.","non-dropping-particle":"ter"},{"family":"Sack","given":"L."},{"family":"Blonder","given":"B."},{"family":"Poschlod","given":"P."},{"family":"Vaieretti","given":"M. V."},{"family":"Conti","given":"G."},{"family":"Staver","given":"A. C."},{"family":"Aquino","given":"S."},{"family":"Cornelissen","given":"J. H. C."}],"issued":{"date-parts":[["2013"]]}}}],"schema":"https://github.com/citation-style-language/schema/raw/master/csl-citation.json"} </w:instrText>
      </w:r>
      <w:r w:rsidR="00B20773" w:rsidRPr="00F07DEB">
        <w:rPr>
          <w:rFonts w:ascii="Times New Roman" w:hAnsi="Times New Roman" w:cs="Times New Roman"/>
          <w:sz w:val="24"/>
          <w:szCs w:val="24"/>
        </w:rPr>
        <w:fldChar w:fldCharType="separate"/>
      </w:r>
      <w:r w:rsidR="00234033" w:rsidRPr="00234033">
        <w:rPr>
          <w:rFonts w:ascii="Times New Roman" w:hAnsi="Times New Roman" w:cs="Times New Roman"/>
          <w:sz w:val="24"/>
          <w:szCs w:val="24"/>
        </w:rPr>
        <w:t>(Pérez-Harguindeguy et al., 2013)</w:t>
      </w:r>
      <w:r w:rsidR="00B20773" w:rsidRPr="00F07DEB">
        <w:rPr>
          <w:rFonts w:ascii="Times New Roman" w:hAnsi="Times New Roman" w:cs="Times New Roman"/>
          <w:sz w:val="24"/>
          <w:szCs w:val="24"/>
        </w:rPr>
        <w:fldChar w:fldCharType="end"/>
      </w:r>
      <w:r w:rsidR="00B20773" w:rsidRPr="00F07DEB">
        <w:rPr>
          <w:rFonts w:ascii="Times New Roman" w:hAnsi="Times New Roman" w:cs="Times New Roman"/>
          <w:sz w:val="24"/>
          <w:szCs w:val="24"/>
        </w:rPr>
        <w:t xml:space="preserve">. This same method was employed in measuring sorghum height, but the apex point of the highest leaf was measured regardless of how the leaf tip was oriented because adult sorghum leaves can be rigid and upright. Bermuda grass growth was assessed by a visual estimation of percent </w:t>
      </w:r>
      <w:r w:rsidR="00B20773">
        <w:rPr>
          <w:rFonts w:ascii="Times New Roman" w:hAnsi="Times New Roman" w:cs="Times New Roman"/>
          <w:sz w:val="24"/>
          <w:szCs w:val="24"/>
        </w:rPr>
        <w:t xml:space="preserve">ground </w:t>
      </w:r>
      <w:r w:rsidR="00B20773" w:rsidRPr="00F07DEB">
        <w:rPr>
          <w:rFonts w:ascii="Times New Roman" w:hAnsi="Times New Roman" w:cs="Times New Roman"/>
          <w:sz w:val="24"/>
          <w:szCs w:val="24"/>
        </w:rPr>
        <w:t>coverage</w:t>
      </w:r>
      <w:r w:rsidR="00B20773">
        <w:rPr>
          <w:rFonts w:ascii="Times New Roman" w:hAnsi="Times New Roman" w:cs="Times New Roman"/>
          <w:sz w:val="24"/>
          <w:szCs w:val="24"/>
        </w:rPr>
        <w:t xml:space="preserve"> on the 0 to 100 scale </w:t>
      </w:r>
      <w:r w:rsidR="006A0705">
        <w:rPr>
          <w:rFonts w:ascii="Times New Roman" w:hAnsi="Times New Roman" w:cs="Times New Roman"/>
          <w:sz w:val="24"/>
          <w:szCs w:val="24"/>
        </w:rPr>
        <w:fldChar w:fldCharType="begin"/>
      </w:r>
      <w:r w:rsidR="00CF2322">
        <w:rPr>
          <w:rFonts w:ascii="Times New Roman" w:hAnsi="Times New Roman" w:cs="Times New Roman"/>
          <w:sz w:val="24"/>
          <w:szCs w:val="24"/>
        </w:rPr>
        <w:instrText xml:space="preserve"> ADDIN ZOTERO_ITEM CSL_CITATION {"citationID":"a2bh8nqmtg9","properties":{"formattedCitation":"(And\\uc0\\u250{}jar et al., 2010; Lotz et al., 1994)","plainCitation":"(Andújar et al., 2010; Lotz et al., 1994)","noteIndex":0},"citationItems":[{"id":942,"uris":["http://zotero.org/users/5446453/items/4UED42BN"],"uri":["http://zotero.org/users/5446453/items/4UED42BN"],"itemData":{"id":942,"type":"article-journal","abstract":"Andújar D, Ribeiro A, Carmona R, Fernández-Quintanilla C &amp; Dorado J (2010). An assessment of the accuracy and consistency of human perception of weed cover. Weed Research 50, 638–647.\nWhen integrated weed management approaches are used, visual estimations of weed cover are commonly employed to quantify weed infestation levels in crops. This study assessed the reliability of visual estimation of weed cover, considering various factors which may influence the accuracy and consistency of human perception. Measurements were based on visual estimates of digital images acquired in maize fields. A total of 750 images were assessed independently by four experienced observers using three cover-abundance scales, varying the assessment date or the order in which the images were assessed. A good relationship was generally found between the visual estimates of weed cover and some objective parameters (actual weed cover, weed biomass). The analyses of reliability and repeatability showed no significant differences between the estimations performed by four different observers or by the same observer at different times, independently of the scale used. Nevertheless, the comparison between visual estimations performed by the observers and actual weed cover showed that observers tended to overestimate weed cover at low weed densities and underestimate it when densities were high. Although visual assessments of weed cover were relatively accurate to quantify weed infestation level, our results showed that human perception was not reliable enough to determine actual weed cover close to the class boundaries, both in the lower range (e.g. 5%, 10%) and in the middle range (e.g. 50%) of the scale. This may be a serious limitation for the use of visual methods in threshold-based weed management programmes.","container-title":"Weed Research","DOI":"10.1111/j.1365-3180.2010.00809.x","journalAbbreviation":"Weed Research","page":"638-647","source":"ResearchGate","title":"An assessment of the accuracy and consistency of human perception of weed cover","volume":"50","author":[{"family":"Andújar","given":"Dionisio"},{"family":"Ribeiro","given":"Angela"},{"family":"Carmona","given":"Rocío"},{"family":"Fernandez-Quintanilla","given":"Cesar"},{"family":"Dorado","given":"José"}],"issued":{"date-parts":[["2010",7,27]]}}},{"id":939,"uris":["http://zotero.org/users/5446453/items/6QQMPHG7"],"uri":["http://zotero.org/users/5446453/items/6QQMPHG7"],"itemData":{"id":939,"type":"article-journal","abstract":"Summary: Résumé: Zusammenfassung Destructive measurements to collect input data for models that predict yield loss from relative leaf area of weeds can be laborious. Alternative methods were tested in seven field experiments with sugar beet or spring wheat. Weeds with different morphologies showed the same linear relationships between relative leaf area, meas ured destructively, and cover, assessed by means of a frame, until 3 or 4 weeks after crop emer gence. At later growth stages, differences in weed morphology resulted in different relationships. Visual estimates of weed cover corresponded only roughly with cover assessments with a frame. The possibility of estimating relative leaf area of weeds with a reflectance technique was tested, assuming that for early growth stages the leaf area index of weeds can be considered as additional to that of the crop. In spring wheat, relative leaf areas of Sinapis alba L., sown at different times and densities, correlated well with characteristics based on infra-red reflectance. In sugar beet, these relationships were not as distinct. Techniques d'estimation de la surface foliaire relative et de la couverture des mauvaises herbes dans les cultures, en vue de prédictions de pertes en rendement Des prélèvements destructifs peuvent alimenter en données les modèles qui prédisent les pertes de rendement à partir de la surface foliaire relative des mauvaises herbes, mais ils sont exigeants en temps. Des méthodes alternatives ont été testées lors de sept expériences au champ dans de la betterave ou du blé de printemps. Jusqu'à trois ou quatre semaines après la levée de la culture, des mauvaises herbes possédant différentes morphologies montraient les mêmes relations linéaires entre d'une part la surface foliaire relative mesurée de manière destructive et d'autre part la couverture mesurée grâce à une grille. Aux stades de croissance ultérieurs, du fait des différences morphologiques entre les mauvaises herbes, les relations étaient différentes. Les estimations visuelles de la couverture en mauvaises herbes ne correspondaient qu'approximativement aux mesures de couverture effectuées au moyen de la grille. La possibilité d'estimer la surface foliaire relative des mauvaises herbes avec une technique de réflectance a étéévaluée, en supposant que, aux stades de croissance initiaux, l'indice de surface foliaire des mauvaises herbes peut être considéré comme additif de celui de la culture. Dans le blé de printemps, les surfaces foliaires relatives de Sinapis alba L., semées à différentes époques et à différentes densités, étaient bien corrélées avec des caractéristiques basées sur la réflectance infra-rouge. Dans la betterave à sucre, ces relations n'étaient pas aussi claires. Bestimmung der relativen Blattfläche und des Deckungsgrads von Unkräutern zur Prognose von Ertragsverlusten Die destruktive Gewinnung von Daten der relativen Blattfläche von Unkräutern für Modelle zur Vorhersage von Ertragsverlusten sind arbeitsaufwendig. Alternative Methoden wurden in 7 Versuchen in Zuckerrübe und Sommerweizen untersucht. Morphologisch unterschiedliche Unkräuter zeigten bis zu 3 oder 4 Wochen nach dem Auflaufen der Kulturpflanzen dieselben linearen Beziehungen zwischen der destruktiv gemessenen relativen Blattfläche und dem mittels eines Rahmens bestimmten Deckungsgrad. In späteren Entwicklungsstadien führten die morphologischen Unterschiede zu verschiedenen Verhältnissen. Bonituren des Unkrautdeckungsgrads entsprachen nur grob den mit dem Rahmen ermittelten Deckungswerten. Die Bestimmung der relativen Blattfläche der Unkräuter durch Messung der Lichtreflexion wurde geprüft, wobei angenommen werden kann, daß sich in den frühen Entwicklungsstadien der Blattflächenindex der Unkräuter mit dem der Kulturpflanzen summiert. Im Sommerweizen war die relative Blattfläche von zu verschiedenen Zeiten und in unterschiedlicher Dichte gesätem Sinapis alba L. mit den Daten der Infrarotreflexion gut korreliert, auf den Zuckerrübenflächen nicht so genau.","container-title":"Weed Research","DOI":"https://doi.org/10.1111/j.1365-3180.1994.tb01984.x","ISSN":"1365-3180","issue":"3","language":"en","note":"_eprint: https://onlinelibrary.wiley.com/doi/pdf/10.1111/j.1365-3180.1994.tb01984.x","page":"167-175","source":"Wiley Online Library","title":"Techniques to estimate relative leaf area and cover of weeds in crops for yield loss prediction","volume":"34","author":[{"family":"Lotz","given":"L. a. P."},{"family":"Kropff","given":"M. J."},{"family":"Wallinga","given":"J."},{"family":"Bos","given":"H. J."},{"family":"Groeneveld","given":"R. M. W."}],"issued":{"date-parts":[["1994"]]}}}],"schema":"https://github.com/citation-style-language/schema/raw/master/csl-citation.json"} </w:instrText>
      </w:r>
      <w:r w:rsidR="006A0705">
        <w:rPr>
          <w:rFonts w:ascii="Times New Roman" w:hAnsi="Times New Roman" w:cs="Times New Roman"/>
          <w:sz w:val="24"/>
          <w:szCs w:val="24"/>
        </w:rPr>
        <w:fldChar w:fldCharType="separate"/>
      </w:r>
      <w:r w:rsidR="00234033" w:rsidRPr="00234033">
        <w:rPr>
          <w:rFonts w:ascii="Times New Roman" w:hAnsi="Times New Roman" w:cs="Times New Roman"/>
          <w:sz w:val="24"/>
          <w:szCs w:val="24"/>
        </w:rPr>
        <w:t>(Andújar et al., 2010; Lotz et al., 1994)</w:t>
      </w:r>
      <w:r w:rsidR="006A0705">
        <w:rPr>
          <w:rFonts w:ascii="Times New Roman" w:hAnsi="Times New Roman" w:cs="Times New Roman"/>
          <w:sz w:val="24"/>
          <w:szCs w:val="24"/>
        </w:rPr>
        <w:fldChar w:fldCharType="end"/>
      </w:r>
      <w:r w:rsidR="00B20773" w:rsidRPr="00F07DEB">
        <w:rPr>
          <w:rFonts w:ascii="Times New Roman" w:hAnsi="Times New Roman" w:cs="Times New Roman"/>
          <w:sz w:val="24"/>
          <w:szCs w:val="24"/>
        </w:rPr>
        <w:t>.</w:t>
      </w:r>
      <w:r w:rsidR="00B20773">
        <w:rPr>
          <w:rFonts w:ascii="Times New Roman" w:hAnsi="Times New Roman" w:cs="Times New Roman"/>
          <w:sz w:val="24"/>
          <w:szCs w:val="24"/>
        </w:rPr>
        <w:t xml:space="preserve"> </w:t>
      </w:r>
      <w:r w:rsidR="00EC17E7" w:rsidRPr="00F07DEB">
        <w:rPr>
          <w:rFonts w:ascii="Times New Roman" w:hAnsi="Times New Roman" w:cs="Times New Roman"/>
          <w:sz w:val="24"/>
        </w:rPr>
        <w:t>All</w:t>
      </w:r>
      <w:r w:rsidR="00372289" w:rsidRPr="00F07DEB">
        <w:rPr>
          <w:rFonts w:ascii="Times New Roman" w:hAnsi="Times New Roman" w:cs="Times New Roman"/>
          <w:sz w:val="24"/>
        </w:rPr>
        <w:t xml:space="preserve"> crops were harvested and analyzed to determine above- and </w:t>
      </w:r>
      <w:r w:rsidR="00355EB3" w:rsidRPr="00F07DEB">
        <w:rPr>
          <w:rFonts w:ascii="Times New Roman" w:hAnsi="Times New Roman" w:cs="Times New Roman"/>
          <w:sz w:val="24"/>
        </w:rPr>
        <w:t>belowground</w:t>
      </w:r>
      <w:r w:rsidR="00372289" w:rsidRPr="00F07DEB">
        <w:rPr>
          <w:rFonts w:ascii="Times New Roman" w:hAnsi="Times New Roman" w:cs="Times New Roman"/>
          <w:sz w:val="24"/>
        </w:rPr>
        <w:t xml:space="preserve"> biomass quantity, quality, and </w:t>
      </w:r>
      <w:r w:rsidR="00CC1DC0" w:rsidRPr="00F07DEB">
        <w:rPr>
          <w:rFonts w:ascii="Times New Roman" w:hAnsi="Times New Roman" w:cs="Times New Roman"/>
          <w:sz w:val="24"/>
        </w:rPr>
        <w:t xml:space="preserve">total recoverable (bioavailable) </w:t>
      </w:r>
      <w:r w:rsidR="00372289" w:rsidRPr="00F07DEB">
        <w:rPr>
          <w:rFonts w:ascii="Times New Roman" w:hAnsi="Times New Roman" w:cs="Times New Roman"/>
          <w:sz w:val="24"/>
        </w:rPr>
        <w:t>metals concentrations.</w:t>
      </w:r>
      <w:r w:rsidR="00D913C8" w:rsidRPr="00F07DEB">
        <w:rPr>
          <w:rFonts w:ascii="Times New Roman" w:hAnsi="Times New Roman" w:cs="Times New Roman"/>
          <w:sz w:val="24"/>
        </w:rPr>
        <w:t xml:space="preserve"> </w:t>
      </w:r>
      <w:r w:rsidR="00EC17E7" w:rsidRPr="00F07DEB">
        <w:rPr>
          <w:rFonts w:ascii="Times New Roman" w:hAnsi="Times New Roman" w:cs="Times New Roman"/>
          <w:sz w:val="24"/>
        </w:rPr>
        <w:t>H</w:t>
      </w:r>
      <w:r w:rsidR="00372289" w:rsidRPr="00F07DEB">
        <w:rPr>
          <w:rFonts w:ascii="Times New Roman" w:hAnsi="Times New Roman" w:cs="Times New Roman"/>
          <w:sz w:val="24"/>
        </w:rPr>
        <w:t xml:space="preserve">arvested </w:t>
      </w:r>
      <w:r w:rsidR="00C30E68" w:rsidRPr="00F07DEB">
        <w:rPr>
          <w:rFonts w:ascii="Times New Roman" w:hAnsi="Times New Roman" w:cs="Times New Roman"/>
          <w:sz w:val="24"/>
        </w:rPr>
        <w:t xml:space="preserve">plants were separated into roots, shoots, leaves, and reproductive </w:t>
      </w:r>
      <w:r w:rsidR="005F4AC6" w:rsidRPr="00F07DEB">
        <w:rPr>
          <w:rFonts w:ascii="Times New Roman" w:hAnsi="Times New Roman" w:cs="Times New Roman"/>
          <w:sz w:val="24"/>
        </w:rPr>
        <w:t>structures</w:t>
      </w:r>
      <w:r w:rsidR="00C30E68" w:rsidRPr="00F07DEB">
        <w:rPr>
          <w:rFonts w:ascii="Times New Roman" w:hAnsi="Times New Roman" w:cs="Times New Roman"/>
          <w:sz w:val="24"/>
        </w:rPr>
        <w:t>.</w:t>
      </w:r>
      <w:r w:rsidR="00202BE2" w:rsidRPr="00F07DEB">
        <w:rPr>
          <w:rFonts w:ascii="Times New Roman" w:hAnsi="Times New Roman" w:cs="Times New Roman"/>
          <w:sz w:val="24"/>
        </w:rPr>
        <w:t xml:space="preserve"> </w:t>
      </w:r>
      <w:r w:rsidR="0090411C">
        <w:rPr>
          <w:rFonts w:ascii="Times New Roman" w:hAnsi="Times New Roman" w:cs="Times New Roman"/>
          <w:sz w:val="24"/>
        </w:rPr>
        <w:t xml:space="preserve">Roots were considered belowground biomass, whereas all other plant structures were classified as aboveground biomass. </w:t>
      </w:r>
      <w:r w:rsidR="00202BE2" w:rsidRPr="00F07DEB">
        <w:rPr>
          <w:rFonts w:ascii="Times New Roman" w:hAnsi="Times New Roman" w:cs="Times New Roman"/>
          <w:sz w:val="24"/>
        </w:rPr>
        <w:t xml:space="preserve">Aboveground biomass was dried to constant weight in forced-air ovens at 80 ℃, while belowground biomass was dried at 105 ℃. Plant biomass remained in the ovens for between 12 and 48 hours, depending on how long the samples were air dried prior to oven drying. </w:t>
      </w:r>
      <w:r w:rsidR="00836EDF" w:rsidRPr="00F07DEB">
        <w:rPr>
          <w:rFonts w:ascii="Times New Roman" w:hAnsi="Times New Roman" w:cs="Times New Roman"/>
          <w:sz w:val="24"/>
        </w:rPr>
        <w:t xml:space="preserve">Biomass samples were ground and homogenized using a Wiley Mill and Wiley Mini-Mill to a size passing a #40-mesh </w:t>
      </w:r>
      <w:r w:rsidR="00087AA4">
        <w:rPr>
          <w:rFonts w:ascii="Times New Roman" w:hAnsi="Times New Roman" w:cs="Times New Roman"/>
          <w:sz w:val="24"/>
        </w:rPr>
        <w:t>(0.420 mm)</w:t>
      </w:r>
      <w:r w:rsidR="00892E46">
        <w:rPr>
          <w:rFonts w:ascii="Times New Roman" w:hAnsi="Times New Roman" w:cs="Times New Roman"/>
          <w:sz w:val="24"/>
        </w:rPr>
        <w:t xml:space="preserve"> </w:t>
      </w:r>
      <w:r w:rsidR="00836EDF" w:rsidRPr="00F07DEB">
        <w:rPr>
          <w:rFonts w:ascii="Times New Roman" w:hAnsi="Times New Roman" w:cs="Times New Roman"/>
          <w:sz w:val="24"/>
        </w:rPr>
        <w:t xml:space="preserve">screen. </w:t>
      </w:r>
      <w:r w:rsidR="00892E46">
        <w:rPr>
          <w:rFonts w:ascii="Times New Roman" w:hAnsi="Times New Roman" w:cs="Times New Roman"/>
          <w:sz w:val="24"/>
        </w:rPr>
        <w:t>Approximately</w:t>
      </w:r>
      <w:r w:rsidR="00836EDF" w:rsidRPr="00F07DEB">
        <w:rPr>
          <w:rFonts w:ascii="Times New Roman" w:hAnsi="Times New Roman" w:cs="Times New Roman"/>
          <w:sz w:val="24"/>
        </w:rPr>
        <w:t xml:space="preserve"> 0.25 g biomass samples were digested </w:t>
      </w:r>
      <w:r w:rsidR="004B368D" w:rsidRPr="00F07DEB">
        <w:rPr>
          <w:rFonts w:ascii="Times New Roman" w:hAnsi="Times New Roman" w:cs="Times New Roman"/>
          <w:sz w:val="24"/>
        </w:rPr>
        <w:t>in 10 mL HNO</w:t>
      </w:r>
      <w:r w:rsidR="004B368D" w:rsidRPr="00F07DEB">
        <w:rPr>
          <w:rFonts w:ascii="Times New Roman" w:hAnsi="Times New Roman" w:cs="Times New Roman"/>
          <w:sz w:val="24"/>
          <w:vertAlign w:val="subscript"/>
        </w:rPr>
        <w:t>3</w:t>
      </w:r>
      <w:r w:rsidR="004B368D" w:rsidRPr="00F07DEB">
        <w:rPr>
          <w:rFonts w:ascii="Times New Roman" w:hAnsi="Times New Roman" w:cs="Times New Roman"/>
          <w:sz w:val="24"/>
        </w:rPr>
        <w:t xml:space="preserve"> </w:t>
      </w:r>
      <w:r w:rsidR="00892E46">
        <w:rPr>
          <w:rFonts w:ascii="Times New Roman" w:hAnsi="Times New Roman" w:cs="Times New Roman"/>
          <w:sz w:val="24"/>
        </w:rPr>
        <w:t>following</w:t>
      </w:r>
      <w:r w:rsidR="00892E46" w:rsidRPr="00F07DEB">
        <w:rPr>
          <w:rFonts w:ascii="Times New Roman" w:hAnsi="Times New Roman" w:cs="Times New Roman"/>
          <w:sz w:val="24"/>
        </w:rPr>
        <w:t xml:space="preserve"> </w:t>
      </w:r>
      <w:r w:rsidR="00836EDF" w:rsidRPr="00F07DEB">
        <w:rPr>
          <w:rFonts w:ascii="Times New Roman" w:hAnsi="Times New Roman" w:cs="Times New Roman"/>
          <w:sz w:val="24"/>
        </w:rPr>
        <w:t xml:space="preserve">EPA </w:t>
      </w:r>
      <w:r w:rsidR="00892E46">
        <w:rPr>
          <w:rFonts w:ascii="Times New Roman" w:hAnsi="Times New Roman" w:cs="Times New Roman"/>
          <w:sz w:val="24"/>
        </w:rPr>
        <w:t>Method</w:t>
      </w:r>
      <w:r w:rsidR="00836EDF" w:rsidRPr="00F07DEB">
        <w:rPr>
          <w:rFonts w:ascii="Times New Roman" w:hAnsi="Times New Roman" w:cs="Times New Roman"/>
          <w:sz w:val="24"/>
        </w:rPr>
        <w:t xml:space="preserve"> 3052, which describes microwave-assisted organic digestions, and then analyzed with ICP-OES to determine the magnitude of metal uptake in different portions of the plants</w:t>
      </w:r>
      <w:r w:rsidR="00892E46">
        <w:rPr>
          <w:rFonts w:ascii="Times New Roman" w:hAnsi="Times New Roman" w:cs="Times New Roman"/>
          <w:sz w:val="24"/>
        </w:rPr>
        <w:t xml:space="preserve"> via EPA Method 6010</w:t>
      </w:r>
      <w:r w:rsidR="00836EDF" w:rsidRPr="00F07DEB">
        <w:rPr>
          <w:rFonts w:ascii="Times New Roman" w:hAnsi="Times New Roman" w:cs="Times New Roman"/>
          <w:sz w:val="24"/>
        </w:rPr>
        <w:t>.</w:t>
      </w:r>
      <w:r w:rsidR="00EC17E7" w:rsidRPr="00F07DEB">
        <w:rPr>
          <w:rFonts w:ascii="Times New Roman" w:hAnsi="Times New Roman" w:cs="Times New Roman"/>
          <w:sz w:val="24"/>
        </w:rPr>
        <w:t xml:space="preserve"> </w:t>
      </w:r>
    </w:p>
    <w:p w14:paraId="7E228371" w14:textId="70F82BC7" w:rsidR="00355EB3" w:rsidRPr="00F07DEB" w:rsidRDefault="00EC17E7" w:rsidP="00641A81">
      <w:pPr>
        <w:pStyle w:val="NoSpacing"/>
        <w:spacing w:line="480" w:lineRule="auto"/>
        <w:ind w:firstLine="720"/>
        <w:rPr>
          <w:rFonts w:ascii="Times New Roman" w:hAnsi="Times New Roman" w:cs="Times New Roman"/>
          <w:sz w:val="24"/>
        </w:rPr>
      </w:pPr>
      <w:r w:rsidRPr="00F07DEB">
        <w:rPr>
          <w:rFonts w:ascii="Times New Roman" w:hAnsi="Times New Roman" w:cs="Times New Roman"/>
          <w:sz w:val="24"/>
        </w:rPr>
        <w:t>Two replicates from each species-treatment combination were randomly selected for paired sample substrate analysis before and after the study.</w:t>
      </w:r>
      <w:r w:rsidR="00836EDF" w:rsidRPr="00F07DEB">
        <w:rPr>
          <w:rFonts w:ascii="Times New Roman" w:hAnsi="Times New Roman" w:cs="Times New Roman"/>
          <w:sz w:val="24"/>
        </w:rPr>
        <w:t xml:space="preserve"> </w:t>
      </w:r>
      <w:r w:rsidRPr="00F07DEB">
        <w:rPr>
          <w:rFonts w:ascii="Times New Roman" w:hAnsi="Times New Roman" w:cs="Times New Roman"/>
          <w:sz w:val="24"/>
        </w:rPr>
        <w:t>Potting mix</w:t>
      </w:r>
      <w:r w:rsidR="00202BE2" w:rsidRPr="00F07DEB">
        <w:rPr>
          <w:rFonts w:ascii="Times New Roman" w:hAnsi="Times New Roman" w:cs="Times New Roman"/>
          <w:sz w:val="24"/>
        </w:rPr>
        <w:t xml:space="preserve"> samples </w:t>
      </w:r>
      <w:r w:rsidRPr="00F07DEB">
        <w:rPr>
          <w:rFonts w:ascii="Times New Roman" w:hAnsi="Times New Roman" w:cs="Times New Roman"/>
          <w:sz w:val="24"/>
        </w:rPr>
        <w:t xml:space="preserve">from the upper and lower horizons of the subsampled pots </w:t>
      </w:r>
      <w:r w:rsidR="00202BE2" w:rsidRPr="00F07DEB">
        <w:rPr>
          <w:rFonts w:ascii="Times New Roman" w:hAnsi="Times New Roman" w:cs="Times New Roman"/>
          <w:sz w:val="24"/>
        </w:rPr>
        <w:t>were oven dried at 60 ℃ for 24</w:t>
      </w:r>
      <w:r w:rsidR="004C179A" w:rsidRPr="00F07DEB">
        <w:rPr>
          <w:rFonts w:ascii="Times New Roman" w:hAnsi="Times New Roman" w:cs="Times New Roman"/>
          <w:sz w:val="24"/>
        </w:rPr>
        <w:t xml:space="preserve"> hours</w:t>
      </w:r>
      <w:r w:rsidR="006E45E9" w:rsidRPr="00F07DEB">
        <w:rPr>
          <w:rFonts w:ascii="Times New Roman" w:hAnsi="Times New Roman" w:cs="Times New Roman"/>
          <w:sz w:val="24"/>
        </w:rPr>
        <w:t>, then</w:t>
      </w:r>
      <w:r w:rsidR="004C179A" w:rsidRPr="00F07DEB">
        <w:rPr>
          <w:rFonts w:ascii="Times New Roman" w:hAnsi="Times New Roman" w:cs="Times New Roman"/>
          <w:sz w:val="24"/>
        </w:rPr>
        <w:t xml:space="preserve"> ground </w:t>
      </w:r>
      <w:r w:rsidR="004C179A" w:rsidRPr="00F07DEB">
        <w:rPr>
          <w:rFonts w:ascii="Times New Roman" w:hAnsi="Times New Roman" w:cs="Times New Roman"/>
          <w:sz w:val="24"/>
        </w:rPr>
        <w:lastRenderedPageBreak/>
        <w:t xml:space="preserve">and homogenized using a Wiley Mill to a size passing a #10-mesh </w:t>
      </w:r>
      <w:r w:rsidR="00892E46">
        <w:rPr>
          <w:rFonts w:ascii="Times New Roman" w:hAnsi="Times New Roman" w:cs="Times New Roman"/>
          <w:sz w:val="24"/>
        </w:rPr>
        <w:t>(</w:t>
      </w:r>
      <w:r w:rsidR="00087AA4">
        <w:rPr>
          <w:rFonts w:ascii="Times New Roman" w:hAnsi="Times New Roman" w:cs="Times New Roman"/>
          <w:sz w:val="24"/>
        </w:rPr>
        <w:t>2 mm</w:t>
      </w:r>
      <w:r w:rsidR="00892E46">
        <w:rPr>
          <w:rFonts w:ascii="Times New Roman" w:hAnsi="Times New Roman" w:cs="Times New Roman"/>
          <w:sz w:val="24"/>
        </w:rPr>
        <w:t xml:space="preserve">) </w:t>
      </w:r>
      <w:r w:rsidR="004C179A" w:rsidRPr="00F07DEB">
        <w:rPr>
          <w:rFonts w:ascii="Times New Roman" w:hAnsi="Times New Roman" w:cs="Times New Roman"/>
          <w:sz w:val="24"/>
        </w:rPr>
        <w:t>screen.</w:t>
      </w:r>
      <w:r w:rsidR="00372289" w:rsidRPr="00F07DEB">
        <w:rPr>
          <w:rFonts w:ascii="Times New Roman" w:hAnsi="Times New Roman" w:cs="Times New Roman"/>
          <w:sz w:val="24"/>
        </w:rPr>
        <w:t xml:space="preserve"> </w:t>
      </w:r>
      <w:r w:rsidRPr="00F07DEB">
        <w:rPr>
          <w:rFonts w:ascii="Times New Roman" w:hAnsi="Times New Roman" w:cs="Times New Roman"/>
          <w:sz w:val="24"/>
        </w:rPr>
        <w:t>T</w:t>
      </w:r>
      <w:r w:rsidR="00372289" w:rsidRPr="00F07DEB">
        <w:rPr>
          <w:rFonts w:ascii="Times New Roman" w:hAnsi="Times New Roman" w:cs="Times New Roman"/>
          <w:sz w:val="24"/>
        </w:rPr>
        <w:t xml:space="preserve">race metal concentrations were measured </w:t>
      </w:r>
      <w:r w:rsidR="00892E46">
        <w:rPr>
          <w:rFonts w:ascii="Times New Roman" w:hAnsi="Times New Roman" w:cs="Times New Roman"/>
          <w:sz w:val="24"/>
        </w:rPr>
        <w:t>following</w:t>
      </w:r>
      <w:r w:rsidR="00892E46" w:rsidRPr="00F07DEB">
        <w:rPr>
          <w:rFonts w:ascii="Times New Roman" w:hAnsi="Times New Roman" w:cs="Times New Roman"/>
          <w:sz w:val="24"/>
        </w:rPr>
        <w:t xml:space="preserve"> </w:t>
      </w:r>
      <w:r w:rsidRPr="00F07DEB">
        <w:rPr>
          <w:rFonts w:ascii="Times New Roman" w:hAnsi="Times New Roman" w:cs="Times New Roman"/>
          <w:sz w:val="24"/>
        </w:rPr>
        <w:t xml:space="preserve">EPA </w:t>
      </w:r>
      <w:r w:rsidR="00892E46">
        <w:rPr>
          <w:rFonts w:ascii="Times New Roman" w:hAnsi="Times New Roman" w:cs="Times New Roman"/>
          <w:sz w:val="24"/>
        </w:rPr>
        <w:t>Method</w:t>
      </w:r>
      <w:r w:rsidRPr="00F07DEB">
        <w:rPr>
          <w:rFonts w:ascii="Times New Roman" w:hAnsi="Times New Roman" w:cs="Times New Roman"/>
          <w:sz w:val="24"/>
        </w:rPr>
        <w:t xml:space="preserve"> 3051A</w:t>
      </w:r>
      <w:r w:rsidR="00372289" w:rsidRPr="00F07DEB">
        <w:rPr>
          <w:rFonts w:ascii="Times New Roman" w:hAnsi="Times New Roman" w:cs="Times New Roman"/>
          <w:sz w:val="24"/>
        </w:rPr>
        <w:t xml:space="preserve"> microwave-assisted solid digestions of 0.</w:t>
      </w:r>
      <w:r w:rsidR="00892E46" w:rsidRPr="00F07DEB">
        <w:rPr>
          <w:rFonts w:ascii="Times New Roman" w:hAnsi="Times New Roman" w:cs="Times New Roman"/>
          <w:sz w:val="24"/>
        </w:rPr>
        <w:t>5</w:t>
      </w:r>
      <w:r w:rsidR="00892E46">
        <w:rPr>
          <w:rFonts w:ascii="Times New Roman" w:hAnsi="Times New Roman" w:cs="Times New Roman"/>
          <w:sz w:val="24"/>
        </w:rPr>
        <w:t>-</w:t>
      </w:r>
      <w:r w:rsidR="00372289" w:rsidRPr="00F07DEB">
        <w:rPr>
          <w:rFonts w:ascii="Times New Roman" w:hAnsi="Times New Roman" w:cs="Times New Roman"/>
          <w:sz w:val="24"/>
        </w:rPr>
        <w:t xml:space="preserve">g samples </w:t>
      </w:r>
      <w:r w:rsidR="004B368D" w:rsidRPr="00F07DEB">
        <w:rPr>
          <w:rFonts w:ascii="Times New Roman" w:hAnsi="Times New Roman" w:cs="Times New Roman"/>
          <w:sz w:val="24"/>
        </w:rPr>
        <w:t>in 10 ml HNO</w:t>
      </w:r>
      <w:r w:rsidR="004B368D" w:rsidRPr="00F07DEB">
        <w:rPr>
          <w:rFonts w:ascii="Times New Roman" w:hAnsi="Times New Roman" w:cs="Times New Roman"/>
          <w:sz w:val="24"/>
          <w:vertAlign w:val="subscript"/>
        </w:rPr>
        <w:t>3</w:t>
      </w:r>
      <w:r w:rsidR="004B368D" w:rsidRPr="00F07DEB">
        <w:rPr>
          <w:rFonts w:ascii="Times New Roman" w:hAnsi="Times New Roman" w:cs="Times New Roman"/>
          <w:sz w:val="24"/>
        </w:rPr>
        <w:t xml:space="preserve"> </w:t>
      </w:r>
      <w:r w:rsidR="00372289" w:rsidRPr="00F07DEB">
        <w:rPr>
          <w:rFonts w:ascii="Times New Roman" w:hAnsi="Times New Roman" w:cs="Times New Roman"/>
          <w:sz w:val="24"/>
        </w:rPr>
        <w:t>and ICP-OES analysis</w:t>
      </w:r>
      <w:r w:rsidR="00892E46">
        <w:rPr>
          <w:rFonts w:ascii="Times New Roman" w:hAnsi="Times New Roman" w:cs="Times New Roman"/>
          <w:sz w:val="24"/>
        </w:rPr>
        <w:t xml:space="preserve"> (EPA Method 6010)</w:t>
      </w:r>
      <w:r w:rsidR="00372289" w:rsidRPr="00F07DEB">
        <w:rPr>
          <w:rFonts w:ascii="Times New Roman" w:hAnsi="Times New Roman" w:cs="Times New Roman"/>
          <w:sz w:val="24"/>
        </w:rPr>
        <w:t xml:space="preserve">. </w:t>
      </w:r>
      <w:r w:rsidR="00D70781" w:rsidRPr="00F07DEB">
        <w:rPr>
          <w:rFonts w:ascii="Times New Roman" w:hAnsi="Times New Roman" w:cs="Times New Roman"/>
          <w:sz w:val="24"/>
        </w:rPr>
        <w:t>Soil pH was measured in the potting mix samples before and after the study</w:t>
      </w:r>
      <w:r w:rsidR="00892E46">
        <w:rPr>
          <w:rFonts w:ascii="Times New Roman" w:hAnsi="Times New Roman" w:cs="Times New Roman"/>
          <w:sz w:val="24"/>
        </w:rPr>
        <w:t xml:space="preserve">; </w:t>
      </w:r>
      <w:r w:rsidR="00D70781" w:rsidRPr="00F07DEB">
        <w:rPr>
          <w:rFonts w:ascii="Times New Roman" w:hAnsi="Times New Roman" w:cs="Times New Roman"/>
          <w:sz w:val="24"/>
        </w:rPr>
        <w:t xml:space="preserve">5 g composites of substrate from the top and bottom horizons were stirred with 25 mL of distilled water for five minutes and allowed to sit for an hour. </w:t>
      </w:r>
      <w:proofErr w:type="gramStart"/>
      <w:r w:rsidR="00D70781" w:rsidRPr="00F07DEB">
        <w:rPr>
          <w:rFonts w:ascii="Times New Roman" w:hAnsi="Times New Roman" w:cs="Times New Roman"/>
          <w:sz w:val="24"/>
        </w:rPr>
        <w:t>pH</w:t>
      </w:r>
      <w:proofErr w:type="gramEnd"/>
      <w:r w:rsidR="00D70781" w:rsidRPr="00F07DEB">
        <w:rPr>
          <w:rFonts w:ascii="Times New Roman" w:hAnsi="Times New Roman" w:cs="Times New Roman"/>
          <w:sz w:val="24"/>
        </w:rPr>
        <w:t xml:space="preserve"> of the resulting supernatant was measured with a Fisher </w:t>
      </w:r>
      <w:proofErr w:type="spellStart"/>
      <w:r w:rsidR="00087AA4">
        <w:rPr>
          <w:rFonts w:ascii="Times New Roman" w:hAnsi="Times New Roman" w:cs="Times New Roman"/>
          <w:sz w:val="24"/>
        </w:rPr>
        <w:t>A</w:t>
      </w:r>
      <w:r w:rsidR="00D70781" w:rsidRPr="00F07DEB">
        <w:rPr>
          <w:rFonts w:ascii="Times New Roman" w:hAnsi="Times New Roman" w:cs="Times New Roman"/>
          <w:sz w:val="24"/>
        </w:rPr>
        <w:t>ccument</w:t>
      </w:r>
      <w:proofErr w:type="spellEnd"/>
      <w:r w:rsidR="00D70781" w:rsidRPr="00F07DEB">
        <w:rPr>
          <w:rFonts w:ascii="Times New Roman" w:hAnsi="Times New Roman" w:cs="Times New Roman"/>
          <w:sz w:val="24"/>
        </w:rPr>
        <w:t xml:space="preserve"> pH probe</w:t>
      </w:r>
      <w:r w:rsidR="00892E46">
        <w:rPr>
          <w:rFonts w:ascii="Times New Roman" w:hAnsi="Times New Roman" w:cs="Times New Roman"/>
          <w:sz w:val="24"/>
        </w:rPr>
        <w:t xml:space="preserve"> (</w:t>
      </w:r>
      <w:r w:rsidR="00087AA4">
        <w:rPr>
          <w:rFonts w:ascii="Times New Roman" w:hAnsi="Times New Roman" w:cs="Times New Roman"/>
          <w:sz w:val="24"/>
        </w:rPr>
        <w:t>EPA 9045D</w:t>
      </w:r>
      <w:r w:rsidR="00892E46">
        <w:rPr>
          <w:rFonts w:ascii="Times New Roman" w:hAnsi="Times New Roman" w:cs="Times New Roman"/>
          <w:sz w:val="24"/>
        </w:rPr>
        <w:t>)</w:t>
      </w:r>
      <w:r w:rsidR="00D70781" w:rsidRPr="00F07DEB">
        <w:rPr>
          <w:rFonts w:ascii="Times New Roman" w:hAnsi="Times New Roman" w:cs="Times New Roman"/>
          <w:sz w:val="24"/>
        </w:rPr>
        <w:t xml:space="preserve">. </w:t>
      </w:r>
      <w:r w:rsidR="00BF4DBD" w:rsidRPr="00F07DEB">
        <w:rPr>
          <w:rFonts w:ascii="Times New Roman" w:hAnsi="Times New Roman" w:cs="Times New Roman"/>
          <w:sz w:val="24"/>
        </w:rPr>
        <w:t xml:space="preserve">The data that </w:t>
      </w:r>
      <w:r w:rsidR="005F3190" w:rsidRPr="00F07DEB">
        <w:rPr>
          <w:rFonts w:ascii="Times New Roman" w:hAnsi="Times New Roman" w:cs="Times New Roman"/>
          <w:sz w:val="24"/>
        </w:rPr>
        <w:t>were</w:t>
      </w:r>
      <w:r w:rsidR="00BF4DBD" w:rsidRPr="00F07DEB">
        <w:rPr>
          <w:rFonts w:ascii="Times New Roman" w:hAnsi="Times New Roman" w:cs="Times New Roman"/>
          <w:sz w:val="24"/>
        </w:rPr>
        <w:t xml:space="preserve"> collected over the course of the</w:t>
      </w:r>
      <w:r w:rsidR="005F4AC6" w:rsidRPr="00F07DEB">
        <w:rPr>
          <w:rFonts w:ascii="Times New Roman" w:hAnsi="Times New Roman" w:cs="Times New Roman"/>
          <w:sz w:val="24"/>
        </w:rPr>
        <w:t xml:space="preserve"> experiment are listed </w:t>
      </w:r>
      <w:r w:rsidR="005F4AC6" w:rsidRPr="00F07DEB">
        <w:rPr>
          <w:rFonts w:ascii="Times New Roman" w:hAnsi="Times New Roman" w:cs="Times New Roman"/>
          <w:sz w:val="24"/>
          <w:szCs w:val="24"/>
        </w:rPr>
        <w:t xml:space="preserve">in </w:t>
      </w:r>
      <w:r w:rsidR="005F4AC6" w:rsidRPr="00F07DEB">
        <w:rPr>
          <w:rFonts w:ascii="Times New Roman" w:hAnsi="Times New Roman" w:cs="Times New Roman"/>
          <w:sz w:val="24"/>
          <w:szCs w:val="24"/>
        </w:rPr>
        <w:fldChar w:fldCharType="begin"/>
      </w:r>
      <w:r w:rsidR="005F4AC6" w:rsidRPr="00F07DEB">
        <w:rPr>
          <w:rFonts w:ascii="Times New Roman" w:hAnsi="Times New Roman" w:cs="Times New Roman"/>
          <w:sz w:val="24"/>
          <w:szCs w:val="24"/>
        </w:rPr>
        <w:instrText xml:space="preserve"> REF _Ref56270688 \h  \* MERGEFORMAT </w:instrText>
      </w:r>
      <w:r w:rsidR="005F4AC6" w:rsidRPr="00F07DEB">
        <w:rPr>
          <w:rFonts w:ascii="Times New Roman" w:hAnsi="Times New Roman" w:cs="Times New Roman"/>
          <w:sz w:val="24"/>
          <w:szCs w:val="24"/>
        </w:rPr>
      </w:r>
      <w:r w:rsidR="005F4AC6"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Table </w:t>
      </w:r>
      <w:r w:rsidR="00E179CA" w:rsidRPr="00E179CA">
        <w:rPr>
          <w:rFonts w:ascii="Times New Roman" w:hAnsi="Times New Roman" w:cs="Times New Roman"/>
          <w:noProof/>
          <w:sz w:val="24"/>
          <w:szCs w:val="24"/>
        </w:rPr>
        <w:t>8</w:t>
      </w:r>
      <w:r w:rsidR="005F4AC6" w:rsidRPr="00F07DEB">
        <w:rPr>
          <w:rFonts w:ascii="Times New Roman" w:hAnsi="Times New Roman" w:cs="Times New Roman"/>
          <w:sz w:val="24"/>
          <w:szCs w:val="24"/>
        </w:rPr>
        <w:fldChar w:fldCharType="end"/>
      </w:r>
      <w:r w:rsidR="00BF4DBD" w:rsidRPr="00F07DEB">
        <w:rPr>
          <w:rFonts w:ascii="Times New Roman" w:hAnsi="Times New Roman" w:cs="Times New Roman"/>
          <w:sz w:val="24"/>
        </w:rPr>
        <w:t>.</w:t>
      </w:r>
      <w:r w:rsidR="00355EB3" w:rsidRPr="00F07DEB">
        <w:rPr>
          <w:rFonts w:ascii="Times New Roman" w:hAnsi="Times New Roman" w:cs="Times New Roman"/>
          <w:sz w:val="24"/>
        </w:rPr>
        <w:t xml:space="preserve"> SPSS and Microsoft Excel were used to perform data analysis, and some data vi</w:t>
      </w:r>
      <w:r w:rsidR="00641A81">
        <w:rPr>
          <w:rFonts w:ascii="Times New Roman" w:hAnsi="Times New Roman" w:cs="Times New Roman"/>
          <w:sz w:val="24"/>
        </w:rPr>
        <w:t>sualization was conducted in R.</w:t>
      </w:r>
    </w:p>
    <w:p w14:paraId="08DE4ED7" w14:textId="36A0B290" w:rsidR="00716984" w:rsidRPr="00F07DEB" w:rsidRDefault="00BF4DBD" w:rsidP="00204C13">
      <w:pPr>
        <w:pStyle w:val="Caption"/>
      </w:pPr>
      <w:bookmarkStart w:id="34" w:name="_Ref56270688"/>
      <w:bookmarkStart w:id="35" w:name="_Toc58975194"/>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8</w:t>
      </w:r>
      <w:r w:rsidR="00DE3B90" w:rsidRPr="00F07DEB">
        <w:rPr>
          <w:noProof/>
        </w:rPr>
        <w:fldChar w:fldCharType="end"/>
      </w:r>
      <w:bookmarkEnd w:id="34"/>
      <w:r w:rsidRPr="00F07DEB">
        <w:t>: Data Collection Matrix</w:t>
      </w:r>
      <w:bookmarkEnd w:id="35"/>
    </w:p>
    <w:tbl>
      <w:tblPr>
        <w:tblW w:w="5000" w:type="pct"/>
        <w:tblLook w:val="04A0" w:firstRow="1" w:lastRow="0" w:firstColumn="1" w:lastColumn="0" w:noHBand="0" w:noVBand="1"/>
      </w:tblPr>
      <w:tblGrid>
        <w:gridCol w:w="1612"/>
        <w:gridCol w:w="3023"/>
        <w:gridCol w:w="1215"/>
        <w:gridCol w:w="3510"/>
      </w:tblGrid>
      <w:tr w:rsidR="00716984" w:rsidRPr="00F07DEB" w14:paraId="2F7DA6A1" w14:textId="77777777" w:rsidTr="00641A81">
        <w:trPr>
          <w:divId w:val="1938825023"/>
          <w:trHeight w:val="216"/>
        </w:trPr>
        <w:tc>
          <w:tcPr>
            <w:tcW w:w="861" w:type="pct"/>
            <w:tcBorders>
              <w:top w:val="single" w:sz="8" w:space="0" w:color="auto"/>
              <w:bottom w:val="single" w:sz="8" w:space="0" w:color="auto"/>
            </w:tcBorders>
            <w:noWrap/>
            <w:hideMark/>
          </w:tcPr>
          <w:p w14:paraId="47CD0AC1" w14:textId="77777777" w:rsidR="00716984" w:rsidRPr="00F07DEB" w:rsidRDefault="00716984" w:rsidP="00F07DEB">
            <w:pPr>
              <w:spacing w:after="0"/>
              <w:rPr>
                <w:rFonts w:ascii="Times New Roman" w:eastAsia="Times New Roman" w:hAnsi="Times New Roman" w:cs="Times New Roman"/>
                <w:sz w:val="24"/>
                <w:szCs w:val="24"/>
                <w:lang w:eastAsia="en-US"/>
              </w:rPr>
            </w:pPr>
          </w:p>
        </w:tc>
        <w:tc>
          <w:tcPr>
            <w:tcW w:w="1615" w:type="pct"/>
            <w:tcBorders>
              <w:top w:val="single" w:sz="8" w:space="0" w:color="auto"/>
              <w:bottom w:val="single" w:sz="8" w:space="0" w:color="auto"/>
            </w:tcBorders>
            <w:vAlign w:val="center"/>
            <w:hideMark/>
          </w:tcPr>
          <w:p w14:paraId="20226F13" w14:textId="77777777" w:rsidR="00716984" w:rsidRPr="00F07DEB" w:rsidRDefault="00716984" w:rsidP="00F07DEB">
            <w:pPr>
              <w:spacing w:after="0"/>
              <w:rPr>
                <w:rFonts w:ascii="Times New Roman" w:eastAsia="Times New Roman" w:hAnsi="Times New Roman" w:cs="Times New Roman"/>
                <w:bCs/>
                <w:sz w:val="20"/>
                <w:szCs w:val="20"/>
                <w:lang w:eastAsia="en-US"/>
              </w:rPr>
            </w:pPr>
            <w:r w:rsidRPr="00F07DEB">
              <w:rPr>
                <w:rFonts w:ascii="Times New Roman" w:eastAsia="Times New Roman" w:hAnsi="Times New Roman" w:cs="Times New Roman"/>
                <w:bCs/>
                <w:sz w:val="20"/>
                <w:szCs w:val="20"/>
                <w:lang w:eastAsia="en-US"/>
              </w:rPr>
              <w:t>Parameter</w:t>
            </w:r>
          </w:p>
        </w:tc>
        <w:tc>
          <w:tcPr>
            <w:tcW w:w="649" w:type="pct"/>
            <w:tcBorders>
              <w:top w:val="single" w:sz="8" w:space="0" w:color="auto"/>
              <w:bottom w:val="single" w:sz="8" w:space="0" w:color="auto"/>
            </w:tcBorders>
            <w:vAlign w:val="center"/>
            <w:hideMark/>
          </w:tcPr>
          <w:p w14:paraId="640BE106" w14:textId="77777777" w:rsidR="00716984" w:rsidRPr="00F07DEB" w:rsidRDefault="00716984" w:rsidP="00F07DEB">
            <w:pPr>
              <w:spacing w:after="0"/>
              <w:rPr>
                <w:rFonts w:ascii="Times New Roman" w:eastAsia="Times New Roman" w:hAnsi="Times New Roman" w:cs="Times New Roman"/>
                <w:bCs/>
                <w:sz w:val="20"/>
                <w:szCs w:val="20"/>
                <w:lang w:eastAsia="en-US"/>
              </w:rPr>
            </w:pPr>
            <w:r w:rsidRPr="00F07DEB">
              <w:rPr>
                <w:rFonts w:ascii="Times New Roman" w:eastAsia="Times New Roman" w:hAnsi="Times New Roman" w:cs="Times New Roman"/>
                <w:bCs/>
                <w:sz w:val="20"/>
                <w:szCs w:val="20"/>
                <w:lang w:eastAsia="en-US"/>
              </w:rPr>
              <w:t>Unit</w:t>
            </w:r>
          </w:p>
        </w:tc>
        <w:tc>
          <w:tcPr>
            <w:tcW w:w="1875" w:type="pct"/>
            <w:tcBorders>
              <w:top w:val="single" w:sz="8" w:space="0" w:color="auto"/>
              <w:bottom w:val="single" w:sz="8" w:space="0" w:color="auto"/>
            </w:tcBorders>
            <w:vAlign w:val="center"/>
            <w:hideMark/>
          </w:tcPr>
          <w:p w14:paraId="36C49B11" w14:textId="388ED059" w:rsidR="00716984" w:rsidRPr="00F07DEB" w:rsidRDefault="00716984" w:rsidP="00F07DEB">
            <w:pPr>
              <w:spacing w:after="0"/>
              <w:rPr>
                <w:rFonts w:ascii="Times New Roman" w:eastAsia="Times New Roman" w:hAnsi="Times New Roman" w:cs="Times New Roman"/>
                <w:bCs/>
                <w:sz w:val="20"/>
                <w:szCs w:val="20"/>
                <w:lang w:eastAsia="en-US"/>
              </w:rPr>
            </w:pPr>
            <w:r w:rsidRPr="00F07DEB">
              <w:rPr>
                <w:rFonts w:ascii="Times New Roman" w:eastAsia="Times New Roman" w:hAnsi="Times New Roman" w:cs="Times New Roman"/>
                <w:bCs/>
                <w:sz w:val="20"/>
                <w:szCs w:val="20"/>
                <w:lang w:eastAsia="en-US"/>
              </w:rPr>
              <w:t>Method</w:t>
            </w:r>
            <w:r w:rsidR="00D76F3F">
              <w:rPr>
                <w:rFonts w:ascii="Times New Roman" w:eastAsia="Times New Roman" w:hAnsi="Times New Roman" w:cs="Times New Roman"/>
                <w:bCs/>
                <w:sz w:val="20"/>
                <w:szCs w:val="20"/>
                <w:lang w:eastAsia="en-US"/>
              </w:rPr>
              <w:t xml:space="preserve"> or Instrument</w:t>
            </w:r>
          </w:p>
        </w:tc>
      </w:tr>
      <w:tr w:rsidR="00716984" w:rsidRPr="00F07DEB" w14:paraId="6923C3F7" w14:textId="77777777" w:rsidTr="00641A81">
        <w:trPr>
          <w:divId w:val="1938825023"/>
          <w:trHeight w:val="288"/>
        </w:trPr>
        <w:tc>
          <w:tcPr>
            <w:tcW w:w="861" w:type="pct"/>
            <w:vMerge w:val="restart"/>
            <w:tcBorders>
              <w:top w:val="single" w:sz="8" w:space="0" w:color="auto"/>
            </w:tcBorders>
            <w:noWrap/>
            <w:hideMark/>
          </w:tcPr>
          <w:p w14:paraId="026E44F6"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Water Quality</w:t>
            </w:r>
          </w:p>
        </w:tc>
        <w:tc>
          <w:tcPr>
            <w:tcW w:w="1615" w:type="pct"/>
            <w:tcBorders>
              <w:top w:val="single" w:sz="8" w:space="0" w:color="auto"/>
            </w:tcBorders>
            <w:vAlign w:val="center"/>
            <w:hideMark/>
          </w:tcPr>
          <w:p w14:paraId="5B583601" w14:textId="66633778" w:rsidR="00716984" w:rsidRPr="00F07DEB" w:rsidRDefault="00716984" w:rsidP="00D76F3F">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Trace Metals </w:t>
            </w:r>
            <w:r w:rsidR="00D76F3F" w:rsidRPr="00887B87">
              <w:rPr>
                <w:rFonts w:ascii="Times New Roman" w:eastAsia="Times New Roman" w:hAnsi="Times New Roman" w:cs="Times New Roman"/>
                <w:color w:val="000000"/>
                <w:sz w:val="20"/>
                <w:szCs w:val="20"/>
                <w:lang w:eastAsia="en-US"/>
              </w:rPr>
              <w:t xml:space="preserve">(e.g., Ca, Cd, </w:t>
            </w:r>
            <w:r w:rsidR="00D76F3F">
              <w:rPr>
                <w:rFonts w:ascii="Times New Roman" w:eastAsia="Times New Roman" w:hAnsi="Times New Roman" w:cs="Times New Roman"/>
                <w:color w:val="000000"/>
                <w:sz w:val="20"/>
                <w:szCs w:val="20"/>
                <w:lang w:eastAsia="en-US"/>
              </w:rPr>
              <w:t>Fe, K,</w:t>
            </w:r>
            <w:r w:rsidR="00D76F3F" w:rsidRPr="00887B87">
              <w:rPr>
                <w:rFonts w:ascii="Times New Roman" w:eastAsia="Times New Roman" w:hAnsi="Times New Roman" w:cs="Times New Roman"/>
                <w:color w:val="000000"/>
                <w:sz w:val="20"/>
                <w:szCs w:val="20"/>
                <w:lang w:eastAsia="en-US"/>
              </w:rPr>
              <w:t xml:space="preserve"> Mg, </w:t>
            </w:r>
            <w:proofErr w:type="spellStart"/>
            <w:r w:rsidR="00D76F3F" w:rsidRPr="00887B87">
              <w:rPr>
                <w:rFonts w:ascii="Times New Roman" w:eastAsia="Times New Roman" w:hAnsi="Times New Roman" w:cs="Times New Roman"/>
                <w:color w:val="000000"/>
                <w:sz w:val="20"/>
                <w:szCs w:val="20"/>
                <w:lang w:eastAsia="en-US"/>
              </w:rPr>
              <w:t>Mn</w:t>
            </w:r>
            <w:proofErr w:type="spellEnd"/>
            <w:r w:rsidR="00D76F3F" w:rsidRPr="00887B87">
              <w:rPr>
                <w:rFonts w:ascii="Times New Roman" w:eastAsia="Times New Roman" w:hAnsi="Times New Roman" w:cs="Times New Roman"/>
                <w:color w:val="000000"/>
                <w:sz w:val="20"/>
                <w:szCs w:val="20"/>
                <w:lang w:eastAsia="en-US"/>
              </w:rPr>
              <w:t xml:space="preserve">, Na, Ni, </w:t>
            </w:r>
            <w:proofErr w:type="spellStart"/>
            <w:r w:rsidR="00D76F3F" w:rsidRPr="00887B87">
              <w:rPr>
                <w:rFonts w:ascii="Times New Roman" w:eastAsia="Times New Roman" w:hAnsi="Times New Roman" w:cs="Times New Roman"/>
                <w:color w:val="000000"/>
                <w:sz w:val="20"/>
                <w:szCs w:val="20"/>
                <w:lang w:eastAsia="en-US"/>
              </w:rPr>
              <w:t>Pb</w:t>
            </w:r>
            <w:proofErr w:type="spellEnd"/>
            <w:r w:rsidR="00D76F3F" w:rsidRPr="00887B87">
              <w:rPr>
                <w:rFonts w:ascii="Times New Roman" w:eastAsia="Times New Roman" w:hAnsi="Times New Roman" w:cs="Times New Roman"/>
                <w:color w:val="000000"/>
                <w:sz w:val="20"/>
                <w:szCs w:val="20"/>
                <w:lang w:eastAsia="en-US"/>
              </w:rPr>
              <w:t xml:space="preserve">, </w:t>
            </w:r>
            <w:r w:rsidR="00D76F3F">
              <w:rPr>
                <w:rFonts w:ascii="Times New Roman" w:eastAsia="Times New Roman" w:hAnsi="Times New Roman" w:cs="Times New Roman"/>
                <w:color w:val="000000"/>
                <w:sz w:val="20"/>
                <w:szCs w:val="20"/>
                <w:lang w:eastAsia="en-US"/>
              </w:rPr>
              <w:t xml:space="preserve">S, </w:t>
            </w:r>
            <w:r w:rsidR="00D76F3F" w:rsidRPr="00887B87">
              <w:rPr>
                <w:rFonts w:ascii="Times New Roman" w:eastAsia="Times New Roman" w:hAnsi="Times New Roman" w:cs="Times New Roman"/>
                <w:color w:val="000000"/>
                <w:sz w:val="20"/>
                <w:szCs w:val="20"/>
                <w:lang w:eastAsia="en-US"/>
              </w:rPr>
              <w:t>Zn)</w:t>
            </w:r>
          </w:p>
        </w:tc>
        <w:tc>
          <w:tcPr>
            <w:tcW w:w="649" w:type="pct"/>
            <w:tcBorders>
              <w:top w:val="single" w:sz="8" w:space="0" w:color="auto"/>
            </w:tcBorders>
            <w:vAlign w:val="center"/>
            <w:hideMark/>
          </w:tcPr>
          <w:p w14:paraId="621CBDBF"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mg/L</w:t>
            </w:r>
          </w:p>
        </w:tc>
        <w:tc>
          <w:tcPr>
            <w:tcW w:w="1875" w:type="pct"/>
            <w:tcBorders>
              <w:top w:val="single" w:sz="8" w:space="0" w:color="auto"/>
            </w:tcBorders>
            <w:noWrap/>
            <w:vAlign w:val="center"/>
            <w:hideMark/>
          </w:tcPr>
          <w:p w14:paraId="03A84320"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EPA 3015A (2007); EPA 6010D (2018)</w:t>
            </w:r>
          </w:p>
        </w:tc>
      </w:tr>
      <w:tr w:rsidR="00716984" w:rsidRPr="00F07DEB" w14:paraId="33C503CB" w14:textId="77777777" w:rsidTr="00641A81">
        <w:trPr>
          <w:divId w:val="1938825023"/>
          <w:trHeight w:val="288"/>
        </w:trPr>
        <w:tc>
          <w:tcPr>
            <w:tcW w:w="861" w:type="pct"/>
            <w:vMerge/>
            <w:hideMark/>
          </w:tcPr>
          <w:p w14:paraId="1C21D46B"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58DEBFBF"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Nitrate-Nitrogen</w:t>
            </w:r>
          </w:p>
        </w:tc>
        <w:tc>
          <w:tcPr>
            <w:tcW w:w="649" w:type="pct"/>
            <w:vAlign w:val="center"/>
            <w:hideMark/>
          </w:tcPr>
          <w:p w14:paraId="746EE909"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mg/L</w:t>
            </w:r>
          </w:p>
        </w:tc>
        <w:tc>
          <w:tcPr>
            <w:tcW w:w="1875" w:type="pct"/>
            <w:noWrap/>
            <w:vAlign w:val="center"/>
            <w:hideMark/>
          </w:tcPr>
          <w:p w14:paraId="5DEEF8A0"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Hach</w:t>
            </w:r>
            <w:proofErr w:type="spellEnd"/>
            <w:r w:rsidRPr="00F07DEB">
              <w:rPr>
                <w:rFonts w:ascii="Times New Roman" w:eastAsia="Times New Roman" w:hAnsi="Times New Roman" w:cs="Times New Roman"/>
                <w:color w:val="000000"/>
                <w:sz w:val="20"/>
                <w:szCs w:val="20"/>
                <w:lang w:eastAsia="en-US"/>
              </w:rPr>
              <w:t xml:space="preserve"> TNT835</w:t>
            </w:r>
          </w:p>
        </w:tc>
      </w:tr>
      <w:tr w:rsidR="00716984" w:rsidRPr="00F07DEB" w14:paraId="6FDCE8EB" w14:textId="77777777" w:rsidTr="00641A81">
        <w:trPr>
          <w:divId w:val="1938825023"/>
          <w:trHeight w:val="288"/>
        </w:trPr>
        <w:tc>
          <w:tcPr>
            <w:tcW w:w="861" w:type="pct"/>
            <w:vMerge/>
            <w:hideMark/>
          </w:tcPr>
          <w:p w14:paraId="282F4B47"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3967B60A"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Total Reactive Phosphorus</w:t>
            </w:r>
          </w:p>
        </w:tc>
        <w:tc>
          <w:tcPr>
            <w:tcW w:w="649" w:type="pct"/>
            <w:vAlign w:val="center"/>
            <w:hideMark/>
          </w:tcPr>
          <w:p w14:paraId="5ABF6FE7"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mg/L</w:t>
            </w:r>
          </w:p>
        </w:tc>
        <w:tc>
          <w:tcPr>
            <w:tcW w:w="1875" w:type="pct"/>
            <w:noWrap/>
            <w:vAlign w:val="center"/>
            <w:hideMark/>
          </w:tcPr>
          <w:p w14:paraId="7D34DBB0"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Hach</w:t>
            </w:r>
            <w:proofErr w:type="spellEnd"/>
            <w:r w:rsidRPr="00F07DEB">
              <w:rPr>
                <w:rFonts w:ascii="Times New Roman" w:eastAsia="Times New Roman" w:hAnsi="Times New Roman" w:cs="Times New Roman"/>
                <w:color w:val="000000"/>
                <w:sz w:val="20"/>
                <w:szCs w:val="20"/>
                <w:lang w:eastAsia="en-US"/>
              </w:rPr>
              <w:t xml:space="preserve"> TNT843</w:t>
            </w:r>
          </w:p>
        </w:tc>
      </w:tr>
      <w:tr w:rsidR="00716984" w:rsidRPr="00F07DEB" w14:paraId="6520684D" w14:textId="77777777" w:rsidTr="00641A81">
        <w:trPr>
          <w:divId w:val="1938825023"/>
          <w:trHeight w:val="288"/>
        </w:trPr>
        <w:tc>
          <w:tcPr>
            <w:tcW w:w="861" w:type="pct"/>
            <w:vMerge/>
            <w:hideMark/>
          </w:tcPr>
          <w:p w14:paraId="08E0747D"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25E18F4B"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Sulfate</w:t>
            </w:r>
          </w:p>
        </w:tc>
        <w:tc>
          <w:tcPr>
            <w:tcW w:w="649" w:type="pct"/>
            <w:vAlign w:val="center"/>
            <w:hideMark/>
          </w:tcPr>
          <w:p w14:paraId="5942E658"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mg/L</w:t>
            </w:r>
          </w:p>
        </w:tc>
        <w:tc>
          <w:tcPr>
            <w:tcW w:w="1875" w:type="pct"/>
            <w:noWrap/>
            <w:vAlign w:val="center"/>
            <w:hideMark/>
          </w:tcPr>
          <w:p w14:paraId="768B9D59"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Hach</w:t>
            </w:r>
            <w:proofErr w:type="spellEnd"/>
            <w:r w:rsidRPr="00F07DEB">
              <w:rPr>
                <w:rFonts w:ascii="Times New Roman" w:eastAsia="Times New Roman" w:hAnsi="Times New Roman" w:cs="Times New Roman"/>
                <w:color w:val="000000"/>
                <w:sz w:val="20"/>
                <w:szCs w:val="20"/>
                <w:lang w:eastAsia="en-US"/>
              </w:rPr>
              <w:t xml:space="preserve"> TNT864</w:t>
            </w:r>
          </w:p>
        </w:tc>
      </w:tr>
      <w:tr w:rsidR="00716984" w:rsidRPr="00F07DEB" w14:paraId="115A76C4" w14:textId="77777777" w:rsidTr="00641A81">
        <w:trPr>
          <w:divId w:val="1938825023"/>
          <w:trHeight w:val="288"/>
        </w:trPr>
        <w:tc>
          <w:tcPr>
            <w:tcW w:w="861" w:type="pct"/>
            <w:vMerge/>
            <w:hideMark/>
          </w:tcPr>
          <w:p w14:paraId="274E2D50"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7D2D19A5"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Alkalinity</w:t>
            </w:r>
          </w:p>
        </w:tc>
        <w:tc>
          <w:tcPr>
            <w:tcW w:w="649" w:type="pct"/>
            <w:vAlign w:val="center"/>
            <w:hideMark/>
          </w:tcPr>
          <w:p w14:paraId="463DC900"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mg/L as CaCO</w:t>
            </w:r>
            <w:r w:rsidRPr="00F07DEB">
              <w:rPr>
                <w:rFonts w:ascii="Times New Roman" w:eastAsia="Times New Roman" w:hAnsi="Times New Roman" w:cs="Times New Roman"/>
                <w:color w:val="000000"/>
                <w:sz w:val="20"/>
                <w:szCs w:val="20"/>
                <w:vertAlign w:val="subscript"/>
                <w:lang w:eastAsia="en-US"/>
              </w:rPr>
              <w:t>3</w:t>
            </w:r>
            <w:r w:rsidRPr="00F07DEB">
              <w:rPr>
                <w:rFonts w:ascii="Times New Roman" w:eastAsia="Times New Roman" w:hAnsi="Times New Roman" w:cs="Times New Roman"/>
                <w:color w:val="000000"/>
                <w:sz w:val="20"/>
                <w:szCs w:val="20"/>
                <w:lang w:eastAsia="en-US"/>
              </w:rPr>
              <w:t xml:space="preserve"> eq.</w:t>
            </w:r>
          </w:p>
        </w:tc>
        <w:tc>
          <w:tcPr>
            <w:tcW w:w="1875" w:type="pct"/>
            <w:noWrap/>
            <w:vAlign w:val="center"/>
            <w:hideMark/>
          </w:tcPr>
          <w:p w14:paraId="4B54DACB"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EPA 310.1 (1978)</w:t>
            </w:r>
          </w:p>
        </w:tc>
      </w:tr>
      <w:tr w:rsidR="00716984" w:rsidRPr="00F07DEB" w14:paraId="1F7DF2E7" w14:textId="77777777" w:rsidTr="00641A81">
        <w:trPr>
          <w:divId w:val="1938825023"/>
          <w:trHeight w:val="288"/>
        </w:trPr>
        <w:tc>
          <w:tcPr>
            <w:tcW w:w="861" w:type="pct"/>
            <w:vMerge/>
            <w:hideMark/>
          </w:tcPr>
          <w:p w14:paraId="568AE896"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2A09A2DA"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Turbidity</w:t>
            </w:r>
          </w:p>
        </w:tc>
        <w:tc>
          <w:tcPr>
            <w:tcW w:w="649" w:type="pct"/>
            <w:vAlign w:val="center"/>
            <w:hideMark/>
          </w:tcPr>
          <w:p w14:paraId="4EB94F4C"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NTU</w:t>
            </w:r>
          </w:p>
        </w:tc>
        <w:tc>
          <w:tcPr>
            <w:tcW w:w="1875" w:type="pct"/>
            <w:noWrap/>
            <w:vAlign w:val="center"/>
            <w:hideMark/>
          </w:tcPr>
          <w:p w14:paraId="3624091A"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EPA 180.1 (1993)</w:t>
            </w:r>
          </w:p>
        </w:tc>
      </w:tr>
      <w:tr w:rsidR="00716984" w:rsidRPr="00F07DEB" w14:paraId="661CE64A" w14:textId="77777777" w:rsidTr="00641A81">
        <w:trPr>
          <w:divId w:val="1938825023"/>
          <w:trHeight w:val="288"/>
        </w:trPr>
        <w:tc>
          <w:tcPr>
            <w:tcW w:w="861" w:type="pct"/>
            <w:vMerge/>
            <w:hideMark/>
          </w:tcPr>
          <w:p w14:paraId="3DDC5432"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4896D88E"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pH</w:t>
            </w:r>
          </w:p>
        </w:tc>
        <w:tc>
          <w:tcPr>
            <w:tcW w:w="649" w:type="pct"/>
            <w:vAlign w:val="center"/>
            <w:hideMark/>
          </w:tcPr>
          <w:p w14:paraId="5DFEA9FC"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875" w:type="pct"/>
            <w:noWrap/>
            <w:vAlign w:val="center"/>
            <w:hideMark/>
          </w:tcPr>
          <w:p w14:paraId="0DCBFFB1"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YSI 600R</w:t>
            </w:r>
          </w:p>
        </w:tc>
      </w:tr>
      <w:tr w:rsidR="00716984" w:rsidRPr="00F07DEB" w14:paraId="5BF24F47" w14:textId="77777777" w:rsidTr="00641A81">
        <w:trPr>
          <w:divId w:val="1938825023"/>
          <w:trHeight w:val="288"/>
        </w:trPr>
        <w:tc>
          <w:tcPr>
            <w:tcW w:w="861" w:type="pct"/>
            <w:vMerge/>
            <w:hideMark/>
          </w:tcPr>
          <w:p w14:paraId="6EB49B4B"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21B67BF7"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Total Dissolved Solids</w:t>
            </w:r>
          </w:p>
        </w:tc>
        <w:tc>
          <w:tcPr>
            <w:tcW w:w="649" w:type="pct"/>
            <w:vAlign w:val="center"/>
            <w:hideMark/>
          </w:tcPr>
          <w:p w14:paraId="70BE85F9"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g/L</w:t>
            </w:r>
          </w:p>
        </w:tc>
        <w:tc>
          <w:tcPr>
            <w:tcW w:w="1875" w:type="pct"/>
            <w:noWrap/>
            <w:vAlign w:val="center"/>
            <w:hideMark/>
          </w:tcPr>
          <w:p w14:paraId="58269A17"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YSI 600R</w:t>
            </w:r>
          </w:p>
        </w:tc>
      </w:tr>
      <w:tr w:rsidR="00716984" w:rsidRPr="00F07DEB" w14:paraId="43A521CC" w14:textId="77777777" w:rsidTr="00641A81">
        <w:trPr>
          <w:divId w:val="1938825023"/>
          <w:trHeight w:val="288"/>
        </w:trPr>
        <w:tc>
          <w:tcPr>
            <w:tcW w:w="861" w:type="pct"/>
            <w:vMerge/>
            <w:hideMark/>
          </w:tcPr>
          <w:p w14:paraId="79D83859"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76F69B33"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Dissolved Oxygen</w:t>
            </w:r>
          </w:p>
        </w:tc>
        <w:tc>
          <w:tcPr>
            <w:tcW w:w="649" w:type="pct"/>
            <w:vAlign w:val="center"/>
            <w:hideMark/>
          </w:tcPr>
          <w:p w14:paraId="6DACF0E1"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mg/L</w:t>
            </w:r>
          </w:p>
        </w:tc>
        <w:tc>
          <w:tcPr>
            <w:tcW w:w="1875" w:type="pct"/>
            <w:noWrap/>
            <w:vAlign w:val="center"/>
            <w:hideMark/>
          </w:tcPr>
          <w:p w14:paraId="1EA1E399"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YSI 600R</w:t>
            </w:r>
          </w:p>
        </w:tc>
      </w:tr>
      <w:tr w:rsidR="00716984" w:rsidRPr="00F07DEB" w14:paraId="27FE38BB" w14:textId="77777777" w:rsidTr="00641A81">
        <w:trPr>
          <w:divId w:val="1938825023"/>
          <w:trHeight w:val="288"/>
        </w:trPr>
        <w:tc>
          <w:tcPr>
            <w:tcW w:w="861" w:type="pct"/>
            <w:noWrap/>
            <w:hideMark/>
          </w:tcPr>
          <w:p w14:paraId="310E784F"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Water Quantity</w:t>
            </w:r>
          </w:p>
        </w:tc>
        <w:tc>
          <w:tcPr>
            <w:tcW w:w="1615" w:type="pct"/>
            <w:vAlign w:val="center"/>
            <w:hideMark/>
          </w:tcPr>
          <w:p w14:paraId="132A4971"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Irrigation Volume</w:t>
            </w:r>
          </w:p>
        </w:tc>
        <w:tc>
          <w:tcPr>
            <w:tcW w:w="649" w:type="pct"/>
            <w:vAlign w:val="center"/>
            <w:hideMark/>
          </w:tcPr>
          <w:p w14:paraId="58502640"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mL</w:t>
            </w:r>
          </w:p>
        </w:tc>
        <w:tc>
          <w:tcPr>
            <w:tcW w:w="1875" w:type="pct"/>
            <w:noWrap/>
            <w:vAlign w:val="center"/>
            <w:hideMark/>
          </w:tcPr>
          <w:p w14:paraId="15D859EB"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r>
      <w:tr w:rsidR="00716984" w:rsidRPr="00F07DEB" w14:paraId="3B2B98CA" w14:textId="77777777" w:rsidTr="00641A81">
        <w:trPr>
          <w:divId w:val="1938825023"/>
          <w:trHeight w:val="288"/>
        </w:trPr>
        <w:tc>
          <w:tcPr>
            <w:tcW w:w="861" w:type="pct"/>
            <w:vMerge w:val="restart"/>
            <w:noWrap/>
            <w:hideMark/>
          </w:tcPr>
          <w:p w14:paraId="5ED325CA"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Environmental</w:t>
            </w:r>
          </w:p>
        </w:tc>
        <w:tc>
          <w:tcPr>
            <w:tcW w:w="1615" w:type="pct"/>
            <w:vAlign w:val="center"/>
            <w:hideMark/>
          </w:tcPr>
          <w:p w14:paraId="655D97A3"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Air Temperature</w:t>
            </w:r>
          </w:p>
        </w:tc>
        <w:tc>
          <w:tcPr>
            <w:tcW w:w="649" w:type="pct"/>
            <w:vAlign w:val="center"/>
            <w:hideMark/>
          </w:tcPr>
          <w:p w14:paraId="528F3F93"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w:t>
            </w:r>
          </w:p>
        </w:tc>
        <w:tc>
          <w:tcPr>
            <w:tcW w:w="1875" w:type="pct"/>
            <w:noWrap/>
            <w:vAlign w:val="center"/>
            <w:hideMark/>
          </w:tcPr>
          <w:p w14:paraId="5C86D1CD"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r>
      <w:tr w:rsidR="00716984" w:rsidRPr="00F07DEB" w14:paraId="16506E43" w14:textId="77777777" w:rsidTr="00641A81">
        <w:trPr>
          <w:divId w:val="1938825023"/>
          <w:trHeight w:val="288"/>
        </w:trPr>
        <w:tc>
          <w:tcPr>
            <w:tcW w:w="861" w:type="pct"/>
            <w:vMerge/>
            <w:hideMark/>
          </w:tcPr>
          <w:p w14:paraId="129145C4"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6A2E3582"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Soil Temperature</w:t>
            </w:r>
          </w:p>
        </w:tc>
        <w:tc>
          <w:tcPr>
            <w:tcW w:w="649" w:type="pct"/>
            <w:vAlign w:val="center"/>
            <w:hideMark/>
          </w:tcPr>
          <w:p w14:paraId="09C7BD1B"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w:t>
            </w:r>
          </w:p>
        </w:tc>
        <w:tc>
          <w:tcPr>
            <w:tcW w:w="1875" w:type="pct"/>
            <w:noWrap/>
            <w:vAlign w:val="center"/>
            <w:hideMark/>
          </w:tcPr>
          <w:p w14:paraId="4EAE7878"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r>
      <w:tr w:rsidR="00716984" w:rsidRPr="00F07DEB" w14:paraId="4305A8BD" w14:textId="77777777" w:rsidTr="00641A81">
        <w:trPr>
          <w:divId w:val="1938825023"/>
          <w:trHeight w:val="288"/>
        </w:trPr>
        <w:tc>
          <w:tcPr>
            <w:tcW w:w="861" w:type="pct"/>
            <w:vMerge/>
            <w:hideMark/>
          </w:tcPr>
          <w:p w14:paraId="26A2AB93"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499CF8D3"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Precipitation</w:t>
            </w:r>
          </w:p>
        </w:tc>
        <w:tc>
          <w:tcPr>
            <w:tcW w:w="649" w:type="pct"/>
            <w:vAlign w:val="center"/>
            <w:hideMark/>
          </w:tcPr>
          <w:p w14:paraId="26028900" w14:textId="2F161CFD" w:rsidR="00716984" w:rsidRPr="00F07DEB" w:rsidRDefault="001B22C6"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cm</w:t>
            </w:r>
          </w:p>
        </w:tc>
        <w:tc>
          <w:tcPr>
            <w:tcW w:w="1875" w:type="pct"/>
            <w:noWrap/>
            <w:vAlign w:val="center"/>
            <w:hideMark/>
          </w:tcPr>
          <w:p w14:paraId="4A4E9061"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r>
      <w:tr w:rsidR="00716984" w:rsidRPr="00F07DEB" w14:paraId="5D9D5D6E" w14:textId="77777777" w:rsidTr="00641A81">
        <w:trPr>
          <w:divId w:val="1938825023"/>
          <w:trHeight w:val="288"/>
        </w:trPr>
        <w:tc>
          <w:tcPr>
            <w:tcW w:w="861" w:type="pct"/>
            <w:vMerge/>
            <w:hideMark/>
          </w:tcPr>
          <w:p w14:paraId="4B2729C9"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387AD6AB"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Photosynthetic photon flux density</w:t>
            </w:r>
          </w:p>
        </w:tc>
        <w:tc>
          <w:tcPr>
            <w:tcW w:w="649" w:type="pct"/>
            <w:vAlign w:val="center"/>
            <w:hideMark/>
          </w:tcPr>
          <w:p w14:paraId="5B8A1F02" w14:textId="419F0713" w:rsidR="00716984" w:rsidRPr="00F07DEB" w:rsidRDefault="004F5610"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µ</w:t>
            </w:r>
            <w:proofErr w:type="spellStart"/>
            <w:r w:rsidR="00716984" w:rsidRPr="00F07DEB">
              <w:rPr>
                <w:rFonts w:ascii="Times New Roman" w:eastAsia="Times New Roman" w:hAnsi="Times New Roman" w:cs="Times New Roman"/>
                <w:color w:val="000000"/>
                <w:sz w:val="20"/>
                <w:szCs w:val="20"/>
                <w:lang w:eastAsia="en-US"/>
              </w:rPr>
              <w:t>mol</w:t>
            </w:r>
            <w:proofErr w:type="spellEnd"/>
            <w:r w:rsidR="00716984" w:rsidRPr="00F07DEB">
              <w:rPr>
                <w:rFonts w:ascii="Times New Roman" w:eastAsia="Times New Roman" w:hAnsi="Times New Roman" w:cs="Times New Roman"/>
                <w:color w:val="000000"/>
                <w:sz w:val="20"/>
                <w:szCs w:val="20"/>
                <w:lang w:eastAsia="en-US"/>
              </w:rPr>
              <w:t>/m2/s</w:t>
            </w:r>
          </w:p>
        </w:tc>
        <w:tc>
          <w:tcPr>
            <w:tcW w:w="1875" w:type="pct"/>
            <w:noWrap/>
            <w:vAlign w:val="center"/>
            <w:hideMark/>
          </w:tcPr>
          <w:p w14:paraId="5CD4751A"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Innoquest</w:t>
            </w:r>
            <w:proofErr w:type="spellEnd"/>
            <w:r w:rsidRPr="00F07DEB">
              <w:rPr>
                <w:rFonts w:ascii="Times New Roman" w:eastAsia="Times New Roman" w:hAnsi="Times New Roman" w:cs="Times New Roman"/>
                <w:color w:val="000000"/>
                <w:sz w:val="20"/>
                <w:szCs w:val="20"/>
                <w:lang w:eastAsia="en-US"/>
              </w:rPr>
              <w:t>, 2020</w:t>
            </w:r>
          </w:p>
        </w:tc>
      </w:tr>
      <w:tr w:rsidR="00716984" w:rsidRPr="00F07DEB" w14:paraId="1DB49320" w14:textId="77777777" w:rsidTr="00641A81">
        <w:trPr>
          <w:divId w:val="1938825023"/>
          <w:trHeight w:val="288"/>
        </w:trPr>
        <w:tc>
          <w:tcPr>
            <w:tcW w:w="861" w:type="pct"/>
            <w:vMerge/>
            <w:hideMark/>
          </w:tcPr>
          <w:p w14:paraId="79162FE1"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6337D2A8"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Daily light integral</w:t>
            </w:r>
          </w:p>
        </w:tc>
        <w:tc>
          <w:tcPr>
            <w:tcW w:w="649" w:type="pct"/>
            <w:vAlign w:val="center"/>
            <w:hideMark/>
          </w:tcPr>
          <w:p w14:paraId="6F99640D"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mol</w:t>
            </w:r>
            <w:proofErr w:type="spellEnd"/>
          </w:p>
        </w:tc>
        <w:tc>
          <w:tcPr>
            <w:tcW w:w="1875" w:type="pct"/>
            <w:noWrap/>
            <w:vAlign w:val="center"/>
            <w:hideMark/>
          </w:tcPr>
          <w:p w14:paraId="6AA02B93"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Innoquest</w:t>
            </w:r>
            <w:proofErr w:type="spellEnd"/>
            <w:r w:rsidRPr="00F07DEB">
              <w:rPr>
                <w:rFonts w:ascii="Times New Roman" w:eastAsia="Times New Roman" w:hAnsi="Times New Roman" w:cs="Times New Roman"/>
                <w:color w:val="000000"/>
                <w:sz w:val="20"/>
                <w:szCs w:val="20"/>
                <w:lang w:eastAsia="en-US"/>
              </w:rPr>
              <w:t>, 2020</w:t>
            </w:r>
          </w:p>
        </w:tc>
      </w:tr>
      <w:tr w:rsidR="00716984" w:rsidRPr="00F07DEB" w14:paraId="187212D4" w14:textId="77777777" w:rsidTr="00641A81">
        <w:trPr>
          <w:divId w:val="1938825023"/>
          <w:trHeight w:val="288"/>
        </w:trPr>
        <w:tc>
          <w:tcPr>
            <w:tcW w:w="861" w:type="pct"/>
            <w:vMerge w:val="restart"/>
            <w:noWrap/>
            <w:hideMark/>
          </w:tcPr>
          <w:p w14:paraId="337CFB9B"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Crop Quality</w:t>
            </w:r>
          </w:p>
        </w:tc>
        <w:tc>
          <w:tcPr>
            <w:tcW w:w="1615" w:type="pct"/>
            <w:vAlign w:val="center"/>
            <w:hideMark/>
          </w:tcPr>
          <w:p w14:paraId="5CCD4000"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Plant height</w:t>
            </w:r>
          </w:p>
        </w:tc>
        <w:tc>
          <w:tcPr>
            <w:tcW w:w="649" w:type="pct"/>
            <w:vAlign w:val="center"/>
            <w:hideMark/>
          </w:tcPr>
          <w:p w14:paraId="491D1FE8" w14:textId="051A6DC6"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w:t>
            </w:r>
          </w:p>
        </w:tc>
        <w:tc>
          <w:tcPr>
            <w:tcW w:w="1875" w:type="pct"/>
            <w:noWrap/>
            <w:vAlign w:val="center"/>
            <w:hideMark/>
          </w:tcPr>
          <w:p w14:paraId="7D5DF44C"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Pérez-</w:t>
            </w:r>
            <w:proofErr w:type="spellStart"/>
            <w:r w:rsidRPr="00F07DEB">
              <w:rPr>
                <w:rFonts w:ascii="Times New Roman" w:eastAsia="Times New Roman" w:hAnsi="Times New Roman" w:cs="Times New Roman"/>
                <w:color w:val="000000"/>
                <w:sz w:val="20"/>
                <w:szCs w:val="20"/>
                <w:lang w:eastAsia="en-US"/>
              </w:rPr>
              <w:t>Harguindeguy</w:t>
            </w:r>
            <w:proofErr w:type="spellEnd"/>
            <w:r w:rsidRPr="00F07DEB">
              <w:rPr>
                <w:rFonts w:ascii="Times New Roman" w:eastAsia="Times New Roman" w:hAnsi="Times New Roman" w:cs="Times New Roman"/>
                <w:color w:val="000000"/>
                <w:sz w:val="20"/>
                <w:szCs w:val="20"/>
                <w:lang w:eastAsia="en-US"/>
              </w:rPr>
              <w:t xml:space="preserve"> et al., 2016</w:t>
            </w:r>
          </w:p>
        </w:tc>
      </w:tr>
      <w:tr w:rsidR="00716984" w:rsidRPr="00F07DEB" w14:paraId="5893BE34" w14:textId="77777777" w:rsidTr="00641A81">
        <w:trPr>
          <w:divId w:val="1938825023"/>
          <w:trHeight w:val="288"/>
        </w:trPr>
        <w:tc>
          <w:tcPr>
            <w:tcW w:w="861" w:type="pct"/>
            <w:vMerge/>
            <w:hideMark/>
          </w:tcPr>
          <w:p w14:paraId="6B49155F"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6DC5CCDA"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Growth stage</w:t>
            </w:r>
          </w:p>
        </w:tc>
        <w:tc>
          <w:tcPr>
            <w:tcW w:w="649" w:type="pct"/>
            <w:vAlign w:val="center"/>
            <w:hideMark/>
          </w:tcPr>
          <w:p w14:paraId="5850C466"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unitless</w:t>
            </w:r>
            <w:proofErr w:type="spellEnd"/>
          </w:p>
        </w:tc>
        <w:tc>
          <w:tcPr>
            <w:tcW w:w="1875" w:type="pct"/>
            <w:noWrap/>
            <w:vAlign w:val="center"/>
            <w:hideMark/>
          </w:tcPr>
          <w:p w14:paraId="2D8B6AFA"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Abendroth</w:t>
            </w:r>
            <w:proofErr w:type="spellEnd"/>
            <w:r w:rsidRPr="00F07DEB">
              <w:rPr>
                <w:rFonts w:ascii="Times New Roman" w:eastAsia="Times New Roman" w:hAnsi="Times New Roman" w:cs="Times New Roman"/>
                <w:color w:val="000000"/>
                <w:sz w:val="20"/>
                <w:szCs w:val="20"/>
                <w:lang w:eastAsia="en-US"/>
              </w:rPr>
              <w:t xml:space="preserve"> et al., 2011</w:t>
            </w:r>
          </w:p>
        </w:tc>
      </w:tr>
      <w:tr w:rsidR="00716984" w:rsidRPr="00F07DEB" w14:paraId="4FBABE01" w14:textId="77777777" w:rsidTr="00641A81">
        <w:trPr>
          <w:divId w:val="1938825023"/>
          <w:trHeight w:val="288"/>
        </w:trPr>
        <w:tc>
          <w:tcPr>
            <w:tcW w:w="861" w:type="pct"/>
            <w:vMerge/>
            <w:hideMark/>
          </w:tcPr>
          <w:p w14:paraId="36F4B260"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646BCC6A"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Biomass (fresh and dry weight)</w:t>
            </w:r>
          </w:p>
        </w:tc>
        <w:tc>
          <w:tcPr>
            <w:tcW w:w="649" w:type="pct"/>
            <w:vAlign w:val="center"/>
            <w:hideMark/>
          </w:tcPr>
          <w:p w14:paraId="168DD98C"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w:t>
            </w:r>
          </w:p>
        </w:tc>
        <w:tc>
          <w:tcPr>
            <w:tcW w:w="1875" w:type="pct"/>
            <w:noWrap/>
            <w:vAlign w:val="center"/>
            <w:hideMark/>
          </w:tcPr>
          <w:p w14:paraId="5ADF9DEF"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Pérez-</w:t>
            </w:r>
            <w:proofErr w:type="spellStart"/>
            <w:r w:rsidRPr="00F07DEB">
              <w:rPr>
                <w:rFonts w:ascii="Times New Roman" w:eastAsia="Times New Roman" w:hAnsi="Times New Roman" w:cs="Times New Roman"/>
                <w:color w:val="000000"/>
                <w:sz w:val="20"/>
                <w:szCs w:val="20"/>
                <w:lang w:eastAsia="en-US"/>
              </w:rPr>
              <w:t>Harguindeguy</w:t>
            </w:r>
            <w:proofErr w:type="spellEnd"/>
            <w:r w:rsidRPr="00F07DEB">
              <w:rPr>
                <w:rFonts w:ascii="Times New Roman" w:eastAsia="Times New Roman" w:hAnsi="Times New Roman" w:cs="Times New Roman"/>
                <w:color w:val="000000"/>
                <w:sz w:val="20"/>
                <w:szCs w:val="20"/>
                <w:lang w:eastAsia="en-US"/>
              </w:rPr>
              <w:t xml:space="preserve"> et al., 2016</w:t>
            </w:r>
          </w:p>
        </w:tc>
      </w:tr>
      <w:tr w:rsidR="00716984" w:rsidRPr="00F07DEB" w14:paraId="7B4F5391" w14:textId="77777777" w:rsidTr="00641A81">
        <w:trPr>
          <w:divId w:val="1938825023"/>
          <w:trHeight w:val="288"/>
        </w:trPr>
        <w:tc>
          <w:tcPr>
            <w:tcW w:w="861" w:type="pct"/>
            <w:vMerge/>
            <w:hideMark/>
          </w:tcPr>
          <w:p w14:paraId="6D361EB4"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615" w:type="pct"/>
            <w:vAlign w:val="center"/>
            <w:hideMark/>
          </w:tcPr>
          <w:p w14:paraId="5044C212" w14:textId="0A781D63"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Trace Metals </w:t>
            </w:r>
            <w:r w:rsidR="00D76F3F" w:rsidRPr="00887B87">
              <w:rPr>
                <w:rFonts w:ascii="Times New Roman" w:eastAsia="Times New Roman" w:hAnsi="Times New Roman" w:cs="Times New Roman"/>
                <w:color w:val="000000"/>
                <w:sz w:val="20"/>
                <w:szCs w:val="20"/>
                <w:lang w:eastAsia="en-US"/>
              </w:rPr>
              <w:t xml:space="preserve">(e.g., Ca, Cd, </w:t>
            </w:r>
            <w:r w:rsidR="00D76F3F">
              <w:rPr>
                <w:rFonts w:ascii="Times New Roman" w:eastAsia="Times New Roman" w:hAnsi="Times New Roman" w:cs="Times New Roman"/>
                <w:color w:val="000000"/>
                <w:sz w:val="20"/>
                <w:szCs w:val="20"/>
                <w:lang w:eastAsia="en-US"/>
              </w:rPr>
              <w:t>Fe, K,</w:t>
            </w:r>
            <w:r w:rsidR="00D76F3F" w:rsidRPr="00887B87">
              <w:rPr>
                <w:rFonts w:ascii="Times New Roman" w:eastAsia="Times New Roman" w:hAnsi="Times New Roman" w:cs="Times New Roman"/>
                <w:color w:val="000000"/>
                <w:sz w:val="20"/>
                <w:szCs w:val="20"/>
                <w:lang w:eastAsia="en-US"/>
              </w:rPr>
              <w:t xml:space="preserve"> Mg, </w:t>
            </w:r>
            <w:proofErr w:type="spellStart"/>
            <w:r w:rsidR="00D76F3F" w:rsidRPr="00887B87">
              <w:rPr>
                <w:rFonts w:ascii="Times New Roman" w:eastAsia="Times New Roman" w:hAnsi="Times New Roman" w:cs="Times New Roman"/>
                <w:color w:val="000000"/>
                <w:sz w:val="20"/>
                <w:szCs w:val="20"/>
                <w:lang w:eastAsia="en-US"/>
              </w:rPr>
              <w:t>Mn</w:t>
            </w:r>
            <w:proofErr w:type="spellEnd"/>
            <w:r w:rsidR="00D76F3F" w:rsidRPr="00887B87">
              <w:rPr>
                <w:rFonts w:ascii="Times New Roman" w:eastAsia="Times New Roman" w:hAnsi="Times New Roman" w:cs="Times New Roman"/>
                <w:color w:val="000000"/>
                <w:sz w:val="20"/>
                <w:szCs w:val="20"/>
                <w:lang w:eastAsia="en-US"/>
              </w:rPr>
              <w:t xml:space="preserve">, Na, Ni, </w:t>
            </w:r>
            <w:proofErr w:type="spellStart"/>
            <w:r w:rsidR="00D76F3F" w:rsidRPr="00887B87">
              <w:rPr>
                <w:rFonts w:ascii="Times New Roman" w:eastAsia="Times New Roman" w:hAnsi="Times New Roman" w:cs="Times New Roman"/>
                <w:color w:val="000000"/>
                <w:sz w:val="20"/>
                <w:szCs w:val="20"/>
                <w:lang w:eastAsia="en-US"/>
              </w:rPr>
              <w:t>Pb</w:t>
            </w:r>
            <w:proofErr w:type="spellEnd"/>
            <w:r w:rsidR="00D76F3F" w:rsidRPr="00887B87">
              <w:rPr>
                <w:rFonts w:ascii="Times New Roman" w:eastAsia="Times New Roman" w:hAnsi="Times New Roman" w:cs="Times New Roman"/>
                <w:color w:val="000000"/>
                <w:sz w:val="20"/>
                <w:szCs w:val="20"/>
                <w:lang w:eastAsia="en-US"/>
              </w:rPr>
              <w:t xml:space="preserve">, </w:t>
            </w:r>
            <w:r w:rsidR="00D76F3F">
              <w:rPr>
                <w:rFonts w:ascii="Times New Roman" w:eastAsia="Times New Roman" w:hAnsi="Times New Roman" w:cs="Times New Roman"/>
                <w:color w:val="000000"/>
                <w:sz w:val="20"/>
                <w:szCs w:val="20"/>
                <w:lang w:eastAsia="en-US"/>
              </w:rPr>
              <w:t xml:space="preserve">S, </w:t>
            </w:r>
            <w:r w:rsidR="00D76F3F" w:rsidRPr="00887B87">
              <w:rPr>
                <w:rFonts w:ascii="Times New Roman" w:eastAsia="Times New Roman" w:hAnsi="Times New Roman" w:cs="Times New Roman"/>
                <w:color w:val="000000"/>
                <w:sz w:val="20"/>
                <w:szCs w:val="20"/>
                <w:lang w:eastAsia="en-US"/>
              </w:rPr>
              <w:t>Zn)</w:t>
            </w:r>
          </w:p>
        </w:tc>
        <w:tc>
          <w:tcPr>
            <w:tcW w:w="649" w:type="pct"/>
            <w:vAlign w:val="center"/>
            <w:hideMark/>
          </w:tcPr>
          <w:p w14:paraId="78D60EEB" w14:textId="20F30D0F" w:rsidR="00716984" w:rsidRPr="00F07DEB" w:rsidRDefault="0038189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mg/kg</w:t>
            </w:r>
          </w:p>
        </w:tc>
        <w:tc>
          <w:tcPr>
            <w:tcW w:w="1875" w:type="pct"/>
            <w:noWrap/>
            <w:vAlign w:val="center"/>
            <w:hideMark/>
          </w:tcPr>
          <w:p w14:paraId="47073A2B"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EPA 3051A (2007); EPA 6010D (2018)</w:t>
            </w:r>
          </w:p>
        </w:tc>
      </w:tr>
      <w:tr w:rsidR="00716984" w:rsidRPr="00F07DEB" w14:paraId="11AD5989" w14:textId="77777777" w:rsidTr="00641A81">
        <w:trPr>
          <w:divId w:val="1938825023"/>
          <w:trHeight w:val="288"/>
        </w:trPr>
        <w:tc>
          <w:tcPr>
            <w:tcW w:w="861" w:type="pct"/>
            <w:vMerge w:val="restart"/>
            <w:noWrap/>
            <w:hideMark/>
          </w:tcPr>
          <w:p w14:paraId="3BEC76E7"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Substrate Quality</w:t>
            </w:r>
          </w:p>
        </w:tc>
        <w:tc>
          <w:tcPr>
            <w:tcW w:w="1615" w:type="pct"/>
            <w:vAlign w:val="center"/>
            <w:hideMark/>
          </w:tcPr>
          <w:p w14:paraId="799A3E87" w14:textId="43E38528"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Trace Metals </w:t>
            </w:r>
            <w:r w:rsidR="00D76F3F" w:rsidRPr="00887B87">
              <w:rPr>
                <w:rFonts w:ascii="Times New Roman" w:eastAsia="Times New Roman" w:hAnsi="Times New Roman" w:cs="Times New Roman"/>
                <w:color w:val="000000"/>
                <w:sz w:val="20"/>
                <w:szCs w:val="20"/>
                <w:lang w:eastAsia="en-US"/>
              </w:rPr>
              <w:t xml:space="preserve">(e.g., Ca, Cd, </w:t>
            </w:r>
            <w:r w:rsidR="00D76F3F">
              <w:rPr>
                <w:rFonts w:ascii="Times New Roman" w:eastAsia="Times New Roman" w:hAnsi="Times New Roman" w:cs="Times New Roman"/>
                <w:color w:val="000000"/>
                <w:sz w:val="20"/>
                <w:szCs w:val="20"/>
                <w:lang w:eastAsia="en-US"/>
              </w:rPr>
              <w:t>Fe, K,</w:t>
            </w:r>
            <w:r w:rsidR="00D76F3F" w:rsidRPr="00887B87">
              <w:rPr>
                <w:rFonts w:ascii="Times New Roman" w:eastAsia="Times New Roman" w:hAnsi="Times New Roman" w:cs="Times New Roman"/>
                <w:color w:val="000000"/>
                <w:sz w:val="20"/>
                <w:szCs w:val="20"/>
                <w:lang w:eastAsia="en-US"/>
              </w:rPr>
              <w:t xml:space="preserve"> Mg, </w:t>
            </w:r>
            <w:proofErr w:type="spellStart"/>
            <w:r w:rsidR="00D76F3F" w:rsidRPr="00887B87">
              <w:rPr>
                <w:rFonts w:ascii="Times New Roman" w:eastAsia="Times New Roman" w:hAnsi="Times New Roman" w:cs="Times New Roman"/>
                <w:color w:val="000000"/>
                <w:sz w:val="20"/>
                <w:szCs w:val="20"/>
                <w:lang w:eastAsia="en-US"/>
              </w:rPr>
              <w:t>Mn</w:t>
            </w:r>
            <w:proofErr w:type="spellEnd"/>
            <w:r w:rsidR="00D76F3F" w:rsidRPr="00887B87">
              <w:rPr>
                <w:rFonts w:ascii="Times New Roman" w:eastAsia="Times New Roman" w:hAnsi="Times New Roman" w:cs="Times New Roman"/>
                <w:color w:val="000000"/>
                <w:sz w:val="20"/>
                <w:szCs w:val="20"/>
                <w:lang w:eastAsia="en-US"/>
              </w:rPr>
              <w:t xml:space="preserve">, Na, Ni, </w:t>
            </w:r>
            <w:proofErr w:type="spellStart"/>
            <w:r w:rsidR="00D76F3F" w:rsidRPr="00887B87">
              <w:rPr>
                <w:rFonts w:ascii="Times New Roman" w:eastAsia="Times New Roman" w:hAnsi="Times New Roman" w:cs="Times New Roman"/>
                <w:color w:val="000000"/>
                <w:sz w:val="20"/>
                <w:szCs w:val="20"/>
                <w:lang w:eastAsia="en-US"/>
              </w:rPr>
              <w:t>Pb</w:t>
            </w:r>
            <w:proofErr w:type="spellEnd"/>
            <w:r w:rsidR="00D76F3F" w:rsidRPr="00887B87">
              <w:rPr>
                <w:rFonts w:ascii="Times New Roman" w:eastAsia="Times New Roman" w:hAnsi="Times New Roman" w:cs="Times New Roman"/>
                <w:color w:val="000000"/>
                <w:sz w:val="20"/>
                <w:szCs w:val="20"/>
                <w:lang w:eastAsia="en-US"/>
              </w:rPr>
              <w:t xml:space="preserve">, </w:t>
            </w:r>
            <w:r w:rsidR="00D76F3F">
              <w:rPr>
                <w:rFonts w:ascii="Times New Roman" w:eastAsia="Times New Roman" w:hAnsi="Times New Roman" w:cs="Times New Roman"/>
                <w:color w:val="000000"/>
                <w:sz w:val="20"/>
                <w:szCs w:val="20"/>
                <w:lang w:eastAsia="en-US"/>
              </w:rPr>
              <w:t xml:space="preserve">S, </w:t>
            </w:r>
            <w:r w:rsidR="00D76F3F" w:rsidRPr="00887B87">
              <w:rPr>
                <w:rFonts w:ascii="Times New Roman" w:eastAsia="Times New Roman" w:hAnsi="Times New Roman" w:cs="Times New Roman"/>
                <w:color w:val="000000"/>
                <w:sz w:val="20"/>
                <w:szCs w:val="20"/>
                <w:lang w:eastAsia="en-US"/>
              </w:rPr>
              <w:t>Zn)</w:t>
            </w:r>
          </w:p>
        </w:tc>
        <w:tc>
          <w:tcPr>
            <w:tcW w:w="649" w:type="pct"/>
            <w:vAlign w:val="center"/>
            <w:hideMark/>
          </w:tcPr>
          <w:p w14:paraId="2D5DAD3E" w14:textId="2E95DF9E" w:rsidR="00716984" w:rsidRPr="00F07DEB" w:rsidRDefault="00381895"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mg/kg</w:t>
            </w:r>
          </w:p>
        </w:tc>
        <w:tc>
          <w:tcPr>
            <w:tcW w:w="1875" w:type="pct"/>
            <w:noWrap/>
            <w:vAlign w:val="center"/>
            <w:hideMark/>
          </w:tcPr>
          <w:p w14:paraId="7DCBE216" w14:textId="0DC943F2"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EPA 3052 (1996); EPA 6010D (2018)</w:t>
            </w:r>
          </w:p>
        </w:tc>
      </w:tr>
      <w:tr w:rsidR="00716984" w:rsidRPr="00F07DEB" w14:paraId="7BABCCD7" w14:textId="77777777" w:rsidTr="00641A81">
        <w:trPr>
          <w:divId w:val="1938825023"/>
          <w:trHeight w:val="288"/>
        </w:trPr>
        <w:tc>
          <w:tcPr>
            <w:tcW w:w="861" w:type="pct"/>
            <w:vMerge/>
            <w:tcBorders>
              <w:bottom w:val="single" w:sz="8" w:space="0" w:color="auto"/>
            </w:tcBorders>
            <w:vAlign w:val="center"/>
            <w:hideMark/>
          </w:tcPr>
          <w:p w14:paraId="425093D8" w14:textId="77777777" w:rsidR="00716984" w:rsidRPr="00F07DEB" w:rsidRDefault="00716984" w:rsidP="00F07DEB">
            <w:pPr>
              <w:spacing w:after="0"/>
              <w:rPr>
                <w:rFonts w:ascii="Times New Roman" w:eastAsia="Times New Roman" w:hAnsi="Times New Roman" w:cs="Times New Roman"/>
                <w:color w:val="000000"/>
                <w:sz w:val="24"/>
                <w:szCs w:val="24"/>
                <w:lang w:eastAsia="en-US"/>
              </w:rPr>
            </w:pPr>
          </w:p>
        </w:tc>
        <w:tc>
          <w:tcPr>
            <w:tcW w:w="1615" w:type="pct"/>
            <w:tcBorders>
              <w:bottom w:val="single" w:sz="8" w:space="0" w:color="auto"/>
            </w:tcBorders>
            <w:vAlign w:val="center"/>
            <w:hideMark/>
          </w:tcPr>
          <w:p w14:paraId="28448C5A"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Soil pH</w:t>
            </w:r>
          </w:p>
        </w:tc>
        <w:tc>
          <w:tcPr>
            <w:tcW w:w="649" w:type="pct"/>
            <w:tcBorders>
              <w:bottom w:val="single" w:sz="8" w:space="0" w:color="auto"/>
            </w:tcBorders>
            <w:vAlign w:val="center"/>
            <w:hideMark/>
          </w:tcPr>
          <w:p w14:paraId="68C92C17" w14:textId="0CDF34E7" w:rsidR="00716984" w:rsidRPr="00F07DEB" w:rsidRDefault="00716984" w:rsidP="00F07DEB">
            <w:pPr>
              <w:spacing w:after="0"/>
              <w:rPr>
                <w:rFonts w:ascii="Times New Roman" w:eastAsia="Times New Roman" w:hAnsi="Times New Roman" w:cs="Times New Roman"/>
                <w:color w:val="000000"/>
                <w:sz w:val="20"/>
                <w:szCs w:val="20"/>
                <w:lang w:eastAsia="en-US"/>
              </w:rPr>
            </w:pPr>
          </w:p>
        </w:tc>
        <w:tc>
          <w:tcPr>
            <w:tcW w:w="1875" w:type="pct"/>
            <w:tcBorders>
              <w:bottom w:val="single" w:sz="8" w:space="0" w:color="auto"/>
            </w:tcBorders>
            <w:noWrap/>
            <w:vAlign w:val="center"/>
            <w:hideMark/>
          </w:tcPr>
          <w:p w14:paraId="08AD4E91" w14:textId="77777777" w:rsidR="00716984" w:rsidRPr="00F07DEB" w:rsidRDefault="00716984" w:rsidP="00F07DEB">
            <w:pPr>
              <w:spacing w:after="0"/>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EPA 9045D</w:t>
            </w:r>
          </w:p>
        </w:tc>
      </w:tr>
    </w:tbl>
    <w:p w14:paraId="595BCD03" w14:textId="76421991" w:rsidR="00040CA7" w:rsidRPr="00F07DEB" w:rsidRDefault="004D0E24" w:rsidP="00656D04">
      <w:pPr>
        <w:pStyle w:val="Heading1"/>
        <w:spacing w:line="480" w:lineRule="auto"/>
      </w:pPr>
      <w:r w:rsidRPr="00F07DEB">
        <w:br w:type="page"/>
      </w:r>
      <w:bookmarkStart w:id="36" w:name="_Toc58975162"/>
      <w:r w:rsidR="00040CA7" w:rsidRPr="00F07DEB">
        <w:lastRenderedPageBreak/>
        <w:t>Results</w:t>
      </w:r>
      <w:r w:rsidR="009D0F37" w:rsidRPr="00F07DEB">
        <w:t xml:space="preserve"> and Discussion</w:t>
      </w:r>
      <w:bookmarkEnd w:id="36"/>
    </w:p>
    <w:p w14:paraId="72EDF574" w14:textId="19BFABB1" w:rsidR="00AA19A1" w:rsidRDefault="00813D59" w:rsidP="0006618C">
      <w:pPr>
        <w:pStyle w:val="Heading2"/>
        <w:spacing w:line="480" w:lineRule="auto"/>
      </w:pPr>
      <w:bookmarkStart w:id="37" w:name="_Toc58975163"/>
      <w:r>
        <w:t>Livestock Watering</w:t>
      </w:r>
      <w:bookmarkEnd w:id="37"/>
    </w:p>
    <w:p w14:paraId="50C2FCD6" w14:textId="270FDAC7" w:rsidR="00813D59" w:rsidRPr="00087AA4" w:rsidRDefault="00813D59" w:rsidP="00813D59">
      <w:pPr>
        <w:spacing w:line="480" w:lineRule="auto"/>
        <w:ind w:firstLine="720"/>
        <w:rPr>
          <w:rFonts w:ascii="Times New Roman" w:hAnsi="Times New Roman"/>
          <w:sz w:val="24"/>
        </w:rPr>
      </w:pPr>
      <w:r w:rsidRPr="00087AA4">
        <w:rPr>
          <w:rFonts w:ascii="Times New Roman" w:hAnsi="Times New Roman"/>
          <w:sz w:val="24"/>
        </w:rPr>
        <w:t>Livestock reuse of treated mine water is a complex hypothetical informed by science, economics, ethics, and regulato</w:t>
      </w:r>
      <w:r w:rsidR="00FC5096" w:rsidRPr="00087AA4">
        <w:rPr>
          <w:rFonts w:ascii="Times New Roman" w:hAnsi="Times New Roman"/>
          <w:sz w:val="24"/>
        </w:rPr>
        <w:t xml:space="preserve">ry guidance. This review </w:t>
      </w:r>
      <w:r w:rsidR="00FC5096" w:rsidRPr="00A326EF">
        <w:rPr>
          <w:rFonts w:ascii="Times New Roman" w:hAnsi="Times New Roman" w:cs="Times New Roman"/>
          <w:sz w:val="24"/>
          <w:szCs w:val="24"/>
        </w:rPr>
        <w:t>focused</w:t>
      </w:r>
      <w:r w:rsidRPr="00087AA4">
        <w:rPr>
          <w:rFonts w:ascii="Times New Roman" w:hAnsi="Times New Roman"/>
          <w:sz w:val="24"/>
        </w:rPr>
        <w:t xml:space="preserve"> primarily on the scientif</w:t>
      </w:r>
      <w:r w:rsidR="00FC5096" w:rsidRPr="00087AA4">
        <w:rPr>
          <w:rFonts w:ascii="Times New Roman" w:hAnsi="Times New Roman"/>
          <w:sz w:val="24"/>
        </w:rPr>
        <w:t xml:space="preserve">ic </w:t>
      </w:r>
      <w:r w:rsidR="00087AA4">
        <w:rPr>
          <w:rFonts w:ascii="Times New Roman" w:hAnsi="Times New Roman"/>
          <w:sz w:val="24"/>
        </w:rPr>
        <w:t>and regulatory components</w:t>
      </w:r>
      <w:r w:rsidR="00FC5096" w:rsidRPr="00087AA4">
        <w:rPr>
          <w:rFonts w:ascii="Times New Roman" w:hAnsi="Times New Roman"/>
          <w:sz w:val="24"/>
        </w:rPr>
        <w:t xml:space="preserve">, although it </w:t>
      </w:r>
      <w:r w:rsidR="00FC5096" w:rsidRPr="00A326EF">
        <w:rPr>
          <w:rFonts w:ascii="Times New Roman" w:hAnsi="Times New Roman" w:cs="Times New Roman"/>
          <w:sz w:val="24"/>
          <w:szCs w:val="24"/>
        </w:rPr>
        <w:t>delved</w:t>
      </w:r>
      <w:r w:rsidRPr="00087AA4">
        <w:rPr>
          <w:rFonts w:ascii="Times New Roman" w:hAnsi="Times New Roman"/>
          <w:sz w:val="24"/>
        </w:rPr>
        <w:t xml:space="preserve"> briefly into the economics of such a proposi</w:t>
      </w:r>
      <w:r w:rsidR="00FC5096" w:rsidRPr="00087AA4">
        <w:rPr>
          <w:rFonts w:ascii="Times New Roman" w:hAnsi="Times New Roman"/>
          <w:sz w:val="24"/>
        </w:rPr>
        <w:t>tion as well</w:t>
      </w:r>
      <w:r w:rsidR="00FC5096" w:rsidRPr="00F651DB">
        <w:rPr>
          <w:rFonts w:ascii="Times New Roman" w:hAnsi="Times New Roman"/>
          <w:sz w:val="24"/>
        </w:rPr>
        <w:t xml:space="preserve">. </w:t>
      </w:r>
      <w:r w:rsidR="00FC5096" w:rsidRPr="00A326EF">
        <w:rPr>
          <w:rFonts w:ascii="Times New Roman" w:hAnsi="Times New Roman" w:cs="Times New Roman"/>
          <w:sz w:val="24"/>
          <w:szCs w:val="24"/>
        </w:rPr>
        <w:t>An</w:t>
      </w:r>
      <w:r w:rsidR="00FC5096" w:rsidRPr="00087AA4">
        <w:rPr>
          <w:rFonts w:ascii="Times New Roman" w:hAnsi="Times New Roman"/>
          <w:sz w:val="24"/>
        </w:rPr>
        <w:t xml:space="preserve"> </w:t>
      </w:r>
      <w:r w:rsidRPr="00087AA4">
        <w:rPr>
          <w:rFonts w:ascii="Times New Roman" w:hAnsi="Times New Roman"/>
          <w:sz w:val="24"/>
        </w:rPr>
        <w:t>extensive literature review revealed that the Cattle Drinking W</w:t>
      </w:r>
      <w:r w:rsidR="00FC5096" w:rsidRPr="00087AA4">
        <w:rPr>
          <w:rFonts w:ascii="Times New Roman" w:hAnsi="Times New Roman"/>
          <w:sz w:val="24"/>
        </w:rPr>
        <w:t xml:space="preserve">ater MCLs presented in Table 2 </w:t>
      </w:r>
      <w:r w:rsidRPr="00087AA4">
        <w:rPr>
          <w:rFonts w:ascii="Times New Roman" w:hAnsi="Times New Roman"/>
          <w:sz w:val="24"/>
        </w:rPr>
        <w:t xml:space="preserve">were largely consistent across many different sources </w:t>
      </w:r>
      <w:r w:rsidRPr="00087AA4">
        <w:rPr>
          <w:rFonts w:ascii="Times New Roman" w:hAnsi="Times New Roman"/>
          <w:sz w:val="24"/>
        </w:rPr>
        <w:fldChar w:fldCharType="begin"/>
      </w:r>
      <w:r w:rsidR="004B13BE">
        <w:rPr>
          <w:rFonts w:ascii="Times New Roman" w:hAnsi="Times New Roman"/>
          <w:sz w:val="24"/>
        </w:rPr>
        <w:instrText xml:space="preserve"> ADDIN ZOTERO_ITEM CSL_CITATION {"citationID":"WFnIoO49","properties":{"formattedCitation":"(Ayers &amp; Westcot, 1985b; Beede, 2008; Higgins et al., 2008; Olkowski, 2009; Pfost et al., 2001; Sallenave, 2016; USEPA, 2012; Waldner &amp; Looper, n.d.)","plainCitation":"(Ayers &amp; Westcot, 1985b; Beede, 2008; Higgins et al., 2008; Olkowski, 2009; Pfost et al., 2001; Sallenave, 2016; USEPA, 2012; Waldner &amp; Looper, n.d.)","dontUpdate":true,"noteIndex":0},"citationItems":[{"id":163,"uris":["http://zotero.org/users/5446453/items/V27WFHEB"],"uri":["http://zotero.org/users/5446453/items/V27WFHEB"],"itemData":{"id":163,"type":"webpage","container-title":"Food and Agriculture Organization of the United Nations","title":"Water quality for livestock and poultry","title-short":"UN FAO","URL":"http://www.fao.org/3/t0234e/T0234E07.htm","author":[{"family":"Ayers","given":"R.S."},{"family":"Westcot","given":"D.W."}],"accessed":{"date-parts":[["2019",12,17]]},"issued":{"date-parts":[["1985"]]}}},{"id":910,"uris":["http://zotero.org/users/5446453/items/Y6RWTVJA"],"uri":["http://zotero.org/users/5446453/items/Y6RWTVJA"],"itemData":{"id":910,"type":"paper-conference","event":"Bucknell Nutrition Conference","event-place":"Lewisburg, PA","language":"en","page":"24","publisher-place":"Lewisburg, PA","source":"Zotero","title":"Evaluation of Water Quality and Nutrition for Dairy Cattle","author":[{"family":"Beede","given":"David K"}],"issued":{"date-parts":[["2008",7,15]]}}},{"id":912,"uris":["http://zotero.org/users/5446453/items/RLSDXUJ5"],"uri":["http://zotero.org/users/5446453/items/RLSDXUJ5"],"itemData":{"id":912,"type":"report","language":"en","number":"ID-170","page":"4","publisher":"University of Kentucky Extension Service","source":"Zotero","title":"Drinking Water Quality Guidelines for Cattle","author":[{"family":"Higgins","given":"Stephen F"},{"family":"Agouridis","given":"Carmen T"},{"family":"Gumbert","given":"Amanda A."}],"issued":{"date-parts":[["2008"]]}}},{"id":906,"uris":["http://zotero.org/users/5446453/items/5GQZH863"],"uri":["http://zotero.org/users/5446453/items/5GQZH863"],"itemData":{"id":906,"type":"article","publisher":"University of Saskatchewan","title":"Livestock Water Quality: A field guide for cattle, horses, poultry and swine","URL":"https://www.ag.ndsu.edu/waterquality/livestock/Livestock_Water_QualityFINALweb.pdf","author":[{"family":"Olkowski","given":"Andrew A."}],"accessed":{"date-parts":[["2020",11,18]]},"issued":{"date-parts":[["2009"]]}}},{"id":162,"uris":["http://zotero.org/users/5446453/items/9E42IX97"],"uri":["http://zotero.org/users/5446453/items/9E42IX97"],"itemData":{"id":162,"type":"report","abstract":"Water is a critical nutrient for livestock and poultry. As with feed ingredients, livestock water should meet the nutritional needs of the animal. An adequate and safe water supply is essential to the production of healthy livestock and poultry. Water that adversely affects the growth, reproduction, or productivity of livestock and poultry cannot be considered suitable. Although there is scant research data on the economic effects of water quality on livestock performance, logic tells us that farm water supplies, either surface or ground, should be protected against contamination from microorganisms, chemicals and other pollutants. Substances that originate on livestock farms and often contaminate water supplies include nitrates, bacteria, organic materials, and suspended solids. A high level of suspended solids and an objectionable taste, odor or color in water can cause animals to drink less than they should.Surface water supplies to which livestock have ready access are always potential candidates for contamination. Shallow dug wells without good surface drainage away from the well may be subject to infiltration of contaminants. The presence of coliform bacteria in a well is an indication that surface water is finding its way into the well. In karst topography, sink holes, losing streams and porous soils may allow direct contamination of fractured rock aquifers.Water can serve as a reservoir for many different disease organisms and toxins. Stagnant water contaminated with manure or other nutrients may develop blue-green algae, which can poison livestock, causing muscle tremors, liver damage, and death. Farm pond water needs to be observed for the presence of algae and other harmful organisms during hot, dry weather.Leptospirosis and Fusobacterium are two bacterial contaminants that often use water and mud, respectively, as modes of transportation from animal to animal. Leptospirosis is spread through urine of carrier animals. This disease often manifests itself as reproductive problems. Problems may range from infertility, to low milk production, to widespread late-term abortion. The organism can survive for extended periods of time in surface waters. One should take care to avoid forcing livestock to drink from water sources that may be contaminated with urine.Fusobacterium infection is more commonly known as \"foot-rot.\" The bacterium is a soil-borne organism found virtually throughout the United States. It is carried on the feet of animals, which then serve to contaminate any body of water they enter. The bacteria then enter through cuts, bruises, or puncture wounds on damaged feet of other animals. Once inside an animal's body, they multiply rapidly and serve to spread the disease. Clinical signs of \"foot-rot\" are most commonly seen as chronic lameness, often with swelling above the foot. \"Foot-rot\" can usually be effectively treated with penicillin and sulfa.When water is suspected of causing health problems in livestock, veterinary assistance should be sought to determine the actual disease. Laboratory diagnostic examination of animals as well as the water supply may be necessary to evaluate the problem. Temporarily changing to a known safe water supply is a useful test to determine whether the health problems can be solved.Thus, the importance of an accurate diagnosis must be emphasized.Tables 1 through 4 in this guide show the recommended limits of certain pollutants and other substances commonly found in water used for livestock and poultry.Toxicity from a specific mineral or compound depends on its concentration and on relative levels of other components with which it interacts.Common water contaminantsThe U.S. Environmental Protection Agency recommends that livestock water contain less than 5,000 coliform organisms per 100 milliliters; fecal coliform should be near zero. Alkalinity is expressed either as a pH or as titratable alkalinity in the form of bicarbonates. A pH of 7 is neutral; a pH between 7.0 and 8.0 is mildly alkaline; and a pH of 10 is highly alkaline. Excessive alkalinity can cause physiological and digestive upsets in livestock. Desired and potential problem levels of some common pollutants in livestock water supplies are listed in Table 1. Table 2 shows the safe upper limits for several substances that may be contained in livestock water.Mineralized (salty) waterResidents in a large portion of the state of Missouri southeast of an irregular line running from approximately the Bowling Green region to the Nevada region are fortunate to have good quality groundwater generally available within a few hundred feet of the surface in sufficient quantity for large livestock and poultry operations. Unfortunately, northwest of this line, the water from deep, high-yield aquifers is usually too highly mineralized to be used for watering livestock. This area commonly depends on surface water supplies for farms and public uses. The saltiness of water is commonly measured by total dissolved solids, which is approximated by the electrical conductance of the water. The mineralized water in northwest Missouri commonly ranges from 2,000 to 10,000 ppm and as high as 30,000 ppm in total dissolved solids (TDS). Chlorides and sulfates are the main mineral constituents. Chlorides range from calcium to sodium chloride (common salt). Sulfates include calcium, magnesium (Epsom salt) and sodium salts. The Missouri Department of Natural Resources, Division of Geology and Land Survey, 573-368-2190, at Rolla can provide guidance on the quantity and quality of groundwater that can be expected at various locations and depths. Table 3 lists the effect of various levels of salinity in drinking water on livestock and poultry.Nitrate levelsNitrates are soluble and move with percolating or runoff water. Therefore, ponds with runoff from heavily fertilized or manured fields and water from poorly cased, shallow wells may contain nitrates. Water from deep wells is usually nitrate free.Nitrogen in the form of nitrate is not especially toxic, but when reduced in the rumen to nitrite and absorbed into the blood, nitrite reduces the oxygen-carrying capacity of the blood by reacting with hemoglobin. Ruminants have an ability to convert some nitrate to usable products. However, the rumen microbes in cattle and sheep can readily reduce nitrate to the toxic nitrite form. The total amount of nitrates in the diet is important and subject to change with growing conditions of harvested and pastured forage. For example, during a drought, corn silage may accumulate high concentrations of nitrate and when added to the nitrate present in water may result in a lethal combination. The ensiling process will reduce the nitrate level to acceptable levels after a period of aging for 60 to 90 days in the silo. Unlike other simple-stomached animals such as swine, horses do have a cecum containing microbes capable of converting nitrate to the more toxic nitrite form. The extent and rapidity of this chemical conversion in horses is insufficient to make them as susceptible as ruminants. Fortunately, the preformed nitrite is rarely encountered in sufficient concentrations in water and feed to be a toxic threat. Table 4 provides a guide to the use of water containing nitrates for livestock.Table 1Desired and potential levels of pollutants in livestock water supplies.SubstanceDesired rangeProblem rangeTotal bacteria per 100 milliliters&amp;lt;200&amp;gt;1,000,000Fecal coliform per 100 milliliters&amp;lt;1&amp;gt;1 for young animals&amp;gt;10 for older animalsFecal strep per 100 milliliters&amp;lt;1&amp;gt;3 for young animals&amp;gt;30 for older animalspH6.8 to 7.5&amp;lt;5.5 or &amp;gt;8.5Dissolved solids, milligrams per liter&amp;lt;500&amp;gt;3,000Total alkalinity, milligrams per liter&amp;lt;400&amp;gt;5,000Sulfate, milligrams per liter&amp;lt;250&amp;gt;2,000Phosphate, milligrams per liter&amp;lt;1not establishedTurbidity, Jackson units&amp;lt;30not establishedSourceFrom the Agricultural Waste Management Field Handbook, page 1 to 16. Based on research literature and field experience in the northeastern United States.Table 2Safe upper limits for several substances that may be contained in water for livestock and poultry.SubstanceSafe upper limit of concentrationAluminum (Al)5 ppmArsenic (As)0.2 ppmBoron (B)5 ppmCadmium (Cd)0.05 ppmChromium (Cr)1 ppmCobalt (Co)1 ppmCopper (Cu)0.5 ppmFluoride (F)2 ppmLead (Pb)0.05 ppmMercury (Hg)0.01 ppmNitrate + Nitrite100 ppmNitrite10 ppmSelenium (Se)0.05 to 0.10 ppmVanadium (V)0.1 ppmZinc (Zn)24 ppmTotal dissolved solids10,000 ppmMagnesium + sodium sulfates5,000 ppmAlkalinity (carbonate + bicarbonate)2,000 ppmSourceWhen Is Water Good Enough for Livestock? Montana State Extension.Table 3Effect of salinity of drinking water on livestock and poultry (Water Quality Criteria, 1972).Soluble salt (mg per L)Effect&amp;lt;1,000Low level of salinity; present no serious burden to any class of livestock or poultry1,000 to 2,999Satisfactory for all classes of livestock and poultry; may cause temporary, mild diarrhea in livestock; and water droppings in poultry at higher levels; no effect on health or performance3,000 to 4,999Satisfactory for livestock; may cause temporary diarrhea or be refused by animals no accustomed to it; poor water for poultry causing watery feces and, at high levels, increased mortality and decreased growth (especially in turkeys).5,000 to 6,999Reasonable safety for dairy and beef cattle, sheep, swine, and horses; avoid use for pregnant or lactating animals; not acceptable for poultry, causes decreased growth and production or increased mortality.7,000 to 10,000Unfit for poultry and swine; risk in using for pregnant or lactating cows, horses, sheep, the young of these species, or animals subjected to heavy heat stress or water loss; use should be avoided, although older ruminants, horses, poultry, and swine may subsist for long periods under conditions of low stress.&amp;gt;10,000Risks are great; cannot be recommended for use under any conditions.SourceAgricultural Waste Management Field Handbook, page 1 to 17.Table 4Guide to use of waters containing nitrates for livestock.Nitrate content* as parts per million (ppm) of nitrate nitrogen (NO3-N)**CommentsLess than 100Experimental evidence indicates this water should not harm livestock or poultry.100 to 300This water by itself should not harm livestock or poultry. If hays or silages contain high levels of nitrate this water may contribute significantly to a nitrate problem in cattle, sheep, or horses.More than 300This water could cause typical nitrate poisoning in cattle, sheep, or horses, and its use for these animals is not recommended. Because this level of nitrate contributes to the salts content in a significant amount, use of this water for swine or poultry should be avoided.SourceWater Quality for Livestock and Poultry, FO-1864-GO. University of Minnesota Extension Division, 1990.* The values shown include nitrate and nitrite nitrogen. In no case should the waters contain more than 50 ppm nitrite nitrogen (NO2N) because of the greater toxicity of the nitrite form.**1 ppm of nitrate nitrogen is equivalent to 4.4 ppm of nitrate (NO3).Achieving quality waterTo achieve high-quality surface water, fence livestock out of the pond or stream and pipe the water to a tank or other waterer. To obtain the best water from a pond, provide a grassed watershed where no chemicals or manure are applied and float a screened pipe intake about 2 feet below the surface. Water can be pumped from a stream or, in some cases, can be piped to a tank by gravity. An alternative is to allow limited access for livestock to drink from a pond or stream. Spring water may need to be pumped to the desired waterer location, or the spring may need to be developed to provide the head necessary for gravity flow.Well sites should be graded to drain surface water away from the well casing. Wells should be cased to comply with the Missouri Well Construction Rules. Wells should be located as far as practical from septic tanks (50 feet minimum), septic fields (100 feet minimum), chemical mixing areas (300 feet minimum), feedlots (100 feet minimum), earthen manure storage basins and lagoons (300 feet minimum), and land application areas for manure (300 feet minimum).Under the EPA's Unified National Strategy for Animal Feeding Operations, the desired outcome is for all concentrated animal feeding operations to develop and implement a comprehensive nutrient management plan. Such a plan should address, as necessary, feed management, manure handling and storage, land application of manure, land management, record keeping, and other utilization options. In addition to nutrients, the plan should address other pollutants, such as pathogens, to minimize the effects of animal feeding operations on water quality and public health.At a minimum, the nutrient management plan should prevent the application of nutrients at rates that will exceed the capacity of the soil and planned crop needs. Soils, crop material and manure should be tested to determine nutrient needs. Manure application equipment should be calibrated to ensure that the quantity of material being applied conforms to a plan. Records of crops removed annually and the total amount of effluent applied will allow producers to maintain the desired nutrient balance.Water testingAnnual water tests are recommended for private wells, especially for shallow wells, and whenever a problem is suspected. Owners of private wells can have their water tested by collecting a sample themselves or by hiring a qualified person to do so. The sample should be taken to a certified laboratory for analysis. Sample bottles should be obtained from the testing laboratory or local health department, because containers may be especially prepared for a specific contaminant. Sampling and handling procedures depend on the water quality concern and should be followed carefully.Water analyses typically include the following tests:Total coliform bacteriapH (acid or alkaline level)Total dissolved solidsTotal soluble saltSalinityHardnessNitratesSulfateOther factors such as toxicity problems with specific minerals or pesticides, or occasionally, heavy algae growthThere are no regulations governing the number of microorganisms or bacteria in water used for livestock production unless the farm is a Grade A dairy. In that case, the water must be from a supply that provides water of safe and sanitary quality with no detectable fecal coliform bacteria. Within the state of Missouri, a Grade A milk law presents well construction guidelines for Grade A dairies. Water must be tested after any repairs or modifications to the water supply system. In addition, specific requirements prohibit backsiphoning from outdoor livestock water tanks.Normally, hard water does not interfere with livestock performance; however, hard waters can cause difficulty in washing of milking equipment and causes water heaters to \"lime up.\" Contaminates such as iron and sand will clog pipelines. Well water with high iron content may have problems with iron bacteria forming a red, slimy mass that can clog well screens and require periodic treatment with chlorine. Some wells produce considerable amounts of sand. A sand separator should be installed at the beginning of a pipeline in such a case. Sand separators are available through suppliers of trickle irrigation equipment. Sulfur waters are corrosive and have a bad odor.Rural water is a reliable source but may be too costly for large livestock operations. However, consider connection to the rural source as a backup supply. Backflow prevention valves shall be used to prevent contamination of the rural water supply. In most cases, rural water districts require an air gap because backflow valves are not safe enough.Laboratories for water quality tests at MUMany commercial laboratories provide testing for water quality. Contact your local Natural Resources Conservation Service office or MU Extension center for a list of commercial laboratories.The following laboratories at the MU perform water quality tests:Veterinary Medical Diagnostic LaboratoryToxicology Section573-882-6811Soil and Plant Testing Laboratorysoilplantlab.missouri.edu/soil/Department of Agronomy573-882-0623For further informationAgricultural Waste Management Field Handbook, Part 651, National Engineering Handbook. Washington, D.C.: Natural Resources Conservation Department, U.S. Department of Agriculture, 1992.Crawford, R.J., Jr., and E. Cole. 1999. Effect of water source and quality on water intake and performance of cows and calves grazing tall fescue. Southwest Missouri Agricultural Research and Education Center 1999 Research Report, pp. 2 to 8.FO-1864-GO. Water Quality for Livestock and Poultry. 1990. Extension Distribution Center, University of Minnesota.Missouri Livestock Watering Systems Handbooks 1 and 2. 1997. USDA Natural Resources Conservation Service, Columbia, Mo.Water Quality for Livestock and Poultry, Guide M-112. 1995. New Mexico State Extension, Las Cruces, N.M.","collection-title":"MU Guide","event-place":"MU Extension","language":"en","number":"New 2/01/7M","page":"4","publisher":"University of Missouri-Columbia","publisher-place":"MU Extension","title":"Water Quality for Livestock Drinking","URL":"https://extensiondata.missouri.edu/pub/pdf/envqual/eq0381.pdf","author":[{"family":"Pfost","given":"Donald L."},{"family":"Fulhage","given":"Charles D."},{"family":"Casteel","given":"Stan"}],"accessed":{"date-parts":[["2019",12,17]]},"issued":{"date-parts":[["2001",2]]}}},{"id":167,"uris":["http://zotero.org/users/5446453/items/W57HKQPC"],"uri":["http://zotero.org/users/5446453/items/W57HKQPC"],"itemData":{"id":167,"type":"report","event-place":"Las Cruces, NM","language":"en","number":"Guide M-112","page":"4","publisher":"NM State University - College of Agricultural, Consumer and Environmental Sciences","publisher-place":"Las Cruces, NM","source":"Zotero","title":"Water Quality for Livestock and Poultry","author":[{"family":"Sallenave","given":"Rossana"}],"issued":{"date-parts":[["2016",12]]}}},{"id":410,"uris":["http://zotero.org/users/5446453/items/6AD5KZJC"],"uri":["http://zotero.org/users/5446453/items/6AD5KZJC"],"itemData":{"id":410,"type":"report","event-place":"Washington, D.C.","language":"en","number":"EPA/600/R-12/618","page":"643","publisher":"U.S. Environmental Protection Agency Office of Wastewater Management","publisher-place":"Washington, D.C.","source":"Zotero","title":"2012 Guidelines for Water Reuse","URL":"https://www3.epa.gov/region1/npdes/merrimackstation/pdfs/ar/AR-1530.pdf","author":[{"literal":"USEPA"}],"issued":{"date-parts":[["2012",9]]}}},{"id":904,"uris":["http://zotero.org/users/5446453/items/U8KCGFCM"],"uri":["http://zotero.org/users/5446453/items/U8KCGFCM"],"itemData":{"id":904,"type":"report","event-place":"Stillwater, OK","number":"ANSI-4275","publisher":"Oklahoma State University Extension Service, Division of Agricultural Sciences and Natural Resources","publisher-place":"Stillwater, OK","title":"Water for Dairy Cattle","URL":"https://www.landcan.org/pdfs/ANSI-4275%20Water%20for%20Dairy%20Cattle.pdf","author":[{"family":"Waldner","given":"Dan N."},{"family":"Looper","given":"Michael L."}],"accessed":{"date-parts":[["2020",11,17]]}}}],"schema":"https://github.com/citation-style-language/schema/raw/master/csl-citation.json"} </w:instrText>
      </w:r>
      <w:r w:rsidRPr="00087AA4">
        <w:rPr>
          <w:rFonts w:ascii="Times New Roman" w:hAnsi="Times New Roman"/>
          <w:sz w:val="24"/>
        </w:rPr>
        <w:fldChar w:fldCharType="separate"/>
      </w:r>
      <w:r w:rsidR="00FF5DF8" w:rsidRPr="00087AA4">
        <w:rPr>
          <w:rFonts w:ascii="Times New Roman" w:hAnsi="Times New Roman"/>
          <w:sz w:val="24"/>
        </w:rPr>
        <w:t xml:space="preserve">(Ayers </w:t>
      </w:r>
      <w:r w:rsidR="002A6AB5">
        <w:rPr>
          <w:rFonts w:ascii="Times New Roman" w:hAnsi="Times New Roman"/>
          <w:sz w:val="24"/>
        </w:rPr>
        <w:t>and</w:t>
      </w:r>
      <w:r w:rsidR="00FF5DF8" w:rsidRPr="00087AA4">
        <w:rPr>
          <w:rFonts w:ascii="Times New Roman" w:hAnsi="Times New Roman"/>
          <w:sz w:val="24"/>
        </w:rPr>
        <w:t xml:space="preserve"> Westcot, 1985b; Beede, 2008; Higgins et al., 2008; Olkowski, 2009; Pfost et al., 2001; Sallenave, 2016; USEPA, 2012; Waldner </w:t>
      </w:r>
      <w:r w:rsidR="002A6AB5">
        <w:rPr>
          <w:rFonts w:ascii="Times New Roman" w:hAnsi="Times New Roman"/>
          <w:sz w:val="24"/>
        </w:rPr>
        <w:t>and</w:t>
      </w:r>
      <w:r w:rsidR="00FF5DF8" w:rsidRPr="00087AA4">
        <w:rPr>
          <w:rFonts w:ascii="Times New Roman" w:hAnsi="Times New Roman"/>
          <w:sz w:val="24"/>
        </w:rPr>
        <w:t xml:space="preserve"> Looper, </w:t>
      </w:r>
      <w:proofErr w:type="spellStart"/>
      <w:r w:rsidR="00FF5DF8" w:rsidRPr="00087AA4">
        <w:rPr>
          <w:rFonts w:ascii="Times New Roman" w:hAnsi="Times New Roman"/>
          <w:sz w:val="24"/>
        </w:rPr>
        <w:t>n.d.</w:t>
      </w:r>
      <w:proofErr w:type="spellEnd"/>
      <w:r w:rsidR="00FF5DF8" w:rsidRPr="00087AA4">
        <w:rPr>
          <w:rFonts w:ascii="Times New Roman" w:hAnsi="Times New Roman"/>
          <w:sz w:val="24"/>
        </w:rPr>
        <w:t>)</w:t>
      </w:r>
      <w:r w:rsidRPr="00087AA4">
        <w:rPr>
          <w:rFonts w:ascii="Times New Roman" w:hAnsi="Times New Roman"/>
          <w:sz w:val="24"/>
        </w:rPr>
        <w:fldChar w:fldCharType="end"/>
      </w:r>
      <w:r w:rsidRPr="00087AA4">
        <w:rPr>
          <w:rFonts w:ascii="Times New Roman" w:hAnsi="Times New Roman"/>
          <w:sz w:val="24"/>
        </w:rPr>
        <w:t xml:space="preserve">. In the absence of an established toxic concentration, MCLs represent the amount of a chemical that might impact cattle metabolism by interfering with the uptake or usage of other nutrients, or might drive cattle to avoid a water source altogether </w:t>
      </w:r>
      <w:r w:rsidRPr="00087AA4">
        <w:rPr>
          <w:rFonts w:ascii="Times New Roman" w:hAnsi="Times New Roman"/>
          <w:sz w:val="24"/>
        </w:rPr>
        <w:fldChar w:fldCharType="begin"/>
      </w:r>
      <w:r w:rsidRPr="00087AA4">
        <w:rPr>
          <w:rFonts w:ascii="Times New Roman" w:hAnsi="Times New Roman"/>
          <w:sz w:val="24"/>
        </w:rPr>
        <w:instrText xml:space="preserve"> ADDIN ZOTERO_ITEM CSL_CITATION {"citationID":"9KmvociJ","properties":{"formattedCitation":"(Beede, 2008; Olkowski, 2009)","plainCitation":"(Beede, 2008; Olkowski, 2009)","noteIndex":0},"citationItems":[{"id":910,"uris":["http://zotero.org/users/5446453/items/Y6RWTVJA"],"uri":["http://zotero.org/users/5446453/items/Y6RWTVJA"],"itemData":{"id":910,"type":"paper-conference","event":"Bucknell Nutrition Conference","event-place":"Lewisburg, PA","language":"en","page":"24","publisher-place":"Lewisburg, PA","source":"Zotero","title":"Evaluation of Water Quality and Nutrition for Dairy Cattle","author":[{"family":"Beede","given":"David K"}],"issued":{"date-parts":[["2008",7,15]]}}},{"id":906,"uris":["http://zotero.org/users/5446453/items/5GQZH863"],"uri":["http://zotero.org/users/5446453/items/5GQZH863"],"itemData":{"id":906,"type":"article","publisher":"University of Saskatchewan","title":"Livestock Water Quality: A field guide for cattle, horses, poultry and swine","URL":"https://www.ag.ndsu.edu/waterquality/livestock/Livestock_Water_QualityFINALweb.pdf","author":[{"family":"Olkowski","given":"Andrew A."}],"accessed":{"date-parts":[["2020",11,18]]},"issued":{"date-parts":[["2009"]]}}}],"schema":"https://github.com/citation-style-language/schema/raw/master/csl-citation.json"} </w:instrText>
      </w:r>
      <w:r w:rsidRPr="00087AA4">
        <w:rPr>
          <w:rFonts w:ascii="Times New Roman" w:hAnsi="Times New Roman"/>
          <w:sz w:val="24"/>
        </w:rPr>
        <w:fldChar w:fldCharType="separate"/>
      </w:r>
      <w:r w:rsidR="00234033" w:rsidRPr="00234033">
        <w:rPr>
          <w:rFonts w:ascii="Times New Roman" w:hAnsi="Times New Roman" w:cs="Times New Roman"/>
          <w:sz w:val="24"/>
        </w:rPr>
        <w:t>(Beede, 2008; Olkowski, 2009)</w:t>
      </w:r>
      <w:r w:rsidRPr="00087AA4">
        <w:rPr>
          <w:rFonts w:ascii="Times New Roman" w:hAnsi="Times New Roman"/>
          <w:sz w:val="24"/>
        </w:rPr>
        <w:fldChar w:fldCharType="end"/>
      </w:r>
      <w:r w:rsidRPr="00087AA4">
        <w:rPr>
          <w:rFonts w:ascii="Times New Roman" w:hAnsi="Times New Roman"/>
          <w:sz w:val="24"/>
        </w:rPr>
        <w:t xml:space="preserve">. Although most water quality constituents in MRPTS outflow were well below </w:t>
      </w:r>
      <w:r w:rsidRPr="00F62183">
        <w:rPr>
          <w:rFonts w:ascii="Times New Roman" w:hAnsi="Times New Roman" w:cs="Times New Roman"/>
        </w:rPr>
        <w:t>MCL</w:t>
      </w:r>
      <w:r w:rsidR="00A645F9">
        <w:rPr>
          <w:rFonts w:ascii="Times New Roman" w:hAnsi="Times New Roman" w:cs="Times New Roman"/>
        </w:rPr>
        <w:t>s</w:t>
      </w:r>
      <w:r w:rsidRPr="00087AA4">
        <w:rPr>
          <w:rFonts w:ascii="Times New Roman" w:hAnsi="Times New Roman"/>
          <w:sz w:val="24"/>
        </w:rPr>
        <w:t xml:space="preserve">, choosing a single </w:t>
      </w:r>
      <w:r w:rsidR="00FC5096" w:rsidRPr="00A326EF">
        <w:rPr>
          <w:rFonts w:ascii="Times New Roman" w:hAnsi="Times New Roman" w:cs="Times New Roman"/>
          <w:sz w:val="24"/>
          <w:szCs w:val="24"/>
        </w:rPr>
        <w:t>cutoff</w:t>
      </w:r>
      <w:r w:rsidRPr="00087AA4">
        <w:rPr>
          <w:rFonts w:ascii="Times New Roman" w:hAnsi="Times New Roman"/>
          <w:sz w:val="24"/>
        </w:rPr>
        <w:t xml:space="preserve"> to describe a recommended concentration for cattle</w:t>
      </w:r>
      <w:r w:rsidR="00A645F9">
        <w:rPr>
          <w:rFonts w:ascii="Times New Roman" w:hAnsi="Times New Roman" w:cs="Times New Roman"/>
        </w:rPr>
        <w:t>,</w:t>
      </w:r>
      <w:r w:rsidRPr="00087AA4">
        <w:rPr>
          <w:rFonts w:ascii="Times New Roman" w:hAnsi="Times New Roman"/>
          <w:sz w:val="24"/>
        </w:rPr>
        <w:t xml:space="preserve"> irrespective of type, maturity, feed, and environment</w:t>
      </w:r>
      <w:r w:rsidR="00A645F9">
        <w:rPr>
          <w:rFonts w:ascii="Times New Roman" w:hAnsi="Times New Roman" w:cs="Times New Roman"/>
        </w:rPr>
        <w:t>,</w:t>
      </w:r>
      <w:r w:rsidRPr="00087AA4">
        <w:rPr>
          <w:rFonts w:ascii="Times New Roman" w:hAnsi="Times New Roman"/>
          <w:sz w:val="24"/>
        </w:rPr>
        <w:t xml:space="preserve"> is rarely possible; therefore, </w:t>
      </w:r>
      <w:r w:rsidR="00A645F9">
        <w:rPr>
          <w:rFonts w:ascii="Times New Roman" w:hAnsi="Times New Roman" w:cs="Times New Roman"/>
        </w:rPr>
        <w:t>several</w:t>
      </w:r>
      <w:r w:rsidR="00A645F9" w:rsidRPr="00F62183">
        <w:rPr>
          <w:rFonts w:ascii="Times New Roman" w:hAnsi="Times New Roman" w:cs="Times New Roman"/>
        </w:rPr>
        <w:t xml:space="preserve"> </w:t>
      </w:r>
      <w:r w:rsidRPr="00087AA4">
        <w:rPr>
          <w:rFonts w:ascii="Times New Roman" w:hAnsi="Times New Roman"/>
          <w:sz w:val="24"/>
        </w:rPr>
        <w:t>relat</w:t>
      </w:r>
      <w:r w:rsidR="00FC5096" w:rsidRPr="00087AA4">
        <w:rPr>
          <w:rFonts w:ascii="Times New Roman" w:hAnsi="Times New Roman"/>
          <w:sz w:val="24"/>
        </w:rPr>
        <w:t xml:space="preserve">ively concerning parameters </w:t>
      </w:r>
      <w:r w:rsidR="00FC5096" w:rsidRPr="00A326EF">
        <w:rPr>
          <w:rFonts w:ascii="Times New Roman" w:hAnsi="Times New Roman" w:cs="Times New Roman"/>
          <w:sz w:val="24"/>
          <w:szCs w:val="24"/>
        </w:rPr>
        <w:t>were</w:t>
      </w:r>
      <w:r w:rsidRPr="00087AA4">
        <w:rPr>
          <w:rFonts w:ascii="Times New Roman" w:hAnsi="Times New Roman"/>
          <w:sz w:val="24"/>
        </w:rPr>
        <w:t xml:space="preserve"> specifically addressed </w:t>
      </w:r>
      <w:r w:rsidRPr="00087AA4">
        <w:rPr>
          <w:rFonts w:ascii="Times New Roman" w:hAnsi="Times New Roman"/>
          <w:sz w:val="24"/>
        </w:rPr>
        <w:fldChar w:fldCharType="begin"/>
      </w:r>
      <w:r w:rsidRPr="00087AA4">
        <w:rPr>
          <w:rFonts w:ascii="Times New Roman" w:hAnsi="Times New Roman"/>
          <w:sz w:val="24"/>
        </w:rPr>
        <w:instrText xml:space="preserve"> ADDIN ZOTERO_ITEM CSL_CITATION {"citationID":"s6PvzPNK","properties":{"formattedCitation":"(Olkowski, 2009)","plainCitation":"(Olkowski, 2009)","noteIndex":0},"citationItems":[{"id":906,"uris":["http://zotero.org/users/5446453/items/5GQZH863"],"uri":["http://zotero.org/users/5446453/items/5GQZH863"],"itemData":{"id":906,"type":"article","publisher":"University of Saskatchewan","title":"Livestock Water Quality: A field guide for cattle, horses, poultry and swine","URL":"https://www.ag.ndsu.edu/waterquality/livestock/Livestock_Water_QualityFINALweb.pdf","author":[{"family":"Olkowski","given":"Andrew A."}],"accessed":{"date-parts":[["2020",11,18]]},"issued":{"date-parts":[["2009"]]}}}],"schema":"https://github.com/citation-style-language/schema/raw/master/csl-citation.json"} </w:instrText>
      </w:r>
      <w:r w:rsidRPr="00087AA4">
        <w:rPr>
          <w:rFonts w:ascii="Times New Roman" w:hAnsi="Times New Roman"/>
          <w:sz w:val="24"/>
        </w:rPr>
        <w:fldChar w:fldCharType="separate"/>
      </w:r>
      <w:r w:rsidR="00234033" w:rsidRPr="00234033">
        <w:rPr>
          <w:rFonts w:ascii="Times New Roman" w:hAnsi="Times New Roman" w:cs="Times New Roman"/>
          <w:sz w:val="24"/>
        </w:rPr>
        <w:t>(Olkowski, 2009)</w:t>
      </w:r>
      <w:r w:rsidRPr="00087AA4">
        <w:rPr>
          <w:rFonts w:ascii="Times New Roman" w:hAnsi="Times New Roman"/>
          <w:sz w:val="24"/>
        </w:rPr>
        <w:fldChar w:fldCharType="end"/>
      </w:r>
      <w:r w:rsidRPr="00087AA4">
        <w:rPr>
          <w:rFonts w:ascii="Times New Roman" w:hAnsi="Times New Roman"/>
          <w:sz w:val="24"/>
        </w:rPr>
        <w:t xml:space="preserve">. </w:t>
      </w:r>
    </w:p>
    <w:p w14:paraId="636A904E" w14:textId="269247B4" w:rsidR="00813D59" w:rsidRPr="00087AA4" w:rsidRDefault="00813D59" w:rsidP="00813D59">
      <w:pPr>
        <w:spacing w:line="480" w:lineRule="auto"/>
        <w:ind w:firstLine="720"/>
        <w:rPr>
          <w:rFonts w:ascii="Times New Roman" w:hAnsi="Times New Roman"/>
          <w:sz w:val="24"/>
        </w:rPr>
      </w:pPr>
      <w:r w:rsidRPr="00087AA4">
        <w:rPr>
          <w:rFonts w:ascii="Times New Roman" w:hAnsi="Times New Roman"/>
          <w:sz w:val="24"/>
        </w:rPr>
        <w:t xml:space="preserve">Assessing the suitability and safety of reusing MRPTS outflow for livestock watering in the context of certain chemicals like </w:t>
      </w:r>
      <w:r w:rsidR="009678A2">
        <w:rPr>
          <w:rFonts w:ascii="Times New Roman" w:hAnsi="Times New Roman"/>
          <w:sz w:val="24"/>
        </w:rPr>
        <w:t>Ca</w:t>
      </w:r>
      <w:r w:rsidRPr="00087AA4">
        <w:rPr>
          <w:rFonts w:ascii="Times New Roman" w:hAnsi="Times New Roman"/>
          <w:sz w:val="24"/>
        </w:rPr>
        <w:t xml:space="preserve"> and </w:t>
      </w:r>
      <w:r w:rsidR="009678A2">
        <w:rPr>
          <w:rFonts w:ascii="Times New Roman" w:hAnsi="Times New Roman"/>
          <w:sz w:val="24"/>
        </w:rPr>
        <w:t>Mg</w:t>
      </w:r>
      <w:r w:rsidRPr="00087AA4">
        <w:rPr>
          <w:rFonts w:ascii="Times New Roman" w:hAnsi="Times New Roman"/>
          <w:sz w:val="24"/>
        </w:rPr>
        <w:t xml:space="preserve"> could require an analysis of diet. </w:t>
      </w:r>
      <w:r w:rsidR="009678A2">
        <w:rPr>
          <w:rFonts w:ascii="Times New Roman" w:hAnsi="Times New Roman"/>
          <w:sz w:val="24"/>
        </w:rPr>
        <w:t>Ca</w:t>
      </w:r>
      <w:r w:rsidRPr="00087AA4">
        <w:rPr>
          <w:rFonts w:ascii="Times New Roman" w:hAnsi="Times New Roman"/>
          <w:sz w:val="24"/>
        </w:rPr>
        <w:t xml:space="preserve"> and </w:t>
      </w:r>
      <w:r w:rsidR="009678A2">
        <w:rPr>
          <w:rFonts w:ascii="Times New Roman" w:hAnsi="Times New Roman"/>
          <w:sz w:val="24"/>
        </w:rPr>
        <w:t>Mg</w:t>
      </w:r>
      <w:r w:rsidRPr="00087AA4">
        <w:rPr>
          <w:rFonts w:ascii="Times New Roman" w:hAnsi="Times New Roman"/>
          <w:sz w:val="24"/>
        </w:rPr>
        <w:t xml:space="preserve"> concentrations were within the recommended criteria </w:t>
      </w:r>
      <w:r w:rsidR="00A645F9" w:rsidRPr="00087AA4">
        <w:rPr>
          <w:rFonts w:ascii="Times New Roman" w:hAnsi="Times New Roman" w:cs="Times New Roman"/>
          <w:sz w:val="24"/>
          <w:szCs w:val="24"/>
        </w:rPr>
        <w:t>that</w:t>
      </w:r>
      <w:r w:rsidRPr="00087AA4">
        <w:rPr>
          <w:rFonts w:ascii="Times New Roman" w:hAnsi="Times New Roman"/>
          <w:sz w:val="24"/>
        </w:rPr>
        <w:t xml:space="preserve"> have not been known to alter cattle drinking habits or health, but elevated aqueous </w:t>
      </w:r>
      <w:r w:rsidR="009678A2">
        <w:rPr>
          <w:rFonts w:ascii="Times New Roman" w:hAnsi="Times New Roman"/>
          <w:sz w:val="24"/>
        </w:rPr>
        <w:t>Ca</w:t>
      </w:r>
      <w:r w:rsidRPr="00087AA4">
        <w:rPr>
          <w:rFonts w:ascii="Times New Roman" w:hAnsi="Times New Roman"/>
          <w:sz w:val="24"/>
        </w:rPr>
        <w:t xml:space="preserve"> or </w:t>
      </w:r>
      <w:r w:rsidR="009678A2">
        <w:rPr>
          <w:rFonts w:ascii="Times New Roman" w:hAnsi="Times New Roman"/>
          <w:sz w:val="24"/>
        </w:rPr>
        <w:t>Mg</w:t>
      </w:r>
      <w:r w:rsidRPr="00087AA4">
        <w:rPr>
          <w:rFonts w:ascii="Times New Roman" w:hAnsi="Times New Roman"/>
          <w:sz w:val="24"/>
        </w:rPr>
        <w:t xml:space="preserve"> concentrations of 1000 and 400 mg/L, respectively, could contribute to potentially toxic levels of the metals in combination with high dietary intake </w:t>
      </w:r>
      <w:r w:rsidRPr="00087AA4">
        <w:rPr>
          <w:rFonts w:ascii="Times New Roman" w:hAnsi="Times New Roman"/>
          <w:sz w:val="24"/>
        </w:rPr>
        <w:fldChar w:fldCharType="begin"/>
      </w:r>
      <w:r w:rsidRPr="00087AA4">
        <w:rPr>
          <w:rFonts w:ascii="Times New Roman" w:hAnsi="Times New Roman"/>
          <w:sz w:val="24"/>
        </w:rPr>
        <w:instrText xml:space="preserve"> ADDIN ZOTERO_ITEM CSL_CITATION {"citationID":"EJxVfvCM","properties":{"formattedCitation":"(Beede, 2008; Olkowski, 2009)","plainCitation":"(Beede, 2008; Olkowski, 2009)","noteIndex":0},"citationItems":[{"id":910,"uris":["http://zotero.org/users/5446453/items/Y6RWTVJA"],"uri":["http://zotero.org/users/5446453/items/Y6RWTVJA"],"itemData":{"id":910,"type":"paper-conference","event":"Bucknell Nutrition Conference","event-place":"Lewisburg, PA","language":"en","page":"24","publisher-place":"Lewisburg, PA","source":"Zotero","title":"Evaluation of Water Quality and Nutrition for Dairy Cattle","author":[{"family":"Beede","given":"David K"}],"issued":{"date-parts":[["2008",7,15]]}}},{"id":906,"uris":["http://zotero.org/users/5446453/items/5GQZH863"],"uri":["http://zotero.org/users/5446453/items/5GQZH863"],"itemData":{"id":906,"type":"article","publisher":"University of Saskatchewan","title":"Livestock Water Quality: A field guide for cattle, horses, poultry and swine","URL":"https://www.ag.ndsu.edu/waterquality/livestock/Livestock_Water_QualityFINALweb.pdf","author":[{"family":"Olkowski","given":"Andrew A."}],"accessed":{"date-parts":[["2020",11,18]]},"issued":{"date-parts":[["2009"]]}}}],"schema":"https://github.com/citation-style-language/schema/raw/master/csl-citation.json"} </w:instrText>
      </w:r>
      <w:r w:rsidRPr="00087AA4">
        <w:rPr>
          <w:rFonts w:ascii="Times New Roman" w:hAnsi="Times New Roman"/>
          <w:sz w:val="24"/>
        </w:rPr>
        <w:fldChar w:fldCharType="separate"/>
      </w:r>
      <w:r w:rsidR="00234033" w:rsidRPr="00234033">
        <w:rPr>
          <w:rFonts w:ascii="Times New Roman" w:hAnsi="Times New Roman" w:cs="Times New Roman"/>
          <w:sz w:val="24"/>
        </w:rPr>
        <w:t>(Beede, 2008; Olkowski, 2009)</w:t>
      </w:r>
      <w:r w:rsidRPr="00087AA4">
        <w:rPr>
          <w:rFonts w:ascii="Times New Roman" w:hAnsi="Times New Roman"/>
          <w:sz w:val="24"/>
        </w:rPr>
        <w:fldChar w:fldCharType="end"/>
      </w:r>
      <w:r w:rsidRPr="00087AA4">
        <w:rPr>
          <w:rFonts w:ascii="Times New Roman" w:hAnsi="Times New Roman"/>
          <w:sz w:val="24"/>
        </w:rPr>
        <w:t xml:space="preserve">. </w:t>
      </w:r>
      <w:r w:rsidR="009678A2">
        <w:rPr>
          <w:rFonts w:ascii="Times New Roman" w:hAnsi="Times New Roman"/>
          <w:sz w:val="24"/>
        </w:rPr>
        <w:t>F</w:t>
      </w:r>
      <w:r w:rsidR="009678A2" w:rsidRPr="009678A2">
        <w:rPr>
          <w:rFonts w:ascii="Times New Roman" w:hAnsi="Times New Roman"/>
          <w:sz w:val="24"/>
          <w:vertAlign w:val="superscript"/>
        </w:rPr>
        <w:t>-</w:t>
      </w:r>
      <w:r w:rsidRPr="00087AA4">
        <w:rPr>
          <w:rFonts w:ascii="Times New Roman" w:hAnsi="Times New Roman"/>
          <w:sz w:val="24"/>
        </w:rPr>
        <w:t xml:space="preserve"> concentrations were also </w:t>
      </w:r>
      <w:r w:rsidR="00F651DB">
        <w:rPr>
          <w:rFonts w:ascii="Times New Roman" w:hAnsi="Times New Roman"/>
          <w:sz w:val="24"/>
        </w:rPr>
        <w:t>close to</w:t>
      </w:r>
      <w:r w:rsidRPr="00087AA4">
        <w:rPr>
          <w:rFonts w:ascii="Times New Roman" w:hAnsi="Times New Roman"/>
          <w:sz w:val="24"/>
        </w:rPr>
        <w:t xml:space="preserve"> the MCL, at which point metabolic disruption or teeth mottling might occur, but the greater concern is chronic fluorosis after months or years of low toxicity exposure </w:t>
      </w:r>
      <w:r w:rsidRPr="00087AA4">
        <w:rPr>
          <w:rFonts w:ascii="Times New Roman" w:hAnsi="Times New Roman"/>
          <w:sz w:val="24"/>
        </w:rPr>
        <w:fldChar w:fldCharType="begin"/>
      </w:r>
      <w:r w:rsidRPr="00087AA4">
        <w:rPr>
          <w:rFonts w:ascii="Times New Roman" w:hAnsi="Times New Roman"/>
          <w:sz w:val="24"/>
        </w:rPr>
        <w:instrText xml:space="preserve"> ADDIN ZOTERO_ITEM CSL_CITATION {"citationID":"pKprrCfH","properties":{"formattedCitation":"(Beede, 2008; Olkowski, 2009; Sallenave, 2016)","plainCitation":"(Beede, 2008; Olkowski, 2009; Sallenave, 2016)","noteIndex":0},"citationItems":[{"id":910,"uris":["http://zotero.org/users/5446453/items/Y6RWTVJA"],"uri":["http://zotero.org/users/5446453/items/Y6RWTVJA"],"itemData":{"id":910,"type":"paper-conference","event":"Bucknell Nutrition Conference","event-place":"Lewisburg, PA","language":"en","page":"24","publisher-place":"Lewisburg, PA","source":"Zotero","title":"Evaluation of Water Quality and Nutrition for Dairy Cattle","author":[{"family":"Beede","given":"David K"}],"issued":{"date-parts":[["2008",7,15]]}}},{"id":906,"uris":["http://zotero.org/users/5446453/items/5GQZH863"],"uri":["http://zotero.org/users/5446453/items/5GQZH863"],"itemData":{"id":906,"type":"article","publisher":"University of Saskatchewan","title":"Livestock Water Quality: A field guide for cattle, horses, poultry and swine","URL":"https://www.ag.ndsu.edu/waterquality/livestock/Livestock_Water_QualityFINALweb.pdf","author":[{"family":"Olkowski","given":"Andrew A."}],"accessed":{"date-parts":[["2020",11,18]]},"issued":{"date-parts":[["2009"]]}}},{"id":167,"uris":["http://zotero.org/users/5446453/items/W57HKQPC"],"uri":["http://zotero.org/users/5446453/items/W57HKQPC"],"itemData":{"id":167,"type":"report","event-place":"Las Cruces, NM","language":"en","number":"Guide M-112","page":"4","publisher":"NM State University - College of Agricultural, Consumer and Environmental Sciences","publisher-place":"Las Cruces, NM","source":"Zotero","title":"Water Quality for Livestock and Poultry","author":[{"family":"Sallenave","given":"Rossana"}],"issued":{"date-parts":[["2016",12]]}}}],"schema":"https://github.com/citation-style-language/schema/raw/master/csl-citation.json"} </w:instrText>
      </w:r>
      <w:r w:rsidRPr="00087AA4">
        <w:rPr>
          <w:rFonts w:ascii="Times New Roman" w:hAnsi="Times New Roman"/>
          <w:sz w:val="24"/>
        </w:rPr>
        <w:fldChar w:fldCharType="separate"/>
      </w:r>
      <w:r w:rsidR="00234033" w:rsidRPr="00234033">
        <w:rPr>
          <w:rFonts w:ascii="Times New Roman" w:hAnsi="Times New Roman" w:cs="Times New Roman"/>
          <w:sz w:val="24"/>
        </w:rPr>
        <w:t xml:space="preserve">(Beede, 2008; Olkowski, 2009; </w:t>
      </w:r>
      <w:r w:rsidR="00234033" w:rsidRPr="00234033">
        <w:rPr>
          <w:rFonts w:ascii="Times New Roman" w:hAnsi="Times New Roman" w:cs="Times New Roman"/>
          <w:sz w:val="24"/>
        </w:rPr>
        <w:lastRenderedPageBreak/>
        <w:t>Sallenave, 2016)</w:t>
      </w:r>
      <w:r w:rsidRPr="00087AA4">
        <w:rPr>
          <w:rFonts w:ascii="Times New Roman" w:hAnsi="Times New Roman"/>
          <w:sz w:val="24"/>
        </w:rPr>
        <w:fldChar w:fldCharType="end"/>
      </w:r>
      <w:r w:rsidRPr="00087AA4">
        <w:rPr>
          <w:rFonts w:ascii="Times New Roman" w:hAnsi="Times New Roman"/>
          <w:sz w:val="24"/>
        </w:rPr>
        <w:t xml:space="preserve">. </w:t>
      </w:r>
      <w:proofErr w:type="spellStart"/>
      <w:r w:rsidR="009678A2">
        <w:rPr>
          <w:rFonts w:ascii="Times New Roman" w:hAnsi="Times New Roman"/>
          <w:sz w:val="24"/>
        </w:rPr>
        <w:t>Mn</w:t>
      </w:r>
      <w:proofErr w:type="spellEnd"/>
      <w:r w:rsidRPr="00087AA4">
        <w:rPr>
          <w:rFonts w:ascii="Times New Roman" w:hAnsi="Times New Roman"/>
          <w:sz w:val="24"/>
        </w:rPr>
        <w:t xml:space="preserve"> concentrations at MRPTS were well above the MCL of 0.05 mg/L, which was the recommended level to avoid distribution pipe blockages and prevent taste and odor concerns that might discourage drinking </w:t>
      </w:r>
      <w:r w:rsidRPr="00087AA4">
        <w:rPr>
          <w:rFonts w:ascii="Times New Roman" w:hAnsi="Times New Roman"/>
          <w:sz w:val="24"/>
        </w:rPr>
        <w:fldChar w:fldCharType="begin"/>
      </w:r>
      <w:r w:rsidRPr="00087AA4">
        <w:rPr>
          <w:rFonts w:ascii="Times New Roman" w:hAnsi="Times New Roman"/>
          <w:sz w:val="24"/>
        </w:rPr>
        <w:instrText xml:space="preserve"> ADDIN ZOTERO_ITEM CSL_CITATION {"citationID":"1uk5LHi1","properties":{"formattedCitation":"(Beede, 2008; Olkowski, 2009)","plainCitation":"(Beede, 2008; Olkowski, 2009)","noteIndex":0},"citationItems":[{"id":910,"uris":["http://zotero.org/users/5446453/items/Y6RWTVJA"],"uri":["http://zotero.org/users/5446453/items/Y6RWTVJA"],"itemData":{"id":910,"type":"paper-conference","event":"Bucknell Nutrition Conference","event-place":"Lewisburg, PA","language":"en","page":"24","publisher-place":"Lewisburg, PA","source":"Zotero","title":"Evaluation of Water Quality and Nutrition for Dairy Cattle","author":[{"family":"Beede","given":"David K"}],"issued":{"date-parts":[["2008",7,15]]}}},{"id":906,"uris":["http://zotero.org/users/5446453/items/5GQZH863"],"uri":["http://zotero.org/users/5446453/items/5GQZH863"],"itemData":{"id":906,"type":"article","publisher":"University of Saskatchewan","title":"Livestock Water Quality: A field guide for cattle, horses, poultry and swine","URL":"https://www.ag.ndsu.edu/waterquality/livestock/Livestock_Water_QualityFINALweb.pdf","author":[{"family":"Olkowski","given":"Andrew A."}],"accessed":{"date-parts":[["2020",11,18]]},"issued":{"date-parts":[["2009"]]}}}],"schema":"https://github.com/citation-style-language/schema/raw/master/csl-citation.json"} </w:instrText>
      </w:r>
      <w:r w:rsidRPr="00087AA4">
        <w:rPr>
          <w:rFonts w:ascii="Times New Roman" w:hAnsi="Times New Roman"/>
          <w:sz w:val="24"/>
        </w:rPr>
        <w:fldChar w:fldCharType="separate"/>
      </w:r>
      <w:r w:rsidR="00234033" w:rsidRPr="00234033">
        <w:rPr>
          <w:rFonts w:ascii="Times New Roman" w:hAnsi="Times New Roman" w:cs="Times New Roman"/>
          <w:sz w:val="24"/>
        </w:rPr>
        <w:t>(Beede, 2008; Olkowski, 2009)</w:t>
      </w:r>
      <w:r w:rsidRPr="00087AA4">
        <w:rPr>
          <w:rFonts w:ascii="Times New Roman" w:hAnsi="Times New Roman"/>
          <w:sz w:val="24"/>
        </w:rPr>
        <w:fldChar w:fldCharType="end"/>
      </w:r>
      <w:r w:rsidRPr="00087AA4">
        <w:rPr>
          <w:rFonts w:ascii="Times New Roman" w:hAnsi="Times New Roman"/>
          <w:sz w:val="24"/>
        </w:rPr>
        <w:t xml:space="preserve">. Such taste and odor precautions address a health concern, but the low drinking water criterion that was exceeded by MRPTS effluent was not indicative of direct toxicity; cattle obtain most </w:t>
      </w:r>
      <w:proofErr w:type="spellStart"/>
      <w:r w:rsidR="009678A2">
        <w:rPr>
          <w:rFonts w:ascii="Times New Roman" w:hAnsi="Times New Roman"/>
          <w:sz w:val="24"/>
        </w:rPr>
        <w:t>Mn</w:t>
      </w:r>
      <w:proofErr w:type="spellEnd"/>
      <w:r w:rsidRPr="00087AA4">
        <w:rPr>
          <w:rFonts w:ascii="Times New Roman" w:hAnsi="Times New Roman"/>
          <w:sz w:val="24"/>
        </w:rPr>
        <w:t xml:space="preserve"> in their diets at much higher concentrations from solid food </w:t>
      </w:r>
      <w:r w:rsidRPr="00087AA4">
        <w:rPr>
          <w:rFonts w:ascii="Times New Roman" w:hAnsi="Times New Roman"/>
          <w:sz w:val="24"/>
        </w:rPr>
        <w:fldChar w:fldCharType="begin"/>
      </w:r>
      <w:r w:rsidRPr="00087AA4">
        <w:rPr>
          <w:rFonts w:ascii="Times New Roman" w:hAnsi="Times New Roman"/>
          <w:sz w:val="24"/>
        </w:rPr>
        <w:instrText xml:space="preserve"> ADDIN ZOTERO_ITEM CSL_CITATION {"citationID":"zkcPwC6n","properties":{"formattedCitation":"(Olkowski, 2009)","plainCitation":"(Olkowski, 2009)","noteIndex":0},"citationItems":[{"id":906,"uris":["http://zotero.org/users/5446453/items/5GQZH863"],"uri":["http://zotero.org/users/5446453/items/5GQZH863"],"itemData":{"id":906,"type":"article","publisher":"University of Saskatchewan","title":"Livestock Water Quality: A field guide for cattle, horses, poultry and swine","URL":"https://www.ag.ndsu.edu/waterquality/livestock/Livestock_Water_QualityFINALweb.pdf","author":[{"family":"Olkowski","given":"Andrew A."}],"accessed":{"date-parts":[["2020",11,18]]},"issued":{"date-parts":[["2009"]]}}}],"schema":"https://github.com/citation-style-language/schema/raw/master/csl-citation.json"} </w:instrText>
      </w:r>
      <w:r w:rsidRPr="00087AA4">
        <w:rPr>
          <w:rFonts w:ascii="Times New Roman" w:hAnsi="Times New Roman"/>
          <w:sz w:val="24"/>
        </w:rPr>
        <w:fldChar w:fldCharType="separate"/>
      </w:r>
      <w:r w:rsidR="00234033" w:rsidRPr="00234033">
        <w:rPr>
          <w:rFonts w:ascii="Times New Roman" w:hAnsi="Times New Roman" w:cs="Times New Roman"/>
          <w:sz w:val="24"/>
        </w:rPr>
        <w:t>(Olkowski, 2009)</w:t>
      </w:r>
      <w:r w:rsidRPr="00087AA4">
        <w:rPr>
          <w:rFonts w:ascii="Times New Roman" w:hAnsi="Times New Roman"/>
          <w:sz w:val="24"/>
        </w:rPr>
        <w:fldChar w:fldCharType="end"/>
      </w:r>
      <w:r w:rsidRPr="00087AA4">
        <w:rPr>
          <w:rFonts w:ascii="Times New Roman" w:hAnsi="Times New Roman"/>
          <w:sz w:val="24"/>
        </w:rPr>
        <w:t xml:space="preserve">. </w:t>
      </w:r>
      <w:r w:rsidR="00A645F9">
        <w:rPr>
          <w:rFonts w:ascii="Times New Roman" w:hAnsi="Times New Roman" w:cs="Times New Roman"/>
        </w:rPr>
        <w:t>Although</w:t>
      </w:r>
      <w:r w:rsidRPr="00087AA4">
        <w:rPr>
          <w:rFonts w:ascii="Times New Roman" w:hAnsi="Times New Roman"/>
          <w:sz w:val="24"/>
        </w:rPr>
        <w:t xml:space="preserve"> the </w:t>
      </w:r>
      <w:r w:rsidR="009678A2">
        <w:rPr>
          <w:rFonts w:ascii="Times New Roman" w:hAnsi="Times New Roman"/>
          <w:sz w:val="24"/>
        </w:rPr>
        <w:t>PO</w:t>
      </w:r>
      <w:r w:rsidR="009678A2" w:rsidRPr="009678A2">
        <w:rPr>
          <w:rFonts w:ascii="Times New Roman" w:hAnsi="Times New Roman"/>
          <w:sz w:val="24"/>
          <w:vertAlign w:val="subscript"/>
        </w:rPr>
        <w:t>4</w:t>
      </w:r>
      <w:r w:rsidR="009678A2" w:rsidRPr="009678A2">
        <w:rPr>
          <w:rFonts w:ascii="Times New Roman" w:hAnsi="Times New Roman"/>
          <w:sz w:val="24"/>
          <w:vertAlign w:val="superscript"/>
        </w:rPr>
        <w:t>3-</w:t>
      </w:r>
      <w:r w:rsidRPr="00087AA4">
        <w:rPr>
          <w:rFonts w:ascii="Times New Roman" w:hAnsi="Times New Roman"/>
          <w:sz w:val="24"/>
        </w:rPr>
        <w:t xml:space="preserve"> concentration in MRPTS discharge exceeded the MCL of 1 mg/L, this concentration was listed as the desirable or expected range </w:t>
      </w:r>
      <w:r w:rsidR="00A645F9">
        <w:rPr>
          <w:rFonts w:ascii="Times New Roman" w:hAnsi="Times New Roman" w:cs="Times New Roman"/>
        </w:rPr>
        <w:t>from</w:t>
      </w:r>
      <w:r w:rsidR="00A645F9" w:rsidRPr="00F62183">
        <w:rPr>
          <w:rFonts w:ascii="Times New Roman" w:hAnsi="Times New Roman" w:cs="Times New Roman"/>
        </w:rPr>
        <w:t xml:space="preserve"> </w:t>
      </w:r>
      <w:r w:rsidRPr="00087AA4">
        <w:rPr>
          <w:rFonts w:ascii="Times New Roman" w:hAnsi="Times New Roman"/>
          <w:sz w:val="24"/>
        </w:rPr>
        <w:t xml:space="preserve">two sources that also noted that a </w:t>
      </w:r>
      <w:r w:rsidRPr="00F62183">
        <w:rPr>
          <w:rFonts w:ascii="Times New Roman" w:hAnsi="Times New Roman" w:cs="Times New Roman"/>
        </w:rPr>
        <w:t>problem</w:t>
      </w:r>
      <w:r w:rsidR="002B77D8">
        <w:rPr>
          <w:rFonts w:ascii="Times New Roman" w:hAnsi="Times New Roman" w:cs="Times New Roman"/>
        </w:rPr>
        <w:t>atic</w:t>
      </w:r>
      <w:r w:rsidRPr="00087AA4">
        <w:rPr>
          <w:rFonts w:ascii="Times New Roman" w:hAnsi="Times New Roman"/>
          <w:sz w:val="24"/>
        </w:rPr>
        <w:t xml:space="preserve"> range had not yet been established </w:t>
      </w:r>
      <w:r w:rsidRPr="00087AA4">
        <w:rPr>
          <w:rFonts w:ascii="Times New Roman" w:hAnsi="Times New Roman"/>
          <w:sz w:val="24"/>
        </w:rPr>
        <w:fldChar w:fldCharType="begin"/>
      </w:r>
      <w:r w:rsidRPr="00A326EF">
        <w:rPr>
          <w:rFonts w:ascii="Times New Roman" w:hAnsi="Times New Roman" w:cs="Times New Roman"/>
          <w:sz w:val="24"/>
          <w:szCs w:val="24"/>
        </w:rPr>
        <w:instrText xml:space="preserve"> ADDIN ZOTERO_ITEM CSL_CITATION {"citationID":"vFhrbLSM","properties":{"formattedCitation":"(Beede, 2008; Pfost et al., 2001)","plainCitation":"(Beede, 2008; Pfost et al., 2001)","noteIndex":0},"citationItems":[{"id":910,"uris":["http://zotero.org/users/5446453/items/Y6RWTVJA"],"uri":["http://zotero.org/users/5446453/items/Y6RWTVJA"],"itemData":{"id":910,"type":"paper-conference","event":"Bucknell Nutrition Conference","event-place":"Lewisburg, PA","language":"en","page":"24","publisher-place":"Lewisburg, PA","source":"Zotero","title":"Evaluation of Water Quality and Nutrition for Dairy Cattle","author":[{"family":"Beede","given":"David K"}],"issued":{"date-parts":[["2008",7,15]]}}},{"id":162,"uris":["http://zotero.org/users/5446453/items/9E42IX97"],"uri":["http://zotero.org/users/5446453/items/9E42IX97"],"itemData":{"id":162,"type":"report","abstract":"Water is a critical nutrient for livestock and poultry. As with feed ingredients, livestock water should meet the nutritional needs of the animal. An adequate and safe water supply is essential to the production of healthy livestock and poultry. Water that adversely affects the growth, reproduction, or productivity of livestock and poultry cannot be considered suitable. Although there is scant research data on the economic effects of water quality on livestock performance, logic tells us that farm water supplies, either surface or ground, should be protected against contamination from microorganisms, chemicals and other pollutants. Substances that originate on livestock farms and often contaminate water supplies include nitrates, bacteria, organic materials, and suspended solids. A high level of suspended solids and an objectionable taste, odor or color in water can cause animals to drink less than they should.Surface water supplies to which livestock have ready access are always potential candidates for contamination. Shallow dug wells without good surface drainage away from the well may be subject to infiltration of contaminants. The presence of coliform bacteria in a well is an indication that surface water is finding its way into the well. In karst topography, sink holes, losing streams and porous soils may allow direct contamination of fractured rock aquifers.Water can serve as a reservoir for many different disease organisms and toxins. Stagnant water contaminated with manure or other nutrients may develop blue-green algae, which can poison livestock, causing muscle tremors, liver damage, and death. Farm pond water needs to be observed for the presence of algae and other harmful organisms during hot, dry weather.Leptospirosis and Fusobacterium are two bacterial contaminants that often use water and mud, respectively, as modes of transportation from animal to animal. Leptospirosis is spread through urine of carrier animals. This disease often manifests itself as reproductive problems. Problems may range from infertility, to low milk production, to widespread late-term abortion. The organism can survive for extended periods of time in surface waters. One should take care to avoid forcing livestock to drink from water sources that may be contaminated with urine.Fusobacterium infection is more commonly known as \"foot-rot.\" The bacterium is a soil-borne organism found virtually throughout the United States. It is carried on the feet of animals, which then serve to contaminate any body of water they enter. The bacteria then enter through cuts, bruises, or puncture wounds on damaged feet of other animals. Once inside an animal's body, they multiply rapidly and serve to spread the disease. Clinical signs of \"foot-rot\" are most commonly seen as chronic lameness, often with swelling above the foot. \"Foot-rot\" can usually be effectively treated with penicillin and sulfa.When water is suspected of causing health problems in livestock, veterinary assistance should be sought to determine the actual disease. Laboratory diagnostic examination of animals as well as the water supply may be necessary to evaluate the problem. Temporarily changing to a known safe water supply is a useful test to determine whether the health problems can be solved.Thus, the importance of an accurate diagnosis must be emphasized.Tables 1 through 4 in this guide show the recommended limits of certain pollutants and other substances commonly found in water used for livestock and poultry.Toxicity from a specific mineral or compound depends on its concentration and on relative levels of other components with which it interacts.Common water contaminantsThe U.S. Environmental Protection Agency recommends that livestock water contain less than 5,000 coliform organisms per 100 milliliters; fecal coliform should be near zero. Alkalinity is expressed either as a pH or as titratable alkalinity in the form of bicarbonates. A pH of 7 is neutral; a pH between 7.0 and 8.0 is mildly alkaline; and a pH of 10 is highly alkaline. Excessive alkalinity can cause physiological and digestive upsets in livestock. Desired and potential problem levels of some common pollutants in livestock water supplies are listed in Table 1. Table 2 shows the safe upper limits for several substances that may be contained in livestock water.Mineralized (salty) waterResidents in a large portion of the state of Missouri southeast of an irregular line running from approximately the Bowling Green region to the Nevada region are fortunate to have good quality groundwater generally available within a few hundred feet of the surface in sufficient quantity for large livestock and poultry operations. Unfortunately, northwest of this line, the water from deep, high-yield aquifers is usually too highly mineralized to be used for watering livestock. This area commonly depends on surface water supplies for farms and public uses. The saltiness of water is commonly measured by total dissolved solids, which is approximated by the electrical conductance of the water. The mineralized water in northwest Missouri commonly ranges from 2,000 to 10,000 ppm and as high as 30,000 ppm in total dissolved solids (TDS). Chlorides and sulfates are the main mineral constituents. Chlorides range from calcium to sodium chloride (common salt). Sulfates include calcium, magnesium (Epsom salt) and sodium salts. The Missouri Department of Natural Resources, Division of Geology and Land Survey, 573-368-2190, at Rolla can provide guidance on the quantity and quality of groundwater that can be expected at various locations and depths. Table 3 lists the effect of various levels of salinity in drinking water on livestock and poultry.Nitrate levelsNitrates are soluble and move with percolating or runoff water. Therefore, ponds with runoff from heavily fertilized or manured fields and water from poorly cased, shallow wells may contain nitrates. Water from deep wells is usually nitrate free.Nitrogen in the form of nitrate is not especially toxic, but when reduced in the rumen to nitrite and absorbed into the blood, nitrite reduces the oxygen-carrying capacity of the blood by reacting with hemoglobin. Ruminants have an ability to convert some nitrate to usable products. However, the rumen microbes in cattle and sheep can readily reduce nitrate to the toxic nitrite form. The total amount of nitrates in the diet is important and subject to change with growing conditions of harvested and pastured forage. For example, during a drought, corn silage may accumulate high concentrations of nitrate and when added to the nitrate present in water may result in a lethal combination. The ensiling process will reduce the nitrate level to acceptable levels after a period of aging for 60 to 90 days in the silo. Unlike other simple-stomached animals such as swine, horses do have a cecum containing microbes capable of converting nitrate to the more toxic nitrite form. The extent and rapidity of this chemical conversion in horses is insufficient to make them as susceptible as ruminants. Fortunately, the preformed nitrite is rarely encountered in sufficient concentrations in water and feed to be a toxic threat. Table 4 provides a guide to the use of water containing nitrates for livestock.Table 1Desired and potential levels of pollutants in livestock water supplies.SubstanceDesired rangeProblem rangeTotal bacteria per 100 milliliters&amp;lt;200&amp;gt;1,000,000Fecal coliform per 100 milliliters&amp;lt;1&amp;gt;1 for young animals&amp;gt;10 for older animalsFecal strep per 100 milliliters&amp;lt;1&amp;gt;3 for young animals&amp;gt;30 for older animalspH6.8 to 7.5&amp;lt;5.5 or &amp;gt;8.5Dissolved solids, milligrams per liter&amp;lt;500&amp;gt;3,000Total alkalinity, milligrams per liter&amp;lt;400&amp;gt;5,000Sulfate, milligrams per liter&amp;lt;250&amp;gt;2,000Phosphate, milligrams per liter&amp;lt;1not establishedTurbidity, Jackson units&amp;lt;30not establishedSourceFrom the Agricultural Waste Management Field Handbook, page 1 to 16. Based on research literature and field experience in the northeastern United States.Table 2Safe upper limits for several substances that may be contained in water for livestock and poultry.SubstanceSafe upper limit of concentrationAluminum (Al)5 ppmArsenic (As)0.2 ppmBoron (B)5 ppmCadmium (Cd)0.05 ppmChromium (Cr)1 ppmCobalt (Co)1 ppmCopper (Cu)0.5 ppmFluoride (F)2 ppmLead (Pb)0.05 ppmMercury (Hg)0.01 ppmNitrate + Nitrite100 ppmNitrite10 ppmSelenium (Se)0.05 to 0.10 ppmVanadium (V)0.1 ppmZinc (Zn)24 ppmTotal dissolved solids10,000 ppmMagnesium + sodium sulfates5,000 ppmAlkalinity (carbonate + bicarbonate)2,000 ppmSourceWhen Is Water Good Enough for Livestock? Montana State Extension.Table 3Effect of salinity of drinking water on livestock and poultry (Water Quality Criteria, 1972).Soluble salt (mg per L)Effect&amp;lt;1,000Low level of salinity; present no serious burden to any class of livestock or poultry1,000 to 2,999Satisfactory for all classes of livestock and poultry; may cause temporary, mild diarrhea in livestock; and water droppings in poultry at higher levels; no effect on health or performance3,000 to 4,999Satisfactory for livestock; may cause temporary diarrhea or be refused by animals no accustomed to it; poor water for poultry causing watery feces and, at high levels, increased mortality and decreased growth (especially in turkeys).5,000 to 6,999Reasonable safety for dairy and beef cattle, sheep, swine, and horses; avoid use for pregnant or lactating animals; not acceptable for poultry, causes decreased growth and production or increased mortality.7,000 to 10,000Unfit for poultry and swine; risk in using for pregnant or lactating cows, horses, sheep, the young of these species, or animals subjected to heavy heat stress or water loss; use should be avoided, although older ruminants, horses, poultry, and swine may subsist for long periods under conditions of low stress.&amp;gt;10,000Risks are great; cannot be recommended for use under any conditions.SourceAgricultural Waste Management Field Handbook, page 1 to 17.Table 4Guide to use of waters containing nitrates for livestock.Nitrate content* as parts per million (ppm) of nitrate nitrogen (NO3-N)**CommentsLess than 100Experimental evidence indicates this water should not harm livestock or poultry.100 to 300This water by itself should not harm livestock or poultry. If hays or silages contain high levels of nitrate this water may contribute significantly to a nitrate problem in cattle, sheep, or horses.More than 300This water could cause typical nitrate poisoning in cattle, sheep, or horses, and its use for these animals is not recommended. Because this level of nitrate contributes to the salts content in a significant amount, use of this water for swine or poultry should be avoided.SourceWater Quality for Livestock and Poultry, FO-1864-GO. University of Minnesota Extension Division, 1990.* The values shown include nitrate and nitrite nitrogen. In no case should the waters contain more than 50 ppm nitrite nitrogen (NO2N) because of the greater toxicity of the nitrite form.**1 ppm of nitrate nitrogen is equivalent to 4.4 ppm of nitrate (NO3).Achieving quality waterTo achieve high-quality surface water, fence livestock out of the pond or stream and pipe the water to a tank or other waterer. To obtain the best water from a pond, provide a grassed watershed where no chemicals or manure are applied and float a screened pipe intake about 2 feet below the surface. Water can be pumped from a stream or, in some cases, can be piped to a tank by gravity. An alternative is to allow limited access for livestock to drink from a pond or stream. Spring water may need to be pumped to the desired waterer location, or the spring may need to be developed to provide the head necessary for gravity flow.Well sites should be graded to drain surface water away from the well casing. Wells should be cased to comply with the Missouri Well Construction Rules. Wells should be located as far as practical from septic tanks (50 feet minimum), septic fields (100 feet minimum), chemical mixing areas (300 feet minimum), feedlots (100 feet minimum), earthen manure storage basins and lagoons (300 feet minimum), and land application areas for manure (300 feet minimum).Under the EPA's Unified National Strategy for Animal Feeding Operations, the desired outcome is for all concentrated animal feeding operations to develop and implement a comprehensive nutrient management plan. Such a plan should address, as necessary, feed management, manure handling and storage, land application of manure, land management, record keeping, and other utilization options. In addition to nutrients, the plan should address other pollutants, such as pathogens, to minimize the effects of animal feeding operations on water quality and public health.At a minimum, the nutrient management plan should prevent the application of nutrients at rates that will exceed the capacity of the soil and planned crop needs. Soils, crop material and manure should be tested to determine nutrient needs. Manure application equipment should be calibrated to ensure that the quantity of material being applied conforms to a plan. Records of crops removed annually and the total amount of effluent applied will allow producers to maintain the desired nutrient balance.Water testingAnnual water tests are recommended for private wells, especially for shallow wells, and whenever a problem is suspected. Owners of private wells can have their water tested by collecting a sample themselves or by hiring a qualified person to do so. The sample should be taken to a certified laboratory for analysis. Sample bottles should be obtained from the testing laboratory or local health department, because containers may be especially prepared for a specific contaminant. Sampling and handling procedures depend on the water quality concern and should be followed carefully.Water analyses typically include the following tests:Total coliform bacteriapH (acid or alkaline level)Total dissolved solidsTotal soluble saltSalinityHardnessNitratesSulfateOther factors such as toxicity problems with specific minerals or pesticides, or occasionally, heavy algae growthThere are no regulations governing the number of microorganisms or bacteria in water used for livestock production unless the farm is a Grade A dairy. In that case, the water must be from a supply that provides water of safe and sanitary quality with no detectable fecal coliform bacteria. Within the state of Missouri, a Grade A milk law presents well construction guidelines for Grade A dairies. Water must be tested after any repairs or modifications to the water supply system. In addition, specific requirements prohibit backsiphoning from outdoor livestock water tanks.Normally, hard water does not interfere with livestock performance; however, hard waters can cause difficulty in washing of milking equipment and causes water heaters to \"lime up.\" Contaminates such as iron and sand will clog pipelines. Well water with high iron content may have problems with iron bacteria forming a red, slimy mass that can clog well screens and require periodic treatment with chlorine. Some wells produce considerable amounts of sand. A sand separator should be installed at the beginning of a pipeline in such a case. Sand separators are available through suppliers of trickle irrigation equipment. Sulfur waters are corrosive and have a bad odor.Rural water is a reliable source but may be too costly for large livestock operations. However, consider connection to the rural source as a backup supply. Backflow prevention valves shall be used to prevent contamination of the rural water supply. In most cases, rural water districts require an air gap because backflow valves are not safe enough.Laboratories for water quality tests at MUMany commercial laboratories provide testing for water quality. Contact your local Natural Resources Conservation Service office or MU Extension center for a list of commercial laboratories.The following laboratories at the MU perform water quality tests:Veterinary Medical Diagnostic LaboratoryToxicology Section573-882-6811Soil and Plant Testing Laboratorysoilplantlab.missouri.edu/soil/Department of Agronomy573-882-0623For further informationAgricultural Waste Management Field Handbook, Part 651, National Engineering Handbook. Washington, D.C.: Natural Resources Conservation Department, U.S. Department of Agriculture, 1992.Crawford, R.J., Jr., and E. Cole. 1999. Effect of water source and quality on water intake and performance of cows and calves grazing tall fescue. Southwest Missouri Agricultural Research and Education Center 1999 Research Report, pp. 2 to 8.FO-1864-GO. Water Quality for Livestock and Poultry. 1990. Extension Distribution Center, University of Minnesota.Missouri Livestock Watering Systems Handbooks 1 and 2. 1997. USDA Natural Resources Conservation Service, Columbia, Mo.Water Quality for Livestock and Poultry, Guide M-112. 1995. New Mexico State Extension, Las Cruces, N.M.","collection-title":"MU Guide","event-place":"MU Extension","language":"en","number":"New 2/01/7M","page":"4","publisher":"University of Missouri-Columbia","publisher-place":"MU Extension","title":"Water Quality for Livestock Drinking","URL":"https://extensiondata.missouri.edu/pub/pdf/envqual/eq0381.pdf","author":[{"family":"Pfost","given":"Donald L."},{"family":"Fulhage","given":"Charles D."},{"family":"Casteel","given":"Stan"}],"accessed":{"date-parts":[["2019",12,17]]},"issued":{"date-parts":[["2001",2]]}}}],"schema":"https://github.com/citation-style-language/schema/raw/master/csl-citation.json"} </w:instrText>
      </w:r>
      <w:r w:rsidRPr="00087AA4">
        <w:rPr>
          <w:rFonts w:ascii="Times New Roman" w:hAnsi="Times New Roman"/>
          <w:sz w:val="24"/>
        </w:rPr>
        <w:fldChar w:fldCharType="separate"/>
      </w:r>
      <w:r w:rsidR="00234033" w:rsidRPr="00234033">
        <w:rPr>
          <w:rFonts w:ascii="Times New Roman" w:hAnsi="Times New Roman" w:cs="Times New Roman"/>
          <w:sz w:val="24"/>
        </w:rPr>
        <w:t>(Beede, 2008; Pfost et al., 2001)</w:t>
      </w:r>
      <w:r w:rsidRPr="00087AA4">
        <w:rPr>
          <w:rFonts w:ascii="Times New Roman" w:hAnsi="Times New Roman"/>
          <w:sz w:val="24"/>
        </w:rPr>
        <w:fldChar w:fldCharType="end"/>
      </w:r>
      <w:r w:rsidRPr="00087AA4">
        <w:rPr>
          <w:rFonts w:ascii="Times New Roman" w:hAnsi="Times New Roman"/>
          <w:sz w:val="24"/>
        </w:rPr>
        <w:t xml:space="preserve">. None of the aforementioned metal species posed a serious challenge to the beneficial reuse of passively-treated mine water for livestock watering, </w:t>
      </w:r>
      <w:r w:rsidR="00A645F9">
        <w:rPr>
          <w:rFonts w:ascii="Times New Roman" w:hAnsi="Times New Roman" w:cs="Times New Roman"/>
        </w:rPr>
        <w:t xml:space="preserve">however, </w:t>
      </w:r>
      <w:r w:rsidR="009678A2">
        <w:rPr>
          <w:rFonts w:ascii="Times New Roman" w:hAnsi="Times New Roman"/>
          <w:sz w:val="24"/>
        </w:rPr>
        <w:t>S</w:t>
      </w:r>
      <w:r w:rsidRPr="00087AA4">
        <w:rPr>
          <w:rFonts w:ascii="Times New Roman" w:hAnsi="Times New Roman"/>
          <w:sz w:val="24"/>
        </w:rPr>
        <w:t xml:space="preserve"> was problematic.</w:t>
      </w:r>
    </w:p>
    <w:p w14:paraId="0A2EF620" w14:textId="779B44D5" w:rsidR="00813D59" w:rsidRPr="00087AA4" w:rsidRDefault="00A645F9" w:rsidP="00813D59">
      <w:pPr>
        <w:spacing w:line="480" w:lineRule="auto"/>
        <w:ind w:firstLine="720"/>
        <w:rPr>
          <w:rFonts w:ascii="Times New Roman" w:hAnsi="Times New Roman"/>
          <w:sz w:val="24"/>
        </w:rPr>
      </w:pPr>
      <w:r w:rsidRPr="00F651DB">
        <w:rPr>
          <w:rFonts w:ascii="Times New Roman" w:hAnsi="Times New Roman" w:cs="Times New Roman"/>
          <w:sz w:val="24"/>
          <w:szCs w:val="24"/>
        </w:rPr>
        <w:t xml:space="preserve">Common </w:t>
      </w:r>
      <w:r w:rsidR="009678A2">
        <w:rPr>
          <w:rFonts w:ascii="Times New Roman" w:hAnsi="Times New Roman" w:cs="Times New Roman"/>
          <w:sz w:val="24"/>
          <w:szCs w:val="24"/>
        </w:rPr>
        <w:t>sulfur</w:t>
      </w:r>
      <w:r w:rsidRPr="00F651DB">
        <w:rPr>
          <w:rFonts w:ascii="Times New Roman" w:hAnsi="Times New Roman" w:cs="Times New Roman"/>
          <w:sz w:val="24"/>
          <w:szCs w:val="24"/>
        </w:rPr>
        <w:t xml:space="preserve"> species in mine waters include oxidized sulfate (SO</w:t>
      </w:r>
      <w:r w:rsidRPr="00F651DB">
        <w:rPr>
          <w:rFonts w:ascii="Times New Roman" w:hAnsi="Times New Roman" w:cs="Times New Roman"/>
          <w:sz w:val="24"/>
          <w:szCs w:val="24"/>
          <w:vertAlign w:val="subscript"/>
        </w:rPr>
        <w:t>4</w:t>
      </w:r>
      <w:r w:rsidRPr="00F651DB">
        <w:rPr>
          <w:rFonts w:ascii="Times New Roman" w:hAnsi="Times New Roman" w:cs="Times New Roman"/>
          <w:sz w:val="24"/>
          <w:szCs w:val="24"/>
          <w:vertAlign w:val="superscript"/>
        </w:rPr>
        <w:t>2-</w:t>
      </w:r>
      <w:r w:rsidRPr="00F651DB">
        <w:rPr>
          <w:rFonts w:ascii="Times New Roman" w:hAnsi="Times New Roman" w:cs="Times New Roman"/>
          <w:sz w:val="24"/>
          <w:szCs w:val="24"/>
        </w:rPr>
        <w:t>), and reduced sulfide (S</w:t>
      </w:r>
      <w:r w:rsidRPr="00F651DB">
        <w:rPr>
          <w:rFonts w:ascii="Times New Roman" w:hAnsi="Times New Roman" w:cs="Times New Roman"/>
          <w:sz w:val="24"/>
          <w:szCs w:val="24"/>
          <w:vertAlign w:val="superscript"/>
        </w:rPr>
        <w:t>2-</w:t>
      </w:r>
      <w:r w:rsidRPr="00F651DB">
        <w:rPr>
          <w:rFonts w:ascii="Times New Roman" w:hAnsi="Times New Roman" w:cs="Times New Roman"/>
          <w:sz w:val="24"/>
          <w:szCs w:val="24"/>
        </w:rPr>
        <w:t>, HS</w:t>
      </w:r>
      <w:r w:rsidRPr="00F651DB">
        <w:rPr>
          <w:rFonts w:ascii="Times New Roman" w:hAnsi="Times New Roman" w:cs="Times New Roman"/>
          <w:sz w:val="24"/>
          <w:szCs w:val="24"/>
          <w:vertAlign w:val="superscript"/>
        </w:rPr>
        <w:t>-</w:t>
      </w:r>
      <w:r w:rsidRPr="00F651DB">
        <w:rPr>
          <w:rFonts w:ascii="Times New Roman" w:hAnsi="Times New Roman" w:cs="Times New Roman"/>
          <w:sz w:val="24"/>
          <w:szCs w:val="24"/>
        </w:rPr>
        <w:t xml:space="preserve"> or H</w:t>
      </w:r>
      <w:r w:rsidRPr="00F651DB">
        <w:rPr>
          <w:rFonts w:ascii="Times New Roman" w:hAnsi="Times New Roman" w:cs="Times New Roman"/>
          <w:sz w:val="24"/>
          <w:szCs w:val="24"/>
          <w:vertAlign w:val="subscript"/>
        </w:rPr>
        <w:t>2</w:t>
      </w:r>
      <w:r w:rsidRPr="00F651DB">
        <w:rPr>
          <w:rFonts w:ascii="Times New Roman" w:hAnsi="Times New Roman" w:cs="Times New Roman"/>
          <w:sz w:val="24"/>
          <w:szCs w:val="24"/>
        </w:rPr>
        <w:t>S), depending on environmental conditions.</w:t>
      </w:r>
      <w:r w:rsidR="00F72CF1">
        <w:rPr>
          <w:rFonts w:ascii="Times New Roman" w:hAnsi="Times New Roman" w:cs="Times New Roman"/>
          <w:sz w:val="24"/>
          <w:szCs w:val="24"/>
        </w:rPr>
        <w:t xml:space="preserve"> Sulfate is the dominant </w:t>
      </w:r>
      <w:r w:rsidR="009678A2">
        <w:rPr>
          <w:rFonts w:ascii="Times New Roman" w:hAnsi="Times New Roman" w:cs="Times New Roman"/>
          <w:sz w:val="24"/>
          <w:szCs w:val="24"/>
        </w:rPr>
        <w:t>S</w:t>
      </w:r>
      <w:r w:rsidR="00F72CF1">
        <w:rPr>
          <w:rFonts w:ascii="Times New Roman" w:hAnsi="Times New Roman" w:cs="Times New Roman"/>
          <w:sz w:val="24"/>
          <w:szCs w:val="24"/>
        </w:rPr>
        <w:t xml:space="preserve"> species in the aerated surface water MRPTS discharge; a</w:t>
      </w:r>
      <w:r w:rsidR="00813D59" w:rsidRPr="00F651DB">
        <w:rPr>
          <w:rFonts w:ascii="Times New Roman" w:hAnsi="Times New Roman"/>
          <w:sz w:val="24"/>
          <w:szCs w:val="24"/>
        </w:rPr>
        <w:t>lthough s</w:t>
      </w:r>
      <w:r w:rsidR="00813D59" w:rsidRPr="00087AA4">
        <w:rPr>
          <w:rFonts w:ascii="Times New Roman" w:hAnsi="Times New Roman"/>
          <w:sz w:val="24"/>
        </w:rPr>
        <w:t xml:space="preserve">ome sources list a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sidRPr="009678A2">
        <w:rPr>
          <w:rFonts w:ascii="Times New Roman" w:hAnsi="Times New Roman" w:cs="Times New Roman"/>
          <w:sz w:val="24"/>
          <w:szCs w:val="24"/>
        </w:rPr>
        <w:t xml:space="preserve"> </w:t>
      </w:r>
      <w:r w:rsidR="00813D59" w:rsidRPr="00087AA4">
        <w:rPr>
          <w:rFonts w:ascii="Times New Roman" w:hAnsi="Times New Roman"/>
          <w:sz w:val="24"/>
        </w:rPr>
        <w:t xml:space="preserve">MCL as high as 2000 mg/L and note that cattle seem to adjust to concentrations in that range </w:t>
      </w:r>
      <w:r w:rsidR="00F72CF1">
        <w:rPr>
          <w:rFonts w:ascii="Times New Roman" w:hAnsi="Times New Roman"/>
          <w:sz w:val="24"/>
        </w:rPr>
        <w:t>after some time,</w:t>
      </w:r>
      <w:r w:rsidR="00813D59" w:rsidRPr="00087AA4">
        <w:rPr>
          <w:rFonts w:ascii="Times New Roman" w:hAnsi="Times New Roman"/>
          <w:sz w:val="24"/>
        </w:rPr>
        <w:t xml:space="preserve"> </w:t>
      </w:r>
      <w:r w:rsidR="00F72CF1">
        <w:rPr>
          <w:rFonts w:ascii="Times New Roman" w:hAnsi="Times New Roman"/>
          <w:sz w:val="24"/>
        </w:rPr>
        <w:t>c</w:t>
      </w:r>
      <w:r w:rsidR="00813D59" w:rsidRPr="00087AA4">
        <w:rPr>
          <w:rFonts w:ascii="Times New Roman" w:hAnsi="Times New Roman"/>
          <w:sz w:val="24"/>
        </w:rPr>
        <w:t xml:space="preserve">alves and pregnant or lactating cows are more sensitive than other cattle to many chemicals including elevated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sidRPr="009678A2">
        <w:rPr>
          <w:rFonts w:ascii="Times New Roman" w:hAnsi="Times New Roman" w:cs="Times New Roman"/>
          <w:sz w:val="24"/>
          <w:szCs w:val="24"/>
        </w:rPr>
        <w:t xml:space="preserve"> </w:t>
      </w:r>
      <w:r w:rsidR="00813D59" w:rsidRPr="00087AA4">
        <w:rPr>
          <w:rFonts w:ascii="Times New Roman" w:hAnsi="Times New Roman"/>
          <w:sz w:val="24"/>
        </w:rPr>
        <w:t xml:space="preserve">concentrations </w:t>
      </w:r>
      <w:r w:rsidR="00813D59" w:rsidRPr="00087AA4">
        <w:rPr>
          <w:rFonts w:ascii="Times New Roman" w:hAnsi="Times New Roman"/>
          <w:sz w:val="24"/>
        </w:rPr>
        <w:fldChar w:fldCharType="begin"/>
      </w:r>
      <w:r w:rsidR="004B13BE">
        <w:rPr>
          <w:rFonts w:ascii="Times New Roman" w:hAnsi="Times New Roman"/>
          <w:sz w:val="24"/>
        </w:rPr>
        <w:instrText xml:space="preserve"> ADDIN ZOTERO_ITEM CSL_CITATION {"citationID":"as50r63et8","properties":{"formattedCitation":"(Higgins et al., 2008; Olkowski, 2009; Waldner &amp; Looper, n.d.)","plainCitation":"(Higgins et al., 2008; Olkowski, 2009; Waldner &amp; Looper, n.d.)","noteIndex":0},"citationItems":[{"id":912,"uris":["http://zotero.org/users/5446453/items/RLSDXUJ5"],"uri":["http://zotero.org/users/5446453/items/RLSDXUJ5"],"itemData":{"id":912,"type":"report","language":"en","number":"ID-170","page":"4","publisher":"University of Kentucky Extension Service","source":"Zotero","title":"Drinking Water Quality Guidelines for Cattle","author":[{"family":"Higgins","given":"Stephen F"},{"family":"Agouridis","given":"Carmen T"},{"family":"Gumbert","given":"Amanda A."}],"issued":{"date-parts":[["2008"]]}}},{"id":906,"uris":["http://zotero.org/users/5446453/items/5GQZH863"],"uri":["http://zotero.org/users/5446453/items/5GQZH863"],"itemData":{"id":906,"type":"article","publisher":"University of Saskatchewan","title":"Livestock Water Quality: A field guide for cattle, horses, poultry and swine","URL":"https://www.ag.ndsu.edu/waterquality/livestock/Livestock_Water_QualityFINALweb.pdf","author":[{"family":"Olkowski","given":"Andrew A."}],"accessed":{"date-parts":[["2020",11,18]]},"issued":{"date-parts":[["2009"]]}}},{"id":904,"uris":["http://zotero.org/users/5446453/items/U8KCGFCM"],"uri":["http://zotero.org/users/5446453/items/U8KCGFCM"],"itemData":{"id":904,"type":"report","event-place":"Stillwater, OK","number":"ANSI-4275","publisher":"Oklahoma State University Extension Service, Division of Agricultural Sciences and Natural Resources","publisher-place":"Stillwater, OK","title":"Water for Dairy Cattle","URL":"https://www.landcan.org/pdfs/ANSI-4275%20Water%20for%20Dairy%20Cattle.pdf","author":[{"family":"Waldner","given":"Dan N."},{"family":"Looper","given":"Michael L."}],"accessed":{"date-parts":[["2020",11,17]]}}}],"schema":"https://github.com/citation-style-language/schema/raw/master/csl-citation.json"} </w:instrText>
      </w:r>
      <w:r w:rsidR="00813D59" w:rsidRPr="00087AA4">
        <w:rPr>
          <w:rFonts w:ascii="Times New Roman" w:hAnsi="Times New Roman"/>
          <w:sz w:val="24"/>
        </w:rPr>
        <w:fldChar w:fldCharType="separate"/>
      </w:r>
      <w:r w:rsidR="00234033" w:rsidRPr="00234033">
        <w:rPr>
          <w:rFonts w:ascii="Times New Roman" w:hAnsi="Times New Roman" w:cs="Times New Roman"/>
          <w:sz w:val="24"/>
        </w:rPr>
        <w:t xml:space="preserve">(Higgins et al., 2008; Olkowski, 2009; Waldner </w:t>
      </w:r>
      <w:r w:rsidR="00375B31">
        <w:rPr>
          <w:rFonts w:ascii="Times New Roman" w:hAnsi="Times New Roman" w:cs="Times New Roman"/>
          <w:sz w:val="24"/>
        </w:rPr>
        <w:t>and</w:t>
      </w:r>
      <w:r w:rsidR="00234033" w:rsidRPr="00234033">
        <w:rPr>
          <w:rFonts w:ascii="Times New Roman" w:hAnsi="Times New Roman" w:cs="Times New Roman"/>
          <w:sz w:val="24"/>
        </w:rPr>
        <w:t xml:space="preserve"> Looper, </w:t>
      </w:r>
      <w:proofErr w:type="spellStart"/>
      <w:r w:rsidR="00234033" w:rsidRPr="00234033">
        <w:rPr>
          <w:rFonts w:ascii="Times New Roman" w:hAnsi="Times New Roman" w:cs="Times New Roman"/>
          <w:sz w:val="24"/>
        </w:rPr>
        <w:t>n.d.</w:t>
      </w:r>
      <w:proofErr w:type="spellEnd"/>
      <w:r w:rsidR="00234033" w:rsidRPr="00234033">
        <w:rPr>
          <w:rFonts w:ascii="Times New Roman" w:hAnsi="Times New Roman" w:cs="Times New Roman"/>
          <w:sz w:val="24"/>
        </w:rPr>
        <w:t>)</w:t>
      </w:r>
      <w:r w:rsidR="00813D59" w:rsidRPr="00087AA4">
        <w:rPr>
          <w:rFonts w:ascii="Times New Roman" w:hAnsi="Times New Roman"/>
          <w:sz w:val="24"/>
        </w:rPr>
        <w:fldChar w:fldCharType="end"/>
      </w:r>
      <w:r w:rsidR="00813D59" w:rsidRPr="00087AA4">
        <w:rPr>
          <w:rFonts w:ascii="Times New Roman" w:hAnsi="Times New Roman"/>
          <w:sz w:val="24"/>
        </w:rPr>
        <w:t xml:space="preserve">. At around 1000 mg/L, dairy cow milk output and reproduction are negatively affected, and cattle gain less weight in feedlots </w:t>
      </w:r>
      <w:r w:rsidR="00813D59" w:rsidRPr="00087AA4">
        <w:rPr>
          <w:rFonts w:ascii="Times New Roman" w:hAnsi="Times New Roman"/>
          <w:sz w:val="24"/>
        </w:rPr>
        <w:fldChar w:fldCharType="begin"/>
      </w:r>
      <w:r w:rsidR="00813D59" w:rsidRPr="00087AA4">
        <w:rPr>
          <w:rFonts w:ascii="Times New Roman" w:hAnsi="Times New Roman"/>
          <w:sz w:val="24"/>
        </w:rPr>
        <w:instrText xml:space="preserve"> ADDIN ZOTERO_ITEM CSL_CITATION {"citationID":"cu4n3YyT","properties":{"formattedCitation":"(Beede, 2008)","plainCitation":"(Beede, 2008)","noteIndex":0},"citationItems":[{"id":910,"uris":["http://zotero.org/users/5446453/items/Y6RWTVJA"],"uri":["http://zotero.org/users/5446453/items/Y6RWTVJA"],"itemData":{"id":910,"type":"paper-conference","event":"Bucknell Nutrition Conference","event-place":"Lewisburg, PA","language":"en","page":"24","publisher-place":"Lewisburg, PA","source":"Zotero","title":"Evaluation of Water Quality and Nutrition for Dairy Cattle","author":[{"family":"Beede","given":"David K"}],"issued":{"date-parts":[["2008",7,15]]}}}],"schema":"https://github.com/citation-style-language/schema/raw/master/csl-citation.json"} </w:instrText>
      </w:r>
      <w:r w:rsidR="00813D59" w:rsidRPr="00087AA4">
        <w:rPr>
          <w:rFonts w:ascii="Times New Roman" w:hAnsi="Times New Roman"/>
          <w:sz w:val="24"/>
        </w:rPr>
        <w:fldChar w:fldCharType="separate"/>
      </w:r>
      <w:r w:rsidR="00234033" w:rsidRPr="00234033">
        <w:rPr>
          <w:rFonts w:ascii="Times New Roman" w:hAnsi="Times New Roman" w:cs="Times New Roman"/>
          <w:sz w:val="24"/>
        </w:rPr>
        <w:t>(Beede, 2008)</w:t>
      </w:r>
      <w:r w:rsidR="00813D59" w:rsidRPr="00087AA4">
        <w:rPr>
          <w:rFonts w:ascii="Times New Roman" w:hAnsi="Times New Roman"/>
          <w:sz w:val="24"/>
        </w:rPr>
        <w:fldChar w:fldCharType="end"/>
      </w:r>
      <w:r w:rsidR="00813D59" w:rsidRPr="00087AA4">
        <w:rPr>
          <w:rFonts w:ascii="Times New Roman" w:hAnsi="Times New Roman"/>
          <w:sz w:val="24"/>
        </w:rPr>
        <w:t xml:space="preserve">. At 2000 mg/L, cattle may initially exhibit diarrhea and reject the water, but they have been shown to adapt to high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sidRPr="009678A2">
        <w:rPr>
          <w:rFonts w:ascii="Times New Roman" w:hAnsi="Times New Roman" w:cs="Times New Roman"/>
          <w:sz w:val="24"/>
          <w:szCs w:val="24"/>
        </w:rPr>
        <w:t xml:space="preserve"> </w:t>
      </w:r>
      <w:r w:rsidR="00813D59" w:rsidRPr="00087AA4">
        <w:rPr>
          <w:rFonts w:ascii="Times New Roman" w:hAnsi="Times New Roman"/>
          <w:sz w:val="24"/>
        </w:rPr>
        <w:t xml:space="preserve">levels in the past </w:t>
      </w:r>
      <w:r w:rsidR="00813D59" w:rsidRPr="00087AA4">
        <w:rPr>
          <w:rFonts w:ascii="Times New Roman" w:hAnsi="Times New Roman"/>
          <w:sz w:val="24"/>
        </w:rPr>
        <w:fldChar w:fldCharType="begin"/>
      </w:r>
      <w:r w:rsidR="004B13BE">
        <w:rPr>
          <w:rFonts w:ascii="Times New Roman" w:hAnsi="Times New Roman"/>
          <w:sz w:val="24"/>
        </w:rPr>
        <w:instrText xml:space="preserve"> ADDIN ZOTERO_ITEM CSL_CITATION {"citationID":"MMybT1iJ","properties":{"formattedCitation":"(Beede, 2008; Waldner &amp; Looper, n.d.)","plainCitation":"(Beede, 2008; Waldner &amp; Looper, n.d.)","dontUpdate":true,"noteIndex":0},"citationItems":[{"id":910,"uris":["http://zotero.org/users/5446453/items/Y6RWTVJA"],"uri":["http://zotero.org/users/5446453/items/Y6RWTVJA"],"itemData":{"id":910,"type":"paper-conference","event":"Bucknell Nutrition Conference","event-place":"Lewisburg, PA","language":"en","page":"24","publisher-place":"Lewisburg, PA","source":"Zotero","title":"Evaluation of Water Quality and Nutrition for Dairy Cattle","author":[{"family":"Beede","given":"David K"}],"issued":{"date-parts":[["2008",7,15]]}}},{"id":904,"uris":["http://zotero.org/users/5446453/items/U8KCGFCM"],"uri":["http://zotero.org/users/5446453/items/U8KCGFCM"],"itemData":{"id":904,"type":"report","event-place":"Stillwater, OK","number":"ANSI-4275","publisher":"Oklahoma State University Extension Service, Division of Agricultural Sciences and Natural Resources","publisher-place":"Stillwater, OK","title":"Water for Dairy Cattle","URL":"https://www.landcan.org/pdfs/ANSI-4275%20Water%20for%20Dairy%20Cattle.pdf","author":[{"family":"Waldner","given":"Dan N."},{"family":"Looper","given":"Michael L."}],"accessed":{"date-parts":[["2020",11,17]]}}}],"schema":"https://github.com/citation-style-language/schema/raw/master/csl-citation.json"} </w:instrText>
      </w:r>
      <w:r w:rsidR="00813D59" w:rsidRPr="00087AA4">
        <w:rPr>
          <w:rFonts w:ascii="Times New Roman" w:hAnsi="Times New Roman"/>
          <w:sz w:val="24"/>
        </w:rPr>
        <w:fldChar w:fldCharType="separate"/>
      </w:r>
      <w:r w:rsidR="00813D59" w:rsidRPr="00087AA4">
        <w:rPr>
          <w:rFonts w:ascii="Times New Roman" w:hAnsi="Times New Roman"/>
          <w:sz w:val="24"/>
        </w:rPr>
        <w:t xml:space="preserve">(Beede, 2008; Waldner </w:t>
      </w:r>
      <w:r w:rsidR="002A6AB5">
        <w:rPr>
          <w:rFonts w:ascii="Times New Roman" w:hAnsi="Times New Roman"/>
          <w:sz w:val="24"/>
        </w:rPr>
        <w:t>and</w:t>
      </w:r>
      <w:r w:rsidR="00813D59" w:rsidRPr="00087AA4">
        <w:rPr>
          <w:rFonts w:ascii="Times New Roman" w:hAnsi="Times New Roman"/>
          <w:sz w:val="24"/>
        </w:rPr>
        <w:t xml:space="preserve"> Looper, </w:t>
      </w:r>
      <w:proofErr w:type="spellStart"/>
      <w:r w:rsidR="00813D59" w:rsidRPr="00087AA4">
        <w:rPr>
          <w:rFonts w:ascii="Times New Roman" w:hAnsi="Times New Roman"/>
          <w:sz w:val="24"/>
        </w:rPr>
        <w:t>n.d.</w:t>
      </w:r>
      <w:proofErr w:type="spellEnd"/>
      <w:r w:rsidR="00813D59" w:rsidRPr="00087AA4">
        <w:rPr>
          <w:rFonts w:ascii="Times New Roman" w:hAnsi="Times New Roman"/>
          <w:sz w:val="24"/>
        </w:rPr>
        <w:t>)</w:t>
      </w:r>
      <w:r w:rsidR="00813D59" w:rsidRPr="00087AA4">
        <w:rPr>
          <w:rFonts w:ascii="Times New Roman" w:hAnsi="Times New Roman"/>
          <w:sz w:val="24"/>
        </w:rPr>
        <w:fldChar w:fldCharType="end"/>
      </w:r>
      <w:r w:rsidR="00813D59" w:rsidRPr="00087AA4">
        <w:rPr>
          <w:rFonts w:ascii="Times New Roman" w:hAnsi="Times New Roman"/>
          <w:sz w:val="24"/>
        </w:rPr>
        <w:t>. However</w:t>
      </w:r>
      <w:r w:rsidR="00813D59" w:rsidRPr="00F651DB">
        <w:rPr>
          <w:rFonts w:ascii="Times New Roman" w:hAnsi="Times New Roman"/>
          <w:sz w:val="24"/>
        </w:rPr>
        <w:t xml:space="preserve"> concentrations around 3000 mg/L have recently been </w:t>
      </w:r>
      <w:r w:rsidR="00087AA4">
        <w:rPr>
          <w:rFonts w:ascii="Times New Roman" w:hAnsi="Times New Roman"/>
          <w:sz w:val="24"/>
        </w:rPr>
        <w:t>blamed</w:t>
      </w:r>
      <w:r w:rsidR="00813D59" w:rsidRPr="00087AA4">
        <w:rPr>
          <w:rFonts w:ascii="Times New Roman" w:hAnsi="Times New Roman"/>
          <w:sz w:val="24"/>
        </w:rPr>
        <w:t xml:space="preserve"> for weight loss and outbreaks of </w:t>
      </w:r>
      <w:proofErr w:type="spellStart"/>
      <w:r w:rsidR="00813D59" w:rsidRPr="00087AA4">
        <w:rPr>
          <w:rFonts w:ascii="Times New Roman" w:hAnsi="Times New Roman"/>
          <w:sz w:val="24"/>
        </w:rPr>
        <w:t>polioencephalomalacia</w:t>
      </w:r>
      <w:proofErr w:type="spellEnd"/>
      <w:r w:rsidR="00813D59" w:rsidRPr="00087AA4">
        <w:rPr>
          <w:rFonts w:ascii="Times New Roman" w:hAnsi="Times New Roman"/>
          <w:sz w:val="24"/>
        </w:rPr>
        <w:t xml:space="preserve">, a central nervous system disorder responsible for myriad neurological </w:t>
      </w:r>
      <w:r w:rsidR="00813D59" w:rsidRPr="00F62183">
        <w:rPr>
          <w:rFonts w:ascii="Times New Roman" w:hAnsi="Times New Roman" w:cs="Times New Roman"/>
        </w:rPr>
        <w:lastRenderedPageBreak/>
        <w:t>damage</w:t>
      </w:r>
      <w:r>
        <w:rPr>
          <w:rFonts w:ascii="Times New Roman" w:hAnsi="Times New Roman" w:cs="Times New Roman"/>
        </w:rPr>
        <w:t>s</w:t>
      </w:r>
      <w:r w:rsidR="00813D59" w:rsidRPr="00087AA4">
        <w:rPr>
          <w:rFonts w:ascii="Times New Roman" w:hAnsi="Times New Roman"/>
          <w:sz w:val="24"/>
        </w:rPr>
        <w:t xml:space="preserve"> and documented mortality </w:t>
      </w:r>
      <w:r w:rsidR="00813D59" w:rsidRPr="00087AA4">
        <w:rPr>
          <w:rFonts w:ascii="Times New Roman" w:hAnsi="Times New Roman"/>
          <w:sz w:val="24"/>
        </w:rPr>
        <w:fldChar w:fldCharType="begin"/>
      </w:r>
      <w:r w:rsidR="004B13BE">
        <w:rPr>
          <w:rFonts w:ascii="Times New Roman" w:hAnsi="Times New Roman"/>
          <w:sz w:val="24"/>
        </w:rPr>
        <w:instrText xml:space="preserve"> ADDIN ZOTERO_ITEM CSL_CITATION {"citationID":"xBCapMTq","properties":{"formattedCitation":"(Olkowski, 2009; Weeth &amp; Hunter, 1971)","plainCitation":"(Olkowski, 2009; Weeth &amp; Hunter, 1971)","dontUpdate":true,"noteIndex":0},"citationItems":[{"id":906,"uris":["http://zotero.org/users/5446453/items/5GQZH863"],"uri":["http://zotero.org/users/5446453/items/5GQZH863"],"itemData":{"id":906,"type":"article","publisher":"University of Saskatchewan","title":"Livestock Water Quality: A field guide for cattle, horses, poultry and swine","URL":"https://www.ag.ndsu.edu/waterquality/livestock/Livestock_Water_QualityFINALweb.pdf","author":[{"family":"Olkowski","given":"Andrew A."}],"accessed":{"date-parts":[["2020",11,18]]},"issued":{"date-parts":[["2009"]]}}},{"id":913,"uris":["http://zotero.org/users/5446453/items/TAP9LAMS"],"uri":["http://zotero.org/users/5446453/items/TAP9LAMS"],"itemData":{"id":913,"type":"article-journal","abstract":"Summary. Nine growing Hereford heifers were offered as drinking water either tap-water, 5,000 ppm Na2SO4-water or 4,110 ppm NaCl-water. The experimental design","container-title":"Journal of Animal Science","DOI":"10.2527/jas1971.322277x","ISSN":"0021-8812","issue":"2","journalAbbreviation":"J Anim Sci","language":"en","note":"publisher: Oxford Academic","page":"277-281","source":"academic.oup.com","title":"Drinking of Sulfate-Water by Cattle","volume":"32","author":[{"family":"Weeth","given":"H. J."},{"family":"Hunter","given":"J. E."}],"issued":{"date-parts":[["1971",2,1]]}}}],"schema":"https://github.com/citation-style-language/schema/raw/master/csl-citation.json"} </w:instrText>
      </w:r>
      <w:r w:rsidR="00813D59" w:rsidRPr="00087AA4">
        <w:rPr>
          <w:rFonts w:ascii="Times New Roman" w:hAnsi="Times New Roman"/>
          <w:sz w:val="24"/>
        </w:rPr>
        <w:fldChar w:fldCharType="separate"/>
      </w:r>
      <w:r w:rsidR="00813D59" w:rsidRPr="00087AA4">
        <w:rPr>
          <w:rFonts w:ascii="Times New Roman" w:hAnsi="Times New Roman"/>
          <w:sz w:val="24"/>
        </w:rPr>
        <w:t xml:space="preserve">(Olkowski, 2009; Weeth </w:t>
      </w:r>
      <w:r w:rsidR="002A6AB5">
        <w:rPr>
          <w:rFonts w:ascii="Times New Roman" w:hAnsi="Times New Roman"/>
          <w:sz w:val="24"/>
        </w:rPr>
        <w:t>and</w:t>
      </w:r>
      <w:r w:rsidR="00813D59" w:rsidRPr="00087AA4">
        <w:rPr>
          <w:rFonts w:ascii="Times New Roman" w:hAnsi="Times New Roman"/>
          <w:sz w:val="24"/>
        </w:rPr>
        <w:t xml:space="preserve"> Hunter, 1971)</w:t>
      </w:r>
      <w:r w:rsidR="00813D59" w:rsidRPr="00087AA4">
        <w:rPr>
          <w:rFonts w:ascii="Times New Roman" w:hAnsi="Times New Roman"/>
          <w:sz w:val="24"/>
        </w:rPr>
        <w:fldChar w:fldCharType="end"/>
      </w:r>
      <w:r w:rsidR="00813D59" w:rsidRPr="00087AA4">
        <w:rPr>
          <w:rFonts w:ascii="Times New Roman" w:hAnsi="Times New Roman"/>
          <w:sz w:val="24"/>
        </w:rPr>
        <w:t>. Long-term</w:t>
      </w:r>
      <w:r w:rsidR="00813D59" w:rsidRPr="00F62183">
        <w:rPr>
          <w:rFonts w:ascii="Times New Roman" w:hAnsi="Times New Roman" w:cs="Times New Roman"/>
        </w:rPr>
        <w:t xml:space="preserve">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sidRPr="009678A2">
        <w:rPr>
          <w:rFonts w:ascii="Times New Roman" w:hAnsi="Times New Roman" w:cs="Times New Roman"/>
          <w:sz w:val="24"/>
          <w:szCs w:val="24"/>
        </w:rPr>
        <w:t xml:space="preserve"> </w:t>
      </w:r>
      <w:r w:rsidR="00813D59" w:rsidRPr="00087AA4">
        <w:rPr>
          <w:rFonts w:ascii="Times New Roman" w:hAnsi="Times New Roman"/>
          <w:sz w:val="24"/>
        </w:rPr>
        <w:t xml:space="preserve"> exposure has also been causally linked via copper sulfide formation to </w:t>
      </w:r>
      <w:r w:rsidR="009678A2">
        <w:rPr>
          <w:rFonts w:ascii="Times New Roman" w:hAnsi="Times New Roman"/>
          <w:sz w:val="24"/>
        </w:rPr>
        <w:t>Cu</w:t>
      </w:r>
      <w:r w:rsidR="00813D59" w:rsidRPr="00087AA4">
        <w:rPr>
          <w:rFonts w:ascii="Times New Roman" w:hAnsi="Times New Roman"/>
          <w:sz w:val="24"/>
        </w:rPr>
        <w:t xml:space="preserve"> deficiencies, which manifest as hair loss, decreased growth and development, and impaired reproduction </w:t>
      </w:r>
      <w:r w:rsidR="00813D59" w:rsidRPr="00087AA4">
        <w:rPr>
          <w:rFonts w:ascii="Times New Roman" w:hAnsi="Times New Roman"/>
          <w:sz w:val="24"/>
        </w:rPr>
        <w:fldChar w:fldCharType="begin"/>
      </w:r>
      <w:r w:rsidR="00813D59" w:rsidRPr="00087AA4">
        <w:rPr>
          <w:rFonts w:ascii="Times New Roman" w:hAnsi="Times New Roman"/>
          <w:sz w:val="24"/>
        </w:rPr>
        <w:instrText xml:space="preserve"> ADDIN ZOTERO_ITEM CSL_CITATION {"citationID":"I8HSPu9Y","properties":{"formattedCitation":"(Olkowski, 2009)","plainCitation":"(Olkowski, 2009)","noteIndex":0},"citationItems":[{"id":906,"uris":["http://zotero.org/users/5446453/items/5GQZH863"],"uri":["http://zotero.org/users/5446453/items/5GQZH863"],"itemData":{"id":906,"type":"article","publisher":"University of Saskatchewan","title":"Livestock Water Quality: A field guide for cattle, horses, poultry and swine","URL":"https://www.ag.ndsu.edu/waterquality/livestock/Livestock_Water_QualityFINALweb.pdf","author":[{"family":"Olkowski","given":"Andrew A."}],"accessed":{"date-parts":[["2020",11,18]]},"issued":{"date-parts":[["2009"]]}}}],"schema":"https://github.com/citation-style-language/schema/raw/master/csl-citation.json"} </w:instrText>
      </w:r>
      <w:r w:rsidR="00813D59" w:rsidRPr="00087AA4">
        <w:rPr>
          <w:rFonts w:ascii="Times New Roman" w:hAnsi="Times New Roman"/>
          <w:sz w:val="24"/>
        </w:rPr>
        <w:fldChar w:fldCharType="separate"/>
      </w:r>
      <w:r w:rsidR="00234033" w:rsidRPr="00234033">
        <w:rPr>
          <w:rFonts w:ascii="Times New Roman" w:hAnsi="Times New Roman" w:cs="Times New Roman"/>
          <w:sz w:val="24"/>
        </w:rPr>
        <w:t>(Olkowski, 2009)</w:t>
      </w:r>
      <w:r w:rsidR="00813D59" w:rsidRPr="00087AA4">
        <w:rPr>
          <w:rFonts w:ascii="Times New Roman" w:hAnsi="Times New Roman"/>
          <w:sz w:val="24"/>
        </w:rPr>
        <w:fldChar w:fldCharType="end"/>
      </w:r>
      <w:r w:rsidR="00813D59" w:rsidRPr="00087AA4">
        <w:rPr>
          <w:rFonts w:ascii="Times New Roman" w:hAnsi="Times New Roman"/>
          <w:sz w:val="24"/>
        </w:rPr>
        <w:t xml:space="preserve">. </w:t>
      </w:r>
      <w:r>
        <w:rPr>
          <w:rFonts w:ascii="Times New Roman" w:hAnsi="Times New Roman" w:cs="Times New Roman"/>
        </w:rPr>
        <w:t>Although</w:t>
      </w:r>
      <w:r w:rsidRPr="00F62183">
        <w:rPr>
          <w:rFonts w:ascii="Times New Roman" w:hAnsi="Times New Roman" w:cs="Times New Roman"/>
        </w:rPr>
        <w:t xml:space="preserve"> </w:t>
      </w:r>
      <w:r>
        <w:rPr>
          <w:rFonts w:ascii="Times New Roman" w:hAnsi="Times New Roman" w:cs="Times New Roman"/>
        </w:rPr>
        <w:t>ranches</w:t>
      </w:r>
      <w:r w:rsidR="00813D59" w:rsidRPr="00087AA4">
        <w:rPr>
          <w:rFonts w:ascii="Times New Roman" w:hAnsi="Times New Roman"/>
          <w:sz w:val="24"/>
        </w:rPr>
        <w:t xml:space="preserve"> certainly exist where cattle drinking water contains elevated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813D59" w:rsidRPr="00087AA4">
        <w:rPr>
          <w:rFonts w:ascii="Times New Roman" w:hAnsi="Times New Roman"/>
          <w:sz w:val="24"/>
        </w:rPr>
        <w:t xml:space="preserve">, the concentrations present in MRPTS discharge are </w:t>
      </w:r>
      <w:r>
        <w:rPr>
          <w:rFonts w:ascii="Times New Roman" w:hAnsi="Times New Roman" w:cs="Times New Roman"/>
        </w:rPr>
        <w:t xml:space="preserve">likely </w:t>
      </w:r>
      <w:r w:rsidR="00813D59" w:rsidRPr="00087AA4">
        <w:rPr>
          <w:rFonts w:ascii="Times New Roman" w:hAnsi="Times New Roman"/>
          <w:sz w:val="24"/>
        </w:rPr>
        <w:t>dangerously high, and would likely decrease livestock productivity in the long-term.</w:t>
      </w:r>
      <w:r w:rsidR="00FC5096" w:rsidRPr="00A326EF">
        <w:rPr>
          <w:rFonts w:ascii="Times New Roman" w:hAnsi="Times New Roman" w:cs="Times New Roman"/>
          <w:sz w:val="24"/>
          <w:szCs w:val="24"/>
        </w:rPr>
        <w:t xml:space="preserve"> </w:t>
      </w:r>
    </w:p>
    <w:p w14:paraId="46A4F1C8" w14:textId="7CADDCC7" w:rsidR="00813D59" w:rsidRPr="00087AA4" w:rsidRDefault="00A645F9" w:rsidP="00813D59">
      <w:pPr>
        <w:spacing w:line="480" w:lineRule="auto"/>
        <w:ind w:firstLine="720"/>
        <w:rPr>
          <w:rFonts w:ascii="Times New Roman" w:hAnsi="Times New Roman"/>
          <w:sz w:val="24"/>
        </w:rPr>
      </w:pPr>
      <w:r>
        <w:rPr>
          <w:rFonts w:ascii="Times New Roman" w:hAnsi="Times New Roman" w:cs="Times New Roman"/>
        </w:rPr>
        <w:t>Agricultural producers</w:t>
      </w:r>
      <w:r w:rsidR="00813D59" w:rsidRPr="00087AA4">
        <w:rPr>
          <w:rFonts w:ascii="Times New Roman" w:hAnsi="Times New Roman"/>
          <w:sz w:val="24"/>
        </w:rPr>
        <w:t xml:space="preserve"> can reduce cattle exposure to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Pr>
          <w:rFonts w:ascii="Times New Roman" w:hAnsi="Times New Roman" w:cs="Times New Roman"/>
          <w:sz w:val="24"/>
          <w:szCs w:val="24"/>
        </w:rPr>
        <w:t xml:space="preserve"> </w:t>
      </w:r>
      <w:r w:rsidR="00813D59" w:rsidRPr="00087AA4">
        <w:rPr>
          <w:rFonts w:ascii="Times New Roman" w:hAnsi="Times New Roman"/>
          <w:sz w:val="24"/>
        </w:rPr>
        <w:t xml:space="preserve">and other constituents of concern by </w:t>
      </w:r>
      <w:r w:rsidR="009C74A3">
        <w:rPr>
          <w:rFonts w:ascii="Times New Roman" w:hAnsi="Times New Roman"/>
          <w:sz w:val="24"/>
        </w:rPr>
        <w:t>implementing membrane filtration or ion exchange technologies</w:t>
      </w:r>
      <w:r w:rsidR="00813D59" w:rsidRPr="00087AA4">
        <w:rPr>
          <w:rFonts w:ascii="Times New Roman" w:hAnsi="Times New Roman"/>
          <w:sz w:val="24"/>
        </w:rPr>
        <w:t xml:space="preserve">. Nano-filtration could reduce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813D59" w:rsidRPr="00087AA4">
        <w:rPr>
          <w:rFonts w:ascii="Times New Roman" w:hAnsi="Times New Roman"/>
          <w:sz w:val="24"/>
        </w:rPr>
        <w:t xml:space="preserve"> concentrations at a cost of $45/head/year for a 100 </w:t>
      </w:r>
      <w:r>
        <w:rPr>
          <w:rFonts w:ascii="Times New Roman" w:hAnsi="Times New Roman" w:cs="Times New Roman"/>
        </w:rPr>
        <w:t>head</w:t>
      </w:r>
      <w:r w:rsidRPr="00F62183">
        <w:rPr>
          <w:rFonts w:ascii="Times New Roman" w:hAnsi="Times New Roman" w:cs="Times New Roman"/>
        </w:rPr>
        <w:t xml:space="preserve"> </w:t>
      </w:r>
      <w:r w:rsidR="00813D59" w:rsidRPr="00087AA4">
        <w:rPr>
          <w:rFonts w:ascii="Times New Roman" w:hAnsi="Times New Roman"/>
          <w:sz w:val="24"/>
        </w:rPr>
        <w:t xml:space="preserve">operation and $20/head/year for a 500 </w:t>
      </w:r>
      <w:r>
        <w:rPr>
          <w:rFonts w:ascii="Times New Roman" w:hAnsi="Times New Roman" w:cs="Times New Roman"/>
        </w:rPr>
        <w:t>head</w:t>
      </w:r>
      <w:r w:rsidR="00813D59" w:rsidRPr="00087AA4">
        <w:rPr>
          <w:rFonts w:ascii="Times New Roman" w:hAnsi="Times New Roman"/>
          <w:sz w:val="24"/>
        </w:rPr>
        <w:t xml:space="preserve"> operation, but most operations would not benefit from economies of scale in polishing a water source; fewer than 25% of Oklahoma cattle operations managed 100 or more head in 2017 </w:t>
      </w:r>
      <w:r w:rsidR="00813D59" w:rsidRPr="00087AA4">
        <w:rPr>
          <w:rFonts w:ascii="Times New Roman" w:hAnsi="Times New Roman"/>
          <w:sz w:val="24"/>
        </w:rPr>
        <w:fldChar w:fldCharType="begin"/>
      </w:r>
      <w:r w:rsidR="00813D59" w:rsidRPr="00087AA4">
        <w:rPr>
          <w:rFonts w:ascii="Times New Roman" w:hAnsi="Times New Roman"/>
          <w:sz w:val="24"/>
        </w:rPr>
        <w:instrText xml:space="preserve"> ADDIN ZOTERO_ITEM CSL_CITATION {"citationID":"YA2mzAqA","properties":{"formattedCitation":"(Olkowski, 2009; USDA, 2019)","plainCitation":"(Olkowski, 2009; USDA, 2019)","noteIndex":0},"citationItems":[{"id":906,"uris":["http://zotero.org/users/5446453/items/5GQZH863"],"uri":["http://zotero.org/users/5446453/items/5GQZH863"],"itemData":{"id":906,"type":"article","publisher":"University of Saskatchewan","title":"Livestock Water Quality: A field guide for cattle, horses, poultry and swine","URL":"https://www.ag.ndsu.edu/waterquality/livestock/Livestock_Water_QualityFINALweb.pdf","author":[{"family":"Olkowski","given":"Andrew A."}],"accessed":{"date-parts":[["2020",11,18]]},"issued":{"date-parts":[["2009"]]}}},{"id":893,"uris":["http://zotero.org/users/5446453/items/T27B6UAM"],"uri":["http://zotero.org/users/5446453/items/T27B6UAM"],"itemData":{"id":893,"type":"report","collection-title":"Oklahoma Agriculture Statistics","event-place":"Austin, TX &amp; Oklahoma City, OK","language":"en","page":"88","publisher":"USDA-National Agricultural Statistics Service &amp; Oklahoma Department of Agriculture, Food and Forestry","publisher-place":"Austin, TX &amp; Oklahoma City, OK","source":"Zotero","title":"2019 Oklahoma Agriculture Statistics","author":[{"literal":"USDA"}],"issued":{"date-parts":[["2019",10]]}}}],"schema":"https://github.com/citation-style-language/schema/raw/master/csl-citation.json"} </w:instrText>
      </w:r>
      <w:r w:rsidR="00813D59" w:rsidRPr="00087AA4">
        <w:rPr>
          <w:rFonts w:ascii="Times New Roman" w:hAnsi="Times New Roman"/>
          <w:sz w:val="24"/>
        </w:rPr>
        <w:fldChar w:fldCharType="separate"/>
      </w:r>
      <w:r w:rsidR="00234033" w:rsidRPr="00234033">
        <w:rPr>
          <w:rFonts w:ascii="Times New Roman" w:hAnsi="Times New Roman" w:cs="Times New Roman"/>
          <w:sz w:val="24"/>
        </w:rPr>
        <w:t>(Olkowski, 2009; USDA, 2019)</w:t>
      </w:r>
      <w:r w:rsidR="00813D59" w:rsidRPr="00087AA4">
        <w:rPr>
          <w:rFonts w:ascii="Times New Roman" w:hAnsi="Times New Roman"/>
          <w:sz w:val="24"/>
        </w:rPr>
        <w:fldChar w:fldCharType="end"/>
      </w:r>
      <w:r w:rsidR="00813D59" w:rsidRPr="00087AA4">
        <w:rPr>
          <w:rFonts w:ascii="Times New Roman" w:hAnsi="Times New Roman"/>
          <w:sz w:val="24"/>
        </w:rPr>
        <w:t xml:space="preserve">. Alternatively, treated mine water could provide a secondary water source to supplement an existing supply and thereby dilute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813D59" w:rsidRPr="00087AA4">
        <w:rPr>
          <w:rFonts w:ascii="Times New Roman" w:hAnsi="Times New Roman"/>
          <w:sz w:val="24"/>
        </w:rPr>
        <w:t xml:space="preserve"> accumulations, but unless the waters were blended it is possible that cattle would reject MRPTS water in favor of the alternative. Without additional treatment or contaminant mitigation, treated mine water would not be recommended for calves or pregnant or lactating cows, so calculations of Ottawa County cattle water demand excluded these more sensitive groups.</w:t>
      </w:r>
    </w:p>
    <w:p w14:paraId="40DC5C6C" w14:textId="15DD684C" w:rsidR="00813D59" w:rsidRPr="00087AA4" w:rsidRDefault="00813D59" w:rsidP="00813D59">
      <w:pPr>
        <w:spacing w:line="480" w:lineRule="auto"/>
        <w:ind w:firstLine="720"/>
        <w:rPr>
          <w:rFonts w:ascii="Times New Roman" w:hAnsi="Times New Roman"/>
          <w:sz w:val="24"/>
        </w:rPr>
      </w:pPr>
      <w:r w:rsidRPr="00087AA4">
        <w:rPr>
          <w:rFonts w:ascii="Times New Roman" w:hAnsi="Times New Roman"/>
          <w:sz w:val="24"/>
        </w:rPr>
        <w:t xml:space="preserve">MRPTS discharges approximately 1000 L/min with some seasonal variation influenced by precipitation and the mine pool elevation </w:t>
      </w:r>
      <w:r w:rsidRPr="00087AA4">
        <w:rPr>
          <w:rFonts w:ascii="Times New Roman" w:hAnsi="Times New Roman"/>
          <w:sz w:val="24"/>
        </w:rPr>
        <w:fldChar w:fldCharType="begin"/>
      </w:r>
      <w:r w:rsidRPr="00087AA4">
        <w:rPr>
          <w:rFonts w:ascii="Times New Roman" w:hAnsi="Times New Roman"/>
          <w:sz w:val="24"/>
        </w:rPr>
        <w:instrText xml:space="preserve"> ADDIN ZOTERO_ITEM CSL_CITATION {"citationID":"PITlVRa1","properties":{"formattedCitation":"(ITRC, 2013)","plainCitation":"(ITRC, 2013)","noteIndex":0},"citationItems":[{"id":168,"uris":["http://zotero.org/users/5446453/items/X5MAFLGH"],"uri":["http://zotero.org/users/5446453/items/X5MAFLGH"],"itemData":{"id":168,"type":"webpage","title":"B.2 Mayer Ranch Commerce Site","URL":"https://itrcweb.org/bcr-1/Content/Appendix%20B%20Case%20Studies/B2%20Mayer%20Ranch%20Commerce%20Site.htm","author":[{"literal":"ITRC"}],"accessed":{"date-parts":[["2019",12,17]]},"issued":{"date-parts":[["2013",11]]}}}],"schema":"https://github.com/citation-style-language/schema/raw/master/csl-citation.json"} </w:instrText>
      </w:r>
      <w:r w:rsidRPr="00087AA4">
        <w:rPr>
          <w:rFonts w:ascii="Times New Roman" w:hAnsi="Times New Roman"/>
          <w:sz w:val="24"/>
        </w:rPr>
        <w:fldChar w:fldCharType="separate"/>
      </w:r>
      <w:r w:rsidR="00234033" w:rsidRPr="00234033">
        <w:rPr>
          <w:rFonts w:ascii="Times New Roman" w:hAnsi="Times New Roman" w:cs="Times New Roman"/>
          <w:sz w:val="24"/>
        </w:rPr>
        <w:t>(ITRC, 2013)</w:t>
      </w:r>
      <w:r w:rsidRPr="00087AA4">
        <w:rPr>
          <w:rFonts w:ascii="Times New Roman" w:hAnsi="Times New Roman"/>
          <w:sz w:val="24"/>
        </w:rPr>
        <w:fldChar w:fldCharType="end"/>
      </w:r>
      <w:r w:rsidRPr="00087AA4">
        <w:rPr>
          <w:rFonts w:ascii="Times New Roman" w:hAnsi="Times New Roman"/>
          <w:sz w:val="24"/>
        </w:rPr>
        <w:t>. This substantial flow was compared to the estimated drinking water demands of Ottawa County cattle using population data from</w:t>
      </w:r>
      <w:r w:rsidRPr="00F62183">
        <w:rPr>
          <w:rFonts w:ascii="Times New Roman" w:hAnsi="Times New Roman" w:cs="Times New Roman"/>
        </w:rPr>
        <w:t xml:space="preserve"> </w:t>
      </w:r>
      <w:r w:rsidR="00A645F9" w:rsidRPr="00F62183">
        <w:rPr>
          <w:rFonts w:ascii="Times New Roman" w:hAnsi="Times New Roman" w:cs="Times New Roman"/>
        </w:rPr>
        <w:t>2019</w:t>
      </w:r>
      <w:r w:rsidRPr="00087AA4">
        <w:rPr>
          <w:rFonts w:ascii="Times New Roman" w:hAnsi="Times New Roman"/>
          <w:sz w:val="24"/>
        </w:rPr>
        <w:t xml:space="preserve"> Oklahoma Agriculture Statistics  and water intake estimations based on Oklahoma </w:t>
      </w:r>
      <w:proofErr w:type="spellStart"/>
      <w:r w:rsidRPr="00087AA4">
        <w:rPr>
          <w:rFonts w:ascii="Times New Roman" w:hAnsi="Times New Roman"/>
          <w:sz w:val="24"/>
        </w:rPr>
        <w:t>Mesonet</w:t>
      </w:r>
      <w:proofErr w:type="spellEnd"/>
      <w:r w:rsidRPr="00087AA4">
        <w:rPr>
          <w:rFonts w:ascii="Times New Roman" w:hAnsi="Times New Roman"/>
          <w:sz w:val="24"/>
        </w:rPr>
        <w:t xml:space="preserve"> weather data and a cattle water use model developed by the National Academy of Sciences, Engineering, and Medicine </w:t>
      </w:r>
      <w:r w:rsidRPr="00087AA4">
        <w:rPr>
          <w:rFonts w:ascii="Times New Roman" w:hAnsi="Times New Roman"/>
          <w:sz w:val="24"/>
        </w:rPr>
        <w:fldChar w:fldCharType="begin"/>
      </w:r>
      <w:r w:rsidR="00FF5DF8" w:rsidRPr="00087AA4">
        <w:rPr>
          <w:rFonts w:ascii="Times New Roman" w:hAnsi="Times New Roman"/>
          <w:sz w:val="24"/>
        </w:rPr>
        <w:instrText xml:space="preserve"> ADDIN ZOTERO_ITEM CSL_CITATION {"citationID":"MkdWgeuA","properties":{"formattedCitation":"(NASEM, 2015; University of Oklahoma, 2020a; USDA, 2019)","plainCitation":"(NASEM, 2015; University of Oklahoma, 2020a; USDA, 2019)","noteIndex":0},"citationItems":[{"id":897,"uris":["http://zotero.org/users/5446453/items/F3CZGNV7"],"uri":["http://zotero.org/users/5446453/items/F3CZGNV7"],"itemData":{"id":897,"type":"book","edition":"8","event-place":"Washington, D.C.","ISBN":"978-0-309-31702-3","language":"en","note":"page: 19014\nDOI: 10.17226/19014","publisher":"National Academies Press","publisher-place":"Washington, D.C.","source":"DOI.org (Crossref)","title":"Nutrient Requirements of Beef Cattle","URL":"http://www.nap.edu/catalog/19014","author":[{"literal":"NASEM"}],"accessed":{"date-parts":[["2020",11,17]]},"issued":{"date-parts":[["2015",5,31]]}}},{"id":898,"uris":["http://zotero.org/users/5446453/items/HNHBE479"],"uri":["http://zotero.org/users/5446453/items/HNHBE479"],"itemData":{"id":898,"type":"webpage","container-title":"Mesonet","title":"Oklahoma Mesonet","URL":"http://mesonet.org/","author":[{"literal":"University of Oklahoma"}],"accessed":{"date-parts":[["2020",11,17]]},"issued":{"date-parts":[["2020"]]}}},{"id":893,"uris":["http://zotero.org/users/5446453/items/T27B6UAM"],"uri":["http://zotero.org/users/5446453/items/T27B6UAM"],"itemData":{"id":893,"type":"report","collection-title":"Oklahoma Agriculture Statistics","event-place":"Austin, TX &amp; Oklahoma City, OK","language":"en","page":"88","publisher":"USDA-National Agricultural Statistics Service &amp; Oklahoma Department of Agriculture, Food and Forestry","publisher-place":"Austin, TX &amp; Oklahoma City, OK","source":"Zotero","title":"2019 Oklahoma Agriculture Statistics","author":[{"literal":"USDA"}],"issued":{"date-parts":[["2019",10]]}}}],"schema":"https://github.com/citation-style-language/schema/raw/master/csl-citation.json"} </w:instrText>
      </w:r>
      <w:r w:rsidRPr="00087AA4">
        <w:rPr>
          <w:rFonts w:ascii="Times New Roman" w:hAnsi="Times New Roman"/>
          <w:sz w:val="24"/>
        </w:rPr>
        <w:fldChar w:fldCharType="separate"/>
      </w:r>
      <w:r w:rsidR="00234033" w:rsidRPr="00234033">
        <w:rPr>
          <w:rFonts w:ascii="Times New Roman" w:hAnsi="Times New Roman" w:cs="Times New Roman"/>
          <w:sz w:val="24"/>
        </w:rPr>
        <w:t>(NASEM, 2015; University of Oklahoma, 2020a; USDA, 2019)</w:t>
      </w:r>
      <w:r w:rsidRPr="00087AA4">
        <w:rPr>
          <w:rFonts w:ascii="Times New Roman" w:hAnsi="Times New Roman"/>
          <w:sz w:val="24"/>
        </w:rPr>
        <w:fldChar w:fldCharType="end"/>
      </w:r>
      <w:r w:rsidRPr="00087AA4">
        <w:rPr>
          <w:rFonts w:ascii="Times New Roman" w:hAnsi="Times New Roman"/>
          <w:sz w:val="24"/>
        </w:rPr>
        <w:t xml:space="preserve">. </w:t>
      </w:r>
      <w:r w:rsidR="00A645F9">
        <w:rPr>
          <w:rFonts w:ascii="Times New Roman" w:hAnsi="Times New Roman" w:cs="Times New Roman"/>
        </w:rPr>
        <w:lastRenderedPageBreak/>
        <w:t>USDA</w:t>
      </w:r>
      <w:r w:rsidRPr="00F62183">
        <w:rPr>
          <w:rFonts w:ascii="Times New Roman" w:hAnsi="Times New Roman" w:cs="Times New Roman"/>
        </w:rPr>
        <w:t xml:space="preserve"> </w:t>
      </w:r>
      <w:r w:rsidR="00A645F9">
        <w:rPr>
          <w:rFonts w:ascii="Times New Roman" w:hAnsi="Times New Roman" w:cs="Times New Roman"/>
        </w:rPr>
        <w:t>(</w:t>
      </w:r>
      <w:r w:rsidRPr="00087AA4">
        <w:rPr>
          <w:rFonts w:ascii="Times New Roman" w:hAnsi="Times New Roman"/>
          <w:sz w:val="24"/>
        </w:rPr>
        <w:t>2019</w:t>
      </w:r>
      <w:r w:rsidR="00A645F9">
        <w:rPr>
          <w:rFonts w:ascii="Times New Roman" w:hAnsi="Times New Roman" w:cs="Times New Roman"/>
        </w:rPr>
        <w:t>)</w:t>
      </w:r>
      <w:r w:rsidRPr="00087AA4">
        <w:rPr>
          <w:rFonts w:ascii="Times New Roman" w:hAnsi="Times New Roman"/>
          <w:sz w:val="24"/>
        </w:rPr>
        <w:t xml:space="preserve"> provided three data points by county and year over the previous three years: quantities of all cattle and calves, all beef cows, and all milk cows. The quantity of interest was the number of cattle excluding calves and milk cows, so statewide totals that divided all cattle and calves into sub-classifications were used to estimate the amounts of Ottawa County cattle classified as beef cows, steers, heifers, or bulls. These data are presented in </w:t>
      </w:r>
      <w:r w:rsidRPr="00087AA4">
        <w:rPr>
          <w:rFonts w:ascii="Times New Roman" w:hAnsi="Times New Roman"/>
          <w:sz w:val="24"/>
        </w:rPr>
        <w:fldChar w:fldCharType="begin"/>
      </w:r>
      <w:r w:rsidRPr="00087AA4">
        <w:rPr>
          <w:rFonts w:ascii="Times New Roman" w:hAnsi="Times New Roman"/>
          <w:sz w:val="24"/>
        </w:rPr>
        <w:instrText xml:space="preserve"> REF _Ref56544599 \h  \* MERGEFORMAT </w:instrText>
      </w:r>
      <w:r w:rsidRPr="00087AA4">
        <w:rPr>
          <w:rFonts w:ascii="Times New Roman" w:hAnsi="Times New Roman"/>
          <w:sz w:val="24"/>
        </w:rPr>
      </w:r>
      <w:r w:rsidRPr="00087AA4">
        <w:rPr>
          <w:rFonts w:ascii="Times New Roman" w:hAnsi="Times New Roman"/>
          <w:sz w:val="24"/>
        </w:rPr>
        <w:fldChar w:fldCharType="separate"/>
      </w:r>
      <w:r w:rsidR="00E179CA" w:rsidRPr="00E179CA">
        <w:rPr>
          <w:rFonts w:ascii="Times New Roman" w:hAnsi="Times New Roman"/>
          <w:sz w:val="24"/>
        </w:rPr>
        <w:t>Table 9</w:t>
      </w:r>
      <w:r w:rsidRPr="00087AA4">
        <w:rPr>
          <w:rFonts w:ascii="Times New Roman" w:hAnsi="Times New Roman"/>
          <w:sz w:val="24"/>
        </w:rPr>
        <w:fldChar w:fldCharType="end"/>
      </w:r>
      <w:r w:rsidRPr="00087AA4">
        <w:rPr>
          <w:rFonts w:ascii="Times New Roman" w:hAnsi="Times New Roman"/>
          <w:sz w:val="24"/>
        </w:rPr>
        <w:t>. The mean quantity of Ottawa County beef cows, steers, heifers, and bulls across 2017, 2018 and 2019 was 44386 head.</w:t>
      </w:r>
    </w:p>
    <w:p w14:paraId="60D2821C" w14:textId="7D80C83F" w:rsidR="00813D59" w:rsidRPr="00F62183" w:rsidRDefault="00813D59" w:rsidP="00204C13">
      <w:pPr>
        <w:pStyle w:val="Caption"/>
        <w:rPr>
          <w:i/>
        </w:rPr>
      </w:pPr>
      <w:bookmarkStart w:id="38" w:name="_Ref56544599"/>
      <w:bookmarkStart w:id="39" w:name="_Toc58975195"/>
      <w:r w:rsidRPr="00F62183">
        <w:t xml:space="preserve">Table </w:t>
      </w:r>
      <w:r w:rsidR="0033797C">
        <w:rPr>
          <w:noProof/>
        </w:rPr>
        <w:fldChar w:fldCharType="begin"/>
      </w:r>
      <w:r w:rsidR="0033797C">
        <w:rPr>
          <w:noProof/>
        </w:rPr>
        <w:instrText xml:space="preserve"> SEQ Table \* ARABIC </w:instrText>
      </w:r>
      <w:r w:rsidR="0033797C">
        <w:rPr>
          <w:noProof/>
        </w:rPr>
        <w:fldChar w:fldCharType="separate"/>
      </w:r>
      <w:r w:rsidR="00E179CA">
        <w:rPr>
          <w:noProof/>
        </w:rPr>
        <w:t>9</w:t>
      </w:r>
      <w:r w:rsidR="0033797C">
        <w:rPr>
          <w:noProof/>
        </w:rPr>
        <w:fldChar w:fldCharType="end"/>
      </w:r>
      <w:bookmarkEnd w:id="38"/>
      <w:r>
        <w:t>: Ottawa County ca</w:t>
      </w:r>
      <w:r w:rsidRPr="00F62183">
        <w:t>ttle</w:t>
      </w:r>
      <w:r>
        <w:t xml:space="preserve"> population</w:t>
      </w:r>
      <w:bookmarkEnd w:id="39"/>
    </w:p>
    <w:tbl>
      <w:tblPr>
        <w:tblW w:w="5000" w:type="pct"/>
        <w:tblLook w:val="04A0" w:firstRow="1" w:lastRow="0" w:firstColumn="1" w:lastColumn="0" w:noHBand="0" w:noVBand="1"/>
      </w:tblPr>
      <w:tblGrid>
        <w:gridCol w:w="3369"/>
        <w:gridCol w:w="1497"/>
        <w:gridCol w:w="1498"/>
        <w:gridCol w:w="1498"/>
        <w:gridCol w:w="1498"/>
      </w:tblGrid>
      <w:tr w:rsidR="00813D59" w:rsidRPr="00F62183" w14:paraId="3E7981FA" w14:textId="77777777" w:rsidTr="00B41D08">
        <w:trPr>
          <w:trHeight w:val="300"/>
        </w:trPr>
        <w:tc>
          <w:tcPr>
            <w:tcW w:w="1792" w:type="pct"/>
            <w:tcBorders>
              <w:top w:val="single" w:sz="8" w:space="0" w:color="auto"/>
              <w:left w:val="nil"/>
              <w:bottom w:val="single" w:sz="8" w:space="0" w:color="auto"/>
              <w:right w:val="nil"/>
            </w:tcBorders>
            <w:shd w:val="clear" w:color="auto" w:fill="auto"/>
            <w:noWrap/>
            <w:vAlign w:val="center"/>
            <w:hideMark/>
          </w:tcPr>
          <w:p w14:paraId="06D65513"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Class</w:t>
            </w:r>
          </w:p>
        </w:tc>
        <w:tc>
          <w:tcPr>
            <w:tcW w:w="802" w:type="pct"/>
            <w:tcBorders>
              <w:top w:val="single" w:sz="8" w:space="0" w:color="auto"/>
              <w:left w:val="nil"/>
              <w:bottom w:val="single" w:sz="8" w:space="0" w:color="auto"/>
              <w:right w:val="nil"/>
            </w:tcBorders>
            <w:shd w:val="clear" w:color="auto" w:fill="auto"/>
            <w:noWrap/>
            <w:vAlign w:val="center"/>
            <w:hideMark/>
          </w:tcPr>
          <w:p w14:paraId="678A78C4"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2017</w:t>
            </w:r>
          </w:p>
        </w:tc>
        <w:tc>
          <w:tcPr>
            <w:tcW w:w="802" w:type="pct"/>
            <w:tcBorders>
              <w:top w:val="single" w:sz="8" w:space="0" w:color="auto"/>
              <w:left w:val="nil"/>
              <w:bottom w:val="single" w:sz="8" w:space="0" w:color="auto"/>
              <w:right w:val="nil"/>
            </w:tcBorders>
            <w:shd w:val="clear" w:color="auto" w:fill="auto"/>
            <w:noWrap/>
            <w:vAlign w:val="center"/>
            <w:hideMark/>
          </w:tcPr>
          <w:p w14:paraId="4647E041"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2018</w:t>
            </w:r>
          </w:p>
        </w:tc>
        <w:tc>
          <w:tcPr>
            <w:tcW w:w="802" w:type="pct"/>
            <w:tcBorders>
              <w:top w:val="single" w:sz="8" w:space="0" w:color="auto"/>
              <w:left w:val="nil"/>
              <w:bottom w:val="single" w:sz="8" w:space="0" w:color="auto"/>
              <w:right w:val="nil"/>
            </w:tcBorders>
            <w:shd w:val="clear" w:color="auto" w:fill="auto"/>
            <w:noWrap/>
            <w:vAlign w:val="center"/>
            <w:hideMark/>
          </w:tcPr>
          <w:p w14:paraId="4E72EA6A"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2019</w:t>
            </w:r>
          </w:p>
        </w:tc>
        <w:tc>
          <w:tcPr>
            <w:tcW w:w="802" w:type="pct"/>
            <w:tcBorders>
              <w:top w:val="single" w:sz="8" w:space="0" w:color="auto"/>
              <w:left w:val="nil"/>
              <w:bottom w:val="single" w:sz="8" w:space="0" w:color="auto"/>
              <w:right w:val="nil"/>
            </w:tcBorders>
            <w:vAlign w:val="center"/>
          </w:tcPr>
          <w:p w14:paraId="2997C551"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Mean</w:t>
            </w:r>
          </w:p>
        </w:tc>
      </w:tr>
      <w:tr w:rsidR="00813D59" w:rsidRPr="00F62183" w14:paraId="4952138E" w14:textId="77777777" w:rsidTr="00B41D08">
        <w:trPr>
          <w:trHeight w:val="292"/>
        </w:trPr>
        <w:tc>
          <w:tcPr>
            <w:tcW w:w="1792" w:type="pct"/>
            <w:tcBorders>
              <w:top w:val="nil"/>
              <w:left w:val="nil"/>
              <w:bottom w:val="nil"/>
              <w:right w:val="nil"/>
            </w:tcBorders>
            <w:shd w:val="clear" w:color="auto" w:fill="auto"/>
            <w:noWrap/>
            <w:vAlign w:val="center"/>
            <w:hideMark/>
          </w:tcPr>
          <w:p w14:paraId="567C2D95"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Beef cows</w:t>
            </w:r>
          </w:p>
        </w:tc>
        <w:tc>
          <w:tcPr>
            <w:tcW w:w="802" w:type="pct"/>
            <w:tcBorders>
              <w:top w:val="nil"/>
              <w:left w:val="nil"/>
              <w:bottom w:val="nil"/>
              <w:right w:val="nil"/>
            </w:tcBorders>
            <w:shd w:val="clear" w:color="auto" w:fill="auto"/>
            <w:noWrap/>
            <w:vAlign w:val="center"/>
            <w:hideMark/>
          </w:tcPr>
          <w:p w14:paraId="74ED9E31"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29000</w:t>
            </w:r>
          </w:p>
        </w:tc>
        <w:tc>
          <w:tcPr>
            <w:tcW w:w="802" w:type="pct"/>
            <w:tcBorders>
              <w:top w:val="nil"/>
              <w:left w:val="nil"/>
              <w:bottom w:val="nil"/>
              <w:right w:val="nil"/>
            </w:tcBorders>
            <w:shd w:val="clear" w:color="auto" w:fill="auto"/>
            <w:noWrap/>
            <w:vAlign w:val="center"/>
            <w:hideMark/>
          </w:tcPr>
          <w:p w14:paraId="5ADAC1AC"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26500</w:t>
            </w:r>
          </w:p>
        </w:tc>
        <w:tc>
          <w:tcPr>
            <w:tcW w:w="802" w:type="pct"/>
            <w:tcBorders>
              <w:top w:val="nil"/>
              <w:left w:val="nil"/>
              <w:bottom w:val="nil"/>
              <w:right w:val="nil"/>
            </w:tcBorders>
            <w:shd w:val="clear" w:color="auto" w:fill="auto"/>
            <w:noWrap/>
            <w:vAlign w:val="center"/>
            <w:hideMark/>
          </w:tcPr>
          <w:p w14:paraId="1544D7B3"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27500</w:t>
            </w:r>
          </w:p>
        </w:tc>
        <w:tc>
          <w:tcPr>
            <w:tcW w:w="802" w:type="pct"/>
            <w:tcBorders>
              <w:top w:val="nil"/>
              <w:left w:val="nil"/>
              <w:bottom w:val="nil"/>
              <w:right w:val="nil"/>
            </w:tcBorders>
            <w:vAlign w:val="center"/>
          </w:tcPr>
          <w:p w14:paraId="0D13BD4E"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27667</w:t>
            </w:r>
          </w:p>
        </w:tc>
      </w:tr>
      <w:tr w:rsidR="00813D59" w:rsidRPr="00F62183" w14:paraId="2FE726AA" w14:textId="77777777" w:rsidTr="00B41D08">
        <w:trPr>
          <w:trHeight w:val="292"/>
        </w:trPr>
        <w:tc>
          <w:tcPr>
            <w:tcW w:w="1792" w:type="pct"/>
            <w:tcBorders>
              <w:top w:val="nil"/>
              <w:left w:val="nil"/>
              <w:bottom w:val="nil"/>
              <w:right w:val="nil"/>
            </w:tcBorders>
            <w:shd w:val="clear" w:color="auto" w:fill="auto"/>
            <w:noWrap/>
            <w:vAlign w:val="center"/>
            <w:hideMark/>
          </w:tcPr>
          <w:p w14:paraId="6CC50D98"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Milk cows</w:t>
            </w:r>
          </w:p>
        </w:tc>
        <w:tc>
          <w:tcPr>
            <w:tcW w:w="802" w:type="pct"/>
            <w:tcBorders>
              <w:top w:val="nil"/>
              <w:left w:val="nil"/>
              <w:bottom w:val="nil"/>
              <w:right w:val="nil"/>
            </w:tcBorders>
            <w:shd w:val="clear" w:color="auto" w:fill="auto"/>
            <w:noWrap/>
            <w:vAlign w:val="center"/>
            <w:hideMark/>
          </w:tcPr>
          <w:p w14:paraId="5EA76658"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200</w:t>
            </w:r>
          </w:p>
        </w:tc>
        <w:tc>
          <w:tcPr>
            <w:tcW w:w="802" w:type="pct"/>
            <w:tcBorders>
              <w:top w:val="nil"/>
              <w:left w:val="nil"/>
              <w:bottom w:val="nil"/>
              <w:right w:val="nil"/>
            </w:tcBorders>
            <w:shd w:val="clear" w:color="auto" w:fill="auto"/>
            <w:noWrap/>
            <w:vAlign w:val="center"/>
            <w:hideMark/>
          </w:tcPr>
          <w:p w14:paraId="570E2DFC"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200</w:t>
            </w:r>
          </w:p>
        </w:tc>
        <w:tc>
          <w:tcPr>
            <w:tcW w:w="802" w:type="pct"/>
            <w:tcBorders>
              <w:top w:val="nil"/>
              <w:left w:val="nil"/>
              <w:bottom w:val="nil"/>
              <w:right w:val="nil"/>
            </w:tcBorders>
            <w:shd w:val="clear" w:color="auto" w:fill="auto"/>
            <w:noWrap/>
            <w:vAlign w:val="center"/>
            <w:hideMark/>
          </w:tcPr>
          <w:p w14:paraId="56070B97"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200</w:t>
            </w:r>
          </w:p>
        </w:tc>
        <w:tc>
          <w:tcPr>
            <w:tcW w:w="802" w:type="pct"/>
            <w:tcBorders>
              <w:top w:val="nil"/>
              <w:left w:val="nil"/>
              <w:bottom w:val="nil"/>
              <w:right w:val="nil"/>
            </w:tcBorders>
            <w:vAlign w:val="center"/>
          </w:tcPr>
          <w:p w14:paraId="67548109"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200</w:t>
            </w:r>
          </w:p>
        </w:tc>
      </w:tr>
      <w:tr w:rsidR="00813D59" w:rsidRPr="00F62183" w14:paraId="7C6C4978" w14:textId="77777777" w:rsidTr="00B41D08">
        <w:trPr>
          <w:trHeight w:val="292"/>
        </w:trPr>
        <w:tc>
          <w:tcPr>
            <w:tcW w:w="1792" w:type="pct"/>
            <w:tcBorders>
              <w:top w:val="nil"/>
              <w:left w:val="nil"/>
              <w:bottom w:val="nil"/>
              <w:right w:val="nil"/>
            </w:tcBorders>
            <w:shd w:val="clear" w:color="auto" w:fill="auto"/>
            <w:noWrap/>
            <w:vAlign w:val="center"/>
            <w:hideMark/>
          </w:tcPr>
          <w:p w14:paraId="51C30CEA"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Steers, heifers, bulls</w:t>
            </w:r>
          </w:p>
        </w:tc>
        <w:tc>
          <w:tcPr>
            <w:tcW w:w="802" w:type="pct"/>
            <w:tcBorders>
              <w:top w:val="nil"/>
              <w:left w:val="nil"/>
              <w:bottom w:val="nil"/>
              <w:right w:val="nil"/>
            </w:tcBorders>
            <w:shd w:val="clear" w:color="auto" w:fill="auto"/>
            <w:noWrap/>
            <w:vAlign w:val="center"/>
            <w:hideMark/>
          </w:tcPr>
          <w:p w14:paraId="42D35FF3"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14005</w:t>
            </w:r>
          </w:p>
        </w:tc>
        <w:tc>
          <w:tcPr>
            <w:tcW w:w="802" w:type="pct"/>
            <w:tcBorders>
              <w:top w:val="nil"/>
              <w:left w:val="nil"/>
              <w:bottom w:val="nil"/>
              <w:right w:val="nil"/>
            </w:tcBorders>
            <w:shd w:val="clear" w:color="auto" w:fill="auto"/>
            <w:noWrap/>
            <w:vAlign w:val="center"/>
            <w:hideMark/>
          </w:tcPr>
          <w:p w14:paraId="4214B92E"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17804</w:t>
            </w:r>
          </w:p>
        </w:tc>
        <w:tc>
          <w:tcPr>
            <w:tcW w:w="802" w:type="pct"/>
            <w:tcBorders>
              <w:top w:val="nil"/>
              <w:left w:val="nil"/>
              <w:bottom w:val="nil"/>
              <w:right w:val="nil"/>
            </w:tcBorders>
            <w:shd w:val="clear" w:color="auto" w:fill="auto"/>
            <w:noWrap/>
            <w:vAlign w:val="center"/>
            <w:hideMark/>
          </w:tcPr>
          <w:p w14:paraId="3010F3A0"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18351</w:t>
            </w:r>
          </w:p>
        </w:tc>
        <w:tc>
          <w:tcPr>
            <w:tcW w:w="802" w:type="pct"/>
            <w:tcBorders>
              <w:top w:val="nil"/>
              <w:left w:val="nil"/>
              <w:bottom w:val="nil"/>
              <w:right w:val="nil"/>
            </w:tcBorders>
            <w:vAlign w:val="center"/>
          </w:tcPr>
          <w:p w14:paraId="155F19C5"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16720</w:t>
            </w:r>
          </w:p>
        </w:tc>
      </w:tr>
      <w:tr w:rsidR="00813D59" w:rsidRPr="00F62183" w14:paraId="54388536" w14:textId="77777777" w:rsidTr="00B41D08">
        <w:trPr>
          <w:trHeight w:val="300"/>
        </w:trPr>
        <w:tc>
          <w:tcPr>
            <w:tcW w:w="1792" w:type="pct"/>
            <w:tcBorders>
              <w:top w:val="nil"/>
              <w:left w:val="nil"/>
              <w:bottom w:val="single" w:sz="8" w:space="0" w:color="auto"/>
              <w:right w:val="nil"/>
            </w:tcBorders>
            <w:shd w:val="clear" w:color="auto" w:fill="auto"/>
            <w:noWrap/>
            <w:vAlign w:val="center"/>
            <w:hideMark/>
          </w:tcPr>
          <w:p w14:paraId="614B758E"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Calves</w:t>
            </w:r>
          </w:p>
        </w:tc>
        <w:tc>
          <w:tcPr>
            <w:tcW w:w="802" w:type="pct"/>
            <w:tcBorders>
              <w:top w:val="nil"/>
              <w:left w:val="nil"/>
              <w:bottom w:val="single" w:sz="8" w:space="0" w:color="auto"/>
              <w:right w:val="nil"/>
            </w:tcBorders>
            <w:shd w:val="clear" w:color="auto" w:fill="auto"/>
            <w:noWrap/>
            <w:vAlign w:val="center"/>
            <w:hideMark/>
          </w:tcPr>
          <w:p w14:paraId="26E9B742"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6295</w:t>
            </w:r>
          </w:p>
        </w:tc>
        <w:tc>
          <w:tcPr>
            <w:tcW w:w="802" w:type="pct"/>
            <w:tcBorders>
              <w:top w:val="nil"/>
              <w:left w:val="nil"/>
              <w:bottom w:val="single" w:sz="8" w:space="0" w:color="auto"/>
              <w:right w:val="nil"/>
            </w:tcBorders>
            <w:shd w:val="clear" w:color="auto" w:fill="auto"/>
            <w:noWrap/>
            <w:vAlign w:val="center"/>
            <w:hideMark/>
          </w:tcPr>
          <w:p w14:paraId="6F281D50"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7496</w:t>
            </w:r>
          </w:p>
        </w:tc>
        <w:tc>
          <w:tcPr>
            <w:tcW w:w="802" w:type="pct"/>
            <w:tcBorders>
              <w:top w:val="nil"/>
              <w:left w:val="nil"/>
              <w:bottom w:val="single" w:sz="8" w:space="0" w:color="auto"/>
              <w:right w:val="nil"/>
            </w:tcBorders>
            <w:shd w:val="clear" w:color="auto" w:fill="auto"/>
            <w:noWrap/>
            <w:vAlign w:val="center"/>
            <w:hideMark/>
          </w:tcPr>
          <w:p w14:paraId="70F98B0F"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7949</w:t>
            </w:r>
          </w:p>
        </w:tc>
        <w:tc>
          <w:tcPr>
            <w:tcW w:w="802" w:type="pct"/>
            <w:tcBorders>
              <w:top w:val="nil"/>
              <w:left w:val="nil"/>
              <w:bottom w:val="single" w:sz="8" w:space="0" w:color="auto"/>
              <w:right w:val="nil"/>
            </w:tcBorders>
            <w:vAlign w:val="center"/>
          </w:tcPr>
          <w:p w14:paraId="3058A82D"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7247</w:t>
            </w:r>
          </w:p>
        </w:tc>
      </w:tr>
      <w:tr w:rsidR="00B41D08" w:rsidRPr="00F62183" w14:paraId="78B2C8A3" w14:textId="77777777" w:rsidTr="00B41D08">
        <w:trPr>
          <w:trHeight w:val="300"/>
        </w:trPr>
        <w:tc>
          <w:tcPr>
            <w:tcW w:w="1792" w:type="pct"/>
            <w:tcBorders>
              <w:top w:val="nil"/>
              <w:left w:val="nil"/>
              <w:right w:val="nil"/>
            </w:tcBorders>
            <w:shd w:val="clear" w:color="auto" w:fill="auto"/>
            <w:noWrap/>
            <w:vAlign w:val="center"/>
          </w:tcPr>
          <w:p w14:paraId="28AC49EE" w14:textId="4336D0BA" w:rsidR="00B41D08" w:rsidRPr="00F62183" w:rsidRDefault="00B41D08" w:rsidP="00FF5DF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Beef cows, steers, heifers, and bulls</w:t>
            </w:r>
          </w:p>
        </w:tc>
        <w:tc>
          <w:tcPr>
            <w:tcW w:w="802" w:type="pct"/>
            <w:tcBorders>
              <w:top w:val="nil"/>
              <w:left w:val="nil"/>
              <w:right w:val="nil"/>
            </w:tcBorders>
            <w:shd w:val="clear" w:color="auto" w:fill="auto"/>
            <w:noWrap/>
            <w:vAlign w:val="center"/>
          </w:tcPr>
          <w:p w14:paraId="749CFEF5" w14:textId="7201D0F2" w:rsidR="00B41D08" w:rsidRPr="00F62183" w:rsidRDefault="00B41D08" w:rsidP="00FF5DF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43005</w:t>
            </w:r>
          </w:p>
        </w:tc>
        <w:tc>
          <w:tcPr>
            <w:tcW w:w="802" w:type="pct"/>
            <w:tcBorders>
              <w:top w:val="nil"/>
              <w:left w:val="nil"/>
              <w:right w:val="nil"/>
            </w:tcBorders>
            <w:shd w:val="clear" w:color="auto" w:fill="auto"/>
            <w:noWrap/>
            <w:vAlign w:val="center"/>
          </w:tcPr>
          <w:p w14:paraId="45EDF27E" w14:textId="4AB9C0DC" w:rsidR="00B41D08" w:rsidRPr="00F62183" w:rsidRDefault="00B41D08" w:rsidP="00FF5DF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44304</w:t>
            </w:r>
          </w:p>
        </w:tc>
        <w:tc>
          <w:tcPr>
            <w:tcW w:w="802" w:type="pct"/>
            <w:tcBorders>
              <w:top w:val="nil"/>
              <w:left w:val="nil"/>
              <w:right w:val="nil"/>
            </w:tcBorders>
            <w:shd w:val="clear" w:color="auto" w:fill="auto"/>
            <w:noWrap/>
            <w:vAlign w:val="center"/>
          </w:tcPr>
          <w:p w14:paraId="547C9E6B" w14:textId="532895F5" w:rsidR="00B41D08" w:rsidRPr="00F62183" w:rsidRDefault="00B41D08" w:rsidP="00FF5DF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45851</w:t>
            </w:r>
          </w:p>
        </w:tc>
        <w:tc>
          <w:tcPr>
            <w:tcW w:w="802" w:type="pct"/>
            <w:tcBorders>
              <w:top w:val="nil"/>
              <w:left w:val="nil"/>
              <w:right w:val="nil"/>
            </w:tcBorders>
            <w:vAlign w:val="center"/>
          </w:tcPr>
          <w:p w14:paraId="4BD6561F" w14:textId="570DB045" w:rsidR="00B41D08" w:rsidRPr="00F62183" w:rsidRDefault="00B41D08" w:rsidP="00FF5DF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44386</w:t>
            </w:r>
          </w:p>
        </w:tc>
      </w:tr>
      <w:tr w:rsidR="00813D59" w:rsidRPr="00F62183" w14:paraId="4B43757A" w14:textId="77777777" w:rsidTr="00B41D08">
        <w:trPr>
          <w:trHeight w:val="300"/>
        </w:trPr>
        <w:tc>
          <w:tcPr>
            <w:tcW w:w="1792" w:type="pct"/>
            <w:tcBorders>
              <w:top w:val="nil"/>
              <w:left w:val="nil"/>
              <w:bottom w:val="single" w:sz="8" w:space="0" w:color="auto"/>
              <w:right w:val="nil"/>
            </w:tcBorders>
            <w:shd w:val="clear" w:color="auto" w:fill="auto"/>
            <w:noWrap/>
            <w:vAlign w:val="center"/>
            <w:hideMark/>
          </w:tcPr>
          <w:p w14:paraId="175B51AB"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All cattle</w:t>
            </w:r>
          </w:p>
        </w:tc>
        <w:tc>
          <w:tcPr>
            <w:tcW w:w="802" w:type="pct"/>
            <w:tcBorders>
              <w:top w:val="nil"/>
              <w:left w:val="nil"/>
              <w:bottom w:val="single" w:sz="8" w:space="0" w:color="auto"/>
              <w:right w:val="nil"/>
            </w:tcBorders>
            <w:shd w:val="clear" w:color="auto" w:fill="auto"/>
            <w:noWrap/>
            <w:vAlign w:val="center"/>
            <w:hideMark/>
          </w:tcPr>
          <w:p w14:paraId="2558D9ED"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49500</w:t>
            </w:r>
          </w:p>
        </w:tc>
        <w:tc>
          <w:tcPr>
            <w:tcW w:w="802" w:type="pct"/>
            <w:tcBorders>
              <w:top w:val="nil"/>
              <w:left w:val="nil"/>
              <w:bottom w:val="single" w:sz="8" w:space="0" w:color="auto"/>
              <w:right w:val="nil"/>
            </w:tcBorders>
            <w:shd w:val="clear" w:color="auto" w:fill="auto"/>
            <w:noWrap/>
            <w:vAlign w:val="center"/>
            <w:hideMark/>
          </w:tcPr>
          <w:p w14:paraId="5CAD138A"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52000</w:t>
            </w:r>
          </w:p>
        </w:tc>
        <w:tc>
          <w:tcPr>
            <w:tcW w:w="802" w:type="pct"/>
            <w:tcBorders>
              <w:top w:val="nil"/>
              <w:left w:val="nil"/>
              <w:bottom w:val="single" w:sz="8" w:space="0" w:color="auto"/>
              <w:right w:val="nil"/>
            </w:tcBorders>
            <w:shd w:val="clear" w:color="auto" w:fill="auto"/>
            <w:noWrap/>
            <w:vAlign w:val="center"/>
            <w:hideMark/>
          </w:tcPr>
          <w:p w14:paraId="76D3890B"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54000</w:t>
            </w:r>
          </w:p>
        </w:tc>
        <w:tc>
          <w:tcPr>
            <w:tcW w:w="802" w:type="pct"/>
            <w:tcBorders>
              <w:top w:val="nil"/>
              <w:left w:val="nil"/>
              <w:bottom w:val="single" w:sz="8" w:space="0" w:color="auto"/>
              <w:right w:val="nil"/>
            </w:tcBorders>
            <w:vAlign w:val="center"/>
          </w:tcPr>
          <w:p w14:paraId="2C3D6B20" w14:textId="77777777" w:rsidR="00813D59" w:rsidRPr="00F62183" w:rsidRDefault="00813D59" w:rsidP="00FF5DF8">
            <w:pPr>
              <w:spacing w:after="0" w:line="240" w:lineRule="auto"/>
              <w:rPr>
                <w:rFonts w:ascii="Times New Roman" w:eastAsia="Times New Roman" w:hAnsi="Times New Roman" w:cs="Times New Roman"/>
                <w:color w:val="000000"/>
              </w:rPr>
            </w:pPr>
            <w:r w:rsidRPr="00F62183">
              <w:rPr>
                <w:rFonts w:ascii="Times New Roman" w:eastAsia="Times New Roman" w:hAnsi="Times New Roman" w:cs="Times New Roman"/>
                <w:color w:val="000000"/>
              </w:rPr>
              <w:t>51833</w:t>
            </w:r>
          </w:p>
        </w:tc>
      </w:tr>
    </w:tbl>
    <w:p w14:paraId="75FEB4C4" w14:textId="77777777" w:rsidR="00813D59" w:rsidRPr="00F62183" w:rsidRDefault="00813D59" w:rsidP="00813D59">
      <w:pPr>
        <w:rPr>
          <w:rFonts w:ascii="Times New Roman" w:hAnsi="Times New Roman" w:cs="Times New Roman"/>
        </w:rPr>
      </w:pPr>
    </w:p>
    <w:p w14:paraId="3D806C6B" w14:textId="3B52CAE3" w:rsidR="007A4366" w:rsidRPr="00565FDD" w:rsidRDefault="00813D59" w:rsidP="00FF5DF8">
      <w:pPr>
        <w:spacing w:line="480" w:lineRule="auto"/>
        <w:ind w:firstLine="720"/>
        <w:rPr>
          <w:rFonts w:ascii="Times New Roman" w:hAnsi="Times New Roman" w:cs="Times New Roman"/>
          <w:sz w:val="24"/>
          <w:szCs w:val="24"/>
        </w:rPr>
      </w:pPr>
      <w:r w:rsidRPr="00087AA4">
        <w:rPr>
          <w:rFonts w:ascii="Times New Roman" w:hAnsi="Times New Roman"/>
          <w:sz w:val="24"/>
        </w:rPr>
        <w:t xml:space="preserve">The collective water demand of the chosen cattle population was estimated by month from an assumed average cattle bodyweight and a variety of environmental parameters. Because calves were excluded, an average Oklahoma cattle live weight of </w:t>
      </w:r>
      <w:r w:rsidR="00087AA4">
        <w:rPr>
          <w:rFonts w:ascii="Times New Roman" w:hAnsi="Times New Roman"/>
          <w:sz w:val="24"/>
        </w:rPr>
        <w:t>500</w:t>
      </w:r>
      <w:r w:rsidRPr="00087AA4">
        <w:rPr>
          <w:rFonts w:ascii="Times New Roman" w:hAnsi="Times New Roman"/>
          <w:sz w:val="24"/>
        </w:rPr>
        <w:t xml:space="preserve"> kg was assumed; this number was multiplied by a conversion factor of 0.96 to estimate shrunk bodyweight (SBW), 479 kg, which accounts for food being actively digested </w:t>
      </w:r>
      <w:r w:rsidRPr="00087AA4">
        <w:rPr>
          <w:rFonts w:ascii="Times New Roman" w:hAnsi="Times New Roman"/>
          <w:sz w:val="24"/>
        </w:rPr>
        <w:fldChar w:fldCharType="begin"/>
      </w:r>
      <w:r w:rsidR="004B13BE">
        <w:rPr>
          <w:rFonts w:ascii="Times New Roman" w:hAnsi="Times New Roman"/>
          <w:sz w:val="24"/>
        </w:rPr>
        <w:instrText xml:space="preserve"> ADDIN ZOTERO_ITEM CSL_CITATION {"citationID":"W3n3CzHt","properties":{"formattedCitation":"(Lalman, 2018; M. A. Ward et al., 2017)","plainCitation":"(Lalman, 2018; M. A. Ward et al., 2017)","dontUpdate":true,"noteIndex":0},"citationItems":[{"id":901,"uris":["http://zotero.org/users/5446453/items/DQ4RTVY3"],"uri":["http://zotero.org/users/5446453/items/DQ4RTVY3"],"itemData":{"id":901,"type":"report","event-place":"Stillwater, OK","language":"en","number":"ANSI-3010","publisher":"Oklahoma State University Extension Service, Division of Agricultural Sciences and Natural Resources","publisher-place":"Stillwater, OK","title":"Supplementing Beef Cows","URL":"https://extension.okstate.edu/fact-sheets/supplementing-beef-cows.html","author":[{"family":"Lalman","given":"David"}],"accessed":{"date-parts":[["2020",11,17]]},"issued":{"date-parts":[["2018",5]]}}},{"id":900,"uris":["http://zotero.org/users/5446453/items/BIS652UJ"],"uri":["http://zotero.org/users/5446453/items/BIS652UJ"],"itemData":{"id":900,"type":"report","event-place":"Las Cruces, NM","number":"B-231","publisher":"NM State University - College of Agricultural, Consumer and Environmental Sciences","publisher-place":"Las Cruces, NM","title":"Estimating water intake for range beef cattle","author":[{"family":"Ward","given":"Marcy A."},{"family":"Ashcroft","given":"Nicholas K."},{"family":"Scholljegerdes","given":"Eric J."},{"family":"Smallidge","given":"Samuel T."}],"issued":{"date-parts":[["2017",12]]}}}],"schema":"https://github.com/citation-style-language/schema/raw/master/csl-citation.json"} </w:instrText>
      </w:r>
      <w:r w:rsidRPr="00087AA4">
        <w:rPr>
          <w:rFonts w:ascii="Times New Roman" w:hAnsi="Times New Roman"/>
          <w:sz w:val="24"/>
        </w:rPr>
        <w:fldChar w:fldCharType="separate"/>
      </w:r>
      <w:r w:rsidR="00FF5DF8" w:rsidRPr="00087AA4">
        <w:rPr>
          <w:rFonts w:ascii="Times New Roman" w:hAnsi="Times New Roman"/>
          <w:sz w:val="24"/>
        </w:rPr>
        <w:t>(Lalman, 2018; Ward et al., 2017)</w:t>
      </w:r>
      <w:r w:rsidRPr="00087AA4">
        <w:rPr>
          <w:rFonts w:ascii="Times New Roman" w:hAnsi="Times New Roman"/>
          <w:sz w:val="24"/>
        </w:rPr>
        <w:fldChar w:fldCharType="end"/>
      </w:r>
      <w:r w:rsidRPr="00087AA4">
        <w:rPr>
          <w:rFonts w:ascii="Times New Roman" w:hAnsi="Times New Roman"/>
          <w:sz w:val="24"/>
        </w:rPr>
        <w:t>. Monthly temperature (Tc), relative humidity (</w:t>
      </w:r>
      <w:proofErr w:type="spellStart"/>
      <w:r w:rsidRPr="00087AA4">
        <w:rPr>
          <w:rFonts w:ascii="Times New Roman" w:hAnsi="Times New Roman"/>
          <w:sz w:val="24"/>
        </w:rPr>
        <w:t>RHc</w:t>
      </w:r>
      <w:proofErr w:type="spellEnd"/>
      <w:r w:rsidRPr="00087AA4">
        <w:rPr>
          <w:rFonts w:ascii="Times New Roman" w:hAnsi="Times New Roman"/>
          <w:sz w:val="24"/>
        </w:rPr>
        <w:t xml:space="preserve">), wind speed (WS), and sunshine hours (HRS) were collected or estimated from the Miami </w:t>
      </w:r>
      <w:proofErr w:type="spellStart"/>
      <w:r w:rsidRPr="00087AA4">
        <w:rPr>
          <w:rFonts w:ascii="Times New Roman" w:hAnsi="Times New Roman"/>
          <w:sz w:val="24"/>
        </w:rPr>
        <w:t>Mesonet</w:t>
      </w:r>
      <w:proofErr w:type="spellEnd"/>
      <w:r w:rsidRPr="00087AA4">
        <w:rPr>
          <w:rFonts w:ascii="Times New Roman" w:hAnsi="Times New Roman"/>
          <w:sz w:val="24"/>
        </w:rPr>
        <w:t xml:space="preserve"> station’s long-term 2005-2019 averages </w:t>
      </w:r>
      <w:r w:rsidRPr="00087AA4">
        <w:rPr>
          <w:rFonts w:ascii="Times New Roman" w:hAnsi="Times New Roman"/>
          <w:sz w:val="24"/>
        </w:rPr>
        <w:fldChar w:fldCharType="begin"/>
      </w:r>
      <w:r w:rsidR="00FF5DF8" w:rsidRPr="00087AA4">
        <w:rPr>
          <w:rFonts w:ascii="Times New Roman" w:hAnsi="Times New Roman"/>
          <w:sz w:val="24"/>
        </w:rPr>
        <w:instrText xml:space="preserve"> ADDIN ZOTERO_ITEM CSL_CITATION {"citationID":"isFXPGxt","properties":{"formattedCitation":"(University of Oklahoma, 2020a)","plainCitation":"(University of Oklahoma, 2020a)","noteIndex":0},"citationItems":[{"id":898,"uris":["http://zotero.org/users/5446453/items/HNHBE479"],"uri":["http://zotero.org/users/5446453/items/HNHBE479"],"itemData":{"id":898,"type":"webpage","container-title":"Mesonet","title":"Oklahoma Mesonet","URL":"http://mesonet.org/","author":[{"literal":"University of Oklahoma"}],"accessed":{"date-parts":[["2020",11,17]]},"issued":{"date-parts":[["2020"]]}}}],"schema":"https://github.com/citation-style-language/schema/raw/master/csl-citation.json"} </w:instrText>
      </w:r>
      <w:r w:rsidRPr="00087AA4">
        <w:rPr>
          <w:rFonts w:ascii="Times New Roman" w:hAnsi="Times New Roman"/>
          <w:sz w:val="24"/>
        </w:rPr>
        <w:fldChar w:fldCharType="separate"/>
      </w:r>
      <w:r w:rsidR="00234033" w:rsidRPr="00234033">
        <w:rPr>
          <w:rFonts w:ascii="Times New Roman" w:hAnsi="Times New Roman" w:cs="Times New Roman"/>
          <w:sz w:val="24"/>
        </w:rPr>
        <w:t>(University of Oklahoma, 2020a)</w:t>
      </w:r>
      <w:r w:rsidRPr="00087AA4">
        <w:rPr>
          <w:rFonts w:ascii="Times New Roman" w:hAnsi="Times New Roman"/>
          <w:sz w:val="24"/>
        </w:rPr>
        <w:fldChar w:fldCharType="end"/>
      </w:r>
      <w:r w:rsidRPr="00087AA4">
        <w:rPr>
          <w:rFonts w:ascii="Times New Roman" w:hAnsi="Times New Roman"/>
          <w:sz w:val="24"/>
        </w:rPr>
        <w:t xml:space="preserve">. These environmental parameters were used in calculating the Current Effective Temperature Index (CETI), per Equation </w:t>
      </w:r>
      <w:r w:rsidR="002B12DB">
        <w:rPr>
          <w:rFonts w:ascii="Times New Roman" w:hAnsi="Times New Roman" w:cs="Times New Roman"/>
        </w:rPr>
        <w:t xml:space="preserve">3 </w:t>
      </w:r>
      <w:r w:rsidR="007F4C8F" w:rsidRPr="00087AA4">
        <w:rPr>
          <w:rFonts w:ascii="Times New Roman" w:hAnsi="Times New Roman"/>
          <w:sz w:val="24"/>
        </w:rPr>
        <w:fldChar w:fldCharType="begin"/>
      </w:r>
      <w:r w:rsidR="00FF5DF8" w:rsidRPr="00087AA4">
        <w:rPr>
          <w:rFonts w:ascii="Times New Roman" w:hAnsi="Times New Roman"/>
          <w:sz w:val="24"/>
        </w:rPr>
        <w:instrText xml:space="preserve"> ADDIN ZOTERO_ITEM CSL_CITATION {"citationID":"ap50r3o6ov","properties":{"formattedCitation":"(NASEM, 2015)","plainCitation":"(NASEM, 2015)","noteIndex":0},"citationItems":[{"id":897,"uris":["http://zotero.org/users/5446453/items/F3CZGNV7"],"uri":["http://zotero.org/users/5446453/items/F3CZGNV7"],"itemData":{"id":897,"type":"book","edition":"8","event-place":"Washington, D.C.","ISBN":"978-0-309-31702-3","language":"en","note":"page: 19014\nDOI: 10.17226/19014","publisher":"National Academies Press","publisher-place":"Washington, D.C.","source":"DOI.org (Crossref)","title":"Nutrient Requirements of Beef Cattle","URL":"http://www.nap.edu/catalog/19014","author":[{"literal":"NASEM"}],"accessed":{"date-parts":[["2020",11,17]]},"issued":{"date-parts":[["2015",5,31]]}}}],"schema":"https://github.com/citation-style-language/schema/raw/master/csl-citation.json"} </w:instrText>
      </w:r>
      <w:r w:rsidR="007F4C8F" w:rsidRPr="00087AA4">
        <w:rPr>
          <w:rFonts w:ascii="Times New Roman" w:hAnsi="Times New Roman"/>
          <w:sz w:val="24"/>
        </w:rPr>
        <w:fldChar w:fldCharType="separate"/>
      </w:r>
      <w:r w:rsidR="00234033" w:rsidRPr="00234033">
        <w:rPr>
          <w:rFonts w:ascii="Times New Roman" w:hAnsi="Times New Roman" w:cs="Times New Roman"/>
          <w:sz w:val="24"/>
        </w:rPr>
        <w:t>(NASEM, 2015)</w:t>
      </w:r>
      <w:r w:rsidR="007F4C8F" w:rsidRPr="00087AA4">
        <w:rPr>
          <w:rFonts w:ascii="Times New Roman" w:hAnsi="Times New Roman"/>
          <w:sz w:val="24"/>
        </w:rPr>
        <w:fldChar w:fldCharType="end"/>
      </w:r>
      <w:r w:rsidRPr="00087AA4">
        <w:rPr>
          <w:rFonts w:ascii="Times New Roman" w:hAnsi="Times New Roman"/>
          <w:sz w:val="24"/>
        </w:rPr>
        <w:t xml:space="preserve">. Using Equation </w:t>
      </w:r>
      <w:r w:rsidR="002B12DB">
        <w:rPr>
          <w:rFonts w:ascii="Times New Roman" w:hAnsi="Times New Roman" w:cs="Times New Roman"/>
        </w:rPr>
        <w:t>4</w:t>
      </w:r>
      <w:r w:rsidRPr="00087AA4">
        <w:rPr>
          <w:rFonts w:ascii="Times New Roman" w:hAnsi="Times New Roman"/>
          <w:sz w:val="24"/>
        </w:rPr>
        <w:t xml:space="preserve">, the water intake (WI) was estimated by month for the mean 2017-2019 population of beef cows, steers, heifers, and bulls in Ottawa County; these monthly data are </w:t>
      </w:r>
      <w:r w:rsidRPr="00087AA4">
        <w:rPr>
          <w:rFonts w:ascii="Times New Roman" w:hAnsi="Times New Roman"/>
          <w:sz w:val="24"/>
        </w:rPr>
        <w:lastRenderedPageBreak/>
        <w:t>found in</w:t>
      </w:r>
      <w:r w:rsidRPr="00A326EF">
        <w:rPr>
          <w:rFonts w:ascii="Times New Roman" w:hAnsi="Times New Roman" w:cs="Times New Roman"/>
          <w:sz w:val="24"/>
          <w:szCs w:val="24"/>
        </w:rPr>
        <w:t xml:space="preserve"> </w:t>
      </w:r>
      <w:r w:rsidRPr="00A326EF">
        <w:rPr>
          <w:rFonts w:ascii="Times New Roman" w:hAnsi="Times New Roman" w:cs="Times New Roman"/>
          <w:sz w:val="24"/>
          <w:szCs w:val="24"/>
        </w:rPr>
        <w:fldChar w:fldCharType="begin"/>
      </w:r>
      <w:r w:rsidRPr="00A326EF">
        <w:rPr>
          <w:rFonts w:ascii="Times New Roman" w:hAnsi="Times New Roman" w:cs="Times New Roman"/>
          <w:sz w:val="24"/>
          <w:szCs w:val="24"/>
        </w:rPr>
        <w:instrText xml:space="preserve"> REF _Ref56714617 \h  \* MERGEFORMAT </w:instrText>
      </w:r>
      <w:r w:rsidRPr="00A326EF">
        <w:rPr>
          <w:rFonts w:ascii="Times New Roman" w:hAnsi="Times New Roman" w:cs="Times New Roman"/>
          <w:sz w:val="24"/>
          <w:szCs w:val="24"/>
        </w:rPr>
      </w:r>
      <w:r w:rsidRPr="00A326EF">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Table </w:t>
      </w:r>
      <w:r w:rsidR="00E179CA" w:rsidRPr="00E179CA">
        <w:rPr>
          <w:rFonts w:ascii="Times New Roman" w:hAnsi="Times New Roman" w:cs="Times New Roman"/>
          <w:noProof/>
          <w:sz w:val="24"/>
          <w:szCs w:val="24"/>
        </w:rPr>
        <w:t>10</w:t>
      </w:r>
      <w:r w:rsidRPr="00A326EF">
        <w:rPr>
          <w:rFonts w:ascii="Times New Roman" w:hAnsi="Times New Roman" w:cs="Times New Roman"/>
          <w:sz w:val="24"/>
          <w:szCs w:val="24"/>
        </w:rPr>
        <w:fldChar w:fldCharType="end"/>
      </w:r>
      <w:r w:rsidR="007F4C8F" w:rsidRPr="00A326EF">
        <w:rPr>
          <w:rFonts w:ascii="Times New Roman" w:hAnsi="Times New Roman" w:cs="Times New Roman"/>
          <w:sz w:val="24"/>
          <w:szCs w:val="24"/>
        </w:rPr>
        <w:t xml:space="preserve"> </w:t>
      </w:r>
      <w:r w:rsidR="007F4C8F" w:rsidRPr="00A326EF">
        <w:rPr>
          <w:rFonts w:ascii="Times New Roman" w:hAnsi="Times New Roman" w:cs="Times New Roman"/>
          <w:sz w:val="24"/>
          <w:szCs w:val="24"/>
        </w:rPr>
        <w:fldChar w:fldCharType="begin"/>
      </w:r>
      <w:r w:rsidR="00FF5DF8" w:rsidRPr="00A326EF">
        <w:rPr>
          <w:rFonts w:ascii="Times New Roman" w:hAnsi="Times New Roman" w:cs="Times New Roman"/>
          <w:sz w:val="24"/>
          <w:szCs w:val="24"/>
        </w:rPr>
        <w:instrText xml:space="preserve"> ADDIN ZOTERO_ITEM CSL_CITATION {"citationID":"a2k4d1iopr6","properties":{"formattedCitation":"(NASEM, 2015)","plainCitation":"(NASEM, 2015)","noteIndex":0},"citationItems":[{"id":897,"uris":["http://zotero.org/users/5446453/items/F3CZGNV7"],"uri":["http://zotero.org/users/5446453/items/F3CZGNV7"],"itemData":{"id":897,"type":"book","edition":"8","event-place":"Washington, D.C.","ISBN":"978-0-309-31702-3","language":"en","note":"page: 19014\nDOI: 10.17226/19014","publisher":"National Academies Press","publisher-place":"Washington, D.C.","source":"DOI.org (Crossref)","title":"Nutrient Requirements of Beef Cattle","URL":"http://www.nap.edu/catalog/19014","author":[{"literal":"NASEM"}],"accessed":{"date-parts":[["2020",11,17]]},"issued":{"date-parts":[["2015",5,31]]}}}],"schema":"https://github.com/citation-style-language/schema/raw/master/csl-citation.json"} </w:instrText>
      </w:r>
      <w:r w:rsidR="007F4C8F" w:rsidRPr="00A326EF">
        <w:rPr>
          <w:rFonts w:ascii="Times New Roman" w:hAnsi="Times New Roman" w:cs="Times New Roman"/>
          <w:sz w:val="24"/>
          <w:szCs w:val="24"/>
        </w:rPr>
        <w:fldChar w:fldCharType="separate"/>
      </w:r>
      <w:r w:rsidR="00234033" w:rsidRPr="00234033">
        <w:rPr>
          <w:rFonts w:ascii="Times New Roman" w:hAnsi="Times New Roman" w:cs="Times New Roman"/>
          <w:sz w:val="24"/>
        </w:rPr>
        <w:t>(NASEM, 2015)</w:t>
      </w:r>
      <w:r w:rsidR="007F4C8F" w:rsidRPr="00A326EF">
        <w:rPr>
          <w:rFonts w:ascii="Times New Roman" w:hAnsi="Times New Roman" w:cs="Times New Roman"/>
          <w:sz w:val="24"/>
          <w:szCs w:val="24"/>
        </w:rPr>
        <w:fldChar w:fldCharType="end"/>
      </w:r>
      <w:r w:rsidRPr="00087AA4">
        <w:rPr>
          <w:rFonts w:ascii="Times New Roman" w:hAnsi="Times New Roman"/>
          <w:sz w:val="24"/>
        </w:rPr>
        <w:t>. The 1000 L/min discharge from MRPTS translates into a daily flow of 1440000 L/d, which exceeded daily water intake of Ottawa County cattle from December through February, was approximately 400000 L less than average monthly WI, and represented 40% of peak WI in July</w:t>
      </w:r>
      <w:r w:rsidRPr="00565FDD">
        <w:rPr>
          <w:rFonts w:ascii="Times New Roman" w:hAnsi="Times New Roman"/>
          <w:sz w:val="24"/>
        </w:rPr>
        <w:t xml:space="preserve">. </w:t>
      </w:r>
      <w:r w:rsidR="00700ECC" w:rsidRPr="00565FDD">
        <w:rPr>
          <w:rFonts w:ascii="Times New Roman" w:hAnsi="Times New Roman"/>
          <w:sz w:val="24"/>
        </w:rPr>
        <w:t xml:space="preserve">In summary, </w:t>
      </w:r>
      <w:r w:rsidRPr="00565FDD">
        <w:rPr>
          <w:rFonts w:ascii="Times New Roman" w:hAnsi="Times New Roman" w:cs="Times New Roman"/>
          <w:sz w:val="24"/>
          <w:szCs w:val="24"/>
        </w:rPr>
        <w:t>MRPTS produces a substantial amount of treated mine water relative to the water</w:t>
      </w:r>
      <w:r w:rsidR="00943317" w:rsidRPr="00565FDD">
        <w:rPr>
          <w:rFonts w:ascii="Times New Roman" w:hAnsi="Times New Roman" w:cs="Times New Roman"/>
          <w:sz w:val="24"/>
          <w:szCs w:val="24"/>
        </w:rPr>
        <w:t xml:space="preserve"> demand of Ottawa County cattle, and </w:t>
      </w:r>
      <w:r w:rsidR="00700ECC" w:rsidRPr="00565FDD">
        <w:rPr>
          <w:rFonts w:ascii="Times New Roman" w:hAnsi="Times New Roman" w:cs="Times New Roman"/>
          <w:sz w:val="24"/>
          <w:szCs w:val="24"/>
        </w:rPr>
        <w:t xml:space="preserve">could therefore be considered for future beneficial reuse on the basis of water quantity. </w:t>
      </w:r>
    </w:p>
    <w:p w14:paraId="3C722172" w14:textId="5843C9A1" w:rsidR="00813D59" w:rsidRPr="00FF5DF8" w:rsidRDefault="00700ECC" w:rsidP="00FF5DF8">
      <w:pPr>
        <w:spacing w:line="480" w:lineRule="auto"/>
        <w:ind w:firstLine="720"/>
        <w:rPr>
          <w:rFonts w:ascii="Times New Roman" w:hAnsi="Times New Roman" w:cs="Times New Roman"/>
        </w:rPr>
      </w:pPr>
      <w:r w:rsidRPr="00565FDD">
        <w:rPr>
          <w:rFonts w:ascii="Times New Roman" w:hAnsi="Times New Roman" w:cs="Times New Roman"/>
          <w:sz w:val="24"/>
          <w:szCs w:val="24"/>
        </w:rPr>
        <w:t xml:space="preserve">However, water quality </w:t>
      </w:r>
      <w:r w:rsidR="007A4366" w:rsidRPr="00565FDD">
        <w:rPr>
          <w:rFonts w:ascii="Times New Roman" w:hAnsi="Times New Roman" w:cs="Times New Roman"/>
          <w:sz w:val="24"/>
          <w:szCs w:val="24"/>
        </w:rPr>
        <w:t xml:space="preserve">improvement </w:t>
      </w:r>
      <w:r w:rsidRPr="00565FDD">
        <w:rPr>
          <w:rFonts w:ascii="Times New Roman" w:hAnsi="Times New Roman" w:cs="Times New Roman"/>
          <w:sz w:val="24"/>
          <w:szCs w:val="24"/>
        </w:rPr>
        <w:t xml:space="preserve">and transportation currently serve as </w:t>
      </w:r>
      <w:r w:rsidR="007A4366" w:rsidRPr="00565FDD">
        <w:rPr>
          <w:rFonts w:ascii="Times New Roman" w:hAnsi="Times New Roman" w:cs="Times New Roman"/>
          <w:sz w:val="24"/>
          <w:szCs w:val="24"/>
        </w:rPr>
        <w:t>financial and logistical obstacles</w:t>
      </w:r>
      <w:r w:rsidRPr="00565FDD">
        <w:rPr>
          <w:rFonts w:ascii="Times New Roman" w:hAnsi="Times New Roman" w:cs="Times New Roman"/>
          <w:sz w:val="24"/>
          <w:szCs w:val="24"/>
        </w:rPr>
        <w:t>.</w:t>
      </w:r>
      <w:r w:rsidR="007A4366" w:rsidRPr="00565FDD">
        <w:rPr>
          <w:rFonts w:ascii="Times New Roman" w:hAnsi="Times New Roman" w:cs="Times New Roman"/>
          <w:sz w:val="24"/>
          <w:szCs w:val="24"/>
        </w:rPr>
        <w:t xml:space="preserve"> Although</w:t>
      </w:r>
      <w:r w:rsidRPr="00565FDD">
        <w:rPr>
          <w:rFonts w:ascii="Times New Roman" w:hAnsi="Times New Roman" w:cs="Times New Roman"/>
          <w:sz w:val="24"/>
          <w:szCs w:val="24"/>
        </w:rPr>
        <w:t xml:space="preserve"> </w:t>
      </w:r>
      <w:r w:rsidR="00943317" w:rsidRPr="00565FDD">
        <w:rPr>
          <w:rFonts w:ascii="Times New Roman" w:hAnsi="Times New Roman" w:cs="Times New Roman"/>
          <w:sz w:val="24"/>
          <w:szCs w:val="24"/>
        </w:rPr>
        <w:t>passive treatment is generally more economical than active treatment</w:t>
      </w:r>
      <w:r w:rsidR="00813D59" w:rsidRPr="00565FDD">
        <w:rPr>
          <w:rFonts w:ascii="Times New Roman" w:hAnsi="Times New Roman" w:cs="Times New Roman"/>
          <w:sz w:val="24"/>
          <w:szCs w:val="24"/>
        </w:rPr>
        <w:t xml:space="preserve">, </w:t>
      </w:r>
      <w:r w:rsidR="004B13BE" w:rsidRPr="00565FDD">
        <w:rPr>
          <w:rFonts w:ascii="Times New Roman" w:hAnsi="Times New Roman" w:cs="Times New Roman"/>
          <w:sz w:val="24"/>
          <w:szCs w:val="24"/>
        </w:rPr>
        <w:t>the cost</w:t>
      </w:r>
      <w:r w:rsidR="00943317" w:rsidRPr="00565FDD">
        <w:rPr>
          <w:rFonts w:ascii="Times New Roman" w:hAnsi="Times New Roman" w:cs="Times New Roman"/>
          <w:sz w:val="24"/>
          <w:szCs w:val="24"/>
        </w:rPr>
        <w:t xml:space="preserve"> of </w:t>
      </w:r>
      <w:r w:rsidR="004B13BE" w:rsidRPr="00565FDD">
        <w:rPr>
          <w:rFonts w:ascii="Times New Roman" w:hAnsi="Times New Roman" w:cs="Times New Roman"/>
          <w:sz w:val="24"/>
          <w:szCs w:val="24"/>
        </w:rPr>
        <w:t xml:space="preserve">water </w:t>
      </w:r>
      <w:r w:rsidR="00943317" w:rsidRPr="00565FDD">
        <w:rPr>
          <w:rFonts w:ascii="Times New Roman" w:hAnsi="Times New Roman" w:cs="Times New Roman"/>
          <w:sz w:val="24"/>
          <w:szCs w:val="24"/>
        </w:rPr>
        <w:t xml:space="preserve">transport </w:t>
      </w:r>
      <w:r w:rsidR="004B13BE" w:rsidRPr="00565FDD">
        <w:rPr>
          <w:rFonts w:ascii="Times New Roman" w:hAnsi="Times New Roman" w:cs="Times New Roman"/>
          <w:sz w:val="24"/>
          <w:szCs w:val="24"/>
        </w:rPr>
        <w:t xml:space="preserve">to end users via piped systems or trucks </w:t>
      </w:r>
      <w:r w:rsidR="00E01717" w:rsidRPr="00565FDD">
        <w:rPr>
          <w:rFonts w:ascii="Times New Roman" w:hAnsi="Times New Roman" w:cs="Times New Roman"/>
          <w:sz w:val="24"/>
          <w:szCs w:val="24"/>
        </w:rPr>
        <w:t>can</w:t>
      </w:r>
      <w:r w:rsidRPr="00565FDD">
        <w:rPr>
          <w:rFonts w:ascii="Times New Roman" w:hAnsi="Times New Roman" w:cs="Times New Roman"/>
          <w:sz w:val="24"/>
          <w:szCs w:val="24"/>
        </w:rPr>
        <w:t>not be disregarded</w:t>
      </w:r>
      <w:r w:rsidR="00943317" w:rsidRPr="00565FDD">
        <w:rPr>
          <w:rFonts w:ascii="Times New Roman" w:hAnsi="Times New Roman" w:cs="Times New Roman"/>
          <w:sz w:val="24"/>
          <w:szCs w:val="24"/>
        </w:rPr>
        <w:t xml:space="preserve"> </w:t>
      </w:r>
      <w:r w:rsidR="00943317" w:rsidRPr="00565FDD">
        <w:rPr>
          <w:rFonts w:ascii="Times New Roman" w:hAnsi="Times New Roman" w:cs="Times New Roman"/>
          <w:sz w:val="24"/>
          <w:szCs w:val="24"/>
        </w:rPr>
        <w:fldChar w:fldCharType="begin"/>
      </w:r>
      <w:r w:rsidR="004B13BE" w:rsidRPr="00565FDD">
        <w:rPr>
          <w:rFonts w:ascii="Times New Roman" w:hAnsi="Times New Roman" w:cs="Times New Roman"/>
          <w:sz w:val="24"/>
          <w:szCs w:val="24"/>
        </w:rPr>
        <w:instrText xml:space="preserve"> ADDIN ZOTERO_ITEM CSL_CITATION {"citationID":"apbv1mt0kr","properties":{"formattedCitation":"(Ford, 2003)","plainCitation":"(Ford, 2003)","noteIndex":0},"citationItems":[{"id":932,"uris":["http://zotero.org/users/5446453/items/J3ISZQXQ"],"uri":["http://zotero.org/users/5446453/items/J3ISZQXQ"],"itemData":{"id":932,"type":"article-journal","container-title":"U.S. Bureau of Land Management Papers","title":"Passive Treatment Systems for Acid Mine Drainage","URL":"https://digitalcommons.unl.edu/usblmpub/19","author":[{"family":"Ford","given":"K. L."}],"issued":{"date-parts":[["2003",1,1]]}}}],"schema":"https://github.com/citation-style-language/schema/raw/master/csl-citation.json"} </w:instrText>
      </w:r>
      <w:r w:rsidR="00943317" w:rsidRPr="00565FDD">
        <w:rPr>
          <w:rFonts w:ascii="Times New Roman" w:hAnsi="Times New Roman" w:cs="Times New Roman"/>
          <w:sz w:val="24"/>
          <w:szCs w:val="24"/>
        </w:rPr>
        <w:fldChar w:fldCharType="separate"/>
      </w:r>
      <w:r w:rsidR="00234033" w:rsidRPr="00565FDD">
        <w:rPr>
          <w:rFonts w:ascii="Times New Roman" w:hAnsi="Times New Roman" w:cs="Times New Roman"/>
          <w:sz w:val="24"/>
        </w:rPr>
        <w:t>(Ford, 2003)</w:t>
      </w:r>
      <w:r w:rsidR="00943317" w:rsidRPr="00565FDD">
        <w:rPr>
          <w:rFonts w:ascii="Times New Roman" w:hAnsi="Times New Roman" w:cs="Times New Roman"/>
          <w:sz w:val="24"/>
          <w:szCs w:val="24"/>
        </w:rPr>
        <w:fldChar w:fldCharType="end"/>
      </w:r>
      <w:r w:rsidR="00943317" w:rsidRPr="00565FDD">
        <w:rPr>
          <w:rFonts w:ascii="Times New Roman" w:hAnsi="Times New Roman" w:cs="Times New Roman"/>
          <w:sz w:val="24"/>
          <w:szCs w:val="24"/>
        </w:rPr>
        <w:t>. Pipeline construction</w:t>
      </w:r>
      <w:r w:rsidR="004B13BE" w:rsidRPr="00565FDD">
        <w:rPr>
          <w:rFonts w:ascii="Times New Roman" w:hAnsi="Times New Roman" w:cs="Times New Roman"/>
          <w:sz w:val="24"/>
          <w:szCs w:val="24"/>
        </w:rPr>
        <w:t>, while cheaper than trucking, still</w:t>
      </w:r>
      <w:r w:rsidR="00943317" w:rsidRPr="00565FDD">
        <w:rPr>
          <w:rFonts w:ascii="Times New Roman" w:hAnsi="Times New Roman" w:cs="Times New Roman"/>
          <w:sz w:val="24"/>
          <w:szCs w:val="24"/>
        </w:rPr>
        <w:t xml:space="preserve"> represented the largest capital expense of two reclaimed water treatment </w:t>
      </w:r>
      <w:r w:rsidR="004B13BE" w:rsidRPr="00565FDD">
        <w:rPr>
          <w:rFonts w:ascii="Times New Roman" w:hAnsi="Times New Roman" w:cs="Times New Roman"/>
          <w:sz w:val="24"/>
          <w:szCs w:val="24"/>
        </w:rPr>
        <w:t xml:space="preserve">systems in Nevada </w:t>
      </w:r>
      <w:r w:rsidR="004B13BE" w:rsidRPr="00565FDD">
        <w:rPr>
          <w:rFonts w:ascii="Times New Roman" w:hAnsi="Times New Roman" w:cs="Times New Roman"/>
          <w:sz w:val="24"/>
          <w:szCs w:val="24"/>
        </w:rPr>
        <w:fldChar w:fldCharType="begin"/>
      </w:r>
      <w:r w:rsidR="00CF2322" w:rsidRPr="00565FDD">
        <w:rPr>
          <w:rFonts w:ascii="Times New Roman" w:hAnsi="Times New Roman" w:cs="Times New Roman"/>
          <w:sz w:val="24"/>
          <w:szCs w:val="24"/>
        </w:rPr>
        <w:instrText xml:space="preserve"> ADDIN ZOTERO_ITEM CSL_CITATION {"citationID":"a22rn62vp1l","properties":{"formattedCitation":"(Plappally &amp; Lienhard, 2012)","plainCitation":"(Plappally &amp; Lienhard, 2012)","dontUpdate":true,"noteIndex":0},"citationItems":[{"id":934,"uris":["http://zotero.org/users/5446453/items/QPGCEK7F"],"uri":["http://zotero.org/users/5446453/items/QPGCEK7F"],"itemData":{"id":934,"type":"article-journal","abstract":"The paper reviews the cost of different water supply and water treatment options around the world. The cost of supplying ground water is found to be proportional to the lift. The relationship between cost and volume of water treated by specific treatment options is assessed. Vehicular transportation of water is found to be very costly compared to wastewater treatment and compared to conventional water treatment and supply. Efforts have been made to differentiate the cost of water with respect to its application in various sectors. The capital cost of infrastructure required to extract, treat, supply, and reclaim water is also studied. Finally, the effects of precipitation, geographic aspects, population, financial, regulatory laws, and social attributes of a specific region are considered as they affect the cost of water. Global use of water in agriculture and the costs of agricultural irrigation are studied. Pressurized irrigation systems are costlier compared to flood or surface irrigation systems.","container-title":"Desalination and Water Treatment","DOI":"10.1080/19443994.2012.708996","issue":"1","page":"1-33","source":"ResearchGate","title":"Costs for water supply, treatment, end-use and reclamation","volume":"51","author":[{"family":"Plappally","given":"Anand"},{"family":"Lienhard","given":"John H."}],"issued":{"date-parts":[["2012",1,1]]}}}],"schema":"https://github.com/citation-style-language/schema/raw/master/csl-citation.json"} </w:instrText>
      </w:r>
      <w:r w:rsidR="004B13BE" w:rsidRPr="00565FDD">
        <w:rPr>
          <w:rFonts w:ascii="Times New Roman" w:hAnsi="Times New Roman" w:cs="Times New Roman"/>
          <w:sz w:val="24"/>
          <w:szCs w:val="24"/>
        </w:rPr>
        <w:fldChar w:fldCharType="separate"/>
      </w:r>
      <w:r w:rsidR="004B13BE" w:rsidRPr="00565FDD">
        <w:rPr>
          <w:rFonts w:ascii="Times New Roman" w:hAnsi="Times New Roman" w:cs="Times New Roman"/>
          <w:sz w:val="24"/>
          <w:szCs w:val="24"/>
        </w:rPr>
        <w:t>(Plappally and Lienhard, 2012)</w:t>
      </w:r>
      <w:r w:rsidR="004B13BE" w:rsidRPr="00565FDD">
        <w:rPr>
          <w:rFonts w:ascii="Times New Roman" w:hAnsi="Times New Roman" w:cs="Times New Roman"/>
          <w:sz w:val="24"/>
          <w:szCs w:val="24"/>
        </w:rPr>
        <w:fldChar w:fldCharType="end"/>
      </w:r>
      <w:r w:rsidR="004B13BE" w:rsidRPr="00565FDD">
        <w:rPr>
          <w:rFonts w:ascii="Times New Roman" w:hAnsi="Times New Roman" w:cs="Times New Roman"/>
          <w:sz w:val="24"/>
          <w:szCs w:val="24"/>
        </w:rPr>
        <w:t xml:space="preserve">. </w:t>
      </w:r>
      <w:r w:rsidR="00943317" w:rsidRPr="00565FDD">
        <w:rPr>
          <w:rFonts w:ascii="Times New Roman" w:hAnsi="Times New Roman" w:cs="Times New Roman"/>
          <w:sz w:val="24"/>
          <w:szCs w:val="24"/>
        </w:rPr>
        <w:t xml:space="preserve">Supplying the </w:t>
      </w:r>
      <w:r w:rsidRPr="00565FDD">
        <w:rPr>
          <w:rFonts w:ascii="Times New Roman" w:hAnsi="Times New Roman" w:cs="Times New Roman"/>
          <w:sz w:val="24"/>
          <w:szCs w:val="24"/>
        </w:rPr>
        <w:t xml:space="preserve">Ottawa County </w:t>
      </w:r>
      <w:r w:rsidR="00943317" w:rsidRPr="00565FDD">
        <w:rPr>
          <w:rFonts w:ascii="Times New Roman" w:hAnsi="Times New Roman" w:cs="Times New Roman"/>
          <w:sz w:val="24"/>
          <w:szCs w:val="24"/>
        </w:rPr>
        <w:t xml:space="preserve">cattle water demand with reclaimed water would require substantial </w:t>
      </w:r>
      <w:r w:rsidRPr="00565FDD">
        <w:rPr>
          <w:rFonts w:ascii="Times New Roman" w:hAnsi="Times New Roman" w:cs="Times New Roman"/>
          <w:sz w:val="24"/>
          <w:szCs w:val="24"/>
        </w:rPr>
        <w:t>capital investments, and</w:t>
      </w:r>
      <w:r w:rsidR="00943317" w:rsidRPr="00565FDD">
        <w:rPr>
          <w:rFonts w:ascii="Times New Roman" w:hAnsi="Times New Roman" w:cs="Times New Roman"/>
          <w:sz w:val="24"/>
          <w:szCs w:val="24"/>
        </w:rPr>
        <w:t xml:space="preserve"> </w:t>
      </w:r>
      <w:r w:rsidR="00813D59" w:rsidRPr="00565FDD">
        <w:rPr>
          <w:rFonts w:ascii="Times New Roman" w:hAnsi="Times New Roman" w:cs="Times New Roman"/>
          <w:sz w:val="24"/>
          <w:szCs w:val="24"/>
        </w:rPr>
        <w:t xml:space="preserve">the elevated </w:t>
      </w:r>
      <w:r w:rsidR="009678A2" w:rsidRPr="00565FDD">
        <w:rPr>
          <w:rFonts w:ascii="Times New Roman" w:hAnsi="Times New Roman" w:cs="Times New Roman"/>
          <w:sz w:val="24"/>
          <w:szCs w:val="24"/>
        </w:rPr>
        <w:t>SO</w:t>
      </w:r>
      <w:r w:rsidR="009678A2" w:rsidRPr="00565FDD">
        <w:rPr>
          <w:rFonts w:ascii="Times New Roman" w:hAnsi="Times New Roman" w:cs="Times New Roman"/>
          <w:sz w:val="24"/>
          <w:szCs w:val="24"/>
          <w:vertAlign w:val="subscript"/>
        </w:rPr>
        <w:t>4</w:t>
      </w:r>
      <w:r w:rsidR="009678A2" w:rsidRPr="00565FDD">
        <w:rPr>
          <w:rFonts w:ascii="Times New Roman" w:hAnsi="Times New Roman" w:cs="Times New Roman"/>
          <w:sz w:val="24"/>
          <w:szCs w:val="24"/>
          <w:vertAlign w:val="superscript"/>
        </w:rPr>
        <w:t>2-</w:t>
      </w:r>
      <w:r w:rsidR="009678A2" w:rsidRPr="00565FDD">
        <w:rPr>
          <w:rFonts w:ascii="Times New Roman" w:hAnsi="Times New Roman" w:cs="Times New Roman"/>
          <w:sz w:val="24"/>
          <w:szCs w:val="24"/>
        </w:rPr>
        <w:t xml:space="preserve"> </w:t>
      </w:r>
      <w:r w:rsidR="00813D59" w:rsidRPr="00565FDD">
        <w:rPr>
          <w:rFonts w:ascii="Times New Roman" w:hAnsi="Times New Roman" w:cs="Times New Roman"/>
          <w:sz w:val="24"/>
          <w:szCs w:val="24"/>
        </w:rPr>
        <w:t xml:space="preserve">concentrations render this water unsavory if not unsafe for cattle consumption. </w:t>
      </w:r>
      <w:r w:rsidR="007A4366" w:rsidRPr="00565FDD">
        <w:rPr>
          <w:rFonts w:ascii="Times New Roman" w:hAnsi="Times New Roman" w:cs="Times New Roman"/>
          <w:sz w:val="24"/>
          <w:szCs w:val="24"/>
        </w:rPr>
        <w:t>E</w:t>
      </w:r>
      <w:r w:rsidRPr="00565FDD">
        <w:rPr>
          <w:rFonts w:ascii="Times New Roman" w:hAnsi="Times New Roman" w:cs="Times New Roman"/>
          <w:sz w:val="24"/>
          <w:szCs w:val="24"/>
        </w:rPr>
        <w:t>conomic and health concerns</w:t>
      </w:r>
      <w:r w:rsidR="007A4366" w:rsidRPr="00565FDD">
        <w:rPr>
          <w:rFonts w:ascii="Times New Roman" w:hAnsi="Times New Roman" w:cs="Times New Roman"/>
          <w:sz w:val="24"/>
          <w:szCs w:val="24"/>
        </w:rPr>
        <w:t xml:space="preserve"> currently constitute a compelling case against the reuse of passively-treated mine water for livestock drinking, but the livestock reuse scenario should be reevaluated in the future as advancements in treatment technologies and fluctuations in water supply and demand inform water reclamation practices.</w:t>
      </w:r>
    </w:p>
    <w:p w14:paraId="0179F2ED" w14:textId="77777777" w:rsidR="00813D59" w:rsidRDefault="00813D59" w:rsidP="00813D59"/>
    <w:p w14:paraId="3E691FC7" w14:textId="77777777" w:rsidR="00813D59" w:rsidRDefault="00813D59" w:rsidP="00813D59">
      <w:pPr>
        <w:sectPr w:rsidR="00813D59" w:rsidSect="00252822">
          <w:pgSz w:w="12240" w:h="15840"/>
          <w:pgMar w:top="1440" w:right="1440" w:bottom="1440" w:left="1440" w:header="720" w:footer="720" w:gutter="0"/>
          <w:pgNumType w:start="1"/>
          <w:cols w:space="720"/>
          <w:docGrid w:linePitch="360"/>
        </w:sectPr>
      </w:pPr>
    </w:p>
    <w:p w14:paraId="61F4D92D" w14:textId="40E8271A" w:rsidR="00813D59" w:rsidRPr="00B40D33" w:rsidRDefault="00813D59" w:rsidP="00813D59">
      <m:oMathPara>
        <m:oMathParaPr>
          <m:jc m:val="left"/>
        </m:oMathParaPr>
        <m:oMath>
          <m:r>
            <w:rPr>
              <w:rFonts w:ascii="Cambria Math" w:hAnsi="Cambria Math"/>
            </w:rPr>
            <w:lastRenderedPageBreak/>
            <m:t>CETI=27.88-0.456×Tc+0.010754×</m:t>
          </m:r>
          <m:sSup>
            <m:sSupPr>
              <m:ctrlPr>
                <w:rPr>
                  <w:rFonts w:ascii="Cambria Math" w:hAnsi="Cambria Math"/>
                  <w:i/>
                </w:rPr>
              </m:ctrlPr>
            </m:sSupPr>
            <m:e>
              <m:r>
                <w:rPr>
                  <w:rFonts w:ascii="Cambria Math" w:hAnsi="Cambria Math"/>
                </w:rPr>
                <m:t>Tc</m:t>
              </m:r>
            </m:e>
            <m:sup>
              <m:r>
                <w:rPr>
                  <w:rFonts w:ascii="Cambria Math" w:hAnsi="Cambria Math"/>
                </w:rPr>
                <m:t>2</m:t>
              </m:r>
            </m:sup>
          </m:sSup>
          <m:r>
            <w:rPr>
              <w:rFonts w:ascii="Cambria Math" w:hAnsi="Cambria Math"/>
            </w:rPr>
            <m:t>-0.4905×RHc+0.00088×</m:t>
          </m:r>
          <m:sSup>
            <m:sSupPr>
              <m:ctrlPr>
                <w:rPr>
                  <w:rFonts w:ascii="Cambria Math" w:hAnsi="Cambria Math"/>
                  <w:i/>
                </w:rPr>
              </m:ctrlPr>
            </m:sSupPr>
            <m:e>
              <m:r>
                <w:rPr>
                  <w:rFonts w:ascii="Cambria Math" w:hAnsi="Cambria Math"/>
                </w:rPr>
                <m:t>RHc</m:t>
              </m:r>
            </m:e>
            <m:sup>
              <m:r>
                <w:rPr>
                  <w:rFonts w:ascii="Cambria Math" w:hAnsi="Cambria Math"/>
                </w:rPr>
                <m:t>2</m:t>
              </m:r>
            </m:sup>
          </m:sSup>
          <m:r>
            <w:rPr>
              <w:rFonts w:ascii="Cambria Math" w:hAnsi="Cambria Math"/>
            </w:rPr>
            <m:t>+1.1507×</m:t>
          </m:r>
          <m:f>
            <m:fPr>
              <m:ctrlPr>
                <w:rPr>
                  <w:rFonts w:ascii="Cambria Math" w:hAnsi="Cambria Math"/>
                  <w:i/>
                </w:rPr>
              </m:ctrlPr>
            </m:fPr>
            <m:num>
              <m:r>
                <w:rPr>
                  <w:rFonts w:ascii="Cambria Math" w:hAnsi="Cambria Math"/>
                </w:rPr>
                <m:t>WS</m:t>
              </m:r>
            </m:num>
            <m:den>
              <m:r>
                <w:rPr>
                  <w:rFonts w:ascii="Cambria Math" w:hAnsi="Cambria Math"/>
                </w:rPr>
                <m:t>3.6</m:t>
              </m:r>
            </m:den>
          </m:f>
          <m:r>
            <w:rPr>
              <w:rFonts w:ascii="Cambria Math" w:hAnsi="Cambria Math"/>
            </w:rPr>
            <m:t xml:space="preserve">                                                            -0.126447×</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WS</m:t>
                      </m:r>
                    </m:num>
                    <m:den>
                      <m:r>
                        <w:rPr>
                          <w:rFonts w:ascii="Cambria Math" w:hAnsi="Cambria Math"/>
                        </w:rPr>
                        <m:t>3.6</m:t>
                      </m:r>
                    </m:den>
                  </m:f>
                </m:e>
              </m:d>
            </m:e>
            <m:sup>
              <m:r>
                <w:rPr>
                  <w:rFonts w:ascii="Cambria Math" w:hAnsi="Cambria Math"/>
                </w:rPr>
                <m:t>2</m:t>
              </m:r>
            </m:sup>
          </m:sSup>
          <m:r>
            <w:rPr>
              <w:rFonts w:ascii="Cambria Math" w:hAnsi="Cambria Math"/>
            </w:rPr>
            <m:t>+0.019867×Tc×RHc-0.046313×Tc×</m:t>
          </m:r>
          <m:f>
            <m:fPr>
              <m:ctrlPr>
                <w:rPr>
                  <w:rFonts w:ascii="Cambria Math" w:hAnsi="Cambria Math"/>
                  <w:i/>
                </w:rPr>
              </m:ctrlPr>
            </m:fPr>
            <m:num>
              <m:r>
                <w:rPr>
                  <w:rFonts w:ascii="Cambria Math" w:hAnsi="Cambria Math"/>
                </w:rPr>
                <m:t>WS</m:t>
              </m:r>
            </m:num>
            <m:den>
              <m:r>
                <w:rPr>
                  <w:rFonts w:ascii="Cambria Math" w:hAnsi="Cambria Math"/>
                </w:rPr>
                <m:t>3.6</m:t>
              </m:r>
            </m:den>
          </m:f>
          <m:r>
            <w:rPr>
              <w:rFonts w:ascii="Cambria Math" w:hAnsi="Cambria Math"/>
            </w:rPr>
            <m:t>+0.41267×HRS</m:t>
          </m:r>
        </m:oMath>
      </m:oMathPara>
    </w:p>
    <w:p w14:paraId="093C8E62" w14:textId="026D5D2A" w:rsidR="00813D59" w:rsidRDefault="00252822" w:rsidP="00813D59">
      <w:r w:rsidRPr="00F07DEB">
        <w:rPr>
          <w:rFonts w:ascii="Times New Roman" w:hAnsi="Times New Roman" w:cs="Times New Roman"/>
          <w:noProof/>
          <w:sz w:val="24"/>
          <w:szCs w:val="24"/>
          <w:lang w:eastAsia="en-US"/>
        </w:rPr>
        <mc:AlternateContent>
          <mc:Choice Requires="wps">
            <w:drawing>
              <wp:anchor distT="0" distB="0" distL="114300" distR="114300" simplePos="0" relativeHeight="251677696" behindDoc="0" locked="0" layoutInCell="1" allowOverlap="1" wp14:anchorId="389BC689" wp14:editId="24447C9C">
                <wp:simplePos x="0" y="0"/>
                <wp:positionH relativeFrom="column">
                  <wp:posOffset>7275932</wp:posOffset>
                </wp:positionH>
                <wp:positionV relativeFrom="paragraph">
                  <wp:posOffset>307905</wp:posOffset>
                </wp:positionV>
                <wp:extent cx="914400" cy="374015"/>
                <wp:effectExtent l="0" t="0" r="0" b="6985"/>
                <wp:wrapNone/>
                <wp:docPr id="53" name="Text Box 53"/>
                <wp:cNvGraphicFramePr/>
                <a:graphic xmlns:a="http://schemas.openxmlformats.org/drawingml/2006/main">
                  <a:graphicData uri="http://schemas.microsoft.com/office/word/2010/wordprocessingShape">
                    <wps:wsp>
                      <wps:cNvSpPr txBox="1"/>
                      <wps:spPr>
                        <a:xfrm>
                          <a:off x="0" y="0"/>
                          <a:ext cx="914400" cy="374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9FE4C" w14:textId="1EF7BAE8" w:rsidR="00757A39" w:rsidRPr="00355EB3" w:rsidRDefault="00757A39" w:rsidP="00252822">
                            <w:pPr>
                              <w:rPr>
                                <w:rFonts w:ascii="Times New Roman" w:hAnsi="Times New Roman" w:cs="Times New Roman"/>
                                <w:sz w:val="24"/>
                                <w:szCs w:val="24"/>
                              </w:rPr>
                            </w:pPr>
                            <w:r w:rsidRPr="00355EB3">
                              <w:rPr>
                                <w:rFonts w:ascii="Times New Roman" w:hAnsi="Times New Roman" w:cs="Times New Roman"/>
                                <w:sz w:val="24"/>
                                <w:szCs w:val="24"/>
                              </w:rPr>
                              <w:t xml:space="preserve">Equation </w:t>
                            </w:r>
                            <w:r>
                              <w:rPr>
                                <w:rFonts w:ascii="Times New Roman" w:hAnsi="Times New Roman" w:cs="Times New Roman"/>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BC689" id="Text Box 53" o:spid="_x0000_s1029" type="#_x0000_t202" style="position:absolute;margin-left:572.9pt;margin-top:24.25pt;width:1in;height:29.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" fillcolor="white [3201]" stroked="f" strokeweight=".5pt">
                <v:textbox>
                  <w:txbxContent>
                    <w:p w14:paraId="0809FE4C" w14:textId="1EF7BAE8" w:rsidR="00757A39" w:rsidRPr="00355EB3" w:rsidRDefault="00757A39" w:rsidP="00252822">
                      <w:pPr>
                        <w:rPr>
                          <w:rFonts w:ascii="Times New Roman" w:hAnsi="Times New Roman" w:cs="Times New Roman"/>
                          <w:sz w:val="24"/>
                          <w:szCs w:val="24"/>
                        </w:rPr>
                      </w:pPr>
                      <w:r w:rsidRPr="00355EB3">
                        <w:rPr>
                          <w:rFonts w:ascii="Times New Roman" w:hAnsi="Times New Roman" w:cs="Times New Roman"/>
                          <w:sz w:val="24"/>
                          <w:szCs w:val="24"/>
                        </w:rPr>
                        <w:t xml:space="preserve">Equation </w:t>
                      </w:r>
                      <w:r>
                        <w:rPr>
                          <w:rFonts w:ascii="Times New Roman" w:hAnsi="Times New Roman" w:cs="Times New Roman"/>
                          <w:sz w:val="24"/>
                          <w:szCs w:val="24"/>
                        </w:rPr>
                        <w:t>4</w:t>
                      </w:r>
                    </w:p>
                  </w:txbxContent>
                </v:textbox>
              </v:shape>
            </w:pict>
          </mc:Fallback>
        </mc:AlternateContent>
      </w:r>
      <w:r w:rsidRPr="00F07DEB">
        <w:rPr>
          <w:rFonts w:ascii="Times New Roman" w:hAnsi="Times New Roman" w:cs="Times New Roman"/>
          <w:noProof/>
          <w:sz w:val="24"/>
          <w:szCs w:val="24"/>
          <w:lang w:eastAsia="en-US"/>
        </w:rPr>
        <mc:AlternateContent>
          <mc:Choice Requires="wps">
            <w:drawing>
              <wp:anchor distT="0" distB="0" distL="114300" distR="114300" simplePos="0" relativeHeight="251675648" behindDoc="0" locked="0" layoutInCell="1" allowOverlap="1" wp14:anchorId="665CFE2B" wp14:editId="3692FAD8">
                <wp:simplePos x="0" y="0"/>
                <wp:positionH relativeFrom="column">
                  <wp:posOffset>6635699</wp:posOffset>
                </wp:positionH>
                <wp:positionV relativeFrom="paragraph">
                  <wp:posOffset>-685165</wp:posOffset>
                </wp:positionV>
                <wp:extent cx="914400" cy="374015"/>
                <wp:effectExtent l="0" t="0" r="0" b="6985"/>
                <wp:wrapNone/>
                <wp:docPr id="50" name="Text Box 50"/>
                <wp:cNvGraphicFramePr/>
                <a:graphic xmlns:a="http://schemas.openxmlformats.org/drawingml/2006/main">
                  <a:graphicData uri="http://schemas.microsoft.com/office/word/2010/wordprocessingShape">
                    <wps:wsp>
                      <wps:cNvSpPr txBox="1"/>
                      <wps:spPr>
                        <a:xfrm>
                          <a:off x="0" y="0"/>
                          <a:ext cx="914400" cy="374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D715DE" w14:textId="64B58714" w:rsidR="00757A39" w:rsidRPr="00355EB3" w:rsidRDefault="00757A39" w:rsidP="00252822">
                            <w:pPr>
                              <w:rPr>
                                <w:rFonts w:ascii="Times New Roman" w:hAnsi="Times New Roman" w:cs="Times New Roman"/>
                                <w:sz w:val="24"/>
                                <w:szCs w:val="24"/>
                              </w:rPr>
                            </w:pPr>
                            <w:r>
                              <w:rPr>
                                <w:rFonts w:ascii="Times New Roman" w:hAnsi="Times New Roman" w:cs="Times New Roman"/>
                                <w:sz w:val="24"/>
                                <w:szCs w:val="24"/>
                              </w:rPr>
                              <w:t>Equation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CFE2B" id="Text Box 50" o:spid="_x0000_s1030" type="#_x0000_t202" style="position:absolute;margin-left:522.5pt;margin-top:-53.95pt;width:1in;height:29.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" fillcolor="white [3201]" stroked="f" strokeweight=".5pt">
                <v:textbox>
                  <w:txbxContent>
                    <w:p w14:paraId="1DD715DE" w14:textId="64B58714" w:rsidR="00757A39" w:rsidRPr="00355EB3" w:rsidRDefault="00757A39" w:rsidP="00252822">
                      <w:pPr>
                        <w:rPr>
                          <w:rFonts w:ascii="Times New Roman" w:hAnsi="Times New Roman" w:cs="Times New Roman"/>
                          <w:sz w:val="24"/>
                          <w:szCs w:val="24"/>
                        </w:rPr>
                      </w:pPr>
                      <w:r>
                        <w:rPr>
                          <w:rFonts w:ascii="Times New Roman" w:hAnsi="Times New Roman" w:cs="Times New Roman"/>
                          <w:sz w:val="24"/>
                          <w:szCs w:val="24"/>
                        </w:rPr>
                        <w:t>Equation 3</w:t>
                      </w:r>
                    </w:p>
                  </w:txbxContent>
                </v:textbox>
              </v:shape>
            </w:pict>
          </mc:Fallback>
        </mc:AlternateContent>
      </w:r>
    </w:p>
    <w:p w14:paraId="732F02D1" w14:textId="77777777" w:rsidR="00813D59" w:rsidRPr="00B40D33" w:rsidRDefault="00813D59" w:rsidP="00813D59">
      <m:oMathPara>
        <m:oMathParaPr>
          <m:jc m:val="left"/>
        </m:oMathParaPr>
        <m:oMath>
          <m:r>
            <w:rPr>
              <w:rFonts w:ascii="Cambria Math" w:hAnsi="Cambria Math"/>
            </w:rPr>
            <m:t xml:space="preserve">WI </m:t>
          </m:r>
          <m:d>
            <m:dPr>
              <m:ctrlPr>
                <w:rPr>
                  <w:rFonts w:ascii="Cambria Math" w:hAnsi="Cambria Math"/>
                  <w:i/>
                </w:rPr>
              </m:ctrlPr>
            </m:dPr>
            <m:e>
              <m:f>
                <m:fPr>
                  <m:ctrlPr>
                    <w:rPr>
                      <w:rFonts w:ascii="Cambria Math" w:hAnsi="Cambria Math"/>
                      <w:i/>
                    </w:rPr>
                  </m:ctrlPr>
                </m:fPr>
                <m:num>
                  <m:r>
                    <w:rPr>
                      <w:rFonts w:ascii="Cambria Math" w:hAnsi="Cambria Math"/>
                    </w:rPr>
                    <m:t>L</m:t>
                  </m:r>
                </m:num>
                <m:den>
                  <m:r>
                    <w:rPr>
                      <w:rFonts w:ascii="Cambria Math" w:hAnsi="Cambria Math"/>
                    </w:rPr>
                    <m:t>d</m:t>
                  </m:r>
                </m:den>
              </m:f>
            </m:e>
          </m:d>
          <m:r>
            <w:rPr>
              <w:rFonts w:ascii="Cambria Math" w:hAnsi="Cambria Math"/>
            </w:rPr>
            <m:t>= 7.3+0.0805×SBW-0.00008×</m:t>
          </m:r>
          <m:sSup>
            <m:sSupPr>
              <m:ctrlPr>
                <w:rPr>
                  <w:rFonts w:ascii="Cambria Math" w:hAnsi="Cambria Math"/>
                  <w:i/>
                </w:rPr>
              </m:ctrlPr>
            </m:sSupPr>
            <m:e>
              <m:r>
                <w:rPr>
                  <w:rFonts w:ascii="Cambria Math" w:hAnsi="Cambria Math"/>
                </w:rPr>
                <m:t>SBW</m:t>
              </m:r>
            </m:e>
            <m:sup>
              <m:r>
                <w:rPr>
                  <w:rFonts w:ascii="Cambria Math" w:hAnsi="Cambria Math"/>
                </w:rPr>
                <m:t>2</m:t>
              </m:r>
            </m:sup>
          </m:sSup>
          <m:r>
            <w:rPr>
              <w:rFonts w:ascii="Cambria Math" w:hAnsi="Cambria Math"/>
            </w:rPr>
            <m:t>-1.225×CETI+0.0411×</m:t>
          </m:r>
          <m:sSup>
            <m:sSupPr>
              <m:ctrlPr>
                <w:rPr>
                  <w:rFonts w:ascii="Cambria Math" w:hAnsi="Cambria Math"/>
                  <w:i/>
                </w:rPr>
              </m:ctrlPr>
            </m:sSupPr>
            <m:e>
              <m:r>
                <w:rPr>
                  <w:rFonts w:ascii="Cambria Math" w:hAnsi="Cambria Math"/>
                </w:rPr>
                <m:t>CETI</m:t>
              </m:r>
            </m:e>
            <m:sup>
              <m:r>
                <w:rPr>
                  <w:rFonts w:ascii="Cambria Math" w:hAnsi="Cambria Math"/>
                </w:rPr>
                <m:t>2</m:t>
              </m:r>
            </m:sup>
          </m:sSup>
          <m:r>
            <w:rPr>
              <w:rFonts w:ascii="Cambria Math" w:hAnsi="Cambria Math"/>
            </w:rPr>
            <m:t>+0.0023268×SBW×CETI</m:t>
          </m:r>
        </m:oMath>
      </m:oMathPara>
    </w:p>
    <w:p w14:paraId="6D8BF51F" w14:textId="77777777" w:rsidR="00813D59" w:rsidRDefault="00813D59" w:rsidP="00813D59"/>
    <w:p w14:paraId="2D47A75D" w14:textId="77777777" w:rsidR="00813D59" w:rsidRPr="00111067" w:rsidRDefault="00813D59" w:rsidP="00204C13">
      <w:pPr>
        <w:pStyle w:val="Caption"/>
        <w:rPr>
          <w:i/>
        </w:rPr>
      </w:pPr>
      <w:bookmarkStart w:id="40" w:name="_Ref56714617"/>
      <w:bookmarkStart w:id="41" w:name="_Toc58975196"/>
      <w:r w:rsidRPr="00111067">
        <w:t xml:space="preserve">Table </w:t>
      </w:r>
      <w:r w:rsidR="0033797C">
        <w:rPr>
          <w:noProof/>
        </w:rPr>
        <w:fldChar w:fldCharType="begin"/>
      </w:r>
      <w:r w:rsidR="0033797C">
        <w:rPr>
          <w:noProof/>
        </w:rPr>
        <w:instrText xml:space="preserve"> SEQ Table \* ARABIC </w:instrText>
      </w:r>
      <w:r w:rsidR="0033797C">
        <w:rPr>
          <w:noProof/>
        </w:rPr>
        <w:fldChar w:fldCharType="separate"/>
      </w:r>
      <w:r w:rsidR="00E179CA">
        <w:rPr>
          <w:noProof/>
        </w:rPr>
        <w:t>10</w:t>
      </w:r>
      <w:r w:rsidR="0033797C">
        <w:rPr>
          <w:noProof/>
        </w:rPr>
        <w:fldChar w:fldCharType="end"/>
      </w:r>
      <w:bookmarkEnd w:id="40"/>
      <w:r w:rsidRPr="00111067">
        <w:t>: Environmental parameters and water intake calculations for Ottawa County cattle</w:t>
      </w:r>
      <w:bookmarkEnd w:id="41"/>
    </w:p>
    <w:tbl>
      <w:tblPr>
        <w:tblW w:w="4737" w:type="pct"/>
        <w:tblLook w:val="04A0" w:firstRow="1" w:lastRow="0" w:firstColumn="1" w:lastColumn="0" w:noHBand="0" w:noVBand="1"/>
      </w:tblPr>
      <w:tblGrid>
        <w:gridCol w:w="2200"/>
        <w:gridCol w:w="1439"/>
        <w:gridCol w:w="1439"/>
        <w:gridCol w:w="1439"/>
        <w:gridCol w:w="1439"/>
        <w:gridCol w:w="1439"/>
        <w:gridCol w:w="1444"/>
        <w:gridCol w:w="1439"/>
      </w:tblGrid>
      <w:tr w:rsidR="007F472F" w:rsidRPr="00C6041C" w14:paraId="0440DC77" w14:textId="77777777" w:rsidTr="008233D9">
        <w:trPr>
          <w:gridAfter w:val="1"/>
          <w:wAfter w:w="586" w:type="pct"/>
          <w:trHeight w:val="300"/>
        </w:trPr>
        <w:tc>
          <w:tcPr>
            <w:tcW w:w="895" w:type="pct"/>
            <w:tcBorders>
              <w:top w:val="single" w:sz="8" w:space="0" w:color="auto"/>
              <w:left w:val="nil"/>
              <w:bottom w:val="single" w:sz="8" w:space="0" w:color="auto"/>
              <w:right w:val="nil"/>
            </w:tcBorders>
            <w:shd w:val="clear" w:color="auto" w:fill="auto"/>
            <w:noWrap/>
            <w:vAlign w:val="center"/>
            <w:hideMark/>
          </w:tcPr>
          <w:p w14:paraId="30EC736D"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Parameter</w:t>
            </w:r>
          </w:p>
        </w:tc>
        <w:tc>
          <w:tcPr>
            <w:tcW w:w="586" w:type="pct"/>
            <w:tcBorders>
              <w:top w:val="single" w:sz="8" w:space="0" w:color="auto"/>
              <w:left w:val="nil"/>
              <w:bottom w:val="single" w:sz="8" w:space="0" w:color="auto"/>
              <w:right w:val="nil"/>
            </w:tcBorders>
            <w:shd w:val="clear" w:color="auto" w:fill="auto"/>
            <w:noWrap/>
            <w:vAlign w:val="center"/>
            <w:hideMark/>
          </w:tcPr>
          <w:p w14:paraId="7A14F1DD" w14:textId="1E6A4C72"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Jan</w:t>
            </w:r>
            <w:r w:rsidR="008233D9">
              <w:rPr>
                <w:rFonts w:ascii="Times New Roman" w:eastAsia="Times New Roman" w:hAnsi="Times New Roman" w:cs="Times New Roman"/>
                <w:color w:val="000000"/>
                <w:sz w:val="20"/>
                <w:szCs w:val="20"/>
              </w:rPr>
              <w:t>uary</w:t>
            </w:r>
          </w:p>
        </w:tc>
        <w:tc>
          <w:tcPr>
            <w:tcW w:w="586" w:type="pct"/>
            <w:tcBorders>
              <w:top w:val="single" w:sz="8" w:space="0" w:color="auto"/>
              <w:left w:val="nil"/>
              <w:bottom w:val="single" w:sz="8" w:space="0" w:color="auto"/>
              <w:right w:val="nil"/>
            </w:tcBorders>
            <w:shd w:val="clear" w:color="auto" w:fill="auto"/>
            <w:noWrap/>
            <w:vAlign w:val="center"/>
            <w:hideMark/>
          </w:tcPr>
          <w:p w14:paraId="108FA040" w14:textId="6F037F69"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Feb</w:t>
            </w:r>
            <w:r w:rsidR="008233D9">
              <w:rPr>
                <w:rFonts w:ascii="Times New Roman" w:eastAsia="Times New Roman" w:hAnsi="Times New Roman" w:cs="Times New Roman"/>
                <w:color w:val="000000"/>
                <w:sz w:val="20"/>
                <w:szCs w:val="20"/>
              </w:rPr>
              <w:t>ruary</w:t>
            </w:r>
          </w:p>
        </w:tc>
        <w:tc>
          <w:tcPr>
            <w:tcW w:w="586" w:type="pct"/>
            <w:tcBorders>
              <w:top w:val="single" w:sz="8" w:space="0" w:color="auto"/>
              <w:left w:val="nil"/>
              <w:bottom w:val="single" w:sz="8" w:space="0" w:color="auto"/>
              <w:right w:val="nil"/>
            </w:tcBorders>
            <w:shd w:val="clear" w:color="auto" w:fill="auto"/>
            <w:noWrap/>
            <w:vAlign w:val="center"/>
            <w:hideMark/>
          </w:tcPr>
          <w:p w14:paraId="71037F8E" w14:textId="743BE2B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Mar</w:t>
            </w:r>
            <w:r w:rsidR="008233D9">
              <w:rPr>
                <w:rFonts w:ascii="Times New Roman" w:eastAsia="Times New Roman" w:hAnsi="Times New Roman" w:cs="Times New Roman"/>
                <w:color w:val="000000"/>
                <w:sz w:val="20"/>
                <w:szCs w:val="20"/>
              </w:rPr>
              <w:t>ch</w:t>
            </w:r>
          </w:p>
        </w:tc>
        <w:tc>
          <w:tcPr>
            <w:tcW w:w="586" w:type="pct"/>
            <w:tcBorders>
              <w:top w:val="single" w:sz="8" w:space="0" w:color="auto"/>
              <w:left w:val="nil"/>
              <w:bottom w:val="single" w:sz="8" w:space="0" w:color="auto"/>
              <w:right w:val="nil"/>
            </w:tcBorders>
            <w:shd w:val="clear" w:color="auto" w:fill="auto"/>
            <w:noWrap/>
            <w:vAlign w:val="center"/>
            <w:hideMark/>
          </w:tcPr>
          <w:p w14:paraId="2E414F4A" w14:textId="3875852F"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Apr</w:t>
            </w:r>
            <w:r w:rsidR="008233D9">
              <w:rPr>
                <w:rFonts w:ascii="Times New Roman" w:eastAsia="Times New Roman" w:hAnsi="Times New Roman" w:cs="Times New Roman"/>
                <w:color w:val="000000"/>
                <w:sz w:val="20"/>
                <w:szCs w:val="20"/>
              </w:rPr>
              <w:t>il</w:t>
            </w:r>
          </w:p>
        </w:tc>
        <w:tc>
          <w:tcPr>
            <w:tcW w:w="586" w:type="pct"/>
            <w:tcBorders>
              <w:top w:val="single" w:sz="8" w:space="0" w:color="auto"/>
              <w:left w:val="nil"/>
              <w:bottom w:val="single" w:sz="8" w:space="0" w:color="auto"/>
              <w:right w:val="nil"/>
            </w:tcBorders>
            <w:shd w:val="clear" w:color="auto" w:fill="auto"/>
            <w:noWrap/>
            <w:vAlign w:val="center"/>
            <w:hideMark/>
          </w:tcPr>
          <w:p w14:paraId="1A8BA885"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May</w:t>
            </w:r>
          </w:p>
        </w:tc>
        <w:tc>
          <w:tcPr>
            <w:tcW w:w="588" w:type="pct"/>
            <w:tcBorders>
              <w:top w:val="single" w:sz="8" w:space="0" w:color="auto"/>
              <w:left w:val="nil"/>
              <w:bottom w:val="single" w:sz="8" w:space="0" w:color="auto"/>
              <w:right w:val="nil"/>
            </w:tcBorders>
            <w:shd w:val="clear" w:color="auto" w:fill="auto"/>
            <w:noWrap/>
            <w:vAlign w:val="center"/>
            <w:hideMark/>
          </w:tcPr>
          <w:p w14:paraId="7ACCB999" w14:textId="0F833BE9"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Jun</w:t>
            </w:r>
            <w:r w:rsidR="008233D9">
              <w:rPr>
                <w:rFonts w:ascii="Times New Roman" w:eastAsia="Times New Roman" w:hAnsi="Times New Roman" w:cs="Times New Roman"/>
                <w:color w:val="000000"/>
                <w:sz w:val="20"/>
                <w:szCs w:val="20"/>
              </w:rPr>
              <w:t>e</w:t>
            </w:r>
          </w:p>
        </w:tc>
      </w:tr>
      <w:tr w:rsidR="007F472F" w:rsidRPr="00C6041C" w14:paraId="0F980E17" w14:textId="77777777" w:rsidTr="007F472F">
        <w:trPr>
          <w:gridAfter w:val="1"/>
          <w:wAfter w:w="586" w:type="pct"/>
          <w:trHeight w:val="300"/>
        </w:trPr>
        <w:tc>
          <w:tcPr>
            <w:tcW w:w="895" w:type="pct"/>
            <w:tcBorders>
              <w:top w:val="nil"/>
              <w:left w:val="nil"/>
              <w:bottom w:val="nil"/>
              <w:right w:val="nil"/>
            </w:tcBorders>
            <w:shd w:val="clear" w:color="auto" w:fill="auto"/>
            <w:noWrap/>
            <w:vAlign w:val="center"/>
            <w:hideMark/>
          </w:tcPr>
          <w:p w14:paraId="475663EC"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Temp (℃)</w:t>
            </w:r>
          </w:p>
        </w:tc>
        <w:tc>
          <w:tcPr>
            <w:tcW w:w="586" w:type="pct"/>
            <w:tcBorders>
              <w:top w:val="nil"/>
              <w:left w:val="nil"/>
              <w:bottom w:val="nil"/>
              <w:right w:val="nil"/>
            </w:tcBorders>
            <w:shd w:val="clear" w:color="auto" w:fill="auto"/>
            <w:noWrap/>
            <w:vAlign w:val="center"/>
            <w:hideMark/>
          </w:tcPr>
          <w:p w14:paraId="58443265"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2.22</w:t>
            </w:r>
          </w:p>
        </w:tc>
        <w:tc>
          <w:tcPr>
            <w:tcW w:w="586" w:type="pct"/>
            <w:tcBorders>
              <w:top w:val="nil"/>
              <w:left w:val="nil"/>
              <w:bottom w:val="nil"/>
              <w:right w:val="nil"/>
            </w:tcBorders>
            <w:shd w:val="clear" w:color="auto" w:fill="auto"/>
            <w:noWrap/>
            <w:vAlign w:val="center"/>
            <w:hideMark/>
          </w:tcPr>
          <w:p w14:paraId="4B4E287A"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3.89</w:t>
            </w:r>
          </w:p>
        </w:tc>
        <w:tc>
          <w:tcPr>
            <w:tcW w:w="586" w:type="pct"/>
            <w:tcBorders>
              <w:top w:val="nil"/>
              <w:left w:val="nil"/>
              <w:bottom w:val="nil"/>
              <w:right w:val="nil"/>
            </w:tcBorders>
            <w:shd w:val="clear" w:color="auto" w:fill="auto"/>
            <w:noWrap/>
            <w:vAlign w:val="center"/>
            <w:hideMark/>
          </w:tcPr>
          <w:p w14:paraId="1073BDB8"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10.00</w:t>
            </w:r>
          </w:p>
        </w:tc>
        <w:tc>
          <w:tcPr>
            <w:tcW w:w="586" w:type="pct"/>
            <w:tcBorders>
              <w:top w:val="nil"/>
              <w:left w:val="nil"/>
              <w:bottom w:val="nil"/>
              <w:right w:val="nil"/>
            </w:tcBorders>
            <w:shd w:val="clear" w:color="auto" w:fill="auto"/>
            <w:noWrap/>
            <w:vAlign w:val="center"/>
            <w:hideMark/>
          </w:tcPr>
          <w:p w14:paraId="4341F6D0"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15.00</w:t>
            </w:r>
          </w:p>
        </w:tc>
        <w:tc>
          <w:tcPr>
            <w:tcW w:w="586" w:type="pct"/>
            <w:tcBorders>
              <w:top w:val="nil"/>
              <w:left w:val="nil"/>
              <w:bottom w:val="nil"/>
              <w:right w:val="nil"/>
            </w:tcBorders>
            <w:shd w:val="clear" w:color="auto" w:fill="auto"/>
            <w:noWrap/>
            <w:vAlign w:val="center"/>
            <w:hideMark/>
          </w:tcPr>
          <w:p w14:paraId="54A66187"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19.44</w:t>
            </w:r>
          </w:p>
        </w:tc>
        <w:tc>
          <w:tcPr>
            <w:tcW w:w="588" w:type="pct"/>
            <w:tcBorders>
              <w:top w:val="nil"/>
              <w:left w:val="nil"/>
              <w:bottom w:val="nil"/>
              <w:right w:val="nil"/>
            </w:tcBorders>
            <w:shd w:val="clear" w:color="auto" w:fill="auto"/>
            <w:noWrap/>
            <w:vAlign w:val="center"/>
            <w:hideMark/>
          </w:tcPr>
          <w:p w14:paraId="0DF85B54"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25.00</w:t>
            </w:r>
          </w:p>
        </w:tc>
      </w:tr>
      <w:tr w:rsidR="007F472F" w:rsidRPr="00C6041C" w14:paraId="6A403453" w14:textId="77777777" w:rsidTr="007F472F">
        <w:trPr>
          <w:gridAfter w:val="1"/>
          <w:wAfter w:w="586" w:type="pct"/>
          <w:trHeight w:val="292"/>
        </w:trPr>
        <w:tc>
          <w:tcPr>
            <w:tcW w:w="895" w:type="pct"/>
            <w:tcBorders>
              <w:top w:val="nil"/>
              <w:left w:val="nil"/>
              <w:bottom w:val="nil"/>
              <w:right w:val="nil"/>
            </w:tcBorders>
            <w:shd w:val="clear" w:color="auto" w:fill="auto"/>
            <w:noWrap/>
            <w:vAlign w:val="center"/>
            <w:hideMark/>
          </w:tcPr>
          <w:p w14:paraId="57613AEE"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proofErr w:type="spellStart"/>
            <w:r w:rsidRPr="00C6041C">
              <w:rPr>
                <w:rFonts w:ascii="Times New Roman" w:eastAsia="Times New Roman" w:hAnsi="Times New Roman" w:cs="Times New Roman"/>
                <w:color w:val="000000"/>
                <w:sz w:val="20"/>
                <w:szCs w:val="20"/>
              </w:rPr>
              <w:t>RHc</w:t>
            </w:r>
            <w:proofErr w:type="spellEnd"/>
            <w:r w:rsidRPr="00C6041C">
              <w:rPr>
                <w:rFonts w:ascii="Times New Roman" w:eastAsia="Times New Roman" w:hAnsi="Times New Roman" w:cs="Times New Roman"/>
                <w:color w:val="000000"/>
                <w:sz w:val="20"/>
                <w:szCs w:val="20"/>
              </w:rPr>
              <w:t xml:space="preserve"> (%)</w:t>
            </w:r>
          </w:p>
        </w:tc>
        <w:tc>
          <w:tcPr>
            <w:tcW w:w="586" w:type="pct"/>
            <w:tcBorders>
              <w:top w:val="nil"/>
              <w:left w:val="nil"/>
              <w:bottom w:val="nil"/>
              <w:right w:val="nil"/>
            </w:tcBorders>
            <w:shd w:val="clear" w:color="auto" w:fill="auto"/>
            <w:noWrap/>
            <w:vAlign w:val="center"/>
            <w:hideMark/>
          </w:tcPr>
          <w:p w14:paraId="481EAD9A"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70.00</w:t>
            </w:r>
          </w:p>
        </w:tc>
        <w:tc>
          <w:tcPr>
            <w:tcW w:w="586" w:type="pct"/>
            <w:tcBorders>
              <w:top w:val="nil"/>
              <w:left w:val="nil"/>
              <w:bottom w:val="nil"/>
              <w:right w:val="nil"/>
            </w:tcBorders>
            <w:shd w:val="clear" w:color="auto" w:fill="auto"/>
            <w:noWrap/>
            <w:vAlign w:val="center"/>
            <w:hideMark/>
          </w:tcPr>
          <w:p w14:paraId="5BF6D16C"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70.00</w:t>
            </w:r>
          </w:p>
        </w:tc>
        <w:tc>
          <w:tcPr>
            <w:tcW w:w="586" w:type="pct"/>
            <w:tcBorders>
              <w:top w:val="nil"/>
              <w:left w:val="nil"/>
              <w:bottom w:val="nil"/>
              <w:right w:val="nil"/>
            </w:tcBorders>
            <w:shd w:val="clear" w:color="auto" w:fill="auto"/>
            <w:noWrap/>
            <w:vAlign w:val="center"/>
            <w:hideMark/>
          </w:tcPr>
          <w:p w14:paraId="26CD0C54"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67.00</w:t>
            </w:r>
          </w:p>
        </w:tc>
        <w:tc>
          <w:tcPr>
            <w:tcW w:w="586" w:type="pct"/>
            <w:tcBorders>
              <w:top w:val="nil"/>
              <w:left w:val="nil"/>
              <w:bottom w:val="nil"/>
              <w:right w:val="nil"/>
            </w:tcBorders>
            <w:shd w:val="clear" w:color="auto" w:fill="auto"/>
            <w:noWrap/>
            <w:vAlign w:val="center"/>
            <w:hideMark/>
          </w:tcPr>
          <w:p w14:paraId="235EC22B"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67.00</w:t>
            </w:r>
          </w:p>
        </w:tc>
        <w:tc>
          <w:tcPr>
            <w:tcW w:w="586" w:type="pct"/>
            <w:tcBorders>
              <w:top w:val="nil"/>
              <w:left w:val="nil"/>
              <w:bottom w:val="nil"/>
              <w:right w:val="nil"/>
            </w:tcBorders>
            <w:shd w:val="clear" w:color="auto" w:fill="auto"/>
            <w:noWrap/>
            <w:vAlign w:val="center"/>
            <w:hideMark/>
          </w:tcPr>
          <w:p w14:paraId="054BA253"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75.00</w:t>
            </w:r>
          </w:p>
        </w:tc>
        <w:tc>
          <w:tcPr>
            <w:tcW w:w="588" w:type="pct"/>
            <w:tcBorders>
              <w:top w:val="nil"/>
              <w:left w:val="nil"/>
              <w:bottom w:val="nil"/>
              <w:right w:val="nil"/>
            </w:tcBorders>
            <w:shd w:val="clear" w:color="auto" w:fill="auto"/>
            <w:noWrap/>
            <w:vAlign w:val="center"/>
            <w:hideMark/>
          </w:tcPr>
          <w:p w14:paraId="419EEE31"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74.00</w:t>
            </w:r>
          </w:p>
        </w:tc>
      </w:tr>
      <w:tr w:rsidR="007F472F" w:rsidRPr="00C6041C" w14:paraId="3998E35B" w14:textId="77777777" w:rsidTr="007F472F">
        <w:trPr>
          <w:gridAfter w:val="1"/>
          <w:wAfter w:w="586" w:type="pct"/>
          <w:trHeight w:val="292"/>
        </w:trPr>
        <w:tc>
          <w:tcPr>
            <w:tcW w:w="895" w:type="pct"/>
            <w:tcBorders>
              <w:top w:val="nil"/>
              <w:left w:val="nil"/>
              <w:bottom w:val="nil"/>
              <w:right w:val="nil"/>
            </w:tcBorders>
            <w:shd w:val="clear" w:color="auto" w:fill="auto"/>
            <w:noWrap/>
            <w:vAlign w:val="center"/>
            <w:hideMark/>
          </w:tcPr>
          <w:p w14:paraId="3C243A6E"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WS</w:t>
            </w:r>
            <w:r w:rsidRPr="00C6041C">
              <w:rPr>
                <w:rFonts w:ascii="Times New Roman" w:eastAsia="Times New Roman" w:hAnsi="Times New Roman" w:cs="Times New Roman"/>
                <w:color w:val="000000"/>
                <w:sz w:val="20"/>
                <w:szCs w:val="20"/>
              </w:rPr>
              <w:t xml:space="preserve"> (mph)</w:t>
            </w:r>
          </w:p>
        </w:tc>
        <w:tc>
          <w:tcPr>
            <w:tcW w:w="586" w:type="pct"/>
            <w:tcBorders>
              <w:top w:val="nil"/>
              <w:left w:val="nil"/>
              <w:bottom w:val="nil"/>
              <w:right w:val="nil"/>
            </w:tcBorders>
            <w:shd w:val="clear" w:color="auto" w:fill="auto"/>
            <w:noWrap/>
            <w:vAlign w:val="center"/>
            <w:hideMark/>
          </w:tcPr>
          <w:p w14:paraId="54E2657A"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9</w:t>
            </w:r>
          </w:p>
        </w:tc>
        <w:tc>
          <w:tcPr>
            <w:tcW w:w="586" w:type="pct"/>
            <w:tcBorders>
              <w:top w:val="nil"/>
              <w:left w:val="nil"/>
              <w:bottom w:val="nil"/>
              <w:right w:val="nil"/>
            </w:tcBorders>
            <w:shd w:val="clear" w:color="auto" w:fill="auto"/>
            <w:noWrap/>
            <w:vAlign w:val="center"/>
            <w:hideMark/>
          </w:tcPr>
          <w:p w14:paraId="0C5BD928"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9</w:t>
            </w:r>
          </w:p>
        </w:tc>
        <w:tc>
          <w:tcPr>
            <w:tcW w:w="586" w:type="pct"/>
            <w:tcBorders>
              <w:top w:val="nil"/>
              <w:left w:val="nil"/>
              <w:bottom w:val="nil"/>
              <w:right w:val="nil"/>
            </w:tcBorders>
            <w:shd w:val="clear" w:color="auto" w:fill="auto"/>
            <w:noWrap/>
            <w:vAlign w:val="center"/>
            <w:hideMark/>
          </w:tcPr>
          <w:p w14:paraId="3AA69339"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9</w:t>
            </w:r>
          </w:p>
        </w:tc>
        <w:tc>
          <w:tcPr>
            <w:tcW w:w="586" w:type="pct"/>
            <w:tcBorders>
              <w:top w:val="nil"/>
              <w:left w:val="nil"/>
              <w:bottom w:val="nil"/>
              <w:right w:val="nil"/>
            </w:tcBorders>
            <w:shd w:val="clear" w:color="auto" w:fill="auto"/>
            <w:noWrap/>
            <w:vAlign w:val="center"/>
            <w:hideMark/>
          </w:tcPr>
          <w:p w14:paraId="236AB452"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9</w:t>
            </w:r>
          </w:p>
        </w:tc>
        <w:tc>
          <w:tcPr>
            <w:tcW w:w="586" w:type="pct"/>
            <w:tcBorders>
              <w:top w:val="nil"/>
              <w:left w:val="nil"/>
              <w:bottom w:val="nil"/>
              <w:right w:val="nil"/>
            </w:tcBorders>
            <w:shd w:val="clear" w:color="auto" w:fill="auto"/>
            <w:noWrap/>
            <w:vAlign w:val="center"/>
            <w:hideMark/>
          </w:tcPr>
          <w:p w14:paraId="4F94739F"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8</w:t>
            </w:r>
          </w:p>
        </w:tc>
        <w:tc>
          <w:tcPr>
            <w:tcW w:w="588" w:type="pct"/>
            <w:tcBorders>
              <w:top w:val="nil"/>
              <w:left w:val="nil"/>
              <w:bottom w:val="nil"/>
              <w:right w:val="nil"/>
            </w:tcBorders>
            <w:shd w:val="clear" w:color="auto" w:fill="auto"/>
            <w:noWrap/>
            <w:vAlign w:val="center"/>
            <w:hideMark/>
          </w:tcPr>
          <w:p w14:paraId="0D247FB2"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7</w:t>
            </w:r>
          </w:p>
        </w:tc>
      </w:tr>
      <w:tr w:rsidR="007F472F" w:rsidRPr="00C6041C" w14:paraId="582BFEFC" w14:textId="77777777" w:rsidTr="007F472F">
        <w:trPr>
          <w:gridAfter w:val="1"/>
          <w:wAfter w:w="586" w:type="pct"/>
          <w:trHeight w:val="292"/>
        </w:trPr>
        <w:tc>
          <w:tcPr>
            <w:tcW w:w="895" w:type="pct"/>
            <w:tcBorders>
              <w:top w:val="nil"/>
              <w:left w:val="nil"/>
              <w:bottom w:val="nil"/>
              <w:right w:val="nil"/>
            </w:tcBorders>
            <w:shd w:val="clear" w:color="auto" w:fill="auto"/>
            <w:noWrap/>
            <w:vAlign w:val="center"/>
            <w:hideMark/>
          </w:tcPr>
          <w:p w14:paraId="3956EA3C"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Sunshine (%)</w:t>
            </w:r>
          </w:p>
        </w:tc>
        <w:tc>
          <w:tcPr>
            <w:tcW w:w="586" w:type="pct"/>
            <w:tcBorders>
              <w:top w:val="nil"/>
              <w:left w:val="nil"/>
              <w:bottom w:val="nil"/>
              <w:right w:val="nil"/>
            </w:tcBorders>
            <w:shd w:val="clear" w:color="auto" w:fill="auto"/>
            <w:noWrap/>
            <w:vAlign w:val="center"/>
            <w:hideMark/>
          </w:tcPr>
          <w:p w14:paraId="5664C0E9"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59</w:t>
            </w:r>
          </w:p>
        </w:tc>
        <w:tc>
          <w:tcPr>
            <w:tcW w:w="586" w:type="pct"/>
            <w:tcBorders>
              <w:top w:val="nil"/>
              <w:left w:val="nil"/>
              <w:bottom w:val="nil"/>
              <w:right w:val="nil"/>
            </w:tcBorders>
            <w:shd w:val="clear" w:color="auto" w:fill="auto"/>
            <w:noWrap/>
            <w:vAlign w:val="center"/>
            <w:hideMark/>
          </w:tcPr>
          <w:p w14:paraId="72497E90"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58</w:t>
            </w:r>
          </w:p>
        </w:tc>
        <w:tc>
          <w:tcPr>
            <w:tcW w:w="586" w:type="pct"/>
            <w:tcBorders>
              <w:top w:val="nil"/>
              <w:left w:val="nil"/>
              <w:bottom w:val="nil"/>
              <w:right w:val="nil"/>
            </w:tcBorders>
            <w:shd w:val="clear" w:color="auto" w:fill="auto"/>
            <w:noWrap/>
            <w:vAlign w:val="center"/>
            <w:hideMark/>
          </w:tcPr>
          <w:p w14:paraId="088944F0"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56</w:t>
            </w:r>
          </w:p>
        </w:tc>
        <w:tc>
          <w:tcPr>
            <w:tcW w:w="586" w:type="pct"/>
            <w:tcBorders>
              <w:top w:val="nil"/>
              <w:left w:val="nil"/>
              <w:bottom w:val="nil"/>
              <w:right w:val="nil"/>
            </w:tcBorders>
            <w:shd w:val="clear" w:color="auto" w:fill="auto"/>
            <w:noWrap/>
            <w:vAlign w:val="center"/>
            <w:hideMark/>
          </w:tcPr>
          <w:p w14:paraId="152670F3"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58</w:t>
            </w:r>
          </w:p>
        </w:tc>
        <w:tc>
          <w:tcPr>
            <w:tcW w:w="586" w:type="pct"/>
            <w:tcBorders>
              <w:top w:val="nil"/>
              <w:left w:val="nil"/>
              <w:bottom w:val="nil"/>
              <w:right w:val="nil"/>
            </w:tcBorders>
            <w:shd w:val="clear" w:color="auto" w:fill="auto"/>
            <w:noWrap/>
            <w:vAlign w:val="center"/>
            <w:hideMark/>
          </w:tcPr>
          <w:p w14:paraId="7EC7D1DF"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60</w:t>
            </w:r>
          </w:p>
        </w:tc>
        <w:tc>
          <w:tcPr>
            <w:tcW w:w="588" w:type="pct"/>
            <w:tcBorders>
              <w:top w:val="nil"/>
              <w:left w:val="nil"/>
              <w:bottom w:val="nil"/>
              <w:right w:val="nil"/>
            </w:tcBorders>
            <w:shd w:val="clear" w:color="auto" w:fill="auto"/>
            <w:noWrap/>
            <w:vAlign w:val="center"/>
            <w:hideMark/>
          </w:tcPr>
          <w:p w14:paraId="52CB4FAC"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69</w:t>
            </w:r>
          </w:p>
        </w:tc>
      </w:tr>
      <w:tr w:rsidR="007F472F" w:rsidRPr="00C6041C" w14:paraId="2ED42253" w14:textId="77777777" w:rsidTr="007F472F">
        <w:trPr>
          <w:gridAfter w:val="1"/>
          <w:wAfter w:w="586" w:type="pct"/>
          <w:trHeight w:val="300"/>
        </w:trPr>
        <w:tc>
          <w:tcPr>
            <w:tcW w:w="895" w:type="pct"/>
            <w:tcBorders>
              <w:top w:val="nil"/>
              <w:left w:val="nil"/>
              <w:bottom w:val="nil"/>
              <w:right w:val="nil"/>
            </w:tcBorders>
            <w:shd w:val="clear" w:color="auto" w:fill="auto"/>
            <w:noWrap/>
            <w:vAlign w:val="center"/>
            <w:hideMark/>
          </w:tcPr>
          <w:p w14:paraId="2AE1E722"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HRS (</w:t>
            </w:r>
            <w:proofErr w:type="spellStart"/>
            <w:r w:rsidRPr="00C6041C">
              <w:rPr>
                <w:rFonts w:ascii="Times New Roman" w:eastAsia="Times New Roman" w:hAnsi="Times New Roman" w:cs="Times New Roman"/>
                <w:color w:val="000000"/>
                <w:sz w:val="20"/>
                <w:szCs w:val="20"/>
              </w:rPr>
              <w:t>hr</w:t>
            </w:r>
            <w:proofErr w:type="spellEnd"/>
            <w:r w:rsidRPr="00C6041C">
              <w:rPr>
                <w:rFonts w:ascii="Times New Roman" w:eastAsia="Times New Roman" w:hAnsi="Times New Roman" w:cs="Times New Roman"/>
                <w:color w:val="000000"/>
                <w:sz w:val="20"/>
                <w:szCs w:val="20"/>
              </w:rPr>
              <w:t>)</w:t>
            </w:r>
          </w:p>
        </w:tc>
        <w:tc>
          <w:tcPr>
            <w:tcW w:w="586" w:type="pct"/>
            <w:tcBorders>
              <w:top w:val="nil"/>
              <w:left w:val="nil"/>
              <w:bottom w:val="nil"/>
              <w:right w:val="nil"/>
            </w:tcBorders>
            <w:shd w:val="clear" w:color="auto" w:fill="auto"/>
            <w:noWrap/>
            <w:vAlign w:val="center"/>
            <w:hideMark/>
          </w:tcPr>
          <w:p w14:paraId="376CD82C"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14.16</w:t>
            </w:r>
          </w:p>
        </w:tc>
        <w:tc>
          <w:tcPr>
            <w:tcW w:w="586" w:type="pct"/>
            <w:tcBorders>
              <w:top w:val="nil"/>
              <w:left w:val="nil"/>
              <w:bottom w:val="nil"/>
              <w:right w:val="nil"/>
            </w:tcBorders>
            <w:shd w:val="clear" w:color="auto" w:fill="auto"/>
            <w:noWrap/>
            <w:vAlign w:val="center"/>
            <w:hideMark/>
          </w:tcPr>
          <w:p w14:paraId="65ADDB23"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13.92</w:t>
            </w:r>
          </w:p>
        </w:tc>
        <w:tc>
          <w:tcPr>
            <w:tcW w:w="586" w:type="pct"/>
            <w:tcBorders>
              <w:top w:val="nil"/>
              <w:left w:val="nil"/>
              <w:bottom w:val="nil"/>
              <w:right w:val="nil"/>
            </w:tcBorders>
            <w:shd w:val="clear" w:color="auto" w:fill="auto"/>
            <w:noWrap/>
            <w:vAlign w:val="center"/>
            <w:hideMark/>
          </w:tcPr>
          <w:p w14:paraId="59BCAEAC"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13.44</w:t>
            </w:r>
          </w:p>
        </w:tc>
        <w:tc>
          <w:tcPr>
            <w:tcW w:w="586" w:type="pct"/>
            <w:tcBorders>
              <w:top w:val="nil"/>
              <w:left w:val="nil"/>
              <w:bottom w:val="nil"/>
              <w:right w:val="nil"/>
            </w:tcBorders>
            <w:shd w:val="clear" w:color="auto" w:fill="auto"/>
            <w:noWrap/>
            <w:vAlign w:val="center"/>
            <w:hideMark/>
          </w:tcPr>
          <w:p w14:paraId="3685D7F9"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13.92</w:t>
            </w:r>
          </w:p>
        </w:tc>
        <w:tc>
          <w:tcPr>
            <w:tcW w:w="586" w:type="pct"/>
            <w:tcBorders>
              <w:top w:val="nil"/>
              <w:left w:val="nil"/>
              <w:bottom w:val="nil"/>
              <w:right w:val="nil"/>
            </w:tcBorders>
            <w:shd w:val="clear" w:color="auto" w:fill="auto"/>
            <w:noWrap/>
            <w:vAlign w:val="center"/>
            <w:hideMark/>
          </w:tcPr>
          <w:p w14:paraId="47BB3CFB"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14.4</w:t>
            </w:r>
          </w:p>
        </w:tc>
        <w:tc>
          <w:tcPr>
            <w:tcW w:w="588" w:type="pct"/>
            <w:tcBorders>
              <w:top w:val="nil"/>
              <w:left w:val="nil"/>
              <w:bottom w:val="nil"/>
              <w:right w:val="nil"/>
            </w:tcBorders>
            <w:shd w:val="clear" w:color="auto" w:fill="auto"/>
            <w:noWrap/>
            <w:vAlign w:val="center"/>
            <w:hideMark/>
          </w:tcPr>
          <w:p w14:paraId="751F34A2"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16.56</w:t>
            </w:r>
          </w:p>
        </w:tc>
      </w:tr>
      <w:tr w:rsidR="007F472F" w:rsidRPr="00C6041C" w14:paraId="68E0ECE5" w14:textId="77777777" w:rsidTr="007F472F">
        <w:trPr>
          <w:gridAfter w:val="1"/>
          <w:wAfter w:w="586" w:type="pct"/>
          <w:trHeight w:val="300"/>
        </w:trPr>
        <w:tc>
          <w:tcPr>
            <w:tcW w:w="895" w:type="pct"/>
            <w:tcBorders>
              <w:top w:val="nil"/>
              <w:left w:val="nil"/>
              <w:bottom w:val="nil"/>
              <w:right w:val="nil"/>
            </w:tcBorders>
            <w:shd w:val="clear" w:color="auto" w:fill="auto"/>
            <w:noWrap/>
            <w:vAlign w:val="center"/>
            <w:hideMark/>
          </w:tcPr>
          <w:p w14:paraId="1B359D2D"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CETI</w:t>
            </w:r>
          </w:p>
        </w:tc>
        <w:tc>
          <w:tcPr>
            <w:tcW w:w="586" w:type="pct"/>
            <w:tcBorders>
              <w:top w:val="nil"/>
              <w:left w:val="nil"/>
              <w:bottom w:val="nil"/>
              <w:right w:val="nil"/>
            </w:tcBorders>
            <w:shd w:val="clear" w:color="auto" w:fill="auto"/>
            <w:noWrap/>
            <w:vAlign w:val="center"/>
            <w:hideMark/>
          </w:tcPr>
          <w:p w14:paraId="72DB84B6"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7.66</w:t>
            </w:r>
          </w:p>
        </w:tc>
        <w:tc>
          <w:tcPr>
            <w:tcW w:w="586" w:type="pct"/>
            <w:tcBorders>
              <w:top w:val="nil"/>
              <w:left w:val="nil"/>
              <w:bottom w:val="nil"/>
              <w:right w:val="nil"/>
            </w:tcBorders>
            <w:shd w:val="clear" w:color="auto" w:fill="auto"/>
            <w:noWrap/>
            <w:vAlign w:val="center"/>
            <w:hideMark/>
          </w:tcPr>
          <w:p w14:paraId="6A7F3140"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9.04</w:t>
            </w:r>
          </w:p>
        </w:tc>
        <w:tc>
          <w:tcPr>
            <w:tcW w:w="586" w:type="pct"/>
            <w:tcBorders>
              <w:top w:val="nil"/>
              <w:left w:val="nil"/>
              <w:bottom w:val="nil"/>
              <w:right w:val="nil"/>
            </w:tcBorders>
            <w:shd w:val="clear" w:color="auto" w:fill="auto"/>
            <w:noWrap/>
            <w:vAlign w:val="center"/>
            <w:hideMark/>
          </w:tcPr>
          <w:p w14:paraId="2C915D43"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15.27</w:t>
            </w:r>
          </w:p>
        </w:tc>
        <w:tc>
          <w:tcPr>
            <w:tcW w:w="586" w:type="pct"/>
            <w:tcBorders>
              <w:top w:val="nil"/>
              <w:left w:val="nil"/>
              <w:bottom w:val="nil"/>
              <w:right w:val="nil"/>
            </w:tcBorders>
            <w:shd w:val="clear" w:color="auto" w:fill="auto"/>
            <w:noWrap/>
            <w:vAlign w:val="center"/>
            <w:hideMark/>
          </w:tcPr>
          <w:p w14:paraId="5FB3943A"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20.61</w:t>
            </w:r>
          </w:p>
        </w:tc>
        <w:tc>
          <w:tcPr>
            <w:tcW w:w="586" w:type="pct"/>
            <w:tcBorders>
              <w:top w:val="nil"/>
              <w:left w:val="nil"/>
              <w:bottom w:val="nil"/>
              <w:right w:val="nil"/>
            </w:tcBorders>
            <w:shd w:val="clear" w:color="auto" w:fill="auto"/>
            <w:noWrap/>
            <w:vAlign w:val="center"/>
            <w:hideMark/>
          </w:tcPr>
          <w:p w14:paraId="074A5A74"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26.09</w:t>
            </w:r>
          </w:p>
        </w:tc>
        <w:tc>
          <w:tcPr>
            <w:tcW w:w="588" w:type="pct"/>
            <w:tcBorders>
              <w:top w:val="nil"/>
              <w:left w:val="nil"/>
              <w:bottom w:val="nil"/>
              <w:right w:val="nil"/>
            </w:tcBorders>
            <w:shd w:val="clear" w:color="auto" w:fill="auto"/>
            <w:noWrap/>
            <w:vAlign w:val="center"/>
            <w:hideMark/>
          </w:tcPr>
          <w:p w14:paraId="4A7CBE66"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34.82</w:t>
            </w:r>
          </w:p>
        </w:tc>
      </w:tr>
      <w:tr w:rsidR="007F472F" w:rsidRPr="00C6041C" w14:paraId="481D53E7" w14:textId="77777777" w:rsidTr="008233D9">
        <w:trPr>
          <w:gridAfter w:val="1"/>
          <w:wAfter w:w="586" w:type="pct"/>
          <w:trHeight w:val="300"/>
        </w:trPr>
        <w:tc>
          <w:tcPr>
            <w:tcW w:w="895" w:type="pct"/>
            <w:tcBorders>
              <w:top w:val="nil"/>
              <w:left w:val="nil"/>
              <w:bottom w:val="single" w:sz="8" w:space="0" w:color="auto"/>
              <w:right w:val="nil"/>
            </w:tcBorders>
            <w:shd w:val="clear" w:color="auto" w:fill="auto"/>
            <w:noWrap/>
            <w:vAlign w:val="center"/>
            <w:hideMark/>
          </w:tcPr>
          <w:p w14:paraId="17ED0B26"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WI (L/d)</w:t>
            </w:r>
          </w:p>
        </w:tc>
        <w:tc>
          <w:tcPr>
            <w:tcW w:w="586" w:type="pct"/>
            <w:tcBorders>
              <w:top w:val="nil"/>
              <w:left w:val="nil"/>
              <w:bottom w:val="single" w:sz="8" w:space="0" w:color="auto"/>
              <w:right w:val="nil"/>
            </w:tcBorders>
            <w:shd w:val="clear" w:color="auto" w:fill="auto"/>
            <w:noWrap/>
            <w:vAlign w:val="center"/>
            <w:hideMark/>
          </w:tcPr>
          <w:p w14:paraId="7BD1713D"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29.07</w:t>
            </w:r>
          </w:p>
        </w:tc>
        <w:tc>
          <w:tcPr>
            <w:tcW w:w="586" w:type="pct"/>
            <w:tcBorders>
              <w:top w:val="nil"/>
              <w:left w:val="nil"/>
              <w:bottom w:val="single" w:sz="8" w:space="0" w:color="auto"/>
              <w:right w:val="nil"/>
            </w:tcBorders>
            <w:shd w:val="clear" w:color="auto" w:fill="auto"/>
            <w:noWrap/>
            <w:vAlign w:val="center"/>
            <w:hideMark/>
          </w:tcPr>
          <w:p w14:paraId="2CF23975"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29.86</w:t>
            </w:r>
          </w:p>
        </w:tc>
        <w:tc>
          <w:tcPr>
            <w:tcW w:w="586" w:type="pct"/>
            <w:tcBorders>
              <w:top w:val="nil"/>
              <w:left w:val="nil"/>
              <w:bottom w:val="single" w:sz="8" w:space="0" w:color="auto"/>
              <w:right w:val="nil"/>
            </w:tcBorders>
            <w:shd w:val="clear" w:color="auto" w:fill="auto"/>
            <w:noWrap/>
            <w:vAlign w:val="center"/>
            <w:hideMark/>
          </w:tcPr>
          <w:p w14:paraId="63930090"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35.40</w:t>
            </w:r>
          </w:p>
        </w:tc>
        <w:tc>
          <w:tcPr>
            <w:tcW w:w="586" w:type="pct"/>
            <w:tcBorders>
              <w:top w:val="nil"/>
              <w:left w:val="nil"/>
              <w:bottom w:val="single" w:sz="8" w:space="0" w:color="auto"/>
              <w:right w:val="nil"/>
            </w:tcBorders>
            <w:shd w:val="clear" w:color="auto" w:fill="auto"/>
            <w:noWrap/>
            <w:vAlign w:val="center"/>
            <w:hideMark/>
          </w:tcPr>
          <w:p w14:paraId="198983F5"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42.68</w:t>
            </w:r>
          </w:p>
        </w:tc>
        <w:tc>
          <w:tcPr>
            <w:tcW w:w="586" w:type="pct"/>
            <w:tcBorders>
              <w:top w:val="nil"/>
              <w:left w:val="nil"/>
              <w:bottom w:val="single" w:sz="8" w:space="0" w:color="auto"/>
              <w:right w:val="nil"/>
            </w:tcBorders>
            <w:shd w:val="clear" w:color="auto" w:fill="auto"/>
            <w:noWrap/>
            <w:vAlign w:val="center"/>
            <w:hideMark/>
          </w:tcPr>
          <w:p w14:paraId="4B981A35"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52.59</w:t>
            </w:r>
          </w:p>
        </w:tc>
        <w:tc>
          <w:tcPr>
            <w:tcW w:w="588" w:type="pct"/>
            <w:tcBorders>
              <w:top w:val="nil"/>
              <w:left w:val="nil"/>
              <w:bottom w:val="single" w:sz="8" w:space="0" w:color="auto"/>
              <w:right w:val="nil"/>
            </w:tcBorders>
            <w:shd w:val="clear" w:color="auto" w:fill="auto"/>
            <w:noWrap/>
            <w:vAlign w:val="center"/>
            <w:hideMark/>
          </w:tcPr>
          <w:p w14:paraId="253232AE"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73.49</w:t>
            </w:r>
          </w:p>
        </w:tc>
      </w:tr>
      <w:tr w:rsidR="007F472F" w:rsidRPr="00C6041C" w14:paraId="755E466B" w14:textId="77777777" w:rsidTr="008233D9">
        <w:trPr>
          <w:gridAfter w:val="1"/>
          <w:wAfter w:w="586" w:type="pct"/>
          <w:trHeight w:val="300"/>
        </w:trPr>
        <w:tc>
          <w:tcPr>
            <w:tcW w:w="895" w:type="pct"/>
            <w:tcBorders>
              <w:top w:val="single" w:sz="8" w:space="0" w:color="auto"/>
              <w:left w:val="nil"/>
              <w:bottom w:val="double" w:sz="4" w:space="0" w:color="auto"/>
              <w:right w:val="nil"/>
            </w:tcBorders>
            <w:shd w:val="clear" w:color="auto" w:fill="auto"/>
            <w:noWrap/>
            <w:vAlign w:val="center"/>
            <w:hideMark/>
          </w:tcPr>
          <w:p w14:paraId="2828985A"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Ottawa County</w:t>
            </w:r>
            <w:r w:rsidRPr="00C6041C">
              <w:rPr>
                <w:rFonts w:ascii="Times New Roman" w:eastAsia="Times New Roman" w:hAnsi="Times New Roman" w:cs="Times New Roman"/>
                <w:color w:val="000000"/>
                <w:sz w:val="20"/>
                <w:szCs w:val="20"/>
              </w:rPr>
              <w:t xml:space="preserve"> WI (L/d)</w:t>
            </w:r>
          </w:p>
        </w:tc>
        <w:tc>
          <w:tcPr>
            <w:tcW w:w="586" w:type="pct"/>
            <w:tcBorders>
              <w:top w:val="single" w:sz="8" w:space="0" w:color="auto"/>
              <w:left w:val="nil"/>
              <w:bottom w:val="double" w:sz="4" w:space="0" w:color="auto"/>
              <w:right w:val="nil"/>
            </w:tcBorders>
            <w:shd w:val="clear" w:color="auto" w:fill="auto"/>
            <w:noWrap/>
            <w:vAlign w:val="center"/>
            <w:hideMark/>
          </w:tcPr>
          <w:p w14:paraId="3869852B"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1290287</w:t>
            </w:r>
          </w:p>
        </w:tc>
        <w:tc>
          <w:tcPr>
            <w:tcW w:w="586" w:type="pct"/>
            <w:tcBorders>
              <w:top w:val="single" w:sz="8" w:space="0" w:color="auto"/>
              <w:left w:val="nil"/>
              <w:bottom w:val="double" w:sz="4" w:space="0" w:color="auto"/>
              <w:right w:val="nil"/>
            </w:tcBorders>
            <w:shd w:val="clear" w:color="auto" w:fill="auto"/>
            <w:noWrap/>
            <w:vAlign w:val="center"/>
            <w:hideMark/>
          </w:tcPr>
          <w:p w14:paraId="43269F9B"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1325430</w:t>
            </w:r>
          </w:p>
        </w:tc>
        <w:tc>
          <w:tcPr>
            <w:tcW w:w="586" w:type="pct"/>
            <w:tcBorders>
              <w:top w:val="single" w:sz="8" w:space="0" w:color="auto"/>
              <w:left w:val="nil"/>
              <w:bottom w:val="double" w:sz="4" w:space="0" w:color="auto"/>
              <w:right w:val="nil"/>
            </w:tcBorders>
            <w:shd w:val="clear" w:color="auto" w:fill="auto"/>
            <w:noWrap/>
            <w:vAlign w:val="center"/>
            <w:hideMark/>
          </w:tcPr>
          <w:p w14:paraId="3BC5E71C"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1571207</w:t>
            </w:r>
          </w:p>
        </w:tc>
        <w:tc>
          <w:tcPr>
            <w:tcW w:w="586" w:type="pct"/>
            <w:tcBorders>
              <w:top w:val="single" w:sz="8" w:space="0" w:color="auto"/>
              <w:left w:val="nil"/>
              <w:bottom w:val="double" w:sz="4" w:space="0" w:color="auto"/>
              <w:right w:val="nil"/>
            </w:tcBorders>
            <w:shd w:val="clear" w:color="auto" w:fill="auto"/>
            <w:noWrap/>
            <w:vAlign w:val="center"/>
            <w:hideMark/>
          </w:tcPr>
          <w:p w14:paraId="323FE2EE"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1894434</w:t>
            </w:r>
          </w:p>
        </w:tc>
        <w:tc>
          <w:tcPr>
            <w:tcW w:w="586" w:type="pct"/>
            <w:tcBorders>
              <w:top w:val="single" w:sz="8" w:space="0" w:color="auto"/>
              <w:left w:val="nil"/>
              <w:bottom w:val="double" w:sz="4" w:space="0" w:color="auto"/>
              <w:right w:val="nil"/>
            </w:tcBorders>
            <w:shd w:val="clear" w:color="auto" w:fill="auto"/>
            <w:noWrap/>
            <w:vAlign w:val="center"/>
            <w:hideMark/>
          </w:tcPr>
          <w:p w14:paraId="57F1A26B"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2334503</w:t>
            </w:r>
          </w:p>
        </w:tc>
        <w:tc>
          <w:tcPr>
            <w:tcW w:w="588" w:type="pct"/>
            <w:tcBorders>
              <w:top w:val="single" w:sz="8" w:space="0" w:color="auto"/>
              <w:left w:val="nil"/>
              <w:bottom w:val="double" w:sz="4" w:space="0" w:color="auto"/>
              <w:right w:val="nil"/>
            </w:tcBorders>
            <w:shd w:val="clear" w:color="auto" w:fill="auto"/>
            <w:noWrap/>
            <w:vAlign w:val="center"/>
            <w:hideMark/>
          </w:tcPr>
          <w:p w14:paraId="6BF0DA87" w14:textId="77777777" w:rsidR="007F4C8F" w:rsidRPr="00C6041C" w:rsidRDefault="007F4C8F" w:rsidP="007F4C8F">
            <w:pPr>
              <w:spacing w:after="0" w:line="240" w:lineRule="auto"/>
              <w:rPr>
                <w:rFonts w:ascii="Times New Roman" w:eastAsia="Times New Roman" w:hAnsi="Times New Roman" w:cs="Times New Roman"/>
                <w:color w:val="000000"/>
                <w:sz w:val="20"/>
                <w:szCs w:val="20"/>
              </w:rPr>
            </w:pPr>
            <w:r w:rsidRPr="00C6041C">
              <w:rPr>
                <w:rFonts w:ascii="Times New Roman" w:eastAsia="Times New Roman" w:hAnsi="Times New Roman" w:cs="Times New Roman"/>
                <w:color w:val="000000"/>
                <w:sz w:val="20"/>
                <w:szCs w:val="20"/>
              </w:rPr>
              <w:t>3261760</w:t>
            </w:r>
          </w:p>
        </w:tc>
      </w:tr>
      <w:tr w:rsidR="007F472F" w:rsidRPr="007F4C8F" w14:paraId="1D161814" w14:textId="74520FD6" w:rsidTr="008233D9">
        <w:trPr>
          <w:trHeight w:val="288"/>
        </w:trPr>
        <w:tc>
          <w:tcPr>
            <w:tcW w:w="895" w:type="pct"/>
            <w:tcBorders>
              <w:top w:val="double" w:sz="4" w:space="0" w:color="auto"/>
              <w:left w:val="nil"/>
              <w:bottom w:val="single" w:sz="8" w:space="0" w:color="auto"/>
              <w:right w:val="nil"/>
            </w:tcBorders>
            <w:shd w:val="clear" w:color="auto" w:fill="auto"/>
            <w:noWrap/>
            <w:vAlign w:val="center"/>
          </w:tcPr>
          <w:p w14:paraId="5EF16052" w14:textId="08D5A925"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Parameter</w:t>
            </w:r>
          </w:p>
        </w:tc>
        <w:tc>
          <w:tcPr>
            <w:tcW w:w="586" w:type="pct"/>
            <w:tcBorders>
              <w:top w:val="double" w:sz="4" w:space="0" w:color="auto"/>
              <w:left w:val="nil"/>
              <w:bottom w:val="single" w:sz="8" w:space="0" w:color="auto"/>
              <w:right w:val="nil"/>
            </w:tcBorders>
            <w:shd w:val="clear" w:color="auto" w:fill="auto"/>
            <w:noWrap/>
            <w:vAlign w:val="center"/>
          </w:tcPr>
          <w:p w14:paraId="6D091E00" w14:textId="389E1956"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Jul</w:t>
            </w:r>
            <w:r w:rsidR="008233D9">
              <w:rPr>
                <w:rFonts w:ascii="Times New Roman" w:hAnsi="Times New Roman" w:cs="Times New Roman"/>
                <w:sz w:val="20"/>
                <w:szCs w:val="20"/>
              </w:rPr>
              <w:t>y</w:t>
            </w:r>
          </w:p>
        </w:tc>
        <w:tc>
          <w:tcPr>
            <w:tcW w:w="586" w:type="pct"/>
            <w:tcBorders>
              <w:top w:val="double" w:sz="4" w:space="0" w:color="auto"/>
              <w:left w:val="nil"/>
              <w:bottom w:val="single" w:sz="8" w:space="0" w:color="auto"/>
              <w:right w:val="nil"/>
            </w:tcBorders>
            <w:shd w:val="clear" w:color="auto" w:fill="auto"/>
            <w:noWrap/>
            <w:vAlign w:val="center"/>
          </w:tcPr>
          <w:p w14:paraId="11D0DBA4" w14:textId="243EBADB"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Aug</w:t>
            </w:r>
            <w:r w:rsidR="008233D9">
              <w:rPr>
                <w:rFonts w:ascii="Times New Roman" w:hAnsi="Times New Roman" w:cs="Times New Roman"/>
                <w:sz w:val="20"/>
                <w:szCs w:val="20"/>
              </w:rPr>
              <w:t>ust</w:t>
            </w:r>
          </w:p>
        </w:tc>
        <w:tc>
          <w:tcPr>
            <w:tcW w:w="586" w:type="pct"/>
            <w:tcBorders>
              <w:top w:val="double" w:sz="4" w:space="0" w:color="auto"/>
              <w:left w:val="nil"/>
              <w:bottom w:val="single" w:sz="8" w:space="0" w:color="auto"/>
              <w:right w:val="nil"/>
            </w:tcBorders>
            <w:shd w:val="clear" w:color="auto" w:fill="auto"/>
            <w:noWrap/>
            <w:vAlign w:val="center"/>
          </w:tcPr>
          <w:p w14:paraId="1486DCF3" w14:textId="15932965"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Sep</w:t>
            </w:r>
            <w:r w:rsidR="008233D9">
              <w:rPr>
                <w:rFonts w:ascii="Times New Roman" w:hAnsi="Times New Roman" w:cs="Times New Roman"/>
                <w:sz w:val="20"/>
                <w:szCs w:val="20"/>
              </w:rPr>
              <w:t>tember</w:t>
            </w:r>
          </w:p>
        </w:tc>
        <w:tc>
          <w:tcPr>
            <w:tcW w:w="586" w:type="pct"/>
            <w:tcBorders>
              <w:top w:val="double" w:sz="4" w:space="0" w:color="auto"/>
              <w:left w:val="nil"/>
              <w:bottom w:val="single" w:sz="8" w:space="0" w:color="auto"/>
              <w:right w:val="nil"/>
            </w:tcBorders>
            <w:shd w:val="clear" w:color="auto" w:fill="auto"/>
            <w:noWrap/>
            <w:vAlign w:val="center"/>
          </w:tcPr>
          <w:p w14:paraId="14D71CDD" w14:textId="49A7C642"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Oct</w:t>
            </w:r>
            <w:r w:rsidR="008233D9">
              <w:rPr>
                <w:rFonts w:ascii="Times New Roman" w:hAnsi="Times New Roman" w:cs="Times New Roman"/>
                <w:sz w:val="20"/>
                <w:szCs w:val="20"/>
              </w:rPr>
              <w:t>ober</w:t>
            </w:r>
          </w:p>
        </w:tc>
        <w:tc>
          <w:tcPr>
            <w:tcW w:w="586" w:type="pct"/>
            <w:tcBorders>
              <w:top w:val="double" w:sz="4" w:space="0" w:color="auto"/>
              <w:left w:val="nil"/>
              <w:bottom w:val="single" w:sz="8" w:space="0" w:color="auto"/>
              <w:right w:val="nil"/>
            </w:tcBorders>
            <w:shd w:val="clear" w:color="auto" w:fill="auto"/>
            <w:noWrap/>
            <w:vAlign w:val="center"/>
          </w:tcPr>
          <w:p w14:paraId="1B7B01CF" w14:textId="446D9F27"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Nov</w:t>
            </w:r>
            <w:r w:rsidR="008233D9">
              <w:rPr>
                <w:rFonts w:ascii="Times New Roman" w:hAnsi="Times New Roman" w:cs="Times New Roman"/>
                <w:sz w:val="20"/>
                <w:szCs w:val="20"/>
              </w:rPr>
              <w:t>ember</w:t>
            </w:r>
          </w:p>
        </w:tc>
        <w:tc>
          <w:tcPr>
            <w:tcW w:w="586" w:type="pct"/>
            <w:tcBorders>
              <w:top w:val="double" w:sz="4" w:space="0" w:color="auto"/>
              <w:left w:val="nil"/>
              <w:bottom w:val="single" w:sz="8" w:space="0" w:color="auto"/>
              <w:right w:val="nil"/>
            </w:tcBorders>
            <w:shd w:val="clear" w:color="auto" w:fill="auto"/>
            <w:noWrap/>
            <w:vAlign w:val="center"/>
          </w:tcPr>
          <w:p w14:paraId="59012C87" w14:textId="3C7F7874"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Dec</w:t>
            </w:r>
            <w:r w:rsidR="008233D9">
              <w:rPr>
                <w:rFonts w:ascii="Times New Roman" w:hAnsi="Times New Roman" w:cs="Times New Roman"/>
                <w:sz w:val="20"/>
                <w:szCs w:val="20"/>
              </w:rPr>
              <w:t>ember</w:t>
            </w:r>
          </w:p>
        </w:tc>
        <w:tc>
          <w:tcPr>
            <w:tcW w:w="586" w:type="pct"/>
            <w:tcBorders>
              <w:top w:val="nil"/>
              <w:left w:val="nil"/>
              <w:bottom w:val="single" w:sz="8" w:space="0" w:color="auto"/>
              <w:right w:val="nil"/>
            </w:tcBorders>
            <w:shd w:val="clear" w:color="auto" w:fill="auto"/>
            <w:vAlign w:val="center"/>
          </w:tcPr>
          <w:p w14:paraId="0B367CB5" w14:textId="166EEC6B" w:rsidR="007F4C8F" w:rsidRPr="007F472F" w:rsidRDefault="008233D9" w:rsidP="007F472F">
            <w:pPr>
              <w:pStyle w:val="NoSpacing"/>
              <w:rPr>
                <w:rFonts w:ascii="Times New Roman" w:hAnsi="Times New Roman" w:cs="Times New Roman"/>
                <w:sz w:val="20"/>
                <w:szCs w:val="20"/>
              </w:rPr>
            </w:pPr>
            <w:r>
              <w:rPr>
                <w:rFonts w:ascii="Times New Roman" w:hAnsi="Times New Roman" w:cs="Times New Roman"/>
                <w:sz w:val="20"/>
                <w:szCs w:val="20"/>
              </w:rPr>
              <w:t>Average</w:t>
            </w:r>
          </w:p>
        </w:tc>
      </w:tr>
      <w:tr w:rsidR="007F472F" w:rsidRPr="007F4C8F" w14:paraId="6D41CBE4" w14:textId="1427E97E" w:rsidTr="007F472F">
        <w:trPr>
          <w:trHeight w:val="288"/>
        </w:trPr>
        <w:tc>
          <w:tcPr>
            <w:tcW w:w="895" w:type="pct"/>
            <w:tcBorders>
              <w:top w:val="nil"/>
              <w:left w:val="nil"/>
              <w:bottom w:val="nil"/>
              <w:right w:val="nil"/>
            </w:tcBorders>
            <w:shd w:val="clear" w:color="auto" w:fill="auto"/>
            <w:noWrap/>
            <w:vAlign w:val="center"/>
          </w:tcPr>
          <w:p w14:paraId="73A6735B" w14:textId="07C6B634"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Temp (℃)</w:t>
            </w:r>
          </w:p>
        </w:tc>
        <w:tc>
          <w:tcPr>
            <w:tcW w:w="586" w:type="pct"/>
            <w:tcBorders>
              <w:top w:val="nil"/>
              <w:left w:val="nil"/>
              <w:bottom w:val="nil"/>
              <w:right w:val="nil"/>
            </w:tcBorders>
            <w:shd w:val="clear" w:color="auto" w:fill="auto"/>
            <w:noWrap/>
            <w:vAlign w:val="center"/>
          </w:tcPr>
          <w:p w14:paraId="53A45DD2" w14:textId="4AC88FBA"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26.67</w:t>
            </w:r>
          </w:p>
        </w:tc>
        <w:tc>
          <w:tcPr>
            <w:tcW w:w="586" w:type="pct"/>
            <w:tcBorders>
              <w:top w:val="nil"/>
              <w:left w:val="nil"/>
              <w:bottom w:val="nil"/>
              <w:right w:val="nil"/>
            </w:tcBorders>
            <w:shd w:val="clear" w:color="auto" w:fill="auto"/>
            <w:noWrap/>
            <w:vAlign w:val="center"/>
          </w:tcPr>
          <w:p w14:paraId="63B0338E" w14:textId="0B3EB09C"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25.56</w:t>
            </w:r>
          </w:p>
        </w:tc>
        <w:tc>
          <w:tcPr>
            <w:tcW w:w="586" w:type="pct"/>
            <w:tcBorders>
              <w:top w:val="nil"/>
              <w:left w:val="nil"/>
              <w:bottom w:val="nil"/>
              <w:right w:val="nil"/>
            </w:tcBorders>
            <w:shd w:val="clear" w:color="auto" w:fill="auto"/>
            <w:noWrap/>
            <w:vAlign w:val="center"/>
          </w:tcPr>
          <w:p w14:paraId="79B6A87F" w14:textId="7F0A0292"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21.67</w:t>
            </w:r>
          </w:p>
        </w:tc>
        <w:tc>
          <w:tcPr>
            <w:tcW w:w="586" w:type="pct"/>
            <w:tcBorders>
              <w:top w:val="nil"/>
              <w:left w:val="nil"/>
              <w:bottom w:val="nil"/>
              <w:right w:val="nil"/>
            </w:tcBorders>
            <w:shd w:val="clear" w:color="auto" w:fill="auto"/>
            <w:noWrap/>
            <w:vAlign w:val="center"/>
          </w:tcPr>
          <w:p w14:paraId="6F6B0F23" w14:textId="3E119A31"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15.00</w:t>
            </w:r>
          </w:p>
        </w:tc>
        <w:tc>
          <w:tcPr>
            <w:tcW w:w="586" w:type="pct"/>
            <w:tcBorders>
              <w:top w:val="nil"/>
              <w:left w:val="nil"/>
              <w:bottom w:val="nil"/>
              <w:right w:val="nil"/>
            </w:tcBorders>
            <w:shd w:val="clear" w:color="auto" w:fill="auto"/>
            <w:noWrap/>
            <w:vAlign w:val="center"/>
          </w:tcPr>
          <w:p w14:paraId="7930AD6B" w14:textId="44552D15"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8.89</w:t>
            </w:r>
          </w:p>
        </w:tc>
        <w:tc>
          <w:tcPr>
            <w:tcW w:w="586" w:type="pct"/>
            <w:tcBorders>
              <w:top w:val="nil"/>
              <w:left w:val="nil"/>
              <w:bottom w:val="nil"/>
              <w:right w:val="nil"/>
            </w:tcBorders>
            <w:shd w:val="clear" w:color="auto" w:fill="auto"/>
            <w:noWrap/>
            <w:vAlign w:val="center"/>
          </w:tcPr>
          <w:p w14:paraId="5B79DDE0" w14:textId="12AF4BF5"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3.33</w:t>
            </w:r>
          </w:p>
        </w:tc>
        <w:tc>
          <w:tcPr>
            <w:tcW w:w="586" w:type="pct"/>
            <w:tcBorders>
              <w:top w:val="nil"/>
              <w:left w:val="nil"/>
              <w:bottom w:val="nil"/>
              <w:right w:val="nil"/>
            </w:tcBorders>
            <w:shd w:val="clear" w:color="auto" w:fill="auto"/>
            <w:vAlign w:val="center"/>
          </w:tcPr>
          <w:p w14:paraId="5A355346" w14:textId="6A01BADC"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14.44</w:t>
            </w:r>
          </w:p>
        </w:tc>
      </w:tr>
      <w:tr w:rsidR="007F472F" w:rsidRPr="007F4C8F" w14:paraId="70ABFBA3" w14:textId="5F6A875A" w:rsidTr="007F472F">
        <w:trPr>
          <w:trHeight w:val="288"/>
        </w:trPr>
        <w:tc>
          <w:tcPr>
            <w:tcW w:w="895" w:type="pct"/>
            <w:tcBorders>
              <w:top w:val="nil"/>
              <w:left w:val="nil"/>
              <w:bottom w:val="nil"/>
              <w:right w:val="nil"/>
            </w:tcBorders>
            <w:shd w:val="clear" w:color="auto" w:fill="auto"/>
            <w:noWrap/>
            <w:vAlign w:val="center"/>
          </w:tcPr>
          <w:p w14:paraId="1037CACA" w14:textId="6D48A07C" w:rsidR="007F4C8F" w:rsidRPr="007F472F" w:rsidRDefault="007F4C8F" w:rsidP="007F472F">
            <w:pPr>
              <w:pStyle w:val="NoSpacing"/>
              <w:rPr>
                <w:rFonts w:ascii="Times New Roman" w:hAnsi="Times New Roman" w:cs="Times New Roman"/>
                <w:sz w:val="20"/>
                <w:szCs w:val="20"/>
              </w:rPr>
            </w:pPr>
            <w:proofErr w:type="spellStart"/>
            <w:r w:rsidRPr="007F472F">
              <w:rPr>
                <w:rFonts w:ascii="Times New Roman" w:hAnsi="Times New Roman" w:cs="Times New Roman"/>
                <w:sz w:val="20"/>
                <w:szCs w:val="20"/>
              </w:rPr>
              <w:t>RHc</w:t>
            </w:r>
            <w:proofErr w:type="spellEnd"/>
            <w:r w:rsidRPr="007F472F">
              <w:rPr>
                <w:rFonts w:ascii="Times New Roman" w:hAnsi="Times New Roman" w:cs="Times New Roman"/>
                <w:sz w:val="20"/>
                <w:szCs w:val="20"/>
              </w:rPr>
              <w:t xml:space="preserve"> (%)</w:t>
            </w:r>
          </w:p>
        </w:tc>
        <w:tc>
          <w:tcPr>
            <w:tcW w:w="586" w:type="pct"/>
            <w:tcBorders>
              <w:top w:val="nil"/>
              <w:left w:val="nil"/>
              <w:bottom w:val="nil"/>
              <w:right w:val="nil"/>
            </w:tcBorders>
            <w:shd w:val="clear" w:color="auto" w:fill="auto"/>
            <w:noWrap/>
            <w:vAlign w:val="center"/>
          </w:tcPr>
          <w:p w14:paraId="476B5CA8" w14:textId="2627520C"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71.00</w:t>
            </w:r>
          </w:p>
        </w:tc>
        <w:tc>
          <w:tcPr>
            <w:tcW w:w="586" w:type="pct"/>
            <w:tcBorders>
              <w:top w:val="nil"/>
              <w:left w:val="nil"/>
              <w:bottom w:val="nil"/>
              <w:right w:val="nil"/>
            </w:tcBorders>
            <w:shd w:val="clear" w:color="auto" w:fill="auto"/>
            <w:noWrap/>
            <w:vAlign w:val="center"/>
          </w:tcPr>
          <w:p w14:paraId="7CCE787D" w14:textId="4D8356B9"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72.00</w:t>
            </w:r>
          </w:p>
        </w:tc>
        <w:tc>
          <w:tcPr>
            <w:tcW w:w="586" w:type="pct"/>
            <w:tcBorders>
              <w:top w:val="nil"/>
              <w:left w:val="nil"/>
              <w:bottom w:val="nil"/>
              <w:right w:val="nil"/>
            </w:tcBorders>
            <w:shd w:val="clear" w:color="auto" w:fill="auto"/>
            <w:noWrap/>
            <w:vAlign w:val="center"/>
          </w:tcPr>
          <w:p w14:paraId="17F13CFD" w14:textId="42A2D22C"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75.00</w:t>
            </w:r>
          </w:p>
        </w:tc>
        <w:tc>
          <w:tcPr>
            <w:tcW w:w="586" w:type="pct"/>
            <w:tcBorders>
              <w:top w:val="nil"/>
              <w:left w:val="nil"/>
              <w:bottom w:val="nil"/>
              <w:right w:val="nil"/>
            </w:tcBorders>
            <w:shd w:val="clear" w:color="auto" w:fill="auto"/>
            <w:noWrap/>
            <w:vAlign w:val="center"/>
          </w:tcPr>
          <w:p w14:paraId="1CBD66D7" w14:textId="7B65A917"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73.00</w:t>
            </w:r>
          </w:p>
        </w:tc>
        <w:tc>
          <w:tcPr>
            <w:tcW w:w="586" w:type="pct"/>
            <w:tcBorders>
              <w:top w:val="nil"/>
              <w:left w:val="nil"/>
              <w:bottom w:val="nil"/>
              <w:right w:val="nil"/>
            </w:tcBorders>
            <w:shd w:val="clear" w:color="auto" w:fill="auto"/>
            <w:noWrap/>
            <w:vAlign w:val="center"/>
          </w:tcPr>
          <w:p w14:paraId="291F1109" w14:textId="0614BFA9"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69.00</w:t>
            </w:r>
          </w:p>
        </w:tc>
        <w:tc>
          <w:tcPr>
            <w:tcW w:w="586" w:type="pct"/>
            <w:tcBorders>
              <w:top w:val="nil"/>
              <w:left w:val="nil"/>
              <w:bottom w:val="nil"/>
              <w:right w:val="nil"/>
            </w:tcBorders>
            <w:shd w:val="clear" w:color="auto" w:fill="auto"/>
            <w:noWrap/>
            <w:vAlign w:val="center"/>
          </w:tcPr>
          <w:p w14:paraId="27DD5253" w14:textId="650963E0"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74.00</w:t>
            </w:r>
          </w:p>
        </w:tc>
        <w:tc>
          <w:tcPr>
            <w:tcW w:w="586" w:type="pct"/>
            <w:tcBorders>
              <w:top w:val="nil"/>
              <w:left w:val="nil"/>
              <w:bottom w:val="nil"/>
              <w:right w:val="nil"/>
            </w:tcBorders>
            <w:shd w:val="clear" w:color="auto" w:fill="auto"/>
            <w:vAlign w:val="center"/>
          </w:tcPr>
          <w:p w14:paraId="14D76416" w14:textId="34496C08"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71.00</w:t>
            </w:r>
          </w:p>
        </w:tc>
      </w:tr>
      <w:tr w:rsidR="007F472F" w:rsidRPr="007F4C8F" w14:paraId="3D94AB07" w14:textId="7FC238B5" w:rsidTr="007F472F">
        <w:trPr>
          <w:trHeight w:val="288"/>
        </w:trPr>
        <w:tc>
          <w:tcPr>
            <w:tcW w:w="895" w:type="pct"/>
            <w:tcBorders>
              <w:top w:val="nil"/>
              <w:left w:val="nil"/>
              <w:bottom w:val="nil"/>
              <w:right w:val="nil"/>
            </w:tcBorders>
            <w:shd w:val="clear" w:color="auto" w:fill="auto"/>
            <w:noWrap/>
            <w:vAlign w:val="center"/>
          </w:tcPr>
          <w:p w14:paraId="10E192FB" w14:textId="1641ACB6"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WS (mph)</w:t>
            </w:r>
          </w:p>
        </w:tc>
        <w:tc>
          <w:tcPr>
            <w:tcW w:w="586" w:type="pct"/>
            <w:tcBorders>
              <w:top w:val="nil"/>
              <w:left w:val="nil"/>
              <w:bottom w:val="nil"/>
              <w:right w:val="nil"/>
            </w:tcBorders>
            <w:shd w:val="clear" w:color="auto" w:fill="auto"/>
            <w:noWrap/>
            <w:vAlign w:val="center"/>
          </w:tcPr>
          <w:p w14:paraId="38D056EA" w14:textId="67B9293C"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6</w:t>
            </w:r>
          </w:p>
        </w:tc>
        <w:tc>
          <w:tcPr>
            <w:tcW w:w="586" w:type="pct"/>
            <w:tcBorders>
              <w:top w:val="nil"/>
              <w:left w:val="nil"/>
              <w:bottom w:val="nil"/>
              <w:right w:val="nil"/>
            </w:tcBorders>
            <w:shd w:val="clear" w:color="auto" w:fill="auto"/>
            <w:noWrap/>
            <w:vAlign w:val="center"/>
          </w:tcPr>
          <w:p w14:paraId="2BA31D89" w14:textId="456FD3F0"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6</w:t>
            </w:r>
          </w:p>
        </w:tc>
        <w:tc>
          <w:tcPr>
            <w:tcW w:w="586" w:type="pct"/>
            <w:tcBorders>
              <w:top w:val="nil"/>
              <w:left w:val="nil"/>
              <w:bottom w:val="nil"/>
              <w:right w:val="nil"/>
            </w:tcBorders>
            <w:shd w:val="clear" w:color="auto" w:fill="auto"/>
            <w:noWrap/>
            <w:vAlign w:val="center"/>
          </w:tcPr>
          <w:p w14:paraId="2BB0D209" w14:textId="6E2282AA"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6</w:t>
            </w:r>
          </w:p>
        </w:tc>
        <w:tc>
          <w:tcPr>
            <w:tcW w:w="586" w:type="pct"/>
            <w:tcBorders>
              <w:top w:val="nil"/>
              <w:left w:val="nil"/>
              <w:bottom w:val="nil"/>
              <w:right w:val="nil"/>
            </w:tcBorders>
            <w:shd w:val="clear" w:color="auto" w:fill="auto"/>
            <w:noWrap/>
            <w:vAlign w:val="center"/>
          </w:tcPr>
          <w:p w14:paraId="39765EC3" w14:textId="3CFBA3DA"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7</w:t>
            </w:r>
          </w:p>
        </w:tc>
        <w:tc>
          <w:tcPr>
            <w:tcW w:w="586" w:type="pct"/>
            <w:tcBorders>
              <w:top w:val="nil"/>
              <w:left w:val="nil"/>
              <w:bottom w:val="nil"/>
              <w:right w:val="nil"/>
            </w:tcBorders>
            <w:shd w:val="clear" w:color="auto" w:fill="auto"/>
            <w:noWrap/>
            <w:vAlign w:val="center"/>
          </w:tcPr>
          <w:p w14:paraId="0D1E4139" w14:textId="1CC9B1D9"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8</w:t>
            </w:r>
          </w:p>
        </w:tc>
        <w:tc>
          <w:tcPr>
            <w:tcW w:w="586" w:type="pct"/>
            <w:tcBorders>
              <w:top w:val="nil"/>
              <w:left w:val="nil"/>
              <w:bottom w:val="nil"/>
              <w:right w:val="nil"/>
            </w:tcBorders>
            <w:shd w:val="clear" w:color="auto" w:fill="auto"/>
            <w:noWrap/>
            <w:vAlign w:val="center"/>
          </w:tcPr>
          <w:p w14:paraId="5CB8EE23" w14:textId="00B88889"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8</w:t>
            </w:r>
          </w:p>
        </w:tc>
        <w:tc>
          <w:tcPr>
            <w:tcW w:w="586" w:type="pct"/>
            <w:tcBorders>
              <w:top w:val="nil"/>
              <w:left w:val="nil"/>
              <w:bottom w:val="nil"/>
              <w:right w:val="nil"/>
            </w:tcBorders>
            <w:shd w:val="clear" w:color="auto" w:fill="auto"/>
            <w:vAlign w:val="center"/>
          </w:tcPr>
          <w:p w14:paraId="590674BC" w14:textId="425A93CF"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8</w:t>
            </w:r>
          </w:p>
        </w:tc>
      </w:tr>
      <w:tr w:rsidR="007F472F" w:rsidRPr="007F4C8F" w14:paraId="48902AAF" w14:textId="27E55434" w:rsidTr="007F472F">
        <w:trPr>
          <w:trHeight w:val="288"/>
        </w:trPr>
        <w:tc>
          <w:tcPr>
            <w:tcW w:w="895" w:type="pct"/>
            <w:tcBorders>
              <w:top w:val="nil"/>
              <w:left w:val="nil"/>
              <w:bottom w:val="nil"/>
              <w:right w:val="nil"/>
            </w:tcBorders>
            <w:shd w:val="clear" w:color="auto" w:fill="auto"/>
            <w:noWrap/>
            <w:vAlign w:val="center"/>
          </w:tcPr>
          <w:p w14:paraId="0B71FE1E" w14:textId="708B78BD"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Sunshine (%)</w:t>
            </w:r>
          </w:p>
        </w:tc>
        <w:tc>
          <w:tcPr>
            <w:tcW w:w="586" w:type="pct"/>
            <w:tcBorders>
              <w:top w:val="nil"/>
              <w:left w:val="nil"/>
              <w:bottom w:val="nil"/>
              <w:right w:val="nil"/>
            </w:tcBorders>
            <w:shd w:val="clear" w:color="auto" w:fill="auto"/>
            <w:noWrap/>
            <w:vAlign w:val="center"/>
          </w:tcPr>
          <w:p w14:paraId="2F2E7ED2" w14:textId="4CB7E646"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70</w:t>
            </w:r>
          </w:p>
        </w:tc>
        <w:tc>
          <w:tcPr>
            <w:tcW w:w="586" w:type="pct"/>
            <w:tcBorders>
              <w:top w:val="nil"/>
              <w:left w:val="nil"/>
              <w:bottom w:val="nil"/>
              <w:right w:val="nil"/>
            </w:tcBorders>
            <w:shd w:val="clear" w:color="auto" w:fill="auto"/>
            <w:noWrap/>
            <w:vAlign w:val="center"/>
          </w:tcPr>
          <w:p w14:paraId="25C4016D" w14:textId="4609E964"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67</w:t>
            </w:r>
          </w:p>
        </w:tc>
        <w:tc>
          <w:tcPr>
            <w:tcW w:w="586" w:type="pct"/>
            <w:tcBorders>
              <w:top w:val="nil"/>
              <w:left w:val="nil"/>
              <w:bottom w:val="nil"/>
              <w:right w:val="nil"/>
            </w:tcBorders>
            <w:shd w:val="clear" w:color="auto" w:fill="auto"/>
            <w:noWrap/>
            <w:vAlign w:val="center"/>
          </w:tcPr>
          <w:p w14:paraId="6B7782D8" w14:textId="054B72A1"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69</w:t>
            </w:r>
          </w:p>
        </w:tc>
        <w:tc>
          <w:tcPr>
            <w:tcW w:w="586" w:type="pct"/>
            <w:tcBorders>
              <w:top w:val="nil"/>
              <w:left w:val="nil"/>
              <w:bottom w:val="nil"/>
              <w:right w:val="nil"/>
            </w:tcBorders>
            <w:shd w:val="clear" w:color="auto" w:fill="auto"/>
            <w:noWrap/>
            <w:vAlign w:val="center"/>
          </w:tcPr>
          <w:p w14:paraId="62E386E9" w14:textId="3A794109"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66</w:t>
            </w:r>
          </w:p>
        </w:tc>
        <w:tc>
          <w:tcPr>
            <w:tcW w:w="586" w:type="pct"/>
            <w:tcBorders>
              <w:top w:val="nil"/>
              <w:left w:val="nil"/>
              <w:bottom w:val="nil"/>
              <w:right w:val="nil"/>
            </w:tcBorders>
            <w:shd w:val="clear" w:color="auto" w:fill="auto"/>
            <w:noWrap/>
            <w:vAlign w:val="center"/>
          </w:tcPr>
          <w:p w14:paraId="4DBB8EF5" w14:textId="58C0D919"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64</w:t>
            </w:r>
          </w:p>
        </w:tc>
        <w:tc>
          <w:tcPr>
            <w:tcW w:w="586" w:type="pct"/>
            <w:tcBorders>
              <w:top w:val="nil"/>
              <w:left w:val="nil"/>
              <w:bottom w:val="nil"/>
              <w:right w:val="nil"/>
            </w:tcBorders>
            <w:shd w:val="clear" w:color="auto" w:fill="auto"/>
            <w:noWrap/>
            <w:vAlign w:val="center"/>
          </w:tcPr>
          <w:p w14:paraId="2F681F94" w14:textId="79558452"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52</w:t>
            </w:r>
          </w:p>
        </w:tc>
        <w:tc>
          <w:tcPr>
            <w:tcW w:w="586" w:type="pct"/>
            <w:tcBorders>
              <w:top w:val="nil"/>
              <w:left w:val="nil"/>
              <w:bottom w:val="nil"/>
              <w:right w:val="nil"/>
            </w:tcBorders>
            <w:shd w:val="clear" w:color="auto" w:fill="auto"/>
            <w:vAlign w:val="center"/>
          </w:tcPr>
          <w:p w14:paraId="23DC1254" w14:textId="60C241BC"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62</w:t>
            </w:r>
          </w:p>
        </w:tc>
      </w:tr>
      <w:tr w:rsidR="007F472F" w:rsidRPr="007F4C8F" w14:paraId="7A09122D" w14:textId="1760C48F" w:rsidTr="007F472F">
        <w:trPr>
          <w:trHeight w:val="288"/>
        </w:trPr>
        <w:tc>
          <w:tcPr>
            <w:tcW w:w="895" w:type="pct"/>
            <w:tcBorders>
              <w:top w:val="nil"/>
              <w:left w:val="nil"/>
              <w:bottom w:val="nil"/>
              <w:right w:val="nil"/>
            </w:tcBorders>
            <w:shd w:val="clear" w:color="auto" w:fill="auto"/>
            <w:noWrap/>
            <w:vAlign w:val="center"/>
          </w:tcPr>
          <w:p w14:paraId="5DC26512" w14:textId="31A3D476"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HRS (</w:t>
            </w:r>
            <w:proofErr w:type="spellStart"/>
            <w:r w:rsidRPr="007F472F">
              <w:rPr>
                <w:rFonts w:ascii="Times New Roman" w:hAnsi="Times New Roman" w:cs="Times New Roman"/>
                <w:sz w:val="20"/>
                <w:szCs w:val="20"/>
              </w:rPr>
              <w:t>hr</w:t>
            </w:r>
            <w:proofErr w:type="spellEnd"/>
            <w:r w:rsidRPr="007F472F">
              <w:rPr>
                <w:rFonts w:ascii="Times New Roman" w:hAnsi="Times New Roman" w:cs="Times New Roman"/>
                <w:sz w:val="20"/>
                <w:szCs w:val="20"/>
              </w:rPr>
              <w:t>)</w:t>
            </w:r>
          </w:p>
        </w:tc>
        <w:tc>
          <w:tcPr>
            <w:tcW w:w="586" w:type="pct"/>
            <w:tcBorders>
              <w:top w:val="nil"/>
              <w:left w:val="nil"/>
              <w:bottom w:val="nil"/>
              <w:right w:val="nil"/>
            </w:tcBorders>
            <w:shd w:val="clear" w:color="auto" w:fill="auto"/>
            <w:noWrap/>
            <w:vAlign w:val="center"/>
          </w:tcPr>
          <w:p w14:paraId="05AC5A28" w14:textId="0DEEF598"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16.8</w:t>
            </w:r>
          </w:p>
        </w:tc>
        <w:tc>
          <w:tcPr>
            <w:tcW w:w="586" w:type="pct"/>
            <w:tcBorders>
              <w:top w:val="nil"/>
              <w:left w:val="nil"/>
              <w:bottom w:val="nil"/>
              <w:right w:val="nil"/>
            </w:tcBorders>
            <w:shd w:val="clear" w:color="auto" w:fill="auto"/>
            <w:noWrap/>
            <w:vAlign w:val="center"/>
          </w:tcPr>
          <w:p w14:paraId="400B5240" w14:textId="23507DCB"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16.08</w:t>
            </w:r>
          </w:p>
        </w:tc>
        <w:tc>
          <w:tcPr>
            <w:tcW w:w="586" w:type="pct"/>
            <w:tcBorders>
              <w:top w:val="nil"/>
              <w:left w:val="nil"/>
              <w:bottom w:val="nil"/>
              <w:right w:val="nil"/>
            </w:tcBorders>
            <w:shd w:val="clear" w:color="auto" w:fill="auto"/>
            <w:noWrap/>
            <w:vAlign w:val="center"/>
          </w:tcPr>
          <w:p w14:paraId="0D5F310D" w14:textId="61F6A9B7"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16.56</w:t>
            </w:r>
          </w:p>
        </w:tc>
        <w:tc>
          <w:tcPr>
            <w:tcW w:w="586" w:type="pct"/>
            <w:tcBorders>
              <w:top w:val="nil"/>
              <w:left w:val="nil"/>
              <w:bottom w:val="nil"/>
              <w:right w:val="nil"/>
            </w:tcBorders>
            <w:shd w:val="clear" w:color="auto" w:fill="auto"/>
            <w:noWrap/>
            <w:vAlign w:val="center"/>
          </w:tcPr>
          <w:p w14:paraId="17E9845C" w14:textId="4ED9AA92"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15.84</w:t>
            </w:r>
          </w:p>
        </w:tc>
        <w:tc>
          <w:tcPr>
            <w:tcW w:w="586" w:type="pct"/>
            <w:tcBorders>
              <w:top w:val="nil"/>
              <w:left w:val="nil"/>
              <w:bottom w:val="nil"/>
              <w:right w:val="nil"/>
            </w:tcBorders>
            <w:shd w:val="clear" w:color="auto" w:fill="auto"/>
            <w:noWrap/>
            <w:vAlign w:val="center"/>
          </w:tcPr>
          <w:p w14:paraId="74877F95" w14:textId="0F717BC2"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15.36</w:t>
            </w:r>
          </w:p>
        </w:tc>
        <w:tc>
          <w:tcPr>
            <w:tcW w:w="586" w:type="pct"/>
            <w:tcBorders>
              <w:top w:val="nil"/>
              <w:left w:val="nil"/>
              <w:bottom w:val="nil"/>
              <w:right w:val="nil"/>
            </w:tcBorders>
            <w:shd w:val="clear" w:color="auto" w:fill="auto"/>
            <w:noWrap/>
            <w:vAlign w:val="center"/>
          </w:tcPr>
          <w:p w14:paraId="0D365FE2" w14:textId="0FA5775A"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12.48</w:t>
            </w:r>
          </w:p>
        </w:tc>
        <w:tc>
          <w:tcPr>
            <w:tcW w:w="586" w:type="pct"/>
            <w:tcBorders>
              <w:top w:val="nil"/>
              <w:left w:val="nil"/>
              <w:bottom w:val="nil"/>
              <w:right w:val="nil"/>
            </w:tcBorders>
            <w:shd w:val="clear" w:color="auto" w:fill="auto"/>
            <w:vAlign w:val="center"/>
          </w:tcPr>
          <w:p w14:paraId="76614DB4" w14:textId="59E0822C"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14.88</w:t>
            </w:r>
          </w:p>
        </w:tc>
      </w:tr>
      <w:tr w:rsidR="007F472F" w:rsidRPr="007F4C8F" w14:paraId="551E5C48" w14:textId="14EEC0F5" w:rsidTr="007F472F">
        <w:trPr>
          <w:trHeight w:val="288"/>
        </w:trPr>
        <w:tc>
          <w:tcPr>
            <w:tcW w:w="895" w:type="pct"/>
            <w:tcBorders>
              <w:top w:val="nil"/>
              <w:left w:val="nil"/>
              <w:bottom w:val="nil"/>
              <w:right w:val="nil"/>
            </w:tcBorders>
            <w:shd w:val="clear" w:color="auto" w:fill="auto"/>
            <w:noWrap/>
            <w:vAlign w:val="center"/>
          </w:tcPr>
          <w:p w14:paraId="490B4793" w14:textId="751A789F"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CETI</w:t>
            </w:r>
          </w:p>
        </w:tc>
        <w:tc>
          <w:tcPr>
            <w:tcW w:w="586" w:type="pct"/>
            <w:tcBorders>
              <w:top w:val="nil"/>
              <w:left w:val="nil"/>
              <w:bottom w:val="nil"/>
              <w:right w:val="nil"/>
            </w:tcBorders>
            <w:shd w:val="clear" w:color="auto" w:fill="auto"/>
            <w:noWrap/>
            <w:vAlign w:val="center"/>
          </w:tcPr>
          <w:p w14:paraId="50C5BCBA" w14:textId="4511E1B5"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37.03</w:t>
            </w:r>
          </w:p>
        </w:tc>
        <w:tc>
          <w:tcPr>
            <w:tcW w:w="586" w:type="pct"/>
            <w:tcBorders>
              <w:top w:val="nil"/>
              <w:left w:val="nil"/>
              <w:bottom w:val="nil"/>
              <w:right w:val="nil"/>
            </w:tcBorders>
            <w:shd w:val="clear" w:color="auto" w:fill="auto"/>
            <w:noWrap/>
            <w:vAlign w:val="center"/>
          </w:tcPr>
          <w:p w14:paraId="4CE5FBBE" w14:textId="5A0CC7E6"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35.28</w:t>
            </w:r>
          </w:p>
        </w:tc>
        <w:tc>
          <w:tcPr>
            <w:tcW w:w="586" w:type="pct"/>
            <w:tcBorders>
              <w:top w:val="nil"/>
              <w:left w:val="nil"/>
              <w:bottom w:val="nil"/>
              <w:right w:val="nil"/>
            </w:tcBorders>
            <w:shd w:val="clear" w:color="auto" w:fill="auto"/>
            <w:noWrap/>
            <w:vAlign w:val="center"/>
          </w:tcPr>
          <w:p w14:paraId="2DF78F80" w14:textId="375DB904"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30.22</w:t>
            </w:r>
          </w:p>
        </w:tc>
        <w:tc>
          <w:tcPr>
            <w:tcW w:w="586" w:type="pct"/>
            <w:tcBorders>
              <w:top w:val="nil"/>
              <w:left w:val="nil"/>
              <w:bottom w:val="nil"/>
              <w:right w:val="nil"/>
            </w:tcBorders>
            <w:shd w:val="clear" w:color="auto" w:fill="auto"/>
            <w:noWrap/>
            <w:vAlign w:val="center"/>
          </w:tcPr>
          <w:p w14:paraId="0D48F56C" w14:textId="218FAEF7"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21.04</w:t>
            </w:r>
          </w:p>
        </w:tc>
        <w:tc>
          <w:tcPr>
            <w:tcW w:w="586" w:type="pct"/>
            <w:tcBorders>
              <w:top w:val="nil"/>
              <w:left w:val="nil"/>
              <w:bottom w:val="nil"/>
              <w:right w:val="nil"/>
            </w:tcBorders>
            <w:shd w:val="clear" w:color="auto" w:fill="auto"/>
            <w:noWrap/>
            <w:vAlign w:val="center"/>
          </w:tcPr>
          <w:p w14:paraId="42FBF47F" w14:textId="2037EB69"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14.56</w:t>
            </w:r>
          </w:p>
        </w:tc>
        <w:tc>
          <w:tcPr>
            <w:tcW w:w="586" w:type="pct"/>
            <w:tcBorders>
              <w:top w:val="nil"/>
              <w:left w:val="nil"/>
              <w:bottom w:val="nil"/>
              <w:right w:val="nil"/>
            </w:tcBorders>
            <w:shd w:val="clear" w:color="auto" w:fill="auto"/>
            <w:noWrap/>
            <w:vAlign w:val="center"/>
          </w:tcPr>
          <w:p w14:paraId="56DF71D2" w14:textId="1C4EDF08"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6.64</w:t>
            </w:r>
          </w:p>
        </w:tc>
        <w:tc>
          <w:tcPr>
            <w:tcW w:w="586" w:type="pct"/>
            <w:tcBorders>
              <w:top w:val="nil"/>
              <w:left w:val="nil"/>
              <w:bottom w:val="nil"/>
              <w:right w:val="nil"/>
            </w:tcBorders>
            <w:shd w:val="clear" w:color="auto" w:fill="auto"/>
            <w:vAlign w:val="center"/>
          </w:tcPr>
          <w:p w14:paraId="266D2ADB" w14:textId="18CEFF1D"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20.11</w:t>
            </w:r>
          </w:p>
        </w:tc>
      </w:tr>
      <w:tr w:rsidR="007F472F" w:rsidRPr="007F4C8F" w14:paraId="0A1753DD" w14:textId="581DC0C5" w:rsidTr="007F472F">
        <w:trPr>
          <w:trHeight w:val="288"/>
        </w:trPr>
        <w:tc>
          <w:tcPr>
            <w:tcW w:w="895" w:type="pct"/>
            <w:tcBorders>
              <w:top w:val="nil"/>
              <w:left w:val="nil"/>
              <w:bottom w:val="single" w:sz="8" w:space="0" w:color="auto"/>
              <w:right w:val="nil"/>
            </w:tcBorders>
            <w:shd w:val="clear" w:color="auto" w:fill="auto"/>
            <w:noWrap/>
            <w:vAlign w:val="center"/>
          </w:tcPr>
          <w:p w14:paraId="08C70B94" w14:textId="13927017"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WI (L/d)</w:t>
            </w:r>
          </w:p>
        </w:tc>
        <w:tc>
          <w:tcPr>
            <w:tcW w:w="586" w:type="pct"/>
            <w:tcBorders>
              <w:top w:val="nil"/>
              <w:left w:val="nil"/>
              <w:bottom w:val="single" w:sz="8" w:space="0" w:color="auto"/>
              <w:right w:val="nil"/>
            </w:tcBorders>
            <w:shd w:val="clear" w:color="auto" w:fill="auto"/>
            <w:noWrap/>
            <w:vAlign w:val="center"/>
          </w:tcPr>
          <w:p w14:paraId="5713E2F0" w14:textId="28C53551"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79.78</w:t>
            </w:r>
          </w:p>
        </w:tc>
        <w:tc>
          <w:tcPr>
            <w:tcW w:w="586" w:type="pct"/>
            <w:tcBorders>
              <w:top w:val="nil"/>
              <w:left w:val="nil"/>
              <w:bottom w:val="single" w:sz="8" w:space="0" w:color="auto"/>
              <w:right w:val="nil"/>
            </w:tcBorders>
            <w:shd w:val="clear" w:color="auto" w:fill="auto"/>
            <w:noWrap/>
            <w:vAlign w:val="center"/>
          </w:tcPr>
          <w:p w14:paraId="30F5F78A" w14:textId="309B3EB7"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74.77</w:t>
            </w:r>
          </w:p>
        </w:tc>
        <w:tc>
          <w:tcPr>
            <w:tcW w:w="586" w:type="pct"/>
            <w:tcBorders>
              <w:top w:val="nil"/>
              <w:left w:val="nil"/>
              <w:bottom w:val="single" w:sz="8" w:space="0" w:color="auto"/>
              <w:right w:val="nil"/>
            </w:tcBorders>
            <w:shd w:val="clear" w:color="auto" w:fill="auto"/>
            <w:noWrap/>
            <w:vAlign w:val="center"/>
          </w:tcPr>
          <w:p w14:paraId="6726479E" w14:textId="4EC1C799"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61.71</w:t>
            </w:r>
          </w:p>
        </w:tc>
        <w:tc>
          <w:tcPr>
            <w:tcW w:w="586" w:type="pct"/>
            <w:tcBorders>
              <w:top w:val="nil"/>
              <w:left w:val="nil"/>
              <w:bottom w:val="single" w:sz="8" w:space="0" w:color="auto"/>
              <w:right w:val="nil"/>
            </w:tcBorders>
            <w:shd w:val="clear" w:color="auto" w:fill="auto"/>
            <w:noWrap/>
            <w:vAlign w:val="center"/>
          </w:tcPr>
          <w:p w14:paraId="4296541C" w14:textId="7B131F9B"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43.38</w:t>
            </w:r>
          </w:p>
        </w:tc>
        <w:tc>
          <w:tcPr>
            <w:tcW w:w="586" w:type="pct"/>
            <w:tcBorders>
              <w:top w:val="nil"/>
              <w:left w:val="nil"/>
              <w:bottom w:val="single" w:sz="8" w:space="0" w:color="auto"/>
              <w:right w:val="nil"/>
            </w:tcBorders>
            <w:shd w:val="clear" w:color="auto" w:fill="auto"/>
            <w:noWrap/>
            <w:vAlign w:val="center"/>
          </w:tcPr>
          <w:p w14:paraId="1C259C9A" w14:textId="27B07426"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34.61</w:t>
            </w:r>
          </w:p>
        </w:tc>
        <w:tc>
          <w:tcPr>
            <w:tcW w:w="586" w:type="pct"/>
            <w:tcBorders>
              <w:top w:val="nil"/>
              <w:left w:val="nil"/>
              <w:bottom w:val="single" w:sz="8" w:space="0" w:color="auto"/>
              <w:right w:val="nil"/>
            </w:tcBorders>
            <w:shd w:val="clear" w:color="auto" w:fill="auto"/>
            <w:noWrap/>
            <w:vAlign w:val="center"/>
          </w:tcPr>
          <w:p w14:paraId="69F57F08" w14:textId="37648C94"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28.58</w:t>
            </w:r>
          </w:p>
        </w:tc>
        <w:tc>
          <w:tcPr>
            <w:tcW w:w="586" w:type="pct"/>
            <w:tcBorders>
              <w:top w:val="nil"/>
              <w:left w:val="nil"/>
              <w:bottom w:val="single" w:sz="8" w:space="0" w:color="auto"/>
              <w:right w:val="nil"/>
            </w:tcBorders>
            <w:shd w:val="clear" w:color="auto" w:fill="auto"/>
            <w:vAlign w:val="center"/>
          </w:tcPr>
          <w:p w14:paraId="0879191D" w14:textId="2771DB24"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41.90</w:t>
            </w:r>
          </w:p>
        </w:tc>
      </w:tr>
      <w:tr w:rsidR="007F472F" w:rsidRPr="007F4C8F" w14:paraId="703B7DF8" w14:textId="55F0B198" w:rsidTr="007F472F">
        <w:trPr>
          <w:trHeight w:val="288"/>
        </w:trPr>
        <w:tc>
          <w:tcPr>
            <w:tcW w:w="895" w:type="pct"/>
            <w:tcBorders>
              <w:top w:val="nil"/>
              <w:left w:val="nil"/>
              <w:bottom w:val="single" w:sz="8" w:space="0" w:color="auto"/>
              <w:right w:val="nil"/>
            </w:tcBorders>
            <w:shd w:val="clear" w:color="auto" w:fill="auto"/>
            <w:noWrap/>
            <w:vAlign w:val="center"/>
          </w:tcPr>
          <w:p w14:paraId="3BF905B9" w14:textId="73E2CD70"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Ottawa County WI (L/d)</w:t>
            </w:r>
          </w:p>
        </w:tc>
        <w:tc>
          <w:tcPr>
            <w:tcW w:w="586" w:type="pct"/>
            <w:tcBorders>
              <w:top w:val="nil"/>
              <w:left w:val="nil"/>
              <w:bottom w:val="single" w:sz="8" w:space="0" w:color="auto"/>
              <w:right w:val="nil"/>
            </w:tcBorders>
            <w:shd w:val="clear" w:color="auto" w:fill="auto"/>
            <w:noWrap/>
            <w:vAlign w:val="center"/>
          </w:tcPr>
          <w:p w14:paraId="5B5D6C23" w14:textId="7D495EB6"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3541222</w:t>
            </w:r>
          </w:p>
        </w:tc>
        <w:tc>
          <w:tcPr>
            <w:tcW w:w="586" w:type="pct"/>
            <w:tcBorders>
              <w:top w:val="nil"/>
              <w:left w:val="nil"/>
              <w:bottom w:val="single" w:sz="8" w:space="0" w:color="auto"/>
              <w:right w:val="nil"/>
            </w:tcBorders>
            <w:shd w:val="clear" w:color="auto" w:fill="auto"/>
            <w:noWrap/>
            <w:vAlign w:val="center"/>
          </w:tcPr>
          <w:p w14:paraId="2A0A6411" w14:textId="02C36C8C"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3318568</w:t>
            </w:r>
          </w:p>
        </w:tc>
        <w:tc>
          <w:tcPr>
            <w:tcW w:w="586" w:type="pct"/>
            <w:tcBorders>
              <w:top w:val="nil"/>
              <w:left w:val="nil"/>
              <w:bottom w:val="single" w:sz="8" w:space="0" w:color="auto"/>
              <w:right w:val="nil"/>
            </w:tcBorders>
            <w:shd w:val="clear" w:color="auto" w:fill="auto"/>
            <w:noWrap/>
            <w:vAlign w:val="center"/>
          </w:tcPr>
          <w:p w14:paraId="6BADA27C" w14:textId="1E27F73A"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2738940</w:t>
            </w:r>
          </w:p>
        </w:tc>
        <w:tc>
          <w:tcPr>
            <w:tcW w:w="586" w:type="pct"/>
            <w:tcBorders>
              <w:top w:val="nil"/>
              <w:left w:val="nil"/>
              <w:bottom w:val="single" w:sz="8" w:space="0" w:color="auto"/>
              <w:right w:val="nil"/>
            </w:tcBorders>
            <w:shd w:val="clear" w:color="auto" w:fill="auto"/>
            <w:noWrap/>
            <w:vAlign w:val="center"/>
          </w:tcPr>
          <w:p w14:paraId="7F3F65BB" w14:textId="7E4420AB"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1925384</w:t>
            </w:r>
          </w:p>
        </w:tc>
        <w:tc>
          <w:tcPr>
            <w:tcW w:w="586" w:type="pct"/>
            <w:tcBorders>
              <w:top w:val="nil"/>
              <w:left w:val="nil"/>
              <w:bottom w:val="single" w:sz="8" w:space="0" w:color="auto"/>
              <w:right w:val="nil"/>
            </w:tcBorders>
            <w:shd w:val="clear" w:color="auto" w:fill="auto"/>
            <w:noWrap/>
            <w:vAlign w:val="center"/>
          </w:tcPr>
          <w:p w14:paraId="3E2EAC59" w14:textId="16A64499"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1536302</w:t>
            </w:r>
          </w:p>
        </w:tc>
        <w:tc>
          <w:tcPr>
            <w:tcW w:w="586" w:type="pct"/>
            <w:tcBorders>
              <w:top w:val="nil"/>
              <w:left w:val="nil"/>
              <w:bottom w:val="single" w:sz="8" w:space="0" w:color="auto"/>
              <w:right w:val="nil"/>
            </w:tcBorders>
            <w:shd w:val="clear" w:color="auto" w:fill="auto"/>
            <w:noWrap/>
            <w:vAlign w:val="center"/>
          </w:tcPr>
          <w:p w14:paraId="1F969E16" w14:textId="03A25A75"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1268717</w:t>
            </w:r>
          </w:p>
        </w:tc>
        <w:tc>
          <w:tcPr>
            <w:tcW w:w="586" w:type="pct"/>
            <w:tcBorders>
              <w:top w:val="nil"/>
              <w:left w:val="nil"/>
              <w:bottom w:val="single" w:sz="8" w:space="0" w:color="auto"/>
              <w:right w:val="nil"/>
            </w:tcBorders>
            <w:shd w:val="clear" w:color="auto" w:fill="auto"/>
            <w:vAlign w:val="center"/>
          </w:tcPr>
          <w:p w14:paraId="0DD9F2EE" w14:textId="0674E8D0" w:rsidR="007F4C8F" w:rsidRPr="007F472F" w:rsidRDefault="007F4C8F" w:rsidP="007F472F">
            <w:pPr>
              <w:pStyle w:val="NoSpacing"/>
              <w:rPr>
                <w:rFonts w:ascii="Times New Roman" w:hAnsi="Times New Roman" w:cs="Times New Roman"/>
                <w:sz w:val="20"/>
                <w:szCs w:val="20"/>
              </w:rPr>
            </w:pPr>
            <w:r w:rsidRPr="007F472F">
              <w:rPr>
                <w:rFonts w:ascii="Times New Roman" w:hAnsi="Times New Roman" w:cs="Times New Roman"/>
                <w:sz w:val="20"/>
                <w:szCs w:val="20"/>
              </w:rPr>
              <w:t>1859893</w:t>
            </w:r>
          </w:p>
        </w:tc>
      </w:tr>
    </w:tbl>
    <w:p w14:paraId="1C7277D5" w14:textId="77777777" w:rsidR="007F4C8F" w:rsidRDefault="007F4C8F" w:rsidP="00813D59">
      <w:pPr>
        <w:sectPr w:rsidR="007F4C8F" w:rsidSect="007F4C8F">
          <w:pgSz w:w="15840" w:h="12240" w:orient="landscape"/>
          <w:pgMar w:top="1440" w:right="1440" w:bottom="1440" w:left="1440" w:header="720" w:footer="720" w:gutter="0"/>
          <w:cols w:space="720"/>
          <w:docGrid w:linePitch="360"/>
        </w:sectPr>
      </w:pPr>
    </w:p>
    <w:p w14:paraId="6DF6DFEE" w14:textId="7F6F3B42" w:rsidR="00164B8A" w:rsidRPr="00F07DEB" w:rsidRDefault="00040CA7" w:rsidP="0006618C">
      <w:pPr>
        <w:pStyle w:val="Heading2"/>
        <w:spacing w:line="480" w:lineRule="auto"/>
      </w:pPr>
      <w:bookmarkStart w:id="42" w:name="_Toc58975164"/>
      <w:r w:rsidRPr="00F07DEB">
        <w:lastRenderedPageBreak/>
        <w:t>Proof</w:t>
      </w:r>
      <w:r w:rsidR="00A602CC" w:rsidRPr="00F07DEB">
        <w:t>-of-</w:t>
      </w:r>
      <w:r w:rsidRPr="00F07DEB">
        <w:t xml:space="preserve">Concept </w:t>
      </w:r>
      <w:r w:rsidR="00A602CC" w:rsidRPr="00F07DEB">
        <w:t>Experiment</w:t>
      </w:r>
      <w:bookmarkEnd w:id="42"/>
    </w:p>
    <w:p w14:paraId="69E6EDF9" w14:textId="1E9DC1C5" w:rsidR="0006618C" w:rsidRPr="00F07DEB" w:rsidRDefault="00437290" w:rsidP="00B706C6">
      <w:pPr>
        <w:pStyle w:val="Heading3"/>
        <w:spacing w:line="480" w:lineRule="auto"/>
        <w:ind w:left="1170" w:hanging="180"/>
      </w:pPr>
      <w:bookmarkStart w:id="43" w:name="_Toc58975165"/>
      <w:r w:rsidRPr="00F07DEB">
        <w:t xml:space="preserve">Seedling </w:t>
      </w:r>
      <w:r w:rsidR="0006618C" w:rsidRPr="00F07DEB">
        <w:t>Emergence</w:t>
      </w:r>
      <w:bookmarkEnd w:id="43"/>
    </w:p>
    <w:p w14:paraId="33576D46" w14:textId="1196FCF6" w:rsidR="009D4CE1" w:rsidRPr="00F07DEB" w:rsidRDefault="00C92A11" w:rsidP="00501D44">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Emergence occurs when a seedling pushes through the soil surface in search of light. Emerged seedlings were counted every one or two days during the proof-of-concept exper</w:t>
      </w:r>
      <w:r w:rsidR="00C35715" w:rsidRPr="00F07DEB">
        <w:rPr>
          <w:rFonts w:ascii="Times New Roman" w:hAnsi="Times New Roman" w:cs="Times New Roman"/>
          <w:sz w:val="24"/>
          <w:szCs w:val="24"/>
        </w:rPr>
        <w:t>iment; therefore, the change in</w:t>
      </w:r>
      <w:r w:rsidRPr="00F07DEB">
        <w:rPr>
          <w:rFonts w:ascii="Times New Roman" w:hAnsi="Times New Roman" w:cs="Times New Roman"/>
          <w:sz w:val="24"/>
          <w:szCs w:val="24"/>
        </w:rPr>
        <w:t xml:space="preserve"> </w:t>
      </w:r>
      <w:r w:rsidR="00C35715" w:rsidRPr="00F07DEB">
        <w:rPr>
          <w:rFonts w:ascii="Times New Roman" w:hAnsi="Times New Roman" w:cs="Times New Roman"/>
          <w:sz w:val="24"/>
          <w:szCs w:val="24"/>
        </w:rPr>
        <w:t xml:space="preserve">emergence percentage from one observation to the next reflects the increase in seedlings that sprouted during that time interval. </w:t>
      </w:r>
      <w:r w:rsidR="00C33C46" w:rsidRPr="00F07DEB">
        <w:rPr>
          <w:rFonts w:ascii="Times New Roman" w:hAnsi="Times New Roman" w:cs="Times New Roman"/>
          <w:sz w:val="24"/>
          <w:szCs w:val="24"/>
        </w:rPr>
        <w:t xml:space="preserve">Sorghum and corn exhibited similar overall </w:t>
      </w:r>
      <w:r w:rsidR="0047512E" w:rsidRPr="00F07DEB">
        <w:rPr>
          <w:rFonts w:ascii="Times New Roman" w:hAnsi="Times New Roman" w:cs="Times New Roman"/>
          <w:sz w:val="24"/>
          <w:szCs w:val="24"/>
        </w:rPr>
        <w:t xml:space="preserve">seedling </w:t>
      </w:r>
      <w:r w:rsidR="00C33C46" w:rsidRPr="00F07DEB">
        <w:rPr>
          <w:rFonts w:ascii="Times New Roman" w:hAnsi="Times New Roman" w:cs="Times New Roman"/>
          <w:sz w:val="24"/>
          <w:szCs w:val="24"/>
        </w:rPr>
        <w:t>emergence rates</w:t>
      </w:r>
      <w:r w:rsidR="007A6958" w:rsidRPr="00F07DEB">
        <w:rPr>
          <w:rFonts w:ascii="Times New Roman" w:hAnsi="Times New Roman" w:cs="Times New Roman"/>
          <w:sz w:val="24"/>
          <w:szCs w:val="24"/>
        </w:rPr>
        <w:t>, which are visible</w:t>
      </w:r>
      <w:r w:rsidR="00DF3496" w:rsidRPr="00F07DEB">
        <w:rPr>
          <w:rFonts w:ascii="Times New Roman" w:hAnsi="Times New Roman" w:cs="Times New Roman"/>
          <w:sz w:val="24"/>
          <w:szCs w:val="24"/>
        </w:rPr>
        <w:t xml:space="preserve"> </w:t>
      </w:r>
      <w:r w:rsidR="00DF3496" w:rsidRPr="00636255">
        <w:rPr>
          <w:rFonts w:ascii="Times New Roman" w:hAnsi="Times New Roman" w:cs="Times New Roman"/>
          <w:sz w:val="24"/>
          <w:szCs w:val="24"/>
        </w:rPr>
        <w:t>in</w:t>
      </w:r>
      <w:r w:rsidR="00636255" w:rsidRPr="00636255">
        <w:rPr>
          <w:rFonts w:ascii="Times New Roman" w:hAnsi="Times New Roman" w:cs="Times New Roman"/>
          <w:sz w:val="24"/>
          <w:szCs w:val="24"/>
        </w:rPr>
        <w:t xml:space="preserve"> </w:t>
      </w:r>
      <w:r w:rsidR="00636255" w:rsidRPr="00636255">
        <w:rPr>
          <w:rFonts w:ascii="Times New Roman" w:hAnsi="Times New Roman" w:cs="Times New Roman"/>
          <w:sz w:val="24"/>
          <w:szCs w:val="24"/>
        </w:rPr>
        <w:fldChar w:fldCharType="begin"/>
      </w:r>
      <w:r w:rsidR="00636255" w:rsidRPr="00636255">
        <w:rPr>
          <w:rFonts w:ascii="Times New Roman" w:hAnsi="Times New Roman" w:cs="Times New Roman"/>
          <w:sz w:val="24"/>
          <w:szCs w:val="24"/>
        </w:rPr>
        <w:instrText xml:space="preserve"> REF _Ref56686391 \h  \* MERGEFORMAT </w:instrText>
      </w:r>
      <w:r w:rsidR="00636255" w:rsidRPr="00636255">
        <w:rPr>
          <w:rFonts w:ascii="Times New Roman" w:hAnsi="Times New Roman" w:cs="Times New Roman"/>
          <w:sz w:val="24"/>
          <w:szCs w:val="24"/>
        </w:rPr>
      </w:r>
      <w:r w:rsidR="00636255" w:rsidRPr="00636255">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5</w:t>
      </w:r>
      <w:r w:rsidR="00636255" w:rsidRPr="00636255">
        <w:rPr>
          <w:rFonts w:ascii="Times New Roman" w:hAnsi="Times New Roman" w:cs="Times New Roman"/>
          <w:sz w:val="24"/>
          <w:szCs w:val="24"/>
        </w:rPr>
        <w:fldChar w:fldCharType="end"/>
      </w:r>
      <w:r w:rsidR="00C33C46" w:rsidRPr="00F07DEB">
        <w:rPr>
          <w:rFonts w:ascii="Times New Roman" w:hAnsi="Times New Roman" w:cs="Times New Roman"/>
          <w:sz w:val="24"/>
          <w:szCs w:val="24"/>
        </w:rPr>
        <w:t xml:space="preserve">. </w:t>
      </w:r>
      <w:r w:rsidR="00CC3100" w:rsidRPr="00F07DEB">
        <w:rPr>
          <w:rFonts w:ascii="Times New Roman" w:hAnsi="Times New Roman" w:cs="Times New Roman"/>
          <w:sz w:val="24"/>
          <w:szCs w:val="24"/>
        </w:rPr>
        <w:t>Cumulative c</w:t>
      </w:r>
      <w:r w:rsidR="004A61CB" w:rsidRPr="00F07DEB">
        <w:rPr>
          <w:rFonts w:ascii="Times New Roman" w:hAnsi="Times New Roman" w:cs="Times New Roman"/>
          <w:sz w:val="24"/>
          <w:szCs w:val="24"/>
        </w:rPr>
        <w:t>orn emergence lagged behind sorghum</w:t>
      </w:r>
      <w:r w:rsidR="00141754" w:rsidRPr="00F07DEB">
        <w:rPr>
          <w:rFonts w:ascii="Times New Roman" w:hAnsi="Times New Roman" w:cs="Times New Roman"/>
          <w:sz w:val="24"/>
          <w:szCs w:val="24"/>
        </w:rPr>
        <w:t xml:space="preserve"> emergence. Maximum sorghum emergence of 92% was reached eight days after planting. </w:t>
      </w:r>
      <w:r w:rsidR="000F56D0" w:rsidRPr="00F07DEB">
        <w:rPr>
          <w:rFonts w:ascii="Times New Roman" w:hAnsi="Times New Roman" w:cs="Times New Roman"/>
          <w:sz w:val="24"/>
          <w:szCs w:val="24"/>
        </w:rPr>
        <w:t xml:space="preserve">Maximum corn emergence of </w:t>
      </w:r>
      <w:r w:rsidR="00141754" w:rsidRPr="00F07DEB">
        <w:rPr>
          <w:rFonts w:ascii="Times New Roman" w:hAnsi="Times New Roman" w:cs="Times New Roman"/>
          <w:sz w:val="24"/>
          <w:szCs w:val="24"/>
        </w:rPr>
        <w:t>81% occurred 11 days after planting.</w:t>
      </w:r>
      <w:r w:rsidR="000F56D0" w:rsidRPr="00F07DEB">
        <w:rPr>
          <w:rFonts w:ascii="Times New Roman" w:hAnsi="Times New Roman" w:cs="Times New Roman"/>
          <w:sz w:val="24"/>
          <w:szCs w:val="24"/>
        </w:rPr>
        <w:t xml:space="preserve"> 1.9% of </w:t>
      </w:r>
      <w:proofErr w:type="spellStart"/>
      <w:r w:rsidR="000F56D0" w:rsidRPr="00F07DEB">
        <w:rPr>
          <w:rFonts w:ascii="Times New Roman" w:hAnsi="Times New Roman" w:cs="Times New Roman"/>
          <w:sz w:val="24"/>
          <w:szCs w:val="24"/>
        </w:rPr>
        <w:t>Indiangrass</w:t>
      </w:r>
      <w:proofErr w:type="spellEnd"/>
      <w:r w:rsidR="000F56D0" w:rsidRPr="00F07DEB">
        <w:rPr>
          <w:rFonts w:ascii="Times New Roman" w:hAnsi="Times New Roman" w:cs="Times New Roman"/>
          <w:sz w:val="24"/>
          <w:szCs w:val="24"/>
        </w:rPr>
        <w:t xml:space="preserve"> seeds sprouted</w:t>
      </w:r>
      <w:r w:rsidR="00D76F3F">
        <w:rPr>
          <w:rFonts w:ascii="Times New Roman" w:hAnsi="Times New Roman" w:cs="Times New Roman"/>
          <w:sz w:val="24"/>
          <w:szCs w:val="24"/>
        </w:rPr>
        <w:t xml:space="preserve"> over the 13-</w:t>
      </w:r>
      <w:r w:rsidR="004508C7" w:rsidRPr="00F07DEB">
        <w:rPr>
          <w:rFonts w:ascii="Times New Roman" w:hAnsi="Times New Roman" w:cs="Times New Roman"/>
          <w:sz w:val="24"/>
          <w:szCs w:val="24"/>
        </w:rPr>
        <w:t>day period.</w:t>
      </w:r>
      <w:r w:rsidR="008C7BEC" w:rsidRPr="00F07DEB">
        <w:rPr>
          <w:rFonts w:ascii="Times New Roman" w:hAnsi="Times New Roman" w:cs="Times New Roman"/>
          <w:sz w:val="24"/>
          <w:szCs w:val="24"/>
        </w:rPr>
        <w:t xml:space="preserve"> </w:t>
      </w:r>
      <w:r w:rsidR="00B34CBB" w:rsidRPr="00F07DEB">
        <w:rPr>
          <w:rFonts w:ascii="Times New Roman" w:hAnsi="Times New Roman" w:cs="Times New Roman"/>
          <w:sz w:val="24"/>
          <w:szCs w:val="24"/>
        </w:rPr>
        <w:t xml:space="preserve">Photos of the progression of the proof-of-concept experiment are provided in </w:t>
      </w:r>
      <w:r w:rsidR="00B34CBB" w:rsidRPr="00F07DEB">
        <w:rPr>
          <w:rFonts w:ascii="Times New Roman" w:hAnsi="Times New Roman" w:cs="Times New Roman"/>
          <w:sz w:val="24"/>
          <w:szCs w:val="24"/>
        </w:rPr>
        <w:fldChar w:fldCharType="begin"/>
      </w:r>
      <w:r w:rsidR="00B34CBB" w:rsidRPr="00F07DEB">
        <w:rPr>
          <w:rFonts w:ascii="Times New Roman" w:hAnsi="Times New Roman" w:cs="Times New Roman"/>
          <w:sz w:val="24"/>
          <w:szCs w:val="24"/>
        </w:rPr>
        <w:instrText xml:space="preserve"> REF _Ref55652362 \h  \* MERGEFORMAT </w:instrText>
      </w:r>
      <w:r w:rsidR="00B34CBB" w:rsidRPr="00F07DEB">
        <w:rPr>
          <w:rFonts w:ascii="Times New Roman" w:hAnsi="Times New Roman" w:cs="Times New Roman"/>
          <w:sz w:val="24"/>
          <w:szCs w:val="24"/>
        </w:rPr>
      </w:r>
      <w:r w:rsidR="00B34CBB"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6</w:t>
      </w:r>
      <w:r w:rsidR="00B34CBB" w:rsidRPr="00F07DEB">
        <w:rPr>
          <w:rFonts w:ascii="Times New Roman" w:hAnsi="Times New Roman" w:cs="Times New Roman"/>
          <w:sz w:val="24"/>
          <w:szCs w:val="24"/>
        </w:rPr>
        <w:fldChar w:fldCharType="end"/>
      </w:r>
      <w:r w:rsidR="00B34CBB" w:rsidRPr="00F07DEB">
        <w:rPr>
          <w:rFonts w:ascii="Times New Roman" w:hAnsi="Times New Roman" w:cs="Times New Roman"/>
          <w:sz w:val="24"/>
          <w:szCs w:val="24"/>
        </w:rPr>
        <w:t>.</w:t>
      </w:r>
    </w:p>
    <w:p w14:paraId="5BAA2320" w14:textId="77777777" w:rsidR="00636255" w:rsidRDefault="008342B0" w:rsidP="00636255">
      <w:pPr>
        <w:keepNext/>
        <w:jc w:val="center"/>
      </w:pPr>
      <w:r w:rsidRPr="00F07DEB">
        <w:rPr>
          <w:rFonts w:ascii="Times New Roman" w:hAnsi="Times New Roman" w:cs="Times New Roman"/>
          <w:noProof/>
          <w:lang w:eastAsia="en-US"/>
        </w:rPr>
        <w:drawing>
          <wp:inline distT="0" distB="0" distL="0" distR="0" wp14:anchorId="26EA813D" wp14:editId="04155A45">
            <wp:extent cx="5577884" cy="2781966"/>
            <wp:effectExtent l="0" t="0" r="3810" b="1841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0903A9A" w14:textId="734B981D" w:rsidR="000C3519" w:rsidRPr="00F07DEB" w:rsidRDefault="00636255" w:rsidP="00204C13">
      <w:pPr>
        <w:pStyle w:val="Caption"/>
      </w:pPr>
      <w:bookmarkStart w:id="44" w:name="_Ref56686391"/>
      <w:bookmarkStart w:id="45" w:name="_Toc58975215"/>
      <w:r>
        <w:t xml:space="preserve">Figure </w:t>
      </w:r>
      <w:r w:rsidR="0033797C">
        <w:rPr>
          <w:noProof/>
        </w:rPr>
        <w:fldChar w:fldCharType="begin"/>
      </w:r>
      <w:r w:rsidR="0033797C">
        <w:rPr>
          <w:noProof/>
        </w:rPr>
        <w:instrText xml:space="preserve"> SEQ Figure \* ARABIC </w:instrText>
      </w:r>
      <w:r w:rsidR="0033797C">
        <w:rPr>
          <w:noProof/>
        </w:rPr>
        <w:fldChar w:fldCharType="separate"/>
      </w:r>
      <w:r w:rsidR="00E179CA">
        <w:rPr>
          <w:noProof/>
        </w:rPr>
        <w:t>5</w:t>
      </w:r>
      <w:r w:rsidR="0033797C">
        <w:rPr>
          <w:noProof/>
        </w:rPr>
        <w:fldChar w:fldCharType="end"/>
      </w:r>
      <w:bookmarkEnd w:id="44"/>
      <w:r>
        <w:rPr>
          <w:noProof/>
        </w:rPr>
        <w:t xml:space="preserve">: </w:t>
      </w:r>
      <w:r w:rsidRPr="00EA3015">
        <w:rPr>
          <w:noProof/>
        </w:rPr>
        <w:t>Proof-of-concept seedling emergence by species</w:t>
      </w:r>
      <w:bookmarkEnd w:id="45"/>
    </w:p>
    <w:p w14:paraId="5A5A0612" w14:textId="3C33F92A" w:rsidR="00C33C46" w:rsidRPr="00F07DEB" w:rsidRDefault="00C33C46" w:rsidP="000C3519">
      <w:pPr>
        <w:jc w:val="center"/>
        <w:rPr>
          <w:rFonts w:ascii="Times New Roman" w:hAnsi="Times New Roman" w:cs="Times New Roman"/>
          <w:b/>
          <w:sz w:val="20"/>
          <w:szCs w:val="20"/>
        </w:rPr>
      </w:pPr>
    </w:p>
    <w:p w14:paraId="23032098" w14:textId="77777777" w:rsidR="00295ED4" w:rsidRPr="00F07DEB" w:rsidRDefault="005E17DE" w:rsidP="005B7E4F">
      <w:pPr>
        <w:keepNext/>
        <w:spacing w:line="480" w:lineRule="auto"/>
        <w:jc w:val="center"/>
        <w:rPr>
          <w:rFonts w:ascii="Times New Roman" w:hAnsi="Times New Roman" w:cs="Times New Roman"/>
        </w:rPr>
      </w:pPr>
      <w:r>
        <w:rPr>
          <w:rFonts w:ascii="Times New Roman" w:hAnsi="Times New Roman" w:cs="Times New Roman"/>
          <w:sz w:val="24"/>
          <w:szCs w:val="24"/>
        </w:rPr>
        <w:lastRenderedPageBreak/>
        <w:pict w14:anchorId="7B02C81D">
          <v:shape id="_x0000_i1026" type="#_x0000_t75" style="width:440.15pt;height:310.7pt">
            <v:imagedata r:id="rId19" o:title="Greenhouse"/>
          </v:shape>
        </w:pict>
      </w:r>
    </w:p>
    <w:p w14:paraId="50544F26" w14:textId="45A27898" w:rsidR="008C7BEC" w:rsidRPr="00F07DEB" w:rsidRDefault="00295ED4" w:rsidP="00204C13">
      <w:pPr>
        <w:pStyle w:val="Caption"/>
      </w:pPr>
      <w:bookmarkStart w:id="46" w:name="_Ref55652362"/>
      <w:bookmarkStart w:id="47" w:name="_Toc58975216"/>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6</w:t>
      </w:r>
      <w:r w:rsidR="00DE3B90" w:rsidRPr="00F07DEB">
        <w:rPr>
          <w:noProof/>
        </w:rPr>
        <w:fldChar w:fldCharType="end"/>
      </w:r>
      <w:bookmarkEnd w:id="46"/>
      <w:r w:rsidRPr="00F07DEB">
        <w:t>: The greenhouse proof-of-concept experiment on (a) day 0, (b) day 8, and (c) day 13</w:t>
      </w:r>
      <w:bookmarkEnd w:id="47"/>
    </w:p>
    <w:p w14:paraId="32D5CE29" w14:textId="77777777" w:rsidR="00F07DEB" w:rsidRPr="00F07DEB" w:rsidRDefault="00F07DEB" w:rsidP="00F07DEB">
      <w:pPr>
        <w:rPr>
          <w:rFonts w:ascii="Times New Roman" w:hAnsi="Times New Roman" w:cs="Times New Roman"/>
        </w:rPr>
      </w:pPr>
    </w:p>
    <w:p w14:paraId="0590B865" w14:textId="2530E557" w:rsidR="00455150" w:rsidRPr="00F07DEB" w:rsidRDefault="00257CA7" w:rsidP="008C7BEC">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The cumulative emergence curves for groundwater-irrigated corn (CG) and mine water-irrigated corn (CM) are plotted together in </w:t>
      </w:r>
      <w:r w:rsidRPr="00F07DEB">
        <w:rPr>
          <w:rFonts w:ascii="Times New Roman" w:hAnsi="Times New Roman" w:cs="Times New Roman"/>
          <w:sz w:val="24"/>
          <w:szCs w:val="24"/>
        </w:rPr>
        <w:fldChar w:fldCharType="begin"/>
      </w:r>
      <w:r w:rsidRPr="00F07DEB">
        <w:rPr>
          <w:rFonts w:ascii="Times New Roman" w:hAnsi="Times New Roman" w:cs="Times New Roman"/>
          <w:sz w:val="24"/>
          <w:szCs w:val="24"/>
        </w:rPr>
        <w:instrText xml:space="preserve"> REF _Ref55636648 \h </w:instrText>
      </w:r>
      <w:r w:rsidR="00145AE5" w:rsidRPr="00F07DEB">
        <w:rPr>
          <w:rFonts w:ascii="Times New Roman" w:hAnsi="Times New Roman" w:cs="Times New Roman"/>
          <w:sz w:val="24"/>
          <w:szCs w:val="24"/>
        </w:rPr>
        <w:instrText xml:space="preserve"> \* MERGEFORMAT </w:instrText>
      </w:r>
      <w:r w:rsidRPr="00F07DEB">
        <w:rPr>
          <w:rFonts w:ascii="Times New Roman" w:hAnsi="Times New Roman" w:cs="Times New Roman"/>
          <w:sz w:val="24"/>
          <w:szCs w:val="24"/>
        </w:rPr>
      </w:r>
      <w:r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7</w:t>
      </w:r>
      <w:r w:rsidRPr="00F07DEB">
        <w:rPr>
          <w:rFonts w:ascii="Times New Roman" w:hAnsi="Times New Roman" w:cs="Times New Roman"/>
          <w:sz w:val="24"/>
          <w:szCs w:val="24"/>
        </w:rPr>
        <w:fldChar w:fldCharType="end"/>
      </w:r>
      <w:r w:rsidR="00145AE5" w:rsidRPr="00F07DEB">
        <w:rPr>
          <w:rFonts w:ascii="Times New Roman" w:hAnsi="Times New Roman" w:cs="Times New Roman"/>
          <w:sz w:val="24"/>
          <w:szCs w:val="24"/>
        </w:rPr>
        <w:t xml:space="preserve">. The first CG and CM sprouts appeared </w:t>
      </w:r>
      <w:r w:rsidR="00C314BB" w:rsidRPr="00F07DEB">
        <w:rPr>
          <w:rFonts w:ascii="Times New Roman" w:hAnsi="Times New Roman" w:cs="Times New Roman"/>
          <w:sz w:val="24"/>
          <w:szCs w:val="24"/>
        </w:rPr>
        <w:t>five</w:t>
      </w:r>
      <w:r w:rsidR="00145AE5" w:rsidRPr="00F07DEB">
        <w:rPr>
          <w:rFonts w:ascii="Times New Roman" w:hAnsi="Times New Roman" w:cs="Times New Roman"/>
          <w:sz w:val="24"/>
          <w:szCs w:val="24"/>
        </w:rPr>
        <w:t xml:space="preserve"> days after planting</w:t>
      </w:r>
      <w:r w:rsidR="00C314BB" w:rsidRPr="00F07DEB">
        <w:rPr>
          <w:rFonts w:ascii="Times New Roman" w:hAnsi="Times New Roman" w:cs="Times New Roman"/>
          <w:sz w:val="24"/>
          <w:szCs w:val="24"/>
        </w:rPr>
        <w:t>. After two days of rapid emergence, emergence rates for CG and CM decreased to zero by day</w:t>
      </w:r>
      <w:r w:rsidR="00636255">
        <w:rPr>
          <w:rFonts w:ascii="Times New Roman" w:hAnsi="Times New Roman" w:cs="Times New Roman"/>
          <w:sz w:val="24"/>
          <w:szCs w:val="24"/>
        </w:rPr>
        <w:t>s</w:t>
      </w:r>
      <w:r w:rsidR="00C314BB" w:rsidRPr="00F07DEB">
        <w:rPr>
          <w:rFonts w:ascii="Times New Roman" w:hAnsi="Times New Roman" w:cs="Times New Roman"/>
          <w:sz w:val="24"/>
          <w:szCs w:val="24"/>
        </w:rPr>
        <w:t xml:space="preserve"> 11 and 13, respectively.</w:t>
      </w:r>
      <w:r w:rsidR="00C4431C" w:rsidRPr="00F07DEB">
        <w:rPr>
          <w:rFonts w:ascii="Times New Roman" w:hAnsi="Times New Roman" w:cs="Times New Roman"/>
          <w:sz w:val="24"/>
          <w:szCs w:val="24"/>
        </w:rPr>
        <w:t xml:space="preserve"> </w:t>
      </w:r>
      <w:r w:rsidR="00087AA4">
        <w:rPr>
          <w:rFonts w:ascii="Times New Roman" w:hAnsi="Times New Roman" w:cs="Times New Roman"/>
          <w:sz w:val="24"/>
          <w:szCs w:val="24"/>
        </w:rPr>
        <w:t xml:space="preserve">A cumulative </w:t>
      </w:r>
      <w:r w:rsidR="00C4431C" w:rsidRPr="00F07DEB">
        <w:rPr>
          <w:rFonts w:ascii="Times New Roman" w:hAnsi="Times New Roman" w:cs="Times New Roman"/>
          <w:sz w:val="24"/>
          <w:szCs w:val="24"/>
        </w:rPr>
        <w:t>79% of CG seeds and 83% of CM seeds sprouted over the course of the experiment, and at least one seed sprouted in every CG and CM pot.</w:t>
      </w:r>
      <w:r w:rsidR="00C314BB" w:rsidRPr="00F07DEB">
        <w:rPr>
          <w:rFonts w:ascii="Times New Roman" w:hAnsi="Times New Roman" w:cs="Times New Roman"/>
          <w:sz w:val="24"/>
          <w:szCs w:val="24"/>
        </w:rPr>
        <w:t xml:space="preserve"> The cumulative emergence curves for groundwater-irrigated sorghum (SG) and mine water-irrigated sorghum (SM) are plotted together in </w:t>
      </w:r>
      <w:r w:rsidR="00AF6043" w:rsidRPr="00F07DEB">
        <w:rPr>
          <w:rFonts w:ascii="Times New Roman" w:hAnsi="Times New Roman" w:cs="Times New Roman"/>
          <w:sz w:val="24"/>
          <w:szCs w:val="24"/>
        </w:rPr>
        <w:fldChar w:fldCharType="begin"/>
      </w:r>
      <w:r w:rsidR="00AF6043" w:rsidRPr="00F07DEB">
        <w:rPr>
          <w:rFonts w:ascii="Times New Roman" w:hAnsi="Times New Roman" w:cs="Times New Roman"/>
          <w:sz w:val="24"/>
          <w:szCs w:val="24"/>
        </w:rPr>
        <w:instrText xml:space="preserve"> REF _Ref55637653 \h  \* MERGEFORMAT </w:instrText>
      </w:r>
      <w:r w:rsidR="00AF6043" w:rsidRPr="00F07DEB">
        <w:rPr>
          <w:rFonts w:ascii="Times New Roman" w:hAnsi="Times New Roman" w:cs="Times New Roman"/>
          <w:sz w:val="24"/>
          <w:szCs w:val="24"/>
        </w:rPr>
      </w:r>
      <w:r w:rsidR="00AF6043"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8</w:t>
      </w:r>
      <w:r w:rsidR="00AF6043" w:rsidRPr="00F07DEB">
        <w:rPr>
          <w:rFonts w:ascii="Times New Roman" w:hAnsi="Times New Roman" w:cs="Times New Roman"/>
          <w:sz w:val="24"/>
          <w:szCs w:val="24"/>
        </w:rPr>
        <w:fldChar w:fldCharType="end"/>
      </w:r>
      <w:r w:rsidR="00AF6043" w:rsidRPr="00F07DEB">
        <w:rPr>
          <w:rFonts w:ascii="Times New Roman" w:hAnsi="Times New Roman" w:cs="Times New Roman"/>
          <w:sz w:val="24"/>
          <w:szCs w:val="24"/>
        </w:rPr>
        <w:t xml:space="preserve">. </w:t>
      </w:r>
      <w:r w:rsidR="005C73CA" w:rsidRPr="00F07DEB">
        <w:rPr>
          <w:rFonts w:ascii="Times New Roman" w:hAnsi="Times New Roman" w:cs="Times New Roman"/>
          <w:sz w:val="24"/>
          <w:szCs w:val="24"/>
        </w:rPr>
        <w:t>The first SG sprout appeared four days after planting while the first SM plants emerged five days post-planting.</w:t>
      </w:r>
      <w:r w:rsidR="003848DE" w:rsidRPr="00F07DEB">
        <w:rPr>
          <w:rFonts w:ascii="Times New Roman" w:hAnsi="Times New Roman" w:cs="Times New Roman"/>
          <w:sz w:val="24"/>
          <w:szCs w:val="24"/>
        </w:rPr>
        <w:t xml:space="preserve"> SG and SM emergence rates decrease</w:t>
      </w:r>
      <w:r w:rsidR="00425DB3" w:rsidRPr="00F07DEB">
        <w:rPr>
          <w:rFonts w:ascii="Times New Roman" w:hAnsi="Times New Roman" w:cs="Times New Roman"/>
          <w:sz w:val="24"/>
          <w:szCs w:val="24"/>
        </w:rPr>
        <w:t>d</w:t>
      </w:r>
      <w:r w:rsidR="003848DE" w:rsidRPr="00F07DEB">
        <w:rPr>
          <w:rFonts w:ascii="Times New Roman" w:hAnsi="Times New Roman" w:cs="Times New Roman"/>
          <w:sz w:val="24"/>
          <w:szCs w:val="24"/>
        </w:rPr>
        <w:t xml:space="preserve"> to zero on day eight after 92% of seeds from both groups </w:t>
      </w:r>
      <w:r w:rsidR="00425DB3" w:rsidRPr="00F07DEB">
        <w:rPr>
          <w:rFonts w:ascii="Times New Roman" w:hAnsi="Times New Roman" w:cs="Times New Roman"/>
          <w:sz w:val="24"/>
          <w:szCs w:val="24"/>
        </w:rPr>
        <w:t xml:space="preserve">had </w:t>
      </w:r>
      <w:r w:rsidR="003848DE" w:rsidRPr="00F07DEB">
        <w:rPr>
          <w:rFonts w:ascii="Times New Roman" w:hAnsi="Times New Roman" w:cs="Times New Roman"/>
          <w:sz w:val="24"/>
          <w:szCs w:val="24"/>
        </w:rPr>
        <w:lastRenderedPageBreak/>
        <w:t xml:space="preserve">emerged, but </w:t>
      </w:r>
      <w:r w:rsidR="00CA2358" w:rsidRPr="00F07DEB">
        <w:rPr>
          <w:rFonts w:ascii="Times New Roman" w:hAnsi="Times New Roman" w:cs="Times New Roman"/>
          <w:sz w:val="24"/>
          <w:szCs w:val="24"/>
        </w:rPr>
        <w:t>SM emergence rates appeared to lag behind SG during the period of rapid emergence.</w:t>
      </w:r>
      <w:r w:rsidR="000A5307" w:rsidRPr="00F07DEB">
        <w:rPr>
          <w:rFonts w:ascii="Times New Roman" w:hAnsi="Times New Roman" w:cs="Times New Roman"/>
          <w:sz w:val="24"/>
          <w:szCs w:val="24"/>
        </w:rPr>
        <w:t xml:space="preserve"> Similar to corn, every SG and SM pot contained at least one seedling by day 13.</w:t>
      </w:r>
      <w:r w:rsidR="000F1D1D" w:rsidRPr="00F07DEB">
        <w:rPr>
          <w:rFonts w:ascii="Times New Roman" w:hAnsi="Times New Roman" w:cs="Times New Roman"/>
          <w:sz w:val="24"/>
          <w:szCs w:val="24"/>
        </w:rPr>
        <w:t xml:space="preserve"> </w:t>
      </w:r>
    </w:p>
    <w:p w14:paraId="216EBA27" w14:textId="5FDB0CBA" w:rsidR="00257CA7" w:rsidRPr="00F07DEB" w:rsidRDefault="001A202B" w:rsidP="008C7BEC">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fldChar w:fldCharType="begin"/>
      </w:r>
      <w:r w:rsidRPr="00F07DEB">
        <w:rPr>
          <w:rFonts w:ascii="Times New Roman" w:hAnsi="Times New Roman" w:cs="Times New Roman"/>
          <w:sz w:val="24"/>
          <w:szCs w:val="24"/>
        </w:rPr>
        <w:instrText xml:space="preserve"> REF _Ref55641367 \h  \* MERGEFORMAT </w:instrText>
      </w:r>
      <w:r w:rsidRPr="00F07DEB">
        <w:rPr>
          <w:rFonts w:ascii="Times New Roman" w:hAnsi="Times New Roman" w:cs="Times New Roman"/>
          <w:sz w:val="24"/>
          <w:szCs w:val="24"/>
        </w:rPr>
      </w:r>
      <w:r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9</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plots t</w:t>
      </w:r>
      <w:r w:rsidR="000F1D1D" w:rsidRPr="00F07DEB">
        <w:rPr>
          <w:rFonts w:ascii="Times New Roman" w:hAnsi="Times New Roman" w:cs="Times New Roman"/>
          <w:sz w:val="24"/>
          <w:szCs w:val="24"/>
        </w:rPr>
        <w:t>he emergence curve for corn and sorghum seeds planted in spent mushroom compost (SMC) amended soil alongside the emergence curve for corn and sorghum grown in non-amended potting mix</w:t>
      </w:r>
      <w:r w:rsidR="00023E37" w:rsidRPr="00F07DEB">
        <w:rPr>
          <w:rFonts w:ascii="Times New Roman" w:hAnsi="Times New Roman" w:cs="Times New Roman"/>
          <w:sz w:val="24"/>
          <w:szCs w:val="24"/>
        </w:rPr>
        <w:t>.</w:t>
      </w:r>
      <w:r w:rsidR="0040427F" w:rsidRPr="00F07DEB">
        <w:rPr>
          <w:rFonts w:ascii="Times New Roman" w:hAnsi="Times New Roman" w:cs="Times New Roman"/>
          <w:sz w:val="24"/>
          <w:szCs w:val="24"/>
        </w:rPr>
        <w:t xml:space="preserve"> </w:t>
      </w:r>
      <w:r w:rsidR="00925DFB" w:rsidRPr="00F07DEB">
        <w:rPr>
          <w:rFonts w:ascii="Times New Roman" w:hAnsi="Times New Roman" w:cs="Times New Roman"/>
          <w:sz w:val="24"/>
          <w:szCs w:val="24"/>
        </w:rPr>
        <w:t xml:space="preserve">Although </w:t>
      </w:r>
      <w:r w:rsidR="00FB1415" w:rsidRPr="00F07DEB">
        <w:rPr>
          <w:rFonts w:ascii="Times New Roman" w:hAnsi="Times New Roman" w:cs="Times New Roman"/>
          <w:sz w:val="24"/>
          <w:szCs w:val="24"/>
        </w:rPr>
        <w:t xml:space="preserve">three </w:t>
      </w:r>
      <w:proofErr w:type="spellStart"/>
      <w:r w:rsidR="00FB1415" w:rsidRPr="00F07DEB">
        <w:rPr>
          <w:rFonts w:ascii="Times New Roman" w:hAnsi="Times New Roman" w:cs="Times New Roman"/>
          <w:sz w:val="24"/>
          <w:szCs w:val="24"/>
        </w:rPr>
        <w:t>Indiangrass</w:t>
      </w:r>
      <w:proofErr w:type="spellEnd"/>
      <w:r w:rsidR="00FB1415" w:rsidRPr="00F07DEB">
        <w:rPr>
          <w:rFonts w:ascii="Times New Roman" w:hAnsi="Times New Roman" w:cs="Times New Roman"/>
          <w:sz w:val="24"/>
          <w:szCs w:val="24"/>
        </w:rPr>
        <w:t xml:space="preserve"> pots were amended with SMC, the resulting emergence data are omitted from the comparison due to the general absence of </w:t>
      </w:r>
      <w:proofErr w:type="spellStart"/>
      <w:r w:rsidR="00FB1415" w:rsidRPr="00F07DEB">
        <w:rPr>
          <w:rFonts w:ascii="Times New Roman" w:hAnsi="Times New Roman" w:cs="Times New Roman"/>
          <w:sz w:val="24"/>
          <w:szCs w:val="24"/>
        </w:rPr>
        <w:t>Indiangrass</w:t>
      </w:r>
      <w:proofErr w:type="spellEnd"/>
      <w:r w:rsidR="00FB1415" w:rsidRPr="00F07DEB">
        <w:rPr>
          <w:rFonts w:ascii="Times New Roman" w:hAnsi="Times New Roman" w:cs="Times New Roman"/>
          <w:sz w:val="24"/>
          <w:szCs w:val="24"/>
        </w:rPr>
        <w:t xml:space="preserve"> germination. </w:t>
      </w:r>
      <w:r w:rsidR="0040427F" w:rsidRPr="00F07DEB">
        <w:rPr>
          <w:rFonts w:ascii="Times New Roman" w:hAnsi="Times New Roman" w:cs="Times New Roman"/>
          <w:sz w:val="24"/>
          <w:szCs w:val="24"/>
        </w:rPr>
        <w:t xml:space="preserve">The non-amended soil produced </w:t>
      </w:r>
      <w:r w:rsidR="00FB1415" w:rsidRPr="00F07DEB">
        <w:rPr>
          <w:rFonts w:ascii="Times New Roman" w:hAnsi="Times New Roman" w:cs="Times New Roman"/>
          <w:sz w:val="24"/>
          <w:szCs w:val="24"/>
        </w:rPr>
        <w:t xml:space="preserve">corn and sorghum </w:t>
      </w:r>
      <w:r w:rsidR="0040427F" w:rsidRPr="00F07DEB">
        <w:rPr>
          <w:rFonts w:ascii="Times New Roman" w:hAnsi="Times New Roman" w:cs="Times New Roman"/>
          <w:sz w:val="24"/>
          <w:szCs w:val="24"/>
        </w:rPr>
        <w:t xml:space="preserve">seedlings earlier than the amended soil, but by day seven approximately 75% of </w:t>
      </w:r>
      <w:r w:rsidR="00FB1415" w:rsidRPr="00F07DEB">
        <w:rPr>
          <w:rFonts w:ascii="Times New Roman" w:hAnsi="Times New Roman" w:cs="Times New Roman"/>
          <w:sz w:val="24"/>
          <w:szCs w:val="24"/>
        </w:rPr>
        <w:t xml:space="preserve">corn and sorghum </w:t>
      </w:r>
      <w:r w:rsidR="0040427F" w:rsidRPr="00F07DEB">
        <w:rPr>
          <w:rFonts w:ascii="Times New Roman" w:hAnsi="Times New Roman" w:cs="Times New Roman"/>
          <w:sz w:val="24"/>
          <w:szCs w:val="24"/>
        </w:rPr>
        <w:t xml:space="preserve">seeds had emerged in both amended and non-amended pots. </w:t>
      </w:r>
      <w:r w:rsidR="00FB1415" w:rsidRPr="00F07DEB">
        <w:rPr>
          <w:rFonts w:ascii="Times New Roman" w:hAnsi="Times New Roman" w:cs="Times New Roman"/>
          <w:sz w:val="24"/>
          <w:szCs w:val="24"/>
        </w:rPr>
        <w:t xml:space="preserve">89% of corn and sorghum seeds planted in amended soil and 85% of corn and sorghum seeds planted in non-amended soil sprouted over the course of the experiment, and at least one seed sprouted in every </w:t>
      </w:r>
      <w:r w:rsidR="00675C8E" w:rsidRPr="00F07DEB">
        <w:rPr>
          <w:rFonts w:ascii="Times New Roman" w:hAnsi="Times New Roman" w:cs="Times New Roman"/>
          <w:sz w:val="24"/>
          <w:szCs w:val="24"/>
        </w:rPr>
        <w:t>amended and non-amended pot.</w:t>
      </w:r>
    </w:p>
    <w:p w14:paraId="0BDCB125" w14:textId="77777777" w:rsidR="00257CA7" w:rsidRPr="00F07DEB" w:rsidRDefault="00257CA7" w:rsidP="00257CA7">
      <w:pPr>
        <w:keepNext/>
        <w:spacing w:line="480" w:lineRule="auto"/>
        <w:jc w:val="center"/>
        <w:rPr>
          <w:rFonts w:ascii="Times New Roman" w:hAnsi="Times New Roman" w:cs="Times New Roman"/>
        </w:rPr>
      </w:pPr>
      <w:r w:rsidRPr="00F07DEB">
        <w:rPr>
          <w:rFonts w:ascii="Times New Roman" w:hAnsi="Times New Roman" w:cs="Times New Roman"/>
          <w:noProof/>
          <w:lang w:eastAsia="en-US"/>
        </w:rPr>
        <w:drawing>
          <wp:inline distT="0" distB="0" distL="0" distR="0" wp14:anchorId="742685F9" wp14:editId="797FE82B">
            <wp:extent cx="54864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C848D1E" w14:textId="31B82D73" w:rsidR="00257CA7" w:rsidRPr="00F07DEB" w:rsidRDefault="00257CA7" w:rsidP="00204C13">
      <w:pPr>
        <w:pStyle w:val="Caption"/>
      </w:pPr>
      <w:bookmarkStart w:id="48" w:name="_Ref55636648"/>
      <w:bookmarkStart w:id="49" w:name="_Toc58975217"/>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7</w:t>
      </w:r>
      <w:r w:rsidR="00DE3B90" w:rsidRPr="00F07DEB">
        <w:rPr>
          <w:noProof/>
        </w:rPr>
        <w:fldChar w:fldCharType="end"/>
      </w:r>
      <w:bookmarkEnd w:id="48"/>
      <w:r w:rsidR="001C3D1D" w:rsidRPr="00F07DEB">
        <w:t>: Cumulative corn emergence during groundwater and mine water irrigation</w:t>
      </w:r>
      <w:bookmarkEnd w:id="49"/>
    </w:p>
    <w:p w14:paraId="4F52BD48" w14:textId="77777777" w:rsidR="00F07DEB" w:rsidRPr="00F07DEB" w:rsidRDefault="00F07DEB" w:rsidP="00F07DEB">
      <w:pPr>
        <w:rPr>
          <w:rFonts w:ascii="Times New Roman" w:hAnsi="Times New Roman" w:cs="Times New Roman"/>
        </w:rPr>
      </w:pPr>
    </w:p>
    <w:p w14:paraId="68704EF3" w14:textId="4D518C34" w:rsidR="00C314BB" w:rsidRPr="00F07DEB" w:rsidRDefault="00C314BB" w:rsidP="00C314BB">
      <w:pPr>
        <w:keepNext/>
        <w:spacing w:line="480" w:lineRule="auto"/>
        <w:jc w:val="center"/>
        <w:rPr>
          <w:rFonts w:ascii="Times New Roman" w:hAnsi="Times New Roman" w:cs="Times New Roman"/>
        </w:rPr>
      </w:pPr>
      <w:r w:rsidRPr="00F07DEB">
        <w:rPr>
          <w:rFonts w:ascii="Times New Roman" w:hAnsi="Times New Roman" w:cs="Times New Roman"/>
          <w:noProof/>
          <w:lang w:eastAsia="en-US"/>
        </w:rPr>
        <w:lastRenderedPageBreak/>
        <w:drawing>
          <wp:inline distT="0" distB="0" distL="0" distR="0" wp14:anchorId="74786F51" wp14:editId="4FEC1F0A">
            <wp:extent cx="54864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A9A4883" w14:textId="01D70360" w:rsidR="00257CA7" w:rsidRPr="00F07DEB" w:rsidRDefault="00C314BB" w:rsidP="00204C13">
      <w:pPr>
        <w:pStyle w:val="Caption"/>
      </w:pPr>
      <w:bookmarkStart w:id="50" w:name="_Ref55637653"/>
      <w:bookmarkStart w:id="51" w:name="_Toc58975218"/>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8</w:t>
      </w:r>
      <w:r w:rsidR="00DE3B90" w:rsidRPr="00F07DEB">
        <w:rPr>
          <w:noProof/>
        </w:rPr>
        <w:fldChar w:fldCharType="end"/>
      </w:r>
      <w:bookmarkEnd w:id="50"/>
      <w:r w:rsidRPr="00F07DEB">
        <w:t xml:space="preserve">: Cumulative sorghum emergence </w:t>
      </w:r>
      <w:r w:rsidR="001C3D1D" w:rsidRPr="00F07DEB">
        <w:t>during groundwater and mine water</w:t>
      </w:r>
      <w:r w:rsidR="00380708" w:rsidRPr="00F07DEB">
        <w:t xml:space="preserve"> irrigation</w:t>
      </w:r>
      <w:bookmarkEnd w:id="51"/>
    </w:p>
    <w:p w14:paraId="37A433CF" w14:textId="77777777" w:rsidR="00F07DEB" w:rsidRPr="00F07DEB" w:rsidRDefault="00F07DEB" w:rsidP="00F07DEB">
      <w:pPr>
        <w:rPr>
          <w:rFonts w:ascii="Times New Roman" w:hAnsi="Times New Roman" w:cs="Times New Roman"/>
        </w:rPr>
      </w:pPr>
    </w:p>
    <w:p w14:paraId="34344A73" w14:textId="77777777" w:rsidR="00F07DEB" w:rsidRPr="00F07DEB" w:rsidRDefault="00F07DEB" w:rsidP="00F07DEB">
      <w:pPr>
        <w:rPr>
          <w:rFonts w:ascii="Times New Roman" w:hAnsi="Times New Roman" w:cs="Times New Roman"/>
        </w:rPr>
      </w:pPr>
    </w:p>
    <w:p w14:paraId="6C9A3598" w14:textId="77777777" w:rsidR="00380708" w:rsidRPr="00F07DEB" w:rsidRDefault="00023E37" w:rsidP="00380708">
      <w:pPr>
        <w:keepNext/>
        <w:spacing w:line="480" w:lineRule="auto"/>
        <w:jc w:val="center"/>
        <w:rPr>
          <w:rFonts w:ascii="Times New Roman" w:hAnsi="Times New Roman" w:cs="Times New Roman"/>
        </w:rPr>
      </w:pPr>
      <w:r w:rsidRPr="00F07DEB">
        <w:rPr>
          <w:rFonts w:ascii="Times New Roman" w:hAnsi="Times New Roman" w:cs="Times New Roman"/>
          <w:noProof/>
          <w:lang w:eastAsia="en-US"/>
        </w:rPr>
        <w:drawing>
          <wp:inline distT="0" distB="0" distL="0" distR="0" wp14:anchorId="005208DC" wp14:editId="6886F6FB">
            <wp:extent cx="54864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29112A3" w14:textId="7A0C357D" w:rsidR="00023E37" w:rsidRPr="00F07DEB" w:rsidRDefault="00380708" w:rsidP="00204C13">
      <w:pPr>
        <w:pStyle w:val="Caption"/>
      </w:pPr>
      <w:bookmarkStart w:id="52" w:name="_Ref55641367"/>
      <w:bookmarkStart w:id="53" w:name="_Toc58975219"/>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9</w:t>
      </w:r>
      <w:r w:rsidR="00DE3B90" w:rsidRPr="00F07DEB">
        <w:rPr>
          <w:noProof/>
        </w:rPr>
        <w:fldChar w:fldCharType="end"/>
      </w:r>
      <w:bookmarkEnd w:id="52"/>
      <w:r w:rsidRPr="00F07DEB">
        <w:t xml:space="preserve">: Cumulative corn and sorghum emergence </w:t>
      </w:r>
      <w:r w:rsidR="001C3D1D" w:rsidRPr="00F07DEB">
        <w:t>in amended and non-amended soil</w:t>
      </w:r>
      <w:bookmarkEnd w:id="53"/>
    </w:p>
    <w:p w14:paraId="5518E8B4" w14:textId="77777777" w:rsidR="00F07DEB" w:rsidRPr="00F07DEB" w:rsidRDefault="00F07DEB" w:rsidP="00F07DEB">
      <w:pPr>
        <w:rPr>
          <w:rFonts w:ascii="Times New Roman" w:hAnsi="Times New Roman" w:cs="Times New Roman"/>
        </w:rPr>
      </w:pPr>
    </w:p>
    <w:p w14:paraId="0AE7FF39" w14:textId="530A5B56" w:rsidR="00D470C9" w:rsidRPr="00F07DEB" w:rsidRDefault="00FB7C3F" w:rsidP="00257CA7">
      <w:pPr>
        <w:spacing w:line="480" w:lineRule="auto"/>
        <w:ind w:firstLine="720"/>
        <w:rPr>
          <w:rFonts w:ascii="Times New Roman" w:hAnsi="Times New Roman" w:cs="Times New Roman"/>
          <w:sz w:val="24"/>
          <w:szCs w:val="24"/>
        </w:rPr>
      </w:pPr>
      <w:r w:rsidRPr="00F07DEB">
        <w:rPr>
          <w:rFonts w:ascii="Times New Roman" w:hAnsi="Times New Roman" w:cs="Times New Roman"/>
          <w:noProof/>
          <w:sz w:val="24"/>
          <w:szCs w:val="24"/>
          <w:lang w:eastAsia="en-US"/>
        </w:rPr>
        <mc:AlternateContent>
          <mc:Choice Requires="wps">
            <w:drawing>
              <wp:anchor distT="0" distB="0" distL="114300" distR="114300" simplePos="0" relativeHeight="251659264" behindDoc="0" locked="0" layoutInCell="1" allowOverlap="1" wp14:anchorId="04AC379B" wp14:editId="3C90147F">
                <wp:simplePos x="0" y="0"/>
                <wp:positionH relativeFrom="column">
                  <wp:posOffset>5025554</wp:posOffset>
                </wp:positionH>
                <wp:positionV relativeFrom="paragraph">
                  <wp:posOffset>3642133</wp:posOffset>
                </wp:positionV>
                <wp:extent cx="908345" cy="314893"/>
                <wp:effectExtent l="0" t="0" r="6350" b="9525"/>
                <wp:wrapNone/>
                <wp:docPr id="12" name="Text Box 12"/>
                <wp:cNvGraphicFramePr/>
                <a:graphic xmlns:a="http://schemas.openxmlformats.org/drawingml/2006/main">
                  <a:graphicData uri="http://schemas.microsoft.com/office/word/2010/wordprocessingShape">
                    <wps:wsp>
                      <wps:cNvSpPr txBox="1"/>
                      <wps:spPr>
                        <a:xfrm>
                          <a:off x="0" y="0"/>
                          <a:ext cx="908345" cy="31489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5D27E0" w14:textId="4A4B52EC" w:rsidR="00757A39" w:rsidRPr="00FB7C3F" w:rsidRDefault="00757A39">
                            <w:pPr>
                              <w:rPr>
                                <w:rFonts w:ascii="Times New Roman" w:hAnsi="Times New Roman" w:cs="Times New Roman"/>
                                <w:sz w:val="24"/>
                                <w:szCs w:val="24"/>
                              </w:rPr>
                            </w:pPr>
                            <w:r>
                              <w:rPr>
                                <w:rFonts w:ascii="Times New Roman" w:hAnsi="Times New Roman" w:cs="Times New Roman"/>
                                <w:sz w:val="24"/>
                                <w:szCs w:val="24"/>
                              </w:rPr>
                              <w:t>Equation 3</w:t>
                            </w:r>
                            <w:r w:rsidRPr="00FB7C3F">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C379B" id="Text Box 12" o:spid="_x0000_s1031" type="#_x0000_t202" style="position:absolute;left:0;text-align:left;margin-left:395.7pt;margin-top:286.8pt;width:71.5pt;height:2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" fillcolor="white [3201]" stroked="f" strokeweight=".5pt">
                <v:textbox>
                  <w:txbxContent>
                    <w:p w14:paraId="635D27E0" w14:textId="4A4B52EC" w:rsidR="00757A39" w:rsidRPr="00FB7C3F" w:rsidRDefault="00757A39">
                      <w:pPr>
                        <w:rPr>
                          <w:rFonts w:ascii="Times New Roman" w:hAnsi="Times New Roman" w:cs="Times New Roman"/>
                          <w:sz w:val="24"/>
                          <w:szCs w:val="24"/>
                        </w:rPr>
                      </w:pPr>
                      <w:r>
                        <w:rPr>
                          <w:rFonts w:ascii="Times New Roman" w:hAnsi="Times New Roman" w:cs="Times New Roman"/>
                          <w:sz w:val="24"/>
                          <w:szCs w:val="24"/>
                        </w:rPr>
                        <w:t>Equation 3</w:t>
                      </w:r>
                      <w:r w:rsidRPr="00FB7C3F">
                        <w:rPr>
                          <w:rFonts w:ascii="Times New Roman" w:hAnsi="Times New Roman" w:cs="Times New Roman"/>
                          <w:sz w:val="24"/>
                          <w:szCs w:val="24"/>
                        </w:rPr>
                        <w:t xml:space="preserve"> </w:t>
                      </w:r>
                    </w:p>
                  </w:txbxContent>
                </v:textbox>
              </v:shape>
            </w:pict>
          </mc:Fallback>
        </mc:AlternateContent>
      </w:r>
      <w:r w:rsidR="00355663" w:rsidRPr="00F07DEB">
        <w:rPr>
          <w:rFonts w:ascii="Times New Roman" w:hAnsi="Times New Roman" w:cs="Times New Roman"/>
          <w:sz w:val="24"/>
          <w:szCs w:val="24"/>
        </w:rPr>
        <w:t xml:space="preserve">The temporal nature of seed germination and emergence is characterized by an initial delay, a period of rapid expansion, and a leveling off. Because calculating and describing final </w:t>
      </w:r>
      <w:r w:rsidR="00355663" w:rsidRPr="00F07DEB">
        <w:rPr>
          <w:rFonts w:ascii="Times New Roman" w:hAnsi="Times New Roman" w:cs="Times New Roman"/>
          <w:sz w:val="24"/>
          <w:szCs w:val="24"/>
        </w:rPr>
        <w:lastRenderedPageBreak/>
        <w:t xml:space="preserve">germination percentages </w:t>
      </w:r>
      <w:r w:rsidR="00720A37" w:rsidRPr="00F07DEB">
        <w:rPr>
          <w:rFonts w:ascii="Times New Roman" w:hAnsi="Times New Roman" w:cs="Times New Roman"/>
          <w:sz w:val="24"/>
          <w:szCs w:val="24"/>
        </w:rPr>
        <w:t>captures only a small portion of the</w:t>
      </w:r>
      <w:r w:rsidR="00355663" w:rsidRPr="00F07DEB">
        <w:rPr>
          <w:rFonts w:ascii="Times New Roman" w:hAnsi="Times New Roman" w:cs="Times New Roman"/>
          <w:sz w:val="24"/>
          <w:szCs w:val="24"/>
        </w:rPr>
        <w:t xml:space="preserve"> holistic emergence pattern, </w:t>
      </w:r>
      <w:r w:rsidR="00812953" w:rsidRPr="00F07DEB">
        <w:rPr>
          <w:rFonts w:ascii="Times New Roman" w:hAnsi="Times New Roman" w:cs="Times New Roman"/>
          <w:sz w:val="24"/>
          <w:szCs w:val="24"/>
        </w:rPr>
        <w:t xml:space="preserve">Kaplan-Meier survivor functions were computed, plotted, and compared </w:t>
      </w:r>
      <w:r w:rsidR="00980B31" w:rsidRPr="00F07DEB">
        <w:rPr>
          <w:rFonts w:ascii="Times New Roman" w:hAnsi="Times New Roman" w:cs="Times New Roman"/>
          <w:sz w:val="24"/>
          <w:szCs w:val="24"/>
        </w:rPr>
        <w:t>using</w:t>
      </w:r>
      <w:r w:rsidR="00812953" w:rsidRPr="00F07DEB">
        <w:rPr>
          <w:rFonts w:ascii="Times New Roman" w:hAnsi="Times New Roman" w:cs="Times New Roman"/>
          <w:sz w:val="24"/>
          <w:szCs w:val="24"/>
        </w:rPr>
        <w:t xml:space="preserve"> the non-parametric log-rank test in Excel. </w:t>
      </w:r>
      <w:r w:rsidR="00472AB2" w:rsidRPr="00F07DEB">
        <w:rPr>
          <w:rFonts w:ascii="Times New Roman" w:hAnsi="Times New Roman" w:cs="Times New Roman"/>
          <w:sz w:val="24"/>
          <w:szCs w:val="24"/>
        </w:rPr>
        <w:t>T</w:t>
      </w:r>
      <w:r w:rsidR="00812953" w:rsidRPr="00F07DEB">
        <w:rPr>
          <w:rFonts w:ascii="Times New Roman" w:hAnsi="Times New Roman" w:cs="Times New Roman"/>
          <w:sz w:val="24"/>
          <w:szCs w:val="24"/>
        </w:rPr>
        <w:t xml:space="preserve">he survivor </w:t>
      </w:r>
      <w:r w:rsidR="00413560" w:rsidRPr="00F07DEB">
        <w:rPr>
          <w:rFonts w:ascii="Times New Roman" w:hAnsi="Times New Roman" w:cs="Times New Roman"/>
          <w:sz w:val="24"/>
          <w:szCs w:val="24"/>
        </w:rPr>
        <w:t xml:space="preserve">function is a form of time-to-event analysis in which </w:t>
      </w:r>
      <w:r w:rsidR="00413560" w:rsidRPr="00F07DEB">
        <w:rPr>
          <w:rFonts w:ascii="Times New Roman" w:hAnsi="Times New Roman" w:cs="Times New Roman"/>
          <w:i/>
          <w:sz w:val="24"/>
          <w:szCs w:val="24"/>
        </w:rPr>
        <w:t>S(t)</w:t>
      </w:r>
      <w:r w:rsidR="00472AB2" w:rsidRPr="00F07DEB">
        <w:rPr>
          <w:rFonts w:ascii="Times New Roman" w:hAnsi="Times New Roman" w:cs="Times New Roman"/>
          <w:sz w:val="24"/>
          <w:szCs w:val="24"/>
        </w:rPr>
        <w:t xml:space="preserve"> </w:t>
      </w:r>
      <w:r w:rsidR="00413560" w:rsidRPr="00F07DEB">
        <w:rPr>
          <w:rFonts w:ascii="Times New Roman" w:hAnsi="Times New Roman" w:cs="Times New Roman"/>
          <w:sz w:val="24"/>
          <w:szCs w:val="24"/>
        </w:rPr>
        <w:t xml:space="preserve">represents the probability </w:t>
      </w:r>
      <w:r w:rsidR="00F365E0" w:rsidRPr="00F07DEB">
        <w:rPr>
          <w:rFonts w:ascii="Times New Roman" w:hAnsi="Times New Roman" w:cs="Times New Roman"/>
          <w:sz w:val="24"/>
          <w:szCs w:val="24"/>
        </w:rPr>
        <w:t xml:space="preserve">that an event occurs after </w:t>
      </w:r>
      <w:r w:rsidR="00BF3744" w:rsidRPr="00087AA4">
        <w:rPr>
          <w:rFonts w:ascii="Times New Roman" w:hAnsi="Times New Roman" w:cs="Times New Roman"/>
          <w:iCs/>
          <w:sz w:val="24"/>
          <w:szCs w:val="24"/>
        </w:rPr>
        <w:t>a given time</w:t>
      </w:r>
      <w:r w:rsidR="00BF3744" w:rsidRPr="00F07DEB">
        <w:rPr>
          <w:rFonts w:ascii="Times New Roman" w:hAnsi="Times New Roman" w:cs="Times New Roman"/>
          <w:i/>
          <w:sz w:val="24"/>
          <w:szCs w:val="24"/>
        </w:rPr>
        <w:t xml:space="preserve"> </w:t>
      </w:r>
      <w:r w:rsidR="00EC3018" w:rsidRPr="00F07DEB">
        <w:rPr>
          <w:rFonts w:ascii="Times New Roman" w:hAnsi="Times New Roman" w:cs="Times New Roman"/>
          <w:i/>
          <w:sz w:val="24"/>
          <w:szCs w:val="24"/>
        </w:rPr>
        <w:fldChar w:fldCharType="begin"/>
      </w:r>
      <w:r w:rsidR="00EC3018" w:rsidRPr="00F07DEB">
        <w:rPr>
          <w:rFonts w:ascii="Times New Roman" w:hAnsi="Times New Roman" w:cs="Times New Roman"/>
          <w:i/>
          <w:sz w:val="24"/>
          <w:szCs w:val="24"/>
        </w:rPr>
        <w:instrText xml:space="preserve"> ADDIN ZOTERO_ITEM CSL_CITATION {"citationID":"x0TlSghw","properties":{"formattedCitation":"(McNair et al., 2012)","plainCitation":"(McNair et al., 2012)","noteIndex":0},"citationItems":[{"id":742,"uris":["http://zotero.org/users/5446453/items/ZYT2MQS6"],"uri":["http://zotero.org/users/5446453/items/ZYT2MQS6"],"itemData":{"id":742,"type":"article-journal","abstract":"Seed germination experiments are conducted in a wide variety of biological disciplines. Numerous methods of analysing the resulting data have been proposed, most of which fall into three classes: intuition-based germination indexes, classical nonlinear regression analysis and time-to-event analysis (also known as survival analysis, failure-time analysis and reliability analysis). This paper brieﬂy reviews all three of these classes, and argues that time-to-event analysis has important advantages over the other methods but has been underutilized to date. It also reviews in detail the types of time-to-event analysis that are most useful in analysing seed germination data with standard statistical software. These include non-parametric methods (life-table and Kaplan– Meier estimators, and various methods for comparing two or more groups of seeds) and semi-parametric methods (Cox proportional hazards model, which permits inclusion of categorical and quantitative covariates, and ﬁxed and random effects). Each method is illustrated by applying it to a set of real germination data. Sample code for conducting these analyses with two standard statistical programs is also provided in the supplementary material available online (at http://journals.cambridge.org/). The methods of time-to-event analysis reviewed here can be applied to many other types of biological data, such as seedling emergence times, ﬂowering times, development times for eggs or embryos, and organism lifetimes.","container-title":"Seed Science Research","DOI":"10.1017/S0960258511000547","ISSN":"0960-2585, 1475-2735","issue":"2","journalAbbreviation":"Seed Sci. Res.","language":"en","page":"77-95","source":"DOI.org (Crossref)","title":"How to analyse seed germination data using statistical time-to-event analysis: non-parametric and semi-parametric methods","title-short":"How to analyse seed germination data using statistical time-to-event analysis","volume":"22","author":[{"family":"McNair","given":"James N."},{"family":"Sunkara","given":"Anusha"},{"family":"Frobish","given":"Daniel"}],"issued":{"date-parts":[["2012",6]]}}}],"schema":"https://github.com/citation-style-language/schema/raw/master/csl-citation.json"} </w:instrText>
      </w:r>
      <w:r w:rsidR="00EC3018" w:rsidRPr="00F07DEB">
        <w:rPr>
          <w:rFonts w:ascii="Times New Roman" w:hAnsi="Times New Roman" w:cs="Times New Roman"/>
          <w:i/>
          <w:sz w:val="24"/>
          <w:szCs w:val="24"/>
        </w:rPr>
        <w:fldChar w:fldCharType="separate"/>
      </w:r>
      <w:r w:rsidR="00234033" w:rsidRPr="00234033">
        <w:rPr>
          <w:rFonts w:ascii="Times New Roman" w:hAnsi="Times New Roman" w:cs="Times New Roman"/>
          <w:sz w:val="24"/>
        </w:rPr>
        <w:t>(McNair et al., 2012)</w:t>
      </w:r>
      <w:r w:rsidR="00EC3018" w:rsidRPr="00F07DEB">
        <w:rPr>
          <w:rFonts w:ascii="Times New Roman" w:hAnsi="Times New Roman" w:cs="Times New Roman"/>
          <w:i/>
          <w:sz w:val="24"/>
          <w:szCs w:val="24"/>
        </w:rPr>
        <w:fldChar w:fldCharType="end"/>
      </w:r>
      <w:r w:rsidR="00F365E0" w:rsidRPr="00F07DEB">
        <w:rPr>
          <w:rFonts w:ascii="Times New Roman" w:hAnsi="Times New Roman" w:cs="Times New Roman"/>
          <w:sz w:val="24"/>
          <w:szCs w:val="24"/>
        </w:rPr>
        <w:t>.</w:t>
      </w:r>
      <w:r w:rsidR="00C75C60" w:rsidRPr="00F07DEB">
        <w:rPr>
          <w:rFonts w:ascii="Times New Roman" w:hAnsi="Times New Roman" w:cs="Times New Roman"/>
          <w:sz w:val="24"/>
          <w:szCs w:val="24"/>
        </w:rPr>
        <w:t xml:space="preserve"> </w:t>
      </w:r>
      <w:r w:rsidR="00980B31" w:rsidRPr="00F07DEB">
        <w:rPr>
          <w:rFonts w:ascii="Times New Roman" w:hAnsi="Times New Roman" w:cs="Times New Roman"/>
          <w:sz w:val="24"/>
          <w:szCs w:val="24"/>
        </w:rPr>
        <w:t>T</w:t>
      </w:r>
      <w:r w:rsidR="00A21F3C" w:rsidRPr="00F07DEB">
        <w:rPr>
          <w:rFonts w:ascii="Times New Roman" w:hAnsi="Times New Roman" w:cs="Times New Roman"/>
          <w:sz w:val="24"/>
          <w:szCs w:val="24"/>
        </w:rPr>
        <w:t>he</w:t>
      </w:r>
      <w:r w:rsidR="007F4F89" w:rsidRPr="00F07DEB">
        <w:rPr>
          <w:rFonts w:ascii="Times New Roman" w:hAnsi="Times New Roman" w:cs="Times New Roman"/>
          <w:sz w:val="24"/>
          <w:szCs w:val="24"/>
        </w:rPr>
        <w:t xml:space="preserve"> Kaplan-Meier es</w:t>
      </w:r>
      <w:r w:rsidR="00B963E4" w:rsidRPr="00F07DEB">
        <w:rPr>
          <w:rFonts w:ascii="Times New Roman" w:hAnsi="Times New Roman" w:cs="Times New Roman"/>
          <w:sz w:val="24"/>
          <w:szCs w:val="24"/>
        </w:rPr>
        <w:t>timate of the survivor function</w:t>
      </w:r>
      <w:r w:rsidR="007F4F89" w:rsidRPr="00F07DEB">
        <w:rPr>
          <w:rFonts w:ascii="Times New Roman" w:hAnsi="Times New Roman" w:cs="Times New Roman"/>
          <w:sz w:val="24"/>
          <w:szCs w:val="24"/>
        </w:rPr>
        <w:t xml:space="preserve"> </w:t>
      </w:r>
      <m:oMath>
        <m:acc>
          <m:accPr>
            <m:ctrlPr>
              <w:rPr>
                <w:rFonts w:ascii="Cambria Math" w:hAnsi="Cambria Math" w:cs="Times New Roman"/>
                <w:i/>
                <w:sz w:val="24"/>
                <w:szCs w:val="24"/>
              </w:rPr>
            </m:ctrlPr>
          </m:accPr>
          <m:e>
            <m:r>
              <w:rPr>
                <w:rFonts w:ascii="Cambria Math" w:hAnsi="Cambria Math" w:cs="Times New Roman"/>
                <w:sz w:val="24"/>
                <w:szCs w:val="24"/>
              </w:rPr>
              <m:t>S</m:t>
            </m:r>
          </m:e>
        </m:acc>
        <m:d>
          <m:dPr>
            <m:ctrlPr>
              <w:rPr>
                <w:rFonts w:ascii="Cambria Math" w:hAnsi="Cambria Math" w:cs="Times New Roman"/>
                <w:i/>
                <w:sz w:val="24"/>
                <w:szCs w:val="24"/>
              </w:rPr>
            </m:ctrlPr>
          </m:dPr>
          <m:e>
            <m:r>
              <w:rPr>
                <w:rFonts w:ascii="Cambria Math" w:hAnsi="Cambria Math" w:cs="Times New Roman"/>
                <w:sz w:val="24"/>
                <w:szCs w:val="24"/>
              </w:rPr>
              <m:t>t</m:t>
            </m:r>
          </m:e>
        </m:d>
      </m:oMath>
      <w:r w:rsidR="008E66B2" w:rsidRPr="00F07DEB">
        <w:rPr>
          <w:rFonts w:ascii="Times New Roman" w:hAnsi="Times New Roman" w:cs="Times New Roman"/>
          <w:sz w:val="24"/>
          <w:szCs w:val="24"/>
        </w:rPr>
        <w:t xml:space="preserve"> </w:t>
      </w:r>
      <w:r w:rsidR="00980B31" w:rsidRPr="00F07DEB">
        <w:rPr>
          <w:rFonts w:ascii="Times New Roman" w:hAnsi="Times New Roman" w:cs="Times New Roman"/>
          <w:sz w:val="24"/>
          <w:szCs w:val="24"/>
        </w:rPr>
        <w:t xml:space="preserve">calculates a cumulative distribution function (CDF) for count data without assuming a </w:t>
      </w:r>
      <w:r w:rsidR="00B01DC7" w:rsidRPr="00F07DEB">
        <w:rPr>
          <w:rFonts w:ascii="Times New Roman" w:hAnsi="Times New Roman" w:cs="Times New Roman"/>
          <w:sz w:val="24"/>
          <w:szCs w:val="24"/>
        </w:rPr>
        <w:t xml:space="preserve">particular </w:t>
      </w:r>
      <w:r w:rsidR="00980B31" w:rsidRPr="00F07DEB">
        <w:rPr>
          <w:rFonts w:ascii="Times New Roman" w:hAnsi="Times New Roman" w:cs="Times New Roman"/>
          <w:sz w:val="24"/>
          <w:szCs w:val="24"/>
        </w:rPr>
        <w:t xml:space="preserve">distribution </w:t>
      </w:r>
      <w:r w:rsidR="00B01DC7" w:rsidRPr="00F07DEB">
        <w:rPr>
          <w:rFonts w:ascii="Times New Roman" w:hAnsi="Times New Roman" w:cs="Times New Roman"/>
          <w:sz w:val="24"/>
          <w:szCs w:val="24"/>
        </w:rPr>
        <w:fldChar w:fldCharType="begin"/>
      </w:r>
      <w:r w:rsidR="00B01DC7" w:rsidRPr="00F07DEB">
        <w:rPr>
          <w:rFonts w:ascii="Times New Roman" w:hAnsi="Times New Roman" w:cs="Times New Roman"/>
          <w:sz w:val="24"/>
          <w:szCs w:val="24"/>
        </w:rPr>
        <w:instrText xml:space="preserve"> ADDIN ZOTERO_ITEM CSL_CITATION {"citationID":"iNJO5ebq","properties":{"formattedCitation":"(Helsel, 2005)","plainCitation":"(Helsel, 2005)","noteIndex":0},"citationItems":[{"id":747,"uris":["http://zotero.org/users/5446453/items/SSXCP8RQ"],"uri":["http://zotero.org/users/5446453/items/SSXCP8RQ"],"itemData":{"id":747,"type":"article-journal","container-title":"Environmental Science &amp; Technology","DOI":"10.1021/es053368a","ISSN":"0013-936X","issue":"20","journalAbbreviation":"Environ Sci Technol","language":"eng","note":"PMID: 16295833","page":"419A-423A","source":"PubMed","title":"More than obvious: better methods for interpreting nondetect data","title-short":"More than obvious","volume":"39","author":[{"family":"Helsel","given":"Dennis R."}],"issued":{"date-parts":[["2005",10,15]]}}}],"schema":"https://github.com/citation-style-language/schema/raw/master/csl-citation.json"} </w:instrText>
      </w:r>
      <w:r w:rsidR="00B01DC7"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(Helsel, 2005)</w:t>
      </w:r>
      <w:r w:rsidR="00B01DC7" w:rsidRPr="00F07DEB">
        <w:rPr>
          <w:rFonts w:ascii="Times New Roman" w:hAnsi="Times New Roman" w:cs="Times New Roman"/>
          <w:sz w:val="24"/>
          <w:szCs w:val="24"/>
        </w:rPr>
        <w:fldChar w:fldCharType="end"/>
      </w:r>
      <w:r w:rsidR="00980B31" w:rsidRPr="00F07DEB">
        <w:rPr>
          <w:rFonts w:ascii="Times New Roman" w:hAnsi="Times New Roman" w:cs="Times New Roman"/>
          <w:sz w:val="24"/>
          <w:szCs w:val="24"/>
        </w:rPr>
        <w:t>. The Kaplan-Meier est</w:t>
      </w:r>
      <w:r w:rsidR="006811C1" w:rsidRPr="00F07DEB">
        <w:rPr>
          <w:rFonts w:ascii="Times New Roman" w:hAnsi="Times New Roman" w:cs="Times New Roman"/>
          <w:sz w:val="24"/>
          <w:szCs w:val="24"/>
        </w:rPr>
        <w:t xml:space="preserve">imate is presented in Equation </w:t>
      </w:r>
      <w:r w:rsidR="00BF3744">
        <w:rPr>
          <w:rFonts w:ascii="Times New Roman" w:hAnsi="Times New Roman" w:cs="Times New Roman"/>
          <w:sz w:val="24"/>
          <w:szCs w:val="24"/>
        </w:rPr>
        <w:t>5</w:t>
      </w:r>
      <w:r w:rsidR="00980B31" w:rsidRPr="00F07DEB">
        <w:rPr>
          <w:rFonts w:ascii="Times New Roman" w:hAnsi="Times New Roman" w:cs="Times New Roman"/>
          <w:sz w:val="24"/>
          <w:szCs w:val="24"/>
        </w:rPr>
        <w:t>;</w:t>
      </w:r>
      <w:r w:rsidR="007F4F89" w:rsidRPr="00F07DEB">
        <w:rPr>
          <w:rFonts w:ascii="Times New Roman" w:hAnsi="Times New Roman" w:cs="Times New Roman"/>
          <w:sz w:val="24"/>
          <w:szCs w:val="24"/>
        </w:rPr>
        <w:t xml:space="preserve"> </w:t>
      </w:r>
      <w:r w:rsidR="00C86383" w:rsidRPr="00F07DEB">
        <w:rPr>
          <w:rFonts w:ascii="Times New Roman" w:hAnsi="Times New Roman" w:cs="Times New Roman"/>
          <w:i/>
          <w:sz w:val="24"/>
          <w:szCs w:val="24"/>
        </w:rPr>
        <w:t>d</w:t>
      </w:r>
      <w:r w:rsidR="00C86383" w:rsidRPr="00F07DEB">
        <w:rPr>
          <w:rFonts w:ascii="Times New Roman" w:hAnsi="Times New Roman" w:cs="Times New Roman"/>
          <w:i/>
          <w:sz w:val="24"/>
          <w:szCs w:val="24"/>
          <w:vertAlign w:val="subscript"/>
        </w:rPr>
        <w:t>i</w:t>
      </w:r>
      <w:r w:rsidR="00C86383" w:rsidRPr="00F07DEB">
        <w:rPr>
          <w:rFonts w:ascii="Times New Roman" w:hAnsi="Times New Roman" w:cs="Times New Roman"/>
          <w:sz w:val="24"/>
          <w:szCs w:val="24"/>
        </w:rPr>
        <w:t xml:space="preserve"> represents </w:t>
      </w:r>
      <w:r w:rsidR="00A21F3C" w:rsidRPr="00F07DEB">
        <w:rPr>
          <w:rFonts w:ascii="Times New Roman" w:hAnsi="Times New Roman" w:cs="Times New Roman"/>
          <w:sz w:val="24"/>
          <w:szCs w:val="24"/>
        </w:rPr>
        <w:t xml:space="preserve">the number of seeds that emerge </w:t>
      </w:r>
      <w:r w:rsidR="00C86383" w:rsidRPr="00F07DEB">
        <w:rPr>
          <w:rFonts w:ascii="Times New Roman" w:hAnsi="Times New Roman" w:cs="Times New Roman"/>
          <w:sz w:val="24"/>
          <w:szCs w:val="24"/>
        </w:rPr>
        <w:t>at time</w:t>
      </w:r>
      <w:r w:rsidR="00A21F3C" w:rsidRPr="00F07DEB">
        <w:rPr>
          <w:rFonts w:ascii="Times New Roman" w:hAnsi="Times New Roman" w:cs="Times New Roman"/>
          <w:sz w:val="24"/>
          <w:szCs w:val="24"/>
        </w:rPr>
        <w:t xml:space="preserve"> </w:t>
      </w:r>
      <w:proofErr w:type="spellStart"/>
      <w:r w:rsidR="00A21F3C" w:rsidRPr="00F07DEB">
        <w:rPr>
          <w:rFonts w:ascii="Times New Roman" w:hAnsi="Times New Roman" w:cs="Times New Roman"/>
          <w:i/>
          <w:sz w:val="24"/>
          <w:szCs w:val="24"/>
        </w:rPr>
        <w:t>t</w:t>
      </w:r>
      <w:r w:rsidR="00A21F3C" w:rsidRPr="00F07DEB">
        <w:rPr>
          <w:rFonts w:ascii="Times New Roman" w:hAnsi="Times New Roman" w:cs="Times New Roman"/>
          <w:i/>
          <w:sz w:val="24"/>
          <w:szCs w:val="24"/>
          <w:vertAlign w:val="subscript"/>
        </w:rPr>
        <w:t>i</w:t>
      </w:r>
      <w:proofErr w:type="spellEnd"/>
      <w:r w:rsidR="00EB55D0" w:rsidRPr="00F07DEB">
        <w:rPr>
          <w:rFonts w:ascii="Times New Roman" w:hAnsi="Times New Roman" w:cs="Times New Roman"/>
          <w:sz w:val="24"/>
          <w:szCs w:val="24"/>
        </w:rPr>
        <w:t xml:space="preserve">, </w:t>
      </w:r>
      <w:r w:rsidR="00A21F3C" w:rsidRPr="00F07DEB">
        <w:rPr>
          <w:rFonts w:ascii="Times New Roman" w:hAnsi="Times New Roman" w:cs="Times New Roman"/>
          <w:sz w:val="24"/>
          <w:szCs w:val="24"/>
        </w:rPr>
        <w:t xml:space="preserve">and </w:t>
      </w:r>
      <w:proofErr w:type="spellStart"/>
      <w:r w:rsidR="00C86383" w:rsidRPr="00F07DEB">
        <w:rPr>
          <w:rFonts w:ascii="Times New Roman" w:hAnsi="Times New Roman" w:cs="Times New Roman"/>
          <w:i/>
          <w:sz w:val="24"/>
          <w:szCs w:val="24"/>
        </w:rPr>
        <w:t>n</w:t>
      </w:r>
      <w:r w:rsidR="00C86383" w:rsidRPr="00F07DEB">
        <w:rPr>
          <w:rFonts w:ascii="Times New Roman" w:hAnsi="Times New Roman" w:cs="Times New Roman"/>
          <w:i/>
          <w:sz w:val="24"/>
          <w:szCs w:val="24"/>
          <w:vertAlign w:val="subscript"/>
        </w:rPr>
        <w:t>i</w:t>
      </w:r>
      <w:proofErr w:type="spellEnd"/>
      <w:r w:rsidR="00C86383" w:rsidRPr="00F07DEB">
        <w:rPr>
          <w:rFonts w:ascii="Times New Roman" w:hAnsi="Times New Roman" w:cs="Times New Roman"/>
          <w:sz w:val="24"/>
          <w:szCs w:val="24"/>
        </w:rPr>
        <w:t xml:space="preserve"> is </w:t>
      </w:r>
      <w:r w:rsidR="00A21F3C" w:rsidRPr="00F07DEB">
        <w:rPr>
          <w:rFonts w:ascii="Times New Roman" w:hAnsi="Times New Roman" w:cs="Times New Roman"/>
          <w:sz w:val="24"/>
          <w:szCs w:val="24"/>
        </w:rPr>
        <w:t xml:space="preserve">the </w:t>
      </w:r>
      <w:r w:rsidR="00252822" w:rsidRPr="00F07DEB">
        <w:rPr>
          <w:rFonts w:ascii="Times New Roman" w:hAnsi="Times New Roman" w:cs="Times New Roman"/>
          <w:noProof/>
          <w:sz w:val="24"/>
          <w:szCs w:val="24"/>
          <w:lang w:eastAsia="en-US"/>
        </w:rPr>
        <mc:AlternateContent>
          <mc:Choice Requires="wps">
            <w:drawing>
              <wp:anchor distT="0" distB="0" distL="114300" distR="114300" simplePos="0" relativeHeight="251679744" behindDoc="0" locked="0" layoutInCell="1" allowOverlap="1" wp14:anchorId="61867959" wp14:editId="425EFB98">
                <wp:simplePos x="0" y="0"/>
                <wp:positionH relativeFrom="column">
                  <wp:posOffset>5121762</wp:posOffset>
                </wp:positionH>
                <wp:positionV relativeFrom="paragraph">
                  <wp:posOffset>2986253</wp:posOffset>
                </wp:positionV>
                <wp:extent cx="914400" cy="374015"/>
                <wp:effectExtent l="0" t="0" r="0" b="6985"/>
                <wp:wrapNone/>
                <wp:docPr id="54" name="Text Box 54"/>
                <wp:cNvGraphicFramePr/>
                <a:graphic xmlns:a="http://schemas.openxmlformats.org/drawingml/2006/main">
                  <a:graphicData uri="http://schemas.microsoft.com/office/word/2010/wordprocessingShape">
                    <wps:wsp>
                      <wps:cNvSpPr txBox="1"/>
                      <wps:spPr>
                        <a:xfrm>
                          <a:off x="0" y="0"/>
                          <a:ext cx="914400" cy="374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FD6864" w14:textId="43B14B23" w:rsidR="00757A39" w:rsidRPr="00355EB3" w:rsidRDefault="00757A39" w:rsidP="00252822">
                            <w:pPr>
                              <w:rPr>
                                <w:rFonts w:ascii="Times New Roman" w:hAnsi="Times New Roman" w:cs="Times New Roman"/>
                                <w:sz w:val="24"/>
                                <w:szCs w:val="24"/>
                              </w:rPr>
                            </w:pPr>
                            <w:r>
                              <w:rPr>
                                <w:rFonts w:ascii="Times New Roman" w:hAnsi="Times New Roman" w:cs="Times New Roman"/>
                                <w:sz w:val="24"/>
                                <w:szCs w:val="24"/>
                              </w:rPr>
                              <w:t>Equation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67959" id="Text Box 54" o:spid="_x0000_s1032" type="#_x0000_t202" style="position:absolute;left:0;text-align:left;margin-left:403.3pt;margin-top:235.15pt;width:1in;height:29.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" fillcolor="white [3201]" stroked="f" strokeweight=".5pt">
                <v:textbox>
                  <w:txbxContent>
                    <w:p w14:paraId="3BFD6864" w14:textId="43B14B23" w:rsidR="00757A39" w:rsidRPr="00355EB3" w:rsidRDefault="00757A39" w:rsidP="00252822">
                      <w:pPr>
                        <w:rPr>
                          <w:rFonts w:ascii="Times New Roman" w:hAnsi="Times New Roman" w:cs="Times New Roman"/>
                          <w:sz w:val="24"/>
                          <w:szCs w:val="24"/>
                        </w:rPr>
                      </w:pPr>
                      <w:r>
                        <w:rPr>
                          <w:rFonts w:ascii="Times New Roman" w:hAnsi="Times New Roman" w:cs="Times New Roman"/>
                          <w:sz w:val="24"/>
                          <w:szCs w:val="24"/>
                        </w:rPr>
                        <w:t>Equation 5</w:t>
                      </w:r>
                    </w:p>
                  </w:txbxContent>
                </v:textbox>
              </v:shape>
            </w:pict>
          </mc:Fallback>
        </mc:AlternateContent>
      </w:r>
      <w:r w:rsidR="00A21F3C" w:rsidRPr="00F07DEB">
        <w:rPr>
          <w:rFonts w:ascii="Times New Roman" w:hAnsi="Times New Roman" w:cs="Times New Roman"/>
          <w:sz w:val="24"/>
          <w:szCs w:val="24"/>
        </w:rPr>
        <w:t>number of non-emer</w:t>
      </w:r>
      <w:r w:rsidR="00C86383" w:rsidRPr="00F07DEB">
        <w:rPr>
          <w:rFonts w:ascii="Times New Roman" w:hAnsi="Times New Roman" w:cs="Times New Roman"/>
          <w:sz w:val="24"/>
          <w:szCs w:val="24"/>
        </w:rPr>
        <w:t xml:space="preserve">ged viable seeds just before </w:t>
      </w:r>
      <w:proofErr w:type="spellStart"/>
      <w:r w:rsidR="00C86383" w:rsidRPr="00F07DEB">
        <w:rPr>
          <w:rFonts w:ascii="Times New Roman" w:hAnsi="Times New Roman" w:cs="Times New Roman"/>
          <w:i/>
          <w:sz w:val="24"/>
          <w:szCs w:val="24"/>
        </w:rPr>
        <w:t>t</w:t>
      </w:r>
      <w:r w:rsidR="00C86383" w:rsidRPr="00F07DEB">
        <w:rPr>
          <w:rFonts w:ascii="Times New Roman" w:hAnsi="Times New Roman" w:cs="Times New Roman"/>
          <w:i/>
          <w:sz w:val="24"/>
          <w:szCs w:val="24"/>
          <w:vertAlign w:val="subscript"/>
        </w:rPr>
        <w:t>i</w:t>
      </w:r>
      <w:proofErr w:type="spellEnd"/>
      <w:r w:rsidRPr="00F07DEB">
        <w:rPr>
          <w:rFonts w:ascii="Times New Roman" w:hAnsi="Times New Roman" w:cs="Times New Roman"/>
          <w:sz w:val="24"/>
          <w:szCs w:val="24"/>
        </w:rPr>
        <w:t xml:space="preserve"> </w:t>
      </w:r>
      <w:r w:rsidRPr="00F07DEB">
        <w:rPr>
          <w:rFonts w:ascii="Times New Roman" w:hAnsi="Times New Roman" w:cs="Times New Roman"/>
          <w:sz w:val="24"/>
          <w:szCs w:val="24"/>
        </w:rPr>
        <w:fldChar w:fldCharType="begin"/>
      </w:r>
      <w:r w:rsidRPr="00F07DEB">
        <w:rPr>
          <w:rFonts w:ascii="Times New Roman" w:hAnsi="Times New Roman" w:cs="Times New Roman"/>
          <w:sz w:val="24"/>
          <w:szCs w:val="24"/>
        </w:rPr>
        <w:instrText xml:space="preserve"> ADDIN ZOTERO_ITEM CSL_CITATION {"citationID":"IWqxCRfs","properties":{"formattedCitation":"(McNair et al., 2012)","plainCitation":"(McNair et al., 2012)","noteIndex":0},"citationItems":[{"id":742,"uris":["http://zotero.org/users/5446453/items/ZYT2MQS6"],"uri":["http://zotero.org/users/5446453/items/ZYT2MQS6"],"itemData":{"id":742,"type":"article-journal","abstract":"Seed germination experiments are conducted in a wide variety of biological disciplines. Numerous methods of analysing the resulting data have been proposed, most of which fall into three classes: intuition-based germination indexes, classical nonlinear regression analysis and time-to-event analysis (also known as survival analysis, failure-time analysis and reliability analysis). This paper brieﬂy reviews all three of these classes, and argues that time-to-event analysis has important advantages over the other methods but has been underutilized to date. It also reviews in detail the types of time-to-event analysis that are most useful in analysing seed germination data with standard statistical software. These include non-parametric methods (life-table and Kaplan– Meier estimators, and various methods for comparing two or more groups of seeds) and semi-parametric methods (Cox proportional hazards model, which permits inclusion of categorical and quantitative covariates, and ﬁxed and random effects). Each method is illustrated by applying it to a set of real germination data. Sample code for conducting these analyses with two standard statistical programs is also provided in the supplementary material available online (at http://journals.cambridge.org/). The methods of time-to-event analysis reviewed here can be applied to many other types of biological data, such as seedling emergence times, ﬂowering times, development times for eggs or embryos, and organism lifetimes.","container-title":"Seed Science Research","DOI":"10.1017/S0960258511000547","ISSN":"0960-2585, 1475-2735","issue":"2","journalAbbreviation":"Seed Sci. Res.","language":"en","page":"77-95","source":"DOI.org (Crossref)","title":"How to analyse seed germination data using statistical time-to-event analysis: non-parametric and semi-parametric methods","title-short":"How to analyse seed germination data using statistical time-to-event analysis","volume":"22","author":[{"family":"McNair","given":"James N."},{"family":"Sunkara","given":"Anusha"},{"family":"Frobish","given":"Daniel"}],"issued":{"date-parts":[["2012",6]]}}}],"schema":"https://github.com/citation-style-language/schema/raw/master/csl-citation.json"} </w:instrText>
      </w:r>
      <w:r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(McNair et al., 2012)</w:t>
      </w:r>
      <w:r w:rsidRPr="00F07DEB">
        <w:rPr>
          <w:rFonts w:ascii="Times New Roman" w:hAnsi="Times New Roman" w:cs="Times New Roman"/>
          <w:sz w:val="24"/>
          <w:szCs w:val="24"/>
        </w:rPr>
        <w:fldChar w:fldCharType="end"/>
      </w:r>
      <w:r w:rsidRPr="00F07DEB">
        <w:rPr>
          <w:rFonts w:ascii="Times New Roman" w:hAnsi="Times New Roman" w:cs="Times New Roman"/>
          <w:i/>
          <w:sz w:val="24"/>
          <w:szCs w:val="24"/>
          <w:vertAlign w:val="subscript"/>
        </w:rPr>
        <w:t xml:space="preserve"> </w:t>
      </w:r>
      <w:r w:rsidR="00C86383" w:rsidRPr="00F07DEB">
        <w:rPr>
          <w:rFonts w:ascii="Times New Roman" w:hAnsi="Times New Roman" w:cs="Times New Roman"/>
          <w:sz w:val="24"/>
          <w:szCs w:val="24"/>
        </w:rPr>
        <w:t>.</w:t>
      </w:r>
      <w:r w:rsidR="00B963E4" w:rsidRPr="00F07DEB">
        <w:rPr>
          <w:rFonts w:ascii="Times New Roman" w:hAnsi="Times New Roman" w:cs="Times New Roman"/>
          <w:sz w:val="24"/>
          <w:szCs w:val="24"/>
        </w:rPr>
        <w:t xml:space="preserve"> </w:t>
      </w:r>
    </w:p>
    <w:p w14:paraId="16121D17" w14:textId="0359B765" w:rsidR="00D470C9" w:rsidRPr="00F07DEB" w:rsidRDefault="005A0289" w:rsidP="00D4618F">
      <w:pPr>
        <w:spacing w:line="480" w:lineRule="auto"/>
        <w:ind w:firstLine="720"/>
        <w:rPr>
          <w:rFonts w:ascii="Times New Roman" w:hAnsi="Times New Roman" w:cs="Times New Roman"/>
          <w:sz w:val="24"/>
          <w:szCs w:val="24"/>
        </w:rPr>
      </w:pPr>
      <m:oMathPara>
        <m:oMathParaPr>
          <m:jc m:val="left"/>
        </m:oMathParaPr>
        <m:oMath>
          <m:acc>
            <m:accPr>
              <m:ctrlPr>
                <w:rPr>
                  <w:rFonts w:ascii="Cambria Math" w:hAnsi="Cambria Math" w:cs="Times New Roman"/>
                  <w:i/>
                  <w:sz w:val="24"/>
                  <w:szCs w:val="24"/>
                </w:rPr>
              </m:ctrlPr>
            </m:accPr>
            <m:e>
              <m:r>
                <w:rPr>
                  <w:rFonts w:ascii="Cambria Math" w:hAnsi="Cambria Math" w:cs="Times New Roman"/>
                  <w:sz w:val="24"/>
                  <w:szCs w:val="24"/>
                </w:rPr>
                <m:t>S</m:t>
              </m:r>
            </m:e>
          </m:acc>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&lt;t</m:t>
              </m:r>
            </m:sub>
            <m:sup/>
            <m:e>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en>
                  </m:f>
                </m:e>
              </m:d>
            </m:e>
          </m:nary>
        </m:oMath>
      </m:oMathPara>
    </w:p>
    <w:p w14:paraId="42D55435" w14:textId="0F222DF7" w:rsidR="00B36755" w:rsidRPr="00F07DEB" w:rsidRDefault="00E2047E" w:rsidP="00BE1CB6">
      <w:pPr>
        <w:spacing w:line="480" w:lineRule="auto"/>
        <w:rPr>
          <w:rFonts w:ascii="Times New Roman" w:hAnsi="Times New Roman" w:cs="Times New Roman"/>
          <w:sz w:val="24"/>
          <w:szCs w:val="24"/>
        </w:rPr>
      </w:pPr>
      <w:r w:rsidRPr="00F07DEB">
        <w:rPr>
          <w:rFonts w:ascii="Times New Roman" w:hAnsi="Times New Roman" w:cs="Times New Roman"/>
          <w:sz w:val="24"/>
          <w:szCs w:val="24"/>
        </w:rPr>
        <w:tab/>
      </w:r>
      <w:r w:rsidR="00691A7E" w:rsidRPr="00F07DEB">
        <w:rPr>
          <w:rFonts w:ascii="Times New Roman" w:hAnsi="Times New Roman" w:cs="Times New Roman"/>
          <w:sz w:val="24"/>
          <w:szCs w:val="24"/>
        </w:rPr>
        <w:t>At time 0, when no seedlings have emerged</w:t>
      </w:r>
      <w:proofErr w:type="gramStart"/>
      <w:r w:rsidR="00691A7E" w:rsidRPr="00F07DEB">
        <w:rPr>
          <w:rFonts w:ascii="Times New Roman" w:hAnsi="Times New Roman" w:cs="Times New Roman"/>
          <w:sz w:val="24"/>
          <w:szCs w:val="24"/>
        </w:rPr>
        <w:t xml:space="preserve">, </w:t>
      </w:r>
      <w:proofErr w:type="gramEnd"/>
      <m:oMath>
        <m:acc>
          <m:accPr>
            <m:ctrlPr>
              <w:rPr>
                <w:rFonts w:ascii="Cambria Math" w:hAnsi="Cambria Math" w:cs="Times New Roman"/>
                <w:i/>
                <w:sz w:val="24"/>
                <w:szCs w:val="24"/>
              </w:rPr>
            </m:ctrlPr>
          </m:accPr>
          <m:e>
            <m:r>
              <w:rPr>
                <w:rFonts w:ascii="Cambria Math" w:hAnsi="Cambria Math" w:cs="Times New Roman"/>
                <w:sz w:val="24"/>
                <w:szCs w:val="24"/>
              </w:rPr>
              <m:t>S</m:t>
            </m:r>
          </m:e>
        </m:acc>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=1</m:t>
        </m:r>
      </m:oMath>
      <w:r w:rsidR="00885470" w:rsidRPr="00F07DEB">
        <w:rPr>
          <w:rFonts w:ascii="Times New Roman" w:hAnsi="Times New Roman" w:cs="Times New Roman"/>
          <w:sz w:val="24"/>
          <w:szCs w:val="24"/>
        </w:rPr>
        <w:t>.</w:t>
      </w:r>
      <w:r w:rsidR="00691A7E" w:rsidRPr="00F07DEB">
        <w:rPr>
          <w:rFonts w:ascii="Times New Roman" w:hAnsi="Times New Roman" w:cs="Times New Roman"/>
          <w:sz w:val="24"/>
          <w:szCs w:val="24"/>
        </w:rPr>
        <w:t xml:space="preserve"> </w:t>
      </w:r>
      <w:r w:rsidR="00885470" w:rsidRPr="00F07DEB">
        <w:rPr>
          <w:rFonts w:ascii="Times New Roman" w:hAnsi="Times New Roman" w:cs="Times New Roman"/>
          <w:sz w:val="24"/>
          <w:szCs w:val="24"/>
        </w:rPr>
        <w:t>The survival function,</w:t>
      </w:r>
      <w:r w:rsidR="00F24630" w:rsidRPr="00F07DEB">
        <w:rPr>
          <w:rFonts w:ascii="Times New Roman" w:hAnsi="Times New Roman" w:cs="Times New Roman"/>
          <w:sz w:val="24"/>
          <w:szCs w:val="24"/>
        </w:rPr>
        <w:t xml:space="preserve"> or the probability that a seed sprouts</w:t>
      </w:r>
      <w:r w:rsidR="00885470" w:rsidRPr="00F07DEB">
        <w:rPr>
          <w:rFonts w:ascii="Times New Roman" w:hAnsi="Times New Roman" w:cs="Times New Roman"/>
          <w:sz w:val="24"/>
          <w:szCs w:val="24"/>
        </w:rPr>
        <w:t xml:space="preserve"> at a later time, decreases</w:t>
      </w:r>
      <w:r w:rsidR="00037ADD" w:rsidRPr="00F07DEB">
        <w:rPr>
          <w:rFonts w:ascii="Times New Roman" w:hAnsi="Times New Roman" w:cs="Times New Roman"/>
          <w:sz w:val="24"/>
          <w:szCs w:val="24"/>
        </w:rPr>
        <w:t xml:space="preserve"> in a step-wise manner with each recorded emergence after an initial delay inherent to seed germination</w:t>
      </w:r>
      <w:r w:rsidR="00E2428F" w:rsidRPr="00F07DEB">
        <w:rPr>
          <w:rFonts w:ascii="Times New Roman" w:hAnsi="Times New Roman" w:cs="Times New Roman"/>
          <w:sz w:val="24"/>
          <w:szCs w:val="24"/>
        </w:rPr>
        <w:t xml:space="preserve">. </w:t>
      </w:r>
      <w:r w:rsidR="000B1BB3" w:rsidRPr="00F07DEB">
        <w:rPr>
          <w:rFonts w:ascii="Times New Roman" w:hAnsi="Times New Roman" w:cs="Times New Roman"/>
          <w:sz w:val="24"/>
          <w:szCs w:val="24"/>
        </w:rPr>
        <w:t>The log-rank test</w:t>
      </w:r>
      <w:r w:rsidR="00AA5868" w:rsidRPr="00F07DEB">
        <w:rPr>
          <w:rFonts w:ascii="Times New Roman" w:hAnsi="Times New Roman" w:cs="Times New Roman"/>
          <w:sz w:val="24"/>
          <w:szCs w:val="24"/>
        </w:rPr>
        <w:t xml:space="preserve"> evaluates the null hypothesis </w:t>
      </w:r>
      <w:r w:rsidR="00FC6F73">
        <w:rPr>
          <w:rFonts w:ascii="Times New Roman" w:hAnsi="Times New Roman" w:cs="Times New Roman"/>
          <w:sz w:val="24"/>
          <w:szCs w:val="24"/>
        </w:rPr>
        <w:t>(</w:t>
      </w:r>
      <w:r w:rsidR="00AA5868" w:rsidRPr="00F07DEB">
        <w:rPr>
          <w:rFonts w:ascii="Times New Roman" w:hAnsi="Times New Roman" w:cs="Times New Roman"/>
          <w:i/>
          <w:sz w:val="24"/>
          <w:szCs w:val="24"/>
        </w:rPr>
        <w:t>H</w:t>
      </w:r>
      <w:r w:rsidR="00AA5868" w:rsidRPr="00F07DEB">
        <w:rPr>
          <w:rFonts w:ascii="Times New Roman" w:hAnsi="Times New Roman" w:cs="Times New Roman"/>
          <w:sz w:val="24"/>
          <w:szCs w:val="24"/>
          <w:vertAlign w:val="subscript"/>
        </w:rPr>
        <w:t>0</w:t>
      </w:r>
      <w:r w:rsidR="00FC6F73">
        <w:rPr>
          <w:rFonts w:ascii="Times New Roman" w:hAnsi="Times New Roman" w:cs="Times New Roman"/>
          <w:sz w:val="24"/>
          <w:szCs w:val="24"/>
        </w:rPr>
        <w:t xml:space="preserve">) </w:t>
      </w:r>
      <w:r w:rsidR="00AA5868" w:rsidRPr="00F07DEB">
        <w:rPr>
          <w:rFonts w:ascii="Times New Roman" w:hAnsi="Times New Roman" w:cs="Times New Roman"/>
          <w:sz w:val="24"/>
          <w:szCs w:val="24"/>
        </w:rPr>
        <w:t>that the survival curves for two groups of seeds are the same</w:t>
      </w:r>
      <w:r w:rsidR="000B1BB3" w:rsidRPr="00F07DEB">
        <w:rPr>
          <w:rFonts w:ascii="Times New Roman" w:hAnsi="Times New Roman" w:cs="Times New Roman"/>
          <w:sz w:val="24"/>
          <w:szCs w:val="24"/>
        </w:rPr>
        <w:t xml:space="preserve"> </w:t>
      </w:r>
      <w:r w:rsidR="00AA5868" w:rsidRPr="00F07DEB">
        <w:rPr>
          <w:rFonts w:ascii="Times New Roman" w:hAnsi="Times New Roman" w:cs="Times New Roman"/>
          <w:sz w:val="24"/>
          <w:szCs w:val="24"/>
        </w:rPr>
        <w:t>by comparing</w:t>
      </w:r>
      <w:r w:rsidR="000B1BB3" w:rsidRPr="00F07DEB">
        <w:rPr>
          <w:rFonts w:ascii="Times New Roman" w:hAnsi="Times New Roman" w:cs="Times New Roman"/>
          <w:sz w:val="24"/>
          <w:szCs w:val="24"/>
        </w:rPr>
        <w:t xml:space="preserve"> </w:t>
      </w:r>
      <w:r w:rsidR="004B2057" w:rsidRPr="00F07DEB">
        <w:rPr>
          <w:rFonts w:ascii="Times New Roman" w:hAnsi="Times New Roman" w:cs="Times New Roman"/>
          <w:sz w:val="24"/>
          <w:szCs w:val="24"/>
        </w:rPr>
        <w:t xml:space="preserve">the groups’ values of </w:t>
      </w:r>
      <w:r w:rsidR="000B1BB3" w:rsidRPr="00F07DEB">
        <w:rPr>
          <w:rFonts w:ascii="Times New Roman" w:hAnsi="Times New Roman" w:cs="Times New Roman"/>
          <w:i/>
          <w:sz w:val="24"/>
          <w:szCs w:val="24"/>
        </w:rPr>
        <w:t>d</w:t>
      </w:r>
      <w:r w:rsidR="000B1BB3" w:rsidRPr="00F07DEB">
        <w:rPr>
          <w:rFonts w:ascii="Times New Roman" w:hAnsi="Times New Roman" w:cs="Times New Roman"/>
          <w:i/>
          <w:sz w:val="24"/>
          <w:szCs w:val="24"/>
          <w:vertAlign w:val="subscript"/>
        </w:rPr>
        <w:t>i</w:t>
      </w:r>
      <w:r w:rsidR="000B1BB3" w:rsidRPr="00F07DEB">
        <w:rPr>
          <w:rFonts w:ascii="Times New Roman" w:hAnsi="Times New Roman" w:cs="Times New Roman"/>
          <w:sz w:val="24"/>
          <w:szCs w:val="24"/>
        </w:rPr>
        <w:t xml:space="preserve"> and </w:t>
      </w:r>
      <w:proofErr w:type="spellStart"/>
      <w:proofErr w:type="gramStart"/>
      <w:r w:rsidR="000B1BB3" w:rsidRPr="00F07DEB">
        <w:rPr>
          <w:rFonts w:ascii="Times New Roman" w:hAnsi="Times New Roman" w:cs="Times New Roman"/>
          <w:i/>
          <w:sz w:val="24"/>
          <w:szCs w:val="24"/>
        </w:rPr>
        <w:t>n</w:t>
      </w:r>
      <w:r w:rsidR="000B1BB3" w:rsidRPr="00F07DEB">
        <w:rPr>
          <w:rFonts w:ascii="Times New Roman" w:hAnsi="Times New Roman" w:cs="Times New Roman"/>
          <w:i/>
          <w:sz w:val="24"/>
          <w:szCs w:val="24"/>
          <w:vertAlign w:val="subscript"/>
        </w:rPr>
        <w:t>i</w:t>
      </w:r>
      <w:proofErr w:type="spellEnd"/>
      <w:proofErr w:type="gramEnd"/>
      <w:r w:rsidR="000B1BB3" w:rsidRPr="00F07DEB">
        <w:rPr>
          <w:rFonts w:ascii="Times New Roman" w:hAnsi="Times New Roman" w:cs="Times New Roman"/>
          <w:sz w:val="24"/>
          <w:szCs w:val="24"/>
        </w:rPr>
        <w:t>.</w:t>
      </w:r>
      <w:r w:rsidR="00A602CC" w:rsidRPr="00F07DEB">
        <w:rPr>
          <w:rFonts w:ascii="Times New Roman" w:hAnsi="Times New Roman" w:cs="Times New Roman"/>
          <w:sz w:val="24"/>
          <w:szCs w:val="24"/>
        </w:rPr>
        <w:t xml:space="preserve"> </w:t>
      </w:r>
      <w:r w:rsidR="004B2057" w:rsidRPr="00F07DEB">
        <w:rPr>
          <w:rFonts w:ascii="Times New Roman" w:hAnsi="Times New Roman" w:cs="Times New Roman"/>
          <w:sz w:val="24"/>
          <w:szCs w:val="24"/>
        </w:rPr>
        <w:t xml:space="preserve">The survival curves for </w:t>
      </w:r>
      <w:r w:rsidR="003A7D4D" w:rsidRPr="00F07DEB">
        <w:rPr>
          <w:rFonts w:ascii="Times New Roman" w:hAnsi="Times New Roman" w:cs="Times New Roman"/>
          <w:sz w:val="24"/>
          <w:szCs w:val="24"/>
        </w:rPr>
        <w:t>CG and CM</w:t>
      </w:r>
      <w:r w:rsidR="004B2057" w:rsidRPr="00F07DEB">
        <w:rPr>
          <w:rFonts w:ascii="Times New Roman" w:hAnsi="Times New Roman" w:cs="Times New Roman"/>
          <w:sz w:val="24"/>
          <w:szCs w:val="24"/>
        </w:rPr>
        <w:t xml:space="preserve"> </w:t>
      </w:r>
      <w:r w:rsidR="003A7D4D" w:rsidRPr="00F07DEB">
        <w:rPr>
          <w:rFonts w:ascii="Times New Roman" w:hAnsi="Times New Roman" w:cs="Times New Roman"/>
          <w:sz w:val="24"/>
          <w:szCs w:val="24"/>
        </w:rPr>
        <w:t>plotted</w:t>
      </w:r>
      <w:r w:rsidR="004B2057" w:rsidRPr="00F07DEB">
        <w:rPr>
          <w:rFonts w:ascii="Times New Roman" w:hAnsi="Times New Roman" w:cs="Times New Roman"/>
          <w:sz w:val="24"/>
          <w:szCs w:val="24"/>
        </w:rPr>
        <w:t xml:space="preserve"> in </w:t>
      </w:r>
      <w:r w:rsidR="004B2057" w:rsidRPr="00F07DEB">
        <w:rPr>
          <w:rFonts w:ascii="Times New Roman" w:hAnsi="Times New Roman" w:cs="Times New Roman"/>
          <w:sz w:val="24"/>
          <w:szCs w:val="24"/>
        </w:rPr>
        <w:fldChar w:fldCharType="begin"/>
      </w:r>
      <w:r w:rsidR="004B2057" w:rsidRPr="00F07DEB">
        <w:rPr>
          <w:rFonts w:ascii="Times New Roman" w:hAnsi="Times New Roman" w:cs="Times New Roman"/>
          <w:sz w:val="24"/>
          <w:szCs w:val="24"/>
        </w:rPr>
        <w:instrText xml:space="preserve"> REF _Ref55635383 \h  \* MERGEFORMAT </w:instrText>
      </w:r>
      <w:r w:rsidR="004B2057" w:rsidRPr="00F07DEB">
        <w:rPr>
          <w:rFonts w:ascii="Times New Roman" w:hAnsi="Times New Roman" w:cs="Times New Roman"/>
          <w:sz w:val="24"/>
          <w:szCs w:val="24"/>
        </w:rPr>
      </w:r>
      <w:r w:rsidR="004B2057"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10</w:t>
      </w:r>
      <w:r w:rsidR="004B2057" w:rsidRPr="00F07DEB">
        <w:rPr>
          <w:rFonts w:ascii="Times New Roman" w:hAnsi="Times New Roman" w:cs="Times New Roman"/>
          <w:sz w:val="24"/>
          <w:szCs w:val="24"/>
        </w:rPr>
        <w:fldChar w:fldCharType="end"/>
      </w:r>
      <w:r w:rsidR="00EC3018" w:rsidRPr="00F07DEB">
        <w:rPr>
          <w:rFonts w:ascii="Times New Roman" w:hAnsi="Times New Roman" w:cs="Times New Roman"/>
          <w:sz w:val="24"/>
          <w:szCs w:val="24"/>
        </w:rPr>
        <w:t xml:space="preserve"> </w:t>
      </w:r>
      <w:r w:rsidR="003A7D4D" w:rsidRPr="00F07DEB">
        <w:rPr>
          <w:rFonts w:ascii="Times New Roman" w:hAnsi="Times New Roman" w:cs="Times New Roman"/>
          <w:sz w:val="24"/>
          <w:szCs w:val="24"/>
        </w:rPr>
        <w:t>are</w:t>
      </w:r>
      <w:r w:rsidR="004B2057" w:rsidRPr="00F07DEB">
        <w:rPr>
          <w:rFonts w:ascii="Times New Roman" w:hAnsi="Times New Roman" w:cs="Times New Roman"/>
          <w:sz w:val="24"/>
          <w:szCs w:val="24"/>
        </w:rPr>
        <w:t xml:space="preserve"> not significantly different</w:t>
      </w:r>
      <w:r w:rsidR="008B7BA5" w:rsidRPr="00F07DEB">
        <w:rPr>
          <w:rFonts w:ascii="Times New Roman" w:hAnsi="Times New Roman" w:cs="Times New Roman"/>
          <w:sz w:val="24"/>
          <w:szCs w:val="24"/>
        </w:rPr>
        <w:t xml:space="preserve"> at an alpha level of 0.05</w:t>
      </w:r>
      <w:r w:rsidR="00491498" w:rsidRPr="00F07DEB">
        <w:rPr>
          <w:rFonts w:ascii="Times New Roman" w:hAnsi="Times New Roman" w:cs="Times New Roman"/>
          <w:sz w:val="24"/>
          <w:szCs w:val="24"/>
        </w:rPr>
        <w:t xml:space="preserve"> (</w:t>
      </w:r>
      <w:r w:rsidR="00491498" w:rsidRPr="00F07DEB">
        <w:rPr>
          <w:rFonts w:ascii="Times New Roman" w:hAnsi="Times New Roman" w:cs="Times New Roman"/>
          <w:i/>
          <w:sz w:val="24"/>
          <w:szCs w:val="24"/>
        </w:rPr>
        <w:t xml:space="preserve">p </w:t>
      </w:r>
      <w:r w:rsidR="00491498" w:rsidRPr="00F07DEB">
        <w:rPr>
          <w:rFonts w:ascii="Times New Roman" w:hAnsi="Times New Roman" w:cs="Times New Roman"/>
          <w:sz w:val="24"/>
          <w:szCs w:val="24"/>
        </w:rPr>
        <w:t>= 0.968)</w:t>
      </w:r>
      <w:r w:rsidR="008B7BA5" w:rsidRPr="00F07DEB">
        <w:rPr>
          <w:rFonts w:ascii="Times New Roman" w:hAnsi="Times New Roman" w:cs="Times New Roman"/>
          <w:sz w:val="24"/>
          <w:szCs w:val="24"/>
        </w:rPr>
        <w:t>.</w:t>
      </w:r>
      <w:r w:rsidR="00257CA7" w:rsidRPr="00F07DEB">
        <w:rPr>
          <w:rFonts w:ascii="Times New Roman" w:hAnsi="Times New Roman" w:cs="Times New Roman"/>
          <w:sz w:val="24"/>
          <w:szCs w:val="24"/>
        </w:rPr>
        <w:t xml:space="preserve"> </w:t>
      </w:r>
      <w:r w:rsidR="00636255">
        <w:rPr>
          <w:rFonts w:ascii="Times New Roman" w:hAnsi="Times New Roman" w:cs="Times New Roman"/>
          <w:sz w:val="24"/>
          <w:szCs w:val="24"/>
        </w:rPr>
        <w:t>Likewise, t</w:t>
      </w:r>
      <w:r w:rsidR="003A7D4D" w:rsidRPr="00F07DEB">
        <w:rPr>
          <w:rFonts w:ascii="Times New Roman" w:hAnsi="Times New Roman" w:cs="Times New Roman"/>
          <w:sz w:val="24"/>
          <w:szCs w:val="24"/>
        </w:rPr>
        <w:t xml:space="preserve">he survival curves for SG and SM plotted in </w:t>
      </w:r>
      <w:r w:rsidR="003A7D4D" w:rsidRPr="00F07DEB">
        <w:rPr>
          <w:rFonts w:ascii="Times New Roman" w:hAnsi="Times New Roman" w:cs="Times New Roman"/>
          <w:sz w:val="24"/>
          <w:szCs w:val="24"/>
        </w:rPr>
        <w:fldChar w:fldCharType="begin"/>
      </w:r>
      <w:r w:rsidR="003A7D4D" w:rsidRPr="00F07DEB">
        <w:rPr>
          <w:rFonts w:ascii="Times New Roman" w:hAnsi="Times New Roman" w:cs="Times New Roman"/>
          <w:sz w:val="24"/>
          <w:szCs w:val="24"/>
        </w:rPr>
        <w:instrText xml:space="preserve"> REF _Ref55639995 \h  \* MERGEFORMAT </w:instrText>
      </w:r>
      <w:r w:rsidR="003A7D4D" w:rsidRPr="00F07DEB">
        <w:rPr>
          <w:rFonts w:ascii="Times New Roman" w:hAnsi="Times New Roman" w:cs="Times New Roman"/>
          <w:sz w:val="24"/>
          <w:szCs w:val="24"/>
        </w:rPr>
      </w:r>
      <w:r w:rsidR="003A7D4D"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11</w:t>
      </w:r>
      <w:r w:rsidR="003A7D4D" w:rsidRPr="00F07DEB">
        <w:rPr>
          <w:rFonts w:ascii="Times New Roman" w:hAnsi="Times New Roman" w:cs="Times New Roman"/>
          <w:sz w:val="24"/>
          <w:szCs w:val="24"/>
        </w:rPr>
        <w:fldChar w:fldCharType="end"/>
      </w:r>
      <w:r w:rsidR="003A7D4D" w:rsidRPr="00F07DEB">
        <w:rPr>
          <w:rFonts w:ascii="Times New Roman" w:hAnsi="Times New Roman" w:cs="Times New Roman"/>
          <w:sz w:val="24"/>
          <w:szCs w:val="24"/>
        </w:rPr>
        <w:t xml:space="preserve"> are not significantly different at an alpha level of 0.05 (</w:t>
      </w:r>
      <w:r w:rsidR="003A7D4D" w:rsidRPr="00F07DEB">
        <w:rPr>
          <w:rFonts w:ascii="Times New Roman" w:hAnsi="Times New Roman" w:cs="Times New Roman"/>
          <w:i/>
          <w:sz w:val="24"/>
          <w:szCs w:val="24"/>
        </w:rPr>
        <w:t>p</w:t>
      </w:r>
      <w:r w:rsidR="003A7D4D" w:rsidRPr="00F07DEB">
        <w:rPr>
          <w:rFonts w:ascii="Times New Roman" w:hAnsi="Times New Roman" w:cs="Times New Roman"/>
          <w:sz w:val="24"/>
          <w:szCs w:val="24"/>
        </w:rPr>
        <w:t xml:space="preserve"> = </w:t>
      </w:r>
      <w:r w:rsidR="000A2016" w:rsidRPr="00F07DEB">
        <w:rPr>
          <w:rFonts w:ascii="Times New Roman" w:hAnsi="Times New Roman" w:cs="Times New Roman"/>
          <w:sz w:val="24"/>
          <w:szCs w:val="24"/>
        </w:rPr>
        <w:t>0.871).</w:t>
      </w:r>
      <w:r w:rsidR="002D451C" w:rsidRPr="00F07DEB">
        <w:rPr>
          <w:rFonts w:ascii="Times New Roman" w:hAnsi="Times New Roman" w:cs="Times New Roman"/>
          <w:sz w:val="24"/>
          <w:szCs w:val="24"/>
        </w:rPr>
        <w:t xml:space="preserve"> </w:t>
      </w:r>
      <w:r w:rsidR="0035328F" w:rsidRPr="00F07DEB">
        <w:rPr>
          <w:rFonts w:ascii="Times New Roman" w:hAnsi="Times New Roman" w:cs="Times New Roman"/>
          <w:sz w:val="24"/>
          <w:szCs w:val="24"/>
        </w:rPr>
        <w:t xml:space="preserve">Because irrigation treatment did not have a significant effect on the temporal emergence patterns of corn or sorghum seedlings during the proof-of-concept greenhouse experiment, the proposed “combination” treatment of irrigating with groundwater until emergence and then switching to mine water to overcome a mine water-induced germination bottleneck would not be necessary during the full-scale experiment. </w:t>
      </w:r>
      <w:r w:rsidR="00CE3D29">
        <w:rPr>
          <w:rFonts w:ascii="Times New Roman" w:hAnsi="Times New Roman" w:cs="Times New Roman"/>
          <w:sz w:val="24"/>
          <w:szCs w:val="24"/>
        </w:rPr>
        <w:t>Pe</w:t>
      </w:r>
      <w:r w:rsidR="00CE3D29" w:rsidRPr="00CE3D29">
        <w:rPr>
          <w:rFonts w:ascii="Times New Roman" w:hAnsi="Times New Roman" w:cs="Times New Roman"/>
          <w:sz w:val="24"/>
          <w:szCs w:val="24"/>
        </w:rPr>
        <w:t xml:space="preserve">r </w:t>
      </w:r>
      <w:r w:rsidR="00CE3D29" w:rsidRPr="00CE3D29">
        <w:rPr>
          <w:rFonts w:ascii="Times New Roman" w:hAnsi="Times New Roman" w:cs="Times New Roman"/>
          <w:sz w:val="24"/>
          <w:szCs w:val="24"/>
        </w:rPr>
        <w:fldChar w:fldCharType="begin"/>
      </w:r>
      <w:r w:rsidR="00CE3D29" w:rsidRPr="00CE3D29">
        <w:rPr>
          <w:rFonts w:ascii="Times New Roman" w:hAnsi="Times New Roman" w:cs="Times New Roman"/>
          <w:sz w:val="24"/>
          <w:szCs w:val="24"/>
        </w:rPr>
        <w:instrText xml:space="preserve"> REF _Ref56718400 \h  \* MERGEFORMAT </w:instrText>
      </w:r>
      <w:r w:rsidR="00CE3D29" w:rsidRPr="00CE3D29">
        <w:rPr>
          <w:rFonts w:ascii="Times New Roman" w:hAnsi="Times New Roman" w:cs="Times New Roman"/>
          <w:sz w:val="24"/>
          <w:szCs w:val="24"/>
        </w:rPr>
      </w:r>
      <w:r w:rsidR="00CE3D29" w:rsidRPr="00CE3D29">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12</w:t>
      </w:r>
      <w:r w:rsidR="00CE3D29" w:rsidRPr="00CE3D29">
        <w:rPr>
          <w:rFonts w:ascii="Times New Roman" w:hAnsi="Times New Roman" w:cs="Times New Roman"/>
          <w:sz w:val="24"/>
          <w:szCs w:val="24"/>
        </w:rPr>
        <w:fldChar w:fldCharType="end"/>
      </w:r>
      <w:r w:rsidR="00CE3D29" w:rsidRPr="00CE3D29">
        <w:rPr>
          <w:rFonts w:ascii="Times New Roman" w:hAnsi="Times New Roman" w:cs="Times New Roman"/>
          <w:sz w:val="24"/>
          <w:szCs w:val="24"/>
        </w:rPr>
        <w:t>, t</w:t>
      </w:r>
      <w:r w:rsidR="004F49EC" w:rsidRPr="00CE3D29">
        <w:rPr>
          <w:rFonts w:ascii="Times New Roman" w:hAnsi="Times New Roman" w:cs="Times New Roman"/>
          <w:sz w:val="24"/>
          <w:szCs w:val="24"/>
        </w:rPr>
        <w:t>he</w:t>
      </w:r>
      <w:r w:rsidR="004F49EC" w:rsidRPr="00F07DEB">
        <w:rPr>
          <w:rFonts w:ascii="Times New Roman" w:hAnsi="Times New Roman" w:cs="Times New Roman"/>
          <w:sz w:val="24"/>
          <w:szCs w:val="24"/>
        </w:rPr>
        <w:t xml:space="preserve"> survival curves for corn and sorghum seeds planted in amended and non-amended soil are not significantly different at an alpha level of 0.05 </w:t>
      </w:r>
      <w:r w:rsidR="004F49EC" w:rsidRPr="00F07DEB">
        <w:rPr>
          <w:rFonts w:ascii="Times New Roman" w:hAnsi="Times New Roman" w:cs="Times New Roman"/>
          <w:sz w:val="24"/>
          <w:szCs w:val="24"/>
        </w:rPr>
        <w:lastRenderedPageBreak/>
        <w:t>(</w:t>
      </w:r>
      <w:r w:rsidR="004F49EC" w:rsidRPr="00F07DEB">
        <w:rPr>
          <w:rFonts w:ascii="Times New Roman" w:hAnsi="Times New Roman" w:cs="Times New Roman"/>
          <w:i/>
          <w:sz w:val="24"/>
          <w:szCs w:val="24"/>
        </w:rPr>
        <w:t>p</w:t>
      </w:r>
      <w:r w:rsidR="004F49EC" w:rsidRPr="00F07DEB">
        <w:rPr>
          <w:rFonts w:ascii="Times New Roman" w:hAnsi="Times New Roman" w:cs="Times New Roman"/>
          <w:sz w:val="24"/>
          <w:szCs w:val="24"/>
        </w:rPr>
        <w:t xml:space="preserve"> = 0.702). The addition of SMC to potting mix </w:t>
      </w:r>
      <w:r w:rsidR="00087AA4">
        <w:rPr>
          <w:rFonts w:ascii="Times New Roman" w:hAnsi="Times New Roman" w:cs="Times New Roman"/>
          <w:sz w:val="24"/>
          <w:szCs w:val="24"/>
        </w:rPr>
        <w:t>visibly</w:t>
      </w:r>
      <w:r w:rsidR="004F49EC" w:rsidRPr="00F07DEB">
        <w:rPr>
          <w:rFonts w:ascii="Times New Roman" w:hAnsi="Times New Roman" w:cs="Times New Roman"/>
          <w:sz w:val="24"/>
          <w:szCs w:val="24"/>
        </w:rPr>
        <w:t xml:space="preserve"> increased soil moisture content in the amended pots when compared to non-amended pots; the surface and subsurface of the amended soil </w:t>
      </w:r>
      <w:r w:rsidR="00B01495" w:rsidRPr="00F07DEB">
        <w:rPr>
          <w:rFonts w:ascii="Times New Roman" w:hAnsi="Times New Roman" w:cs="Times New Roman"/>
          <w:sz w:val="24"/>
          <w:szCs w:val="24"/>
        </w:rPr>
        <w:t xml:space="preserve">remained moist to the touch between watering events, whereas the non-amended potting mix drained </w:t>
      </w:r>
      <w:r w:rsidR="00326FBB" w:rsidRPr="00F07DEB">
        <w:rPr>
          <w:rFonts w:ascii="Times New Roman" w:hAnsi="Times New Roman" w:cs="Times New Roman"/>
          <w:sz w:val="24"/>
          <w:szCs w:val="24"/>
        </w:rPr>
        <w:t xml:space="preserve">and dried out </w:t>
      </w:r>
      <w:r w:rsidR="00D73E75" w:rsidRPr="00F07DEB">
        <w:rPr>
          <w:rFonts w:ascii="Times New Roman" w:hAnsi="Times New Roman" w:cs="Times New Roman"/>
          <w:sz w:val="24"/>
          <w:szCs w:val="24"/>
        </w:rPr>
        <w:t>between irrigation water applications.</w:t>
      </w:r>
      <w:r w:rsidR="009945BC" w:rsidRPr="00F07DEB">
        <w:rPr>
          <w:rFonts w:ascii="Times New Roman" w:hAnsi="Times New Roman" w:cs="Times New Roman"/>
          <w:sz w:val="24"/>
          <w:szCs w:val="24"/>
        </w:rPr>
        <w:t xml:space="preserve"> However, SMC-amended substrate did not have a significant effect on corn and sorghum seedling emergence patterns when compared to non-amended substrate.</w:t>
      </w:r>
    </w:p>
    <w:p w14:paraId="10EFFAE1" w14:textId="77777777" w:rsidR="00A81330" w:rsidRPr="00F07DEB" w:rsidRDefault="00AA5868" w:rsidP="00A81330">
      <w:pPr>
        <w:keepNext/>
        <w:jc w:val="center"/>
        <w:rPr>
          <w:rFonts w:ascii="Times New Roman" w:hAnsi="Times New Roman" w:cs="Times New Roman"/>
        </w:rPr>
      </w:pPr>
      <w:r w:rsidRPr="00F07DEB">
        <w:rPr>
          <w:rFonts w:ascii="Times New Roman" w:hAnsi="Times New Roman" w:cs="Times New Roman"/>
          <w:noProof/>
          <w:lang w:eastAsia="en-US"/>
        </w:rPr>
        <w:drawing>
          <wp:inline distT="0" distB="0" distL="0" distR="0" wp14:anchorId="47934B53" wp14:editId="27398996">
            <wp:extent cx="4563139" cy="2736619"/>
            <wp:effectExtent l="0" t="0" r="8890" b="698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6D903B1" w14:textId="59678816" w:rsidR="00A602CC" w:rsidRPr="00F07DEB" w:rsidRDefault="00A81330" w:rsidP="00204C13">
      <w:pPr>
        <w:pStyle w:val="Caption"/>
        <w:rPr>
          <w:noProof/>
        </w:rPr>
      </w:pPr>
      <w:bookmarkStart w:id="54" w:name="_Ref55635383"/>
      <w:bookmarkStart w:id="55" w:name="_Ref55635376"/>
      <w:bookmarkStart w:id="56" w:name="_Toc58975220"/>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10</w:t>
      </w:r>
      <w:r w:rsidR="00DE3B90" w:rsidRPr="00F07DEB">
        <w:rPr>
          <w:noProof/>
        </w:rPr>
        <w:fldChar w:fldCharType="end"/>
      </w:r>
      <w:bookmarkEnd w:id="54"/>
      <w:r w:rsidR="0040427F" w:rsidRPr="00F07DEB">
        <w:rPr>
          <w:noProof/>
        </w:rPr>
        <w:t>: C</w:t>
      </w:r>
      <w:r w:rsidRPr="00F07DEB">
        <w:rPr>
          <w:noProof/>
        </w:rPr>
        <w:t>orn survival curves</w:t>
      </w:r>
      <w:bookmarkEnd w:id="55"/>
      <w:r w:rsidR="0040427F" w:rsidRPr="00F07DEB">
        <w:rPr>
          <w:noProof/>
        </w:rPr>
        <w:t xml:space="preserve"> during groundwater and mine water irrigation</w:t>
      </w:r>
      <w:bookmarkEnd w:id="56"/>
    </w:p>
    <w:p w14:paraId="31644DB0" w14:textId="77777777" w:rsidR="00F07DEB" w:rsidRPr="00F07DEB" w:rsidRDefault="00F07DEB" w:rsidP="00F07DEB">
      <w:pPr>
        <w:rPr>
          <w:rFonts w:ascii="Times New Roman" w:hAnsi="Times New Roman" w:cs="Times New Roman"/>
        </w:rPr>
      </w:pPr>
    </w:p>
    <w:p w14:paraId="2CDBE324" w14:textId="77777777" w:rsidR="00A81330" w:rsidRPr="00F07DEB" w:rsidRDefault="00AA5868" w:rsidP="00A81330">
      <w:pPr>
        <w:keepNext/>
        <w:jc w:val="center"/>
        <w:rPr>
          <w:rFonts w:ascii="Times New Roman" w:hAnsi="Times New Roman" w:cs="Times New Roman"/>
        </w:rPr>
      </w:pPr>
      <w:r w:rsidRPr="00F07DEB">
        <w:rPr>
          <w:rFonts w:ascii="Times New Roman" w:hAnsi="Times New Roman" w:cs="Times New Roman"/>
          <w:noProof/>
          <w:lang w:eastAsia="en-US"/>
        </w:rPr>
        <w:lastRenderedPageBreak/>
        <w:drawing>
          <wp:inline distT="0" distB="0" distL="0" distR="0" wp14:anchorId="1057E4CF" wp14:editId="4A7E818A">
            <wp:extent cx="4563139" cy="2721303"/>
            <wp:effectExtent l="0" t="0" r="8890" b="317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AA59B8C" w14:textId="6192904A" w:rsidR="00A81330" w:rsidRPr="00F07DEB" w:rsidRDefault="00A81330" w:rsidP="00204C13">
      <w:pPr>
        <w:pStyle w:val="Caption"/>
      </w:pPr>
      <w:bookmarkStart w:id="57" w:name="_Ref55639995"/>
      <w:bookmarkStart w:id="58" w:name="_Toc58975221"/>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11</w:t>
      </w:r>
      <w:r w:rsidR="00DE3B90" w:rsidRPr="00F07DEB">
        <w:rPr>
          <w:noProof/>
        </w:rPr>
        <w:fldChar w:fldCharType="end"/>
      </w:r>
      <w:bookmarkEnd w:id="57"/>
      <w:r w:rsidRPr="00F07DEB">
        <w:t xml:space="preserve">: </w:t>
      </w:r>
      <w:r w:rsidR="0040427F" w:rsidRPr="00F07DEB">
        <w:t>S</w:t>
      </w:r>
      <w:r w:rsidRPr="00F07DEB">
        <w:t xml:space="preserve">orghum survival </w:t>
      </w:r>
      <w:r w:rsidR="001F649F" w:rsidRPr="00F07DEB">
        <w:t>curves</w:t>
      </w:r>
      <w:r w:rsidR="0040427F" w:rsidRPr="00F07DEB">
        <w:t xml:space="preserve"> during groundwater and mine water irrigation</w:t>
      </w:r>
      <w:bookmarkEnd w:id="58"/>
    </w:p>
    <w:p w14:paraId="70052955" w14:textId="77777777" w:rsidR="00F07DEB" w:rsidRPr="00F07DEB" w:rsidRDefault="00F07DEB" w:rsidP="00F07DEB">
      <w:pPr>
        <w:rPr>
          <w:rFonts w:ascii="Times New Roman" w:hAnsi="Times New Roman" w:cs="Times New Roman"/>
        </w:rPr>
      </w:pPr>
    </w:p>
    <w:p w14:paraId="110F9E43" w14:textId="77777777" w:rsidR="00F07DEB" w:rsidRPr="00F07DEB" w:rsidRDefault="00F07DEB" w:rsidP="00F07DEB">
      <w:pPr>
        <w:rPr>
          <w:rFonts w:ascii="Times New Roman" w:hAnsi="Times New Roman" w:cs="Times New Roman"/>
        </w:rPr>
      </w:pPr>
    </w:p>
    <w:p w14:paraId="6F45C822" w14:textId="77777777" w:rsidR="0040427F" w:rsidRPr="00F07DEB" w:rsidRDefault="0040427F" w:rsidP="0040427F">
      <w:pPr>
        <w:keepNext/>
        <w:jc w:val="center"/>
        <w:rPr>
          <w:rFonts w:ascii="Times New Roman" w:hAnsi="Times New Roman" w:cs="Times New Roman"/>
        </w:rPr>
      </w:pPr>
      <w:r w:rsidRPr="00F07DEB">
        <w:rPr>
          <w:rFonts w:ascii="Times New Roman" w:hAnsi="Times New Roman" w:cs="Times New Roman"/>
          <w:noProof/>
          <w:lang w:eastAsia="en-US"/>
        </w:rPr>
        <w:drawing>
          <wp:inline distT="0" distB="0" distL="0" distR="0" wp14:anchorId="5059B093" wp14:editId="45295125">
            <wp:extent cx="4572000" cy="2754086"/>
            <wp:effectExtent l="0" t="0" r="0" b="825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1BB743" w14:textId="4B632D06" w:rsidR="0040427F" w:rsidRPr="00F07DEB" w:rsidRDefault="0040427F" w:rsidP="00204C13">
      <w:pPr>
        <w:pStyle w:val="Caption"/>
      </w:pPr>
      <w:bookmarkStart w:id="59" w:name="_Ref56718400"/>
      <w:bookmarkStart w:id="60" w:name="_Toc58975222"/>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12</w:t>
      </w:r>
      <w:r w:rsidR="00DE3B90" w:rsidRPr="00F07DEB">
        <w:rPr>
          <w:noProof/>
        </w:rPr>
        <w:fldChar w:fldCharType="end"/>
      </w:r>
      <w:bookmarkEnd w:id="59"/>
      <w:r w:rsidRPr="00F07DEB">
        <w:t xml:space="preserve">: Corn and sorghum survival curves in amended and non-amended </w:t>
      </w:r>
      <w:r w:rsidR="00F07DEB" w:rsidRPr="00F07DEB">
        <w:t>substrate</w:t>
      </w:r>
      <w:bookmarkEnd w:id="60"/>
    </w:p>
    <w:p w14:paraId="1F3737E6" w14:textId="77777777" w:rsidR="00F07DEB" w:rsidRPr="00F07DEB" w:rsidRDefault="00F07DEB" w:rsidP="00F07DEB">
      <w:pPr>
        <w:rPr>
          <w:rFonts w:ascii="Times New Roman" w:hAnsi="Times New Roman" w:cs="Times New Roman"/>
        </w:rPr>
      </w:pPr>
    </w:p>
    <w:p w14:paraId="16B99FA1" w14:textId="0C59EB16" w:rsidR="009D0F37" w:rsidRPr="00F07DEB" w:rsidRDefault="009D0F37" w:rsidP="00326FBB">
      <w:pPr>
        <w:pStyle w:val="Heading3"/>
        <w:spacing w:line="480" w:lineRule="auto"/>
        <w:ind w:left="1170" w:hanging="180"/>
      </w:pPr>
      <w:bookmarkStart w:id="61" w:name="_Toc58975166"/>
      <w:r w:rsidRPr="00F07DEB">
        <w:t>Assessment of Grass Germination</w:t>
      </w:r>
      <w:bookmarkEnd w:id="61"/>
    </w:p>
    <w:p w14:paraId="6ABC59C7" w14:textId="461ED2A4" w:rsidR="00E52764" w:rsidRPr="00F07DEB" w:rsidRDefault="009D0F37" w:rsidP="006356CB">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Of the 108 </w:t>
      </w:r>
      <w:proofErr w:type="spellStart"/>
      <w:r w:rsidRPr="00F07DEB">
        <w:rPr>
          <w:rFonts w:ascii="Times New Roman" w:hAnsi="Times New Roman" w:cs="Times New Roman"/>
          <w:sz w:val="24"/>
          <w:szCs w:val="24"/>
        </w:rPr>
        <w:t>Indiangrass</w:t>
      </w:r>
      <w:proofErr w:type="spellEnd"/>
      <w:r w:rsidRPr="00F07DEB">
        <w:rPr>
          <w:rFonts w:ascii="Times New Roman" w:hAnsi="Times New Roman" w:cs="Times New Roman"/>
          <w:sz w:val="24"/>
          <w:szCs w:val="24"/>
        </w:rPr>
        <w:t xml:space="preserve"> seeds planted</w:t>
      </w:r>
      <w:r w:rsidR="0016571C" w:rsidRPr="00F07DEB">
        <w:rPr>
          <w:rFonts w:ascii="Times New Roman" w:hAnsi="Times New Roman" w:cs="Times New Roman"/>
          <w:sz w:val="24"/>
          <w:szCs w:val="24"/>
        </w:rPr>
        <w:t xml:space="preserve"> during the proof-of-concept greenhouse experiment</w:t>
      </w:r>
      <w:r w:rsidRPr="00F07DEB">
        <w:rPr>
          <w:rFonts w:ascii="Times New Roman" w:hAnsi="Times New Roman" w:cs="Times New Roman"/>
          <w:sz w:val="24"/>
          <w:szCs w:val="24"/>
        </w:rPr>
        <w:t>, o</w:t>
      </w:r>
      <w:r w:rsidR="005572F2" w:rsidRPr="00F07DEB">
        <w:rPr>
          <w:rFonts w:ascii="Times New Roman" w:hAnsi="Times New Roman" w:cs="Times New Roman"/>
          <w:sz w:val="24"/>
          <w:szCs w:val="24"/>
        </w:rPr>
        <w:t xml:space="preserve">nly two germinated and emerged. The cause of this germination bottleneck was unclear, but a </w:t>
      </w:r>
      <w:r w:rsidR="005572F2" w:rsidRPr="00F07DEB">
        <w:rPr>
          <w:rFonts w:ascii="Times New Roman" w:hAnsi="Times New Roman" w:cs="Times New Roman"/>
          <w:sz w:val="24"/>
          <w:szCs w:val="24"/>
        </w:rPr>
        <w:lastRenderedPageBreak/>
        <w:t xml:space="preserve">variety of </w:t>
      </w:r>
      <w:r w:rsidR="00844D66" w:rsidRPr="00F07DEB">
        <w:rPr>
          <w:rFonts w:ascii="Times New Roman" w:hAnsi="Times New Roman" w:cs="Times New Roman"/>
          <w:sz w:val="24"/>
          <w:szCs w:val="24"/>
        </w:rPr>
        <w:t xml:space="preserve">possible </w:t>
      </w:r>
      <w:r w:rsidR="005572F2" w:rsidRPr="00F07DEB">
        <w:rPr>
          <w:rFonts w:ascii="Times New Roman" w:hAnsi="Times New Roman" w:cs="Times New Roman"/>
          <w:sz w:val="24"/>
          <w:szCs w:val="24"/>
        </w:rPr>
        <w:t xml:space="preserve">reasons were proposed: sterile seeds, irrigation water quality, </w:t>
      </w:r>
      <w:r w:rsidR="00502229" w:rsidRPr="00F07DEB">
        <w:rPr>
          <w:rFonts w:ascii="Times New Roman" w:hAnsi="Times New Roman" w:cs="Times New Roman"/>
          <w:sz w:val="24"/>
          <w:szCs w:val="24"/>
        </w:rPr>
        <w:t xml:space="preserve">substrate quality, </w:t>
      </w:r>
      <w:r w:rsidR="005572F2" w:rsidRPr="00F07DEB">
        <w:rPr>
          <w:rFonts w:ascii="Times New Roman" w:hAnsi="Times New Roman" w:cs="Times New Roman"/>
          <w:sz w:val="24"/>
          <w:szCs w:val="24"/>
        </w:rPr>
        <w:t xml:space="preserve">or environmental conditions inside the greenhouse. </w:t>
      </w:r>
      <w:r w:rsidR="006A2751" w:rsidRPr="00F07DEB">
        <w:rPr>
          <w:rFonts w:ascii="Times New Roman" w:hAnsi="Times New Roman" w:cs="Times New Roman"/>
          <w:sz w:val="24"/>
          <w:szCs w:val="24"/>
        </w:rPr>
        <w:t xml:space="preserve">The follow-up experiment compared 180 Bermuda grass seeds planted alongside 180 </w:t>
      </w:r>
      <w:proofErr w:type="spellStart"/>
      <w:r w:rsidR="006A2751" w:rsidRPr="00F07DEB">
        <w:rPr>
          <w:rFonts w:ascii="Times New Roman" w:hAnsi="Times New Roman" w:cs="Times New Roman"/>
          <w:sz w:val="24"/>
          <w:szCs w:val="24"/>
        </w:rPr>
        <w:t>Indiangrass</w:t>
      </w:r>
      <w:proofErr w:type="spellEnd"/>
      <w:r w:rsidR="006A2751" w:rsidRPr="00F07DEB">
        <w:rPr>
          <w:rFonts w:ascii="Times New Roman" w:hAnsi="Times New Roman" w:cs="Times New Roman"/>
          <w:sz w:val="24"/>
          <w:szCs w:val="24"/>
        </w:rPr>
        <w:t xml:space="preserve"> seeds</w:t>
      </w:r>
      <w:r w:rsidR="00725767" w:rsidRPr="00F07DEB">
        <w:rPr>
          <w:rFonts w:ascii="Times New Roman" w:hAnsi="Times New Roman" w:cs="Times New Roman"/>
          <w:sz w:val="24"/>
          <w:szCs w:val="24"/>
        </w:rPr>
        <w:t xml:space="preserve">, which were divided evenly between </w:t>
      </w:r>
      <w:r w:rsidR="00502229" w:rsidRPr="00F07DEB">
        <w:rPr>
          <w:rFonts w:ascii="Times New Roman" w:hAnsi="Times New Roman" w:cs="Times New Roman"/>
          <w:sz w:val="24"/>
          <w:szCs w:val="24"/>
        </w:rPr>
        <w:t>topsoil and</w:t>
      </w:r>
      <w:r w:rsidR="006A2751" w:rsidRPr="00F07DEB">
        <w:rPr>
          <w:rFonts w:ascii="Times New Roman" w:hAnsi="Times New Roman" w:cs="Times New Roman"/>
          <w:sz w:val="24"/>
          <w:szCs w:val="24"/>
        </w:rPr>
        <w:t xml:space="preserve"> potting mix</w:t>
      </w:r>
      <w:r w:rsidR="006F7367" w:rsidRPr="00F07DEB">
        <w:rPr>
          <w:rFonts w:ascii="Times New Roman" w:hAnsi="Times New Roman" w:cs="Times New Roman"/>
          <w:sz w:val="24"/>
          <w:szCs w:val="24"/>
        </w:rPr>
        <w:t xml:space="preserve"> and irrigated with groundwater</w:t>
      </w:r>
      <w:r w:rsidR="004E4DB7" w:rsidRPr="00F07DEB">
        <w:rPr>
          <w:rFonts w:ascii="Times New Roman" w:hAnsi="Times New Roman" w:cs="Times New Roman"/>
          <w:sz w:val="24"/>
          <w:szCs w:val="24"/>
        </w:rPr>
        <w:t xml:space="preserve"> four times over a ten day period</w:t>
      </w:r>
      <w:r w:rsidR="00E52764" w:rsidRPr="00F07DEB">
        <w:rPr>
          <w:rFonts w:ascii="Times New Roman" w:hAnsi="Times New Roman" w:cs="Times New Roman"/>
          <w:sz w:val="24"/>
          <w:szCs w:val="24"/>
        </w:rPr>
        <w:t xml:space="preserve">. </w:t>
      </w:r>
      <w:r w:rsidR="004E4DB7" w:rsidRPr="00F07DEB">
        <w:rPr>
          <w:rFonts w:ascii="Times New Roman" w:hAnsi="Times New Roman" w:cs="Times New Roman"/>
          <w:sz w:val="24"/>
          <w:szCs w:val="24"/>
        </w:rPr>
        <w:t>By the tenth day, n</w:t>
      </w:r>
      <w:r w:rsidR="00E52764" w:rsidRPr="00F07DEB">
        <w:rPr>
          <w:rFonts w:ascii="Times New Roman" w:hAnsi="Times New Roman" w:cs="Times New Roman"/>
          <w:sz w:val="24"/>
          <w:szCs w:val="24"/>
        </w:rPr>
        <w:t xml:space="preserve">one of the </w:t>
      </w:r>
      <w:proofErr w:type="spellStart"/>
      <w:r w:rsidR="00E52764" w:rsidRPr="00F07DEB">
        <w:rPr>
          <w:rFonts w:ascii="Times New Roman" w:hAnsi="Times New Roman" w:cs="Times New Roman"/>
          <w:sz w:val="24"/>
          <w:szCs w:val="24"/>
        </w:rPr>
        <w:t>Indiangrass</w:t>
      </w:r>
      <w:proofErr w:type="spellEnd"/>
      <w:r w:rsidR="00E52764" w:rsidRPr="00F07DEB">
        <w:rPr>
          <w:rFonts w:ascii="Times New Roman" w:hAnsi="Times New Roman" w:cs="Times New Roman"/>
          <w:sz w:val="24"/>
          <w:szCs w:val="24"/>
        </w:rPr>
        <w:t xml:space="preserve"> seeds planted in topsoil emerged and only one (0.6%) of the potting mix seeds sprouted. Bermuda grass </w:t>
      </w:r>
      <w:r w:rsidR="00725767" w:rsidRPr="00F07DEB">
        <w:rPr>
          <w:rFonts w:ascii="Times New Roman" w:hAnsi="Times New Roman" w:cs="Times New Roman"/>
          <w:sz w:val="24"/>
          <w:szCs w:val="24"/>
        </w:rPr>
        <w:t xml:space="preserve">exhibited much higher emergence rates in both topsoil (28.3%) and </w:t>
      </w:r>
      <w:r w:rsidR="00DE0BC4" w:rsidRPr="00F07DEB">
        <w:rPr>
          <w:rFonts w:ascii="Times New Roman" w:hAnsi="Times New Roman" w:cs="Times New Roman"/>
          <w:sz w:val="24"/>
          <w:szCs w:val="24"/>
        </w:rPr>
        <w:t>potting mix (51.1%). B</w:t>
      </w:r>
      <w:r w:rsidR="0017058C" w:rsidRPr="00F07DEB">
        <w:rPr>
          <w:rFonts w:ascii="Times New Roman" w:hAnsi="Times New Roman" w:cs="Times New Roman"/>
          <w:sz w:val="24"/>
          <w:szCs w:val="24"/>
        </w:rPr>
        <w:t>ecause the available batch of</w:t>
      </w:r>
      <w:r w:rsidR="00DE0BC4" w:rsidRPr="00F07DEB">
        <w:rPr>
          <w:rFonts w:ascii="Times New Roman" w:hAnsi="Times New Roman" w:cs="Times New Roman"/>
          <w:sz w:val="24"/>
          <w:szCs w:val="24"/>
        </w:rPr>
        <w:t xml:space="preserve"> </w:t>
      </w:r>
      <w:proofErr w:type="spellStart"/>
      <w:r w:rsidR="00DE0BC4" w:rsidRPr="00F07DEB">
        <w:rPr>
          <w:rFonts w:ascii="Times New Roman" w:hAnsi="Times New Roman" w:cs="Times New Roman"/>
          <w:sz w:val="24"/>
          <w:szCs w:val="24"/>
        </w:rPr>
        <w:t>Indiangrass</w:t>
      </w:r>
      <w:proofErr w:type="spellEnd"/>
      <w:r w:rsidR="00DE0BC4" w:rsidRPr="00F07DEB">
        <w:rPr>
          <w:rFonts w:ascii="Times New Roman" w:hAnsi="Times New Roman" w:cs="Times New Roman"/>
          <w:sz w:val="24"/>
          <w:szCs w:val="24"/>
        </w:rPr>
        <w:t xml:space="preserve"> seed was not viable</w:t>
      </w:r>
      <w:r w:rsidR="0017058C" w:rsidRPr="00F07DEB">
        <w:rPr>
          <w:rFonts w:ascii="Times New Roman" w:hAnsi="Times New Roman" w:cs="Times New Roman"/>
          <w:sz w:val="24"/>
          <w:szCs w:val="24"/>
        </w:rPr>
        <w:t xml:space="preserve"> under the experimental conditions</w:t>
      </w:r>
      <w:r w:rsidR="00DE0BC4" w:rsidRPr="00F07DEB">
        <w:rPr>
          <w:rFonts w:ascii="Times New Roman" w:hAnsi="Times New Roman" w:cs="Times New Roman"/>
          <w:sz w:val="24"/>
          <w:szCs w:val="24"/>
        </w:rPr>
        <w:t xml:space="preserve">, Bermuda grass replaced </w:t>
      </w:r>
      <w:proofErr w:type="spellStart"/>
      <w:r w:rsidR="00DE0BC4" w:rsidRPr="00F07DEB">
        <w:rPr>
          <w:rFonts w:ascii="Times New Roman" w:hAnsi="Times New Roman" w:cs="Times New Roman"/>
          <w:sz w:val="24"/>
          <w:szCs w:val="24"/>
        </w:rPr>
        <w:t>Indiangrass</w:t>
      </w:r>
      <w:proofErr w:type="spellEnd"/>
      <w:r w:rsidR="00DE0BC4" w:rsidRPr="00F07DEB">
        <w:rPr>
          <w:rFonts w:ascii="Times New Roman" w:hAnsi="Times New Roman" w:cs="Times New Roman"/>
          <w:sz w:val="24"/>
          <w:szCs w:val="24"/>
        </w:rPr>
        <w:t xml:space="preserve"> in the full-scale experiment.</w:t>
      </w:r>
      <w:r w:rsidR="00844D66" w:rsidRPr="00F07DEB">
        <w:rPr>
          <w:rFonts w:ascii="Times New Roman" w:hAnsi="Times New Roman" w:cs="Times New Roman"/>
          <w:sz w:val="24"/>
          <w:szCs w:val="24"/>
        </w:rPr>
        <w:t xml:space="preserve"> As seen in </w:t>
      </w:r>
      <w:r w:rsidR="00844D66" w:rsidRPr="00F07DEB">
        <w:rPr>
          <w:rFonts w:ascii="Times New Roman" w:hAnsi="Times New Roman" w:cs="Times New Roman"/>
          <w:sz w:val="24"/>
          <w:szCs w:val="24"/>
        </w:rPr>
        <w:fldChar w:fldCharType="begin"/>
      </w:r>
      <w:r w:rsidR="00844D66" w:rsidRPr="00F07DEB">
        <w:rPr>
          <w:rFonts w:ascii="Times New Roman" w:hAnsi="Times New Roman" w:cs="Times New Roman"/>
          <w:sz w:val="24"/>
          <w:szCs w:val="24"/>
        </w:rPr>
        <w:instrText xml:space="preserve"> REF _Ref55659294 \h  \* MERGEFORMAT </w:instrText>
      </w:r>
      <w:r w:rsidR="00844D66" w:rsidRPr="00F07DEB">
        <w:rPr>
          <w:rFonts w:ascii="Times New Roman" w:hAnsi="Times New Roman" w:cs="Times New Roman"/>
          <w:sz w:val="24"/>
          <w:szCs w:val="24"/>
        </w:rPr>
      </w:r>
      <w:r w:rsidR="00844D66"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13</w:t>
      </w:r>
      <w:r w:rsidR="00844D66" w:rsidRPr="00F07DEB">
        <w:rPr>
          <w:rFonts w:ascii="Times New Roman" w:hAnsi="Times New Roman" w:cs="Times New Roman"/>
          <w:sz w:val="24"/>
          <w:szCs w:val="24"/>
        </w:rPr>
        <w:fldChar w:fldCharType="end"/>
      </w:r>
      <w:r w:rsidR="00844D66" w:rsidRPr="00F07DEB">
        <w:rPr>
          <w:rFonts w:ascii="Times New Roman" w:hAnsi="Times New Roman" w:cs="Times New Roman"/>
          <w:sz w:val="24"/>
          <w:szCs w:val="24"/>
        </w:rPr>
        <w:t xml:space="preserve">, the potting mix produced noticeably taller Bermuda grass seedlings than the topsoil </w:t>
      </w:r>
      <w:r w:rsidR="00BF3744">
        <w:rPr>
          <w:rFonts w:ascii="Times New Roman" w:hAnsi="Times New Roman" w:cs="Times New Roman"/>
          <w:sz w:val="24"/>
          <w:szCs w:val="24"/>
        </w:rPr>
        <w:t xml:space="preserve">likely </w:t>
      </w:r>
      <w:r w:rsidR="00844D66" w:rsidRPr="00F07DEB">
        <w:rPr>
          <w:rFonts w:ascii="Times New Roman" w:hAnsi="Times New Roman" w:cs="Times New Roman"/>
          <w:sz w:val="24"/>
          <w:szCs w:val="24"/>
        </w:rPr>
        <w:t>because the high porosity of potting mix promote</w:t>
      </w:r>
      <w:r w:rsidR="00326FBB" w:rsidRPr="00F07DEB">
        <w:rPr>
          <w:rFonts w:ascii="Times New Roman" w:hAnsi="Times New Roman" w:cs="Times New Roman"/>
          <w:sz w:val="24"/>
          <w:szCs w:val="24"/>
        </w:rPr>
        <w:t>d</w:t>
      </w:r>
      <w:r w:rsidR="00844D66" w:rsidRPr="00F07DEB">
        <w:rPr>
          <w:rFonts w:ascii="Times New Roman" w:hAnsi="Times New Roman" w:cs="Times New Roman"/>
          <w:sz w:val="24"/>
          <w:szCs w:val="24"/>
        </w:rPr>
        <w:t xml:space="preserve"> rapid root growth and aeration</w:t>
      </w:r>
      <w:r w:rsidR="00CB2FF6" w:rsidRPr="00F07DEB">
        <w:rPr>
          <w:rFonts w:ascii="Times New Roman" w:hAnsi="Times New Roman" w:cs="Times New Roman"/>
          <w:sz w:val="24"/>
          <w:szCs w:val="24"/>
        </w:rPr>
        <w:t xml:space="preserve"> </w:t>
      </w:r>
      <w:r w:rsidR="00CB2FF6" w:rsidRPr="00F07DEB">
        <w:rPr>
          <w:rFonts w:ascii="Times New Roman" w:hAnsi="Times New Roman" w:cs="Times New Roman"/>
          <w:sz w:val="24"/>
          <w:szCs w:val="24"/>
        </w:rPr>
        <w:fldChar w:fldCharType="begin"/>
      </w:r>
      <w:r w:rsidR="00CB2FF6" w:rsidRPr="00F07DEB">
        <w:rPr>
          <w:rFonts w:ascii="Times New Roman" w:hAnsi="Times New Roman" w:cs="Times New Roman"/>
          <w:sz w:val="24"/>
          <w:szCs w:val="24"/>
        </w:rPr>
        <w:instrText xml:space="preserve"> ADDIN ZOTERO_ITEM CSL_CITATION {"citationID":"OzIt5JMG","properties":{"formattedCitation":"(Houseal et al., 2007)","plainCitation":"(Houseal et al., 2007)","noteIndex":0},"citationItems":[{"id":753,"uris":["http://zotero.org/users/5446453/items/7A89MNNI"],"uri":["http://zotero.org/users/5446453/items/7A89MNNI"],"itemData":{"id":753,"type":"book","event-place":"Cedar Falls, IA","language":"en","number-of-pages":"123","publisher":"University of Northern Iowa","publisher-place":"Cedar Falls, IA","source":"Zotero","title":"Tallgrass Prairie Center’s Native Seed Production Manual","author":[{"family":"Houseal","given":"Greg A"},{"family":"Kaiser","given":"Jerry"},{"family":"Wuebker","given":"Eileen"},{"family":"Butler","given":"Brent"}],"issued":{"date-parts":[["2007"]]}}}],"schema":"https://github.com/citation-style-language/schema/raw/master/csl-citation.json"} </w:instrText>
      </w:r>
      <w:r w:rsidR="00CB2FF6"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(Houseal et al., 2007)</w:t>
      </w:r>
      <w:r w:rsidR="00CB2FF6" w:rsidRPr="00F07DEB">
        <w:rPr>
          <w:rFonts w:ascii="Times New Roman" w:hAnsi="Times New Roman" w:cs="Times New Roman"/>
          <w:sz w:val="24"/>
          <w:szCs w:val="24"/>
        </w:rPr>
        <w:fldChar w:fldCharType="end"/>
      </w:r>
      <w:r w:rsidR="00844D66" w:rsidRPr="00F07DEB">
        <w:rPr>
          <w:rFonts w:ascii="Times New Roman" w:hAnsi="Times New Roman" w:cs="Times New Roman"/>
          <w:sz w:val="24"/>
          <w:szCs w:val="24"/>
        </w:rPr>
        <w:t>.</w:t>
      </w:r>
      <w:r w:rsidR="0017058C" w:rsidRPr="00F07DEB">
        <w:rPr>
          <w:rFonts w:ascii="Times New Roman" w:hAnsi="Times New Roman" w:cs="Times New Roman"/>
          <w:sz w:val="24"/>
          <w:szCs w:val="24"/>
        </w:rPr>
        <w:t xml:space="preserve"> </w:t>
      </w:r>
    </w:p>
    <w:p w14:paraId="40F28E87" w14:textId="77777777" w:rsidR="00CF1AA0" w:rsidRPr="00F07DEB" w:rsidRDefault="00FA601F" w:rsidP="00CF1AA0">
      <w:pPr>
        <w:keepNext/>
        <w:spacing w:line="480" w:lineRule="auto"/>
        <w:jc w:val="center"/>
        <w:rPr>
          <w:rFonts w:ascii="Times New Roman" w:hAnsi="Times New Roman" w:cs="Times New Roman"/>
        </w:rPr>
      </w:pPr>
      <w:r w:rsidRPr="00F07DEB">
        <w:rPr>
          <w:rFonts w:ascii="Times New Roman" w:hAnsi="Times New Roman" w:cs="Times New Roman"/>
          <w:noProof/>
          <w:sz w:val="24"/>
          <w:szCs w:val="24"/>
          <w:lang w:eastAsia="en-US"/>
        </w:rPr>
        <w:drawing>
          <wp:inline distT="0" distB="0" distL="0" distR="0" wp14:anchorId="35C68237" wp14:editId="2F0E2BEF">
            <wp:extent cx="2945083" cy="2863182"/>
            <wp:effectExtent l="2858" t="0" r="0" b="0"/>
            <wp:docPr id="14" name="Picture 14" descr="C:\Users\harper3663\Documents\School\_CREW\Irrigation Project\Pics\iCloud Photos\IMG_2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arper3663\Documents\School\_CREW\Irrigation Project\Pics\iCloud Photos\IMG_2345.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16001" r="6853"/>
                    <a:stretch/>
                  </pic:blipFill>
                  <pic:spPr bwMode="auto">
                    <a:xfrm rot="5400000">
                      <a:off x="0" y="0"/>
                      <a:ext cx="2946096" cy="2864167"/>
                    </a:xfrm>
                    <a:prstGeom prst="rect">
                      <a:avLst/>
                    </a:prstGeom>
                    <a:noFill/>
                    <a:ln>
                      <a:noFill/>
                    </a:ln>
                    <a:extLst>
                      <a:ext uri="{53640926-AAD7-44D8-BBD7-CCE9431645EC}">
                        <a14:shadowObscured xmlns:a14="http://schemas.microsoft.com/office/drawing/2010/main"/>
                      </a:ext>
                    </a:extLst>
                  </pic:spPr>
                </pic:pic>
              </a:graphicData>
            </a:graphic>
          </wp:inline>
        </w:drawing>
      </w:r>
    </w:p>
    <w:p w14:paraId="3452B5E6" w14:textId="3A613EC9" w:rsidR="00CF1AA0" w:rsidRPr="00F07DEB" w:rsidRDefault="00CF1AA0" w:rsidP="00204C13">
      <w:pPr>
        <w:pStyle w:val="Caption"/>
        <w:rPr>
          <w:noProof/>
        </w:rPr>
      </w:pPr>
      <w:bookmarkStart w:id="62" w:name="_Ref55659294"/>
      <w:bookmarkStart w:id="63" w:name="_Toc58975223"/>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13</w:t>
      </w:r>
      <w:r w:rsidR="00DE3B90" w:rsidRPr="00F07DEB">
        <w:rPr>
          <w:noProof/>
        </w:rPr>
        <w:fldChar w:fldCharType="end"/>
      </w:r>
      <w:bookmarkEnd w:id="62"/>
      <w:r w:rsidRPr="00F07DEB">
        <w:rPr>
          <w:noProof/>
        </w:rPr>
        <w:t>: Indiangrass and Bermuda grass ten days after planting</w:t>
      </w:r>
      <w:bookmarkEnd w:id="63"/>
    </w:p>
    <w:p w14:paraId="72BBCDA1" w14:textId="29CC92A6" w:rsidR="00F07DEB" w:rsidRDefault="00641A81" w:rsidP="00F07DEB">
      <w:pPr>
        <w:rPr>
          <w:rFonts w:ascii="Times New Roman" w:hAnsi="Times New Roman" w:cs="Times New Roman"/>
        </w:rPr>
      </w:pPr>
      <w:r>
        <w:rPr>
          <w:rFonts w:ascii="Times New Roman" w:hAnsi="Times New Roman" w:cs="Times New Roman"/>
        </w:rPr>
        <w:br w:type="page"/>
      </w:r>
    </w:p>
    <w:p w14:paraId="4E970DD8" w14:textId="77777777" w:rsidR="00743DBD" w:rsidRPr="00F07DEB" w:rsidRDefault="00FA601F" w:rsidP="00B706C6">
      <w:pPr>
        <w:pStyle w:val="Heading2"/>
        <w:spacing w:line="480" w:lineRule="auto"/>
      </w:pPr>
      <w:r w:rsidRPr="00F07DEB">
        <w:lastRenderedPageBreak/>
        <w:t xml:space="preserve"> </w:t>
      </w:r>
      <w:bookmarkStart w:id="64" w:name="_Toc58975167"/>
      <w:r w:rsidR="00743DBD" w:rsidRPr="00F07DEB">
        <w:t>Full-scale Plant Growth Experiment</w:t>
      </w:r>
      <w:bookmarkEnd w:id="64"/>
    </w:p>
    <w:p w14:paraId="0F1A9D4D" w14:textId="77777777" w:rsidR="00D04166" w:rsidRPr="00F07DEB" w:rsidRDefault="00D04166" w:rsidP="00D04166">
      <w:pPr>
        <w:pStyle w:val="Heading3"/>
        <w:spacing w:line="480" w:lineRule="auto"/>
        <w:ind w:left="1260" w:hanging="270"/>
      </w:pPr>
      <w:bookmarkStart w:id="65" w:name="_Toc58975168"/>
      <w:r w:rsidRPr="00F07DEB">
        <w:t>Daily Light Integral (DLI)</w:t>
      </w:r>
      <w:bookmarkEnd w:id="65"/>
    </w:p>
    <w:p w14:paraId="764C0466" w14:textId="2822B935" w:rsidR="00A80298" w:rsidRPr="00641A81" w:rsidRDefault="00D04166" w:rsidP="00641A81">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Wavelengths in the visible portion of the electromagnetic spectrum, located between 400 and 700 nm, are </w:t>
      </w:r>
      <w:r w:rsidR="00E40C74" w:rsidRPr="00F07DEB">
        <w:rPr>
          <w:rFonts w:ascii="Times New Roman" w:hAnsi="Times New Roman" w:cs="Times New Roman"/>
          <w:sz w:val="24"/>
          <w:szCs w:val="24"/>
        </w:rPr>
        <w:t xml:space="preserve">conventionally referred to </w:t>
      </w:r>
      <w:r w:rsidRPr="00F07DEB">
        <w:rPr>
          <w:rFonts w:ascii="Times New Roman" w:hAnsi="Times New Roman" w:cs="Times New Roman"/>
          <w:sz w:val="24"/>
          <w:szCs w:val="24"/>
        </w:rPr>
        <w:t>as photosynthetically active radiation (PAR)</w:t>
      </w:r>
      <w:r w:rsidR="00E40C74" w:rsidRPr="00F07DEB">
        <w:rPr>
          <w:rFonts w:ascii="Times New Roman" w:hAnsi="Times New Roman" w:cs="Times New Roman"/>
          <w:sz w:val="24"/>
          <w:szCs w:val="24"/>
        </w:rPr>
        <w:t xml:space="preserve"> </w:t>
      </w:r>
      <w:r w:rsidR="00E40C74" w:rsidRPr="00F07DEB">
        <w:rPr>
          <w:rFonts w:ascii="Times New Roman" w:hAnsi="Times New Roman" w:cs="Times New Roman"/>
          <w:sz w:val="24"/>
          <w:szCs w:val="24"/>
        </w:rPr>
        <w:fldChar w:fldCharType="begin"/>
      </w:r>
      <w:r w:rsidR="003F3F14" w:rsidRPr="00F07DEB">
        <w:rPr>
          <w:rFonts w:ascii="Times New Roman" w:hAnsi="Times New Roman" w:cs="Times New Roman"/>
          <w:sz w:val="24"/>
          <w:szCs w:val="24"/>
        </w:rPr>
        <w:instrText xml:space="preserve"> ADDIN ZOTERO_ITEM CSL_CITATION {"citationID":"Wy5dc070","properties":{"formattedCitation":"(M\\uc0\\u245{}ttus et al., 2011; Torres et al., 2012)","plainCitation":"(Mõttus et al., 2011; Torres et al., 2012)","noteIndex":0},"citationItems":[{"id":771,"uris":["http://zotero.org/users/5446453/items/GC2LXZMC"],"uri":["http://zotero.org/users/5446453/items/GC2LXZMC"],"itemData":{"id":771,"type":"chapter","container-title":"Encyclopedia of Sustainability Science and Technology","note":"journalAbbreviation: Encyclopedia of Sustainability Science and Technology","page":"7970-8000","publisher":"Springer","source":"ResearchGate","title":"Photosynthetically Active Radiation: Measurement and Modeling","title-short":"Photosynthetically Active Radiation","author":[{"family":"Mõttus","given":"Matti"},{"family":"Sulev","given":"Madis"},{"family":"Frederic","given":"Baret"},{"family":"Lopez-Lozano","given":"R."},{"family":"Noorma","given":"Anu"}],"issued":{"date-parts":[["2011",1,1]]}}},{"id":758,"uris":["http://zotero.org/users/5446453/items/9CL3IHQ5"],"uri":["http://zotero.org/users/5446453/items/9CL3IHQ5"],"itemData":{"id":758,"type":"report","abstract":"In commercial greenhouses, several strategies can be used to help properly manage light levels throughout the day and seasonally. Some of the primary reasons why greenhouses manipulate light levels include temperature and irrigation management, photoperiod control, minimizing crop stress, and optimizing photosynthesis. Supplemental lighting with high-intensity discharge (HID) lamps can increase the light intensity a crop receives and improve and accelerate its growth and development. Retractable shade curtains and whitewash can reduce and scatter light intensity to create a more desirable growing environment during high-light periods. This publication examines the characteristics of greenhouse lighting and describes one management option, daily light integral (DLI). What Is Light and Why Is It Important? Light is a form of energy called electromagnetic radiation. Electromagnetic radiation, whether from sunlight or HID lamps [e.g., high-pressure sodium lamps (HPS) or metal halide] varies in duration (energy over time), quality (wavelength or color), and intensity (the amount of light at each wavelength or color). We will only focus on photosynthetically active radiation (PAR), which is light with a wavelength","event-place":"Purdue Extension","number":"HO-238-W","page":"7","publisher":"Department of Landscape Architecture and Horticulture, Purdue University","publisher-place":"Purdue Extension","source":"ResearchGate","title":"Measuring Daily Light Integral in a Greenhouse","author":[{"family":"Torres","given":"Ariana"},{"family":"Lopez","given":"Roberto"},{"family":"Floriculture","given":"Purdue"}],"issued":{"date-parts":[["2012",5,8]]}}}],"schema":"https://github.com/citation-style-language/schema/raw/master/csl-citation.json"} </w:instrText>
      </w:r>
      <w:r w:rsidR="00E40C74" w:rsidRPr="00F07DEB">
        <w:rPr>
          <w:rFonts w:ascii="Times New Roman" w:hAnsi="Times New Roman" w:cs="Times New Roman"/>
          <w:sz w:val="24"/>
          <w:szCs w:val="24"/>
        </w:rPr>
        <w:fldChar w:fldCharType="separate"/>
      </w:r>
      <w:r w:rsidR="00234033" w:rsidRPr="00234033">
        <w:rPr>
          <w:rFonts w:ascii="Times New Roman" w:hAnsi="Times New Roman" w:cs="Times New Roman"/>
          <w:sz w:val="24"/>
          <w:szCs w:val="24"/>
        </w:rPr>
        <w:t>(Mõttus et al., 2011; Torres et al., 2012)</w:t>
      </w:r>
      <w:r w:rsidR="00E40C74" w:rsidRPr="00F07DEB">
        <w:rPr>
          <w:rFonts w:ascii="Times New Roman" w:hAnsi="Times New Roman" w:cs="Times New Roman"/>
          <w:sz w:val="24"/>
          <w:szCs w:val="24"/>
        </w:rPr>
        <w:fldChar w:fldCharType="end"/>
      </w:r>
      <w:r w:rsidR="00841418" w:rsidRPr="00F07DEB">
        <w:rPr>
          <w:rFonts w:ascii="Times New Roman" w:hAnsi="Times New Roman" w:cs="Times New Roman"/>
          <w:sz w:val="24"/>
          <w:szCs w:val="24"/>
        </w:rPr>
        <w:t>. Th</w:t>
      </w:r>
      <w:r w:rsidR="00E40C74" w:rsidRPr="00F07DEB">
        <w:rPr>
          <w:rFonts w:ascii="Times New Roman" w:hAnsi="Times New Roman" w:cs="Times New Roman"/>
          <w:sz w:val="24"/>
          <w:szCs w:val="24"/>
        </w:rPr>
        <w:t xml:space="preserve">e photons of PAR that are absorbed by vegetation provide a critical input </w:t>
      </w:r>
      <w:r w:rsidR="008D0825" w:rsidRPr="00F07DEB">
        <w:rPr>
          <w:rFonts w:ascii="Times New Roman" w:hAnsi="Times New Roman" w:cs="Times New Roman"/>
          <w:sz w:val="24"/>
          <w:szCs w:val="24"/>
        </w:rPr>
        <w:t>to be converted into chemical energy during</w:t>
      </w:r>
      <w:r w:rsidR="00841418" w:rsidRPr="00F07DEB">
        <w:rPr>
          <w:rFonts w:ascii="Times New Roman" w:hAnsi="Times New Roman" w:cs="Times New Roman"/>
          <w:sz w:val="24"/>
          <w:szCs w:val="24"/>
        </w:rPr>
        <w:t xml:space="preserve"> photosynthesis</w:t>
      </w:r>
      <w:r w:rsidR="007631AE">
        <w:rPr>
          <w:rFonts w:ascii="Times New Roman" w:hAnsi="Times New Roman" w:cs="Times New Roman"/>
          <w:sz w:val="24"/>
          <w:szCs w:val="24"/>
        </w:rPr>
        <w:t xml:space="preserve">. </w:t>
      </w:r>
      <w:r w:rsidR="008D0825" w:rsidRPr="00F07DEB">
        <w:rPr>
          <w:rFonts w:ascii="Times New Roman" w:hAnsi="Times New Roman" w:cs="Times New Roman"/>
          <w:sz w:val="24"/>
          <w:szCs w:val="24"/>
        </w:rPr>
        <w:t>PAR expresses the quantity of photons with wavelengths between 400 and 700 nm that impact an area in a given time frame, and is often measured in units of µ</w:t>
      </w:r>
      <w:proofErr w:type="spellStart"/>
      <w:r w:rsidR="008D0825" w:rsidRPr="00F07DEB">
        <w:rPr>
          <w:rFonts w:ascii="Times New Roman" w:hAnsi="Times New Roman" w:cs="Times New Roman"/>
          <w:sz w:val="24"/>
          <w:szCs w:val="24"/>
        </w:rPr>
        <w:t>mol</w:t>
      </w:r>
      <w:proofErr w:type="spellEnd"/>
      <w:r w:rsidR="008D0825" w:rsidRPr="00F07DEB">
        <w:rPr>
          <w:rFonts w:ascii="Times New Roman" w:hAnsi="Times New Roman" w:cs="Times New Roman"/>
          <w:sz w:val="24"/>
          <w:szCs w:val="24"/>
        </w:rPr>
        <w:t>/m</w:t>
      </w:r>
      <w:r w:rsidR="008D0825" w:rsidRPr="00F07DEB">
        <w:rPr>
          <w:rFonts w:ascii="Times New Roman" w:hAnsi="Times New Roman" w:cs="Times New Roman"/>
          <w:sz w:val="24"/>
          <w:szCs w:val="24"/>
          <w:vertAlign w:val="superscript"/>
        </w:rPr>
        <w:t>2</w:t>
      </w:r>
      <w:r w:rsidR="008D0825" w:rsidRPr="00F07DEB">
        <w:rPr>
          <w:rFonts w:ascii="Times New Roman" w:hAnsi="Times New Roman" w:cs="Times New Roman"/>
          <w:sz w:val="24"/>
          <w:szCs w:val="24"/>
        </w:rPr>
        <w:t xml:space="preserve">/s </w:t>
      </w:r>
      <w:r w:rsidR="008D0825" w:rsidRPr="00F07DEB">
        <w:rPr>
          <w:rFonts w:ascii="Times New Roman" w:hAnsi="Times New Roman" w:cs="Times New Roman"/>
          <w:sz w:val="24"/>
          <w:szCs w:val="24"/>
        </w:rPr>
        <w:fldChar w:fldCharType="begin"/>
      </w:r>
      <w:r w:rsidR="008D0825" w:rsidRPr="00F07DEB">
        <w:rPr>
          <w:rFonts w:ascii="Times New Roman" w:hAnsi="Times New Roman" w:cs="Times New Roman"/>
          <w:sz w:val="24"/>
          <w:szCs w:val="24"/>
        </w:rPr>
        <w:instrText xml:space="preserve"> ADDIN ZOTERO_ITEM CSL_CITATION {"citationID":"ielceP8V","properties":{"formattedCitation":"(Torres et al., 2012)","plainCitation":"(Torres et al., 2012)","noteIndex":0},"citationItems":[{"id":758,"uris":["http://zotero.org/users/5446453/items/9CL3IHQ5"],"uri":["http://zotero.org/users/5446453/items/9CL3IHQ5"],"itemData":{"id":758,"type":"report","abstract":"In commercial greenhouses, several strategies can be used to help properly manage light levels throughout the day and seasonally. Some of the primary reasons why greenhouses manipulate light levels include temperature and irrigation management, photoperiod control, minimizing crop stress, and optimizing photosynthesis. Supplemental lighting with high-intensity discharge (HID) lamps can increase the light intensity a crop receives and improve and accelerate its growth and development. Retractable shade curtains and whitewash can reduce and scatter light intensity to create a more desirable growing environment during high-light periods. This publication examines the characteristics of greenhouse lighting and describes one management option, daily light integral (DLI). What Is Light and Why Is It Important? Light is a form of energy called electromagnetic radiation. Electromagnetic radiation, whether from sunlight or HID lamps [e.g., high-pressure sodium lamps (HPS) or metal halide] varies in duration (energy over time), quality (wavelength or color), and intensity (the amount of light at each wavelength or color). We will only focus on photosynthetically active radiation (PAR), which is light with a wavelength","event-place":"Purdue Extension","number":"HO-238-W","page":"7","publisher":"Department of Landscape Architecture and Horticulture, Purdue University","publisher-place":"Purdue Extension","source":"ResearchGate","title":"Measuring Daily Light Integral in a Greenhouse","author":[{"family":"Torres","given":"Ariana"},{"family":"Lopez","given":"Roberto"},{"family":"Floriculture","given":"Purdue"}],"issued":{"date-parts":[["2012",5,8]]}}}],"schema":"https://github.com/citation-style-language/schema/raw/master/csl-citation.json"} </w:instrText>
      </w:r>
      <w:r w:rsidR="008D0825"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(Torres et al., 2012)</w:t>
      </w:r>
      <w:r w:rsidR="008D0825" w:rsidRPr="00F07DEB">
        <w:rPr>
          <w:rFonts w:ascii="Times New Roman" w:hAnsi="Times New Roman" w:cs="Times New Roman"/>
          <w:sz w:val="24"/>
          <w:szCs w:val="24"/>
        </w:rPr>
        <w:fldChar w:fldCharType="end"/>
      </w:r>
      <w:r w:rsidR="008D0825" w:rsidRPr="00F07DEB">
        <w:rPr>
          <w:rFonts w:ascii="Times New Roman" w:hAnsi="Times New Roman" w:cs="Times New Roman"/>
          <w:sz w:val="24"/>
          <w:szCs w:val="24"/>
        </w:rPr>
        <w:t>. PAR is</w:t>
      </w:r>
      <w:r w:rsidR="00A80298" w:rsidRPr="00F07DEB">
        <w:rPr>
          <w:rFonts w:ascii="Times New Roman" w:hAnsi="Times New Roman" w:cs="Times New Roman"/>
          <w:sz w:val="24"/>
          <w:szCs w:val="24"/>
        </w:rPr>
        <w:t xml:space="preserve"> an instantaneous measurement but </w:t>
      </w:r>
      <w:r w:rsidR="008D0825" w:rsidRPr="00F07DEB">
        <w:rPr>
          <w:rFonts w:ascii="Times New Roman" w:hAnsi="Times New Roman" w:cs="Times New Roman"/>
          <w:sz w:val="24"/>
          <w:szCs w:val="24"/>
        </w:rPr>
        <w:t>it can be</w:t>
      </w:r>
      <w:r w:rsidR="00A80298" w:rsidRPr="00F07DEB">
        <w:rPr>
          <w:rFonts w:ascii="Times New Roman" w:hAnsi="Times New Roman" w:cs="Times New Roman"/>
          <w:sz w:val="24"/>
          <w:szCs w:val="24"/>
        </w:rPr>
        <w:t xml:space="preserve"> easily</w:t>
      </w:r>
      <w:r w:rsidR="008D0825" w:rsidRPr="00F07DEB">
        <w:rPr>
          <w:rFonts w:ascii="Times New Roman" w:hAnsi="Times New Roman" w:cs="Times New Roman"/>
          <w:sz w:val="24"/>
          <w:szCs w:val="24"/>
        </w:rPr>
        <w:t xml:space="preserve"> converted into the daily light integral (DLI), which relates the total PAR </w:t>
      </w:r>
      <w:r w:rsidR="00A80298" w:rsidRPr="00F07DEB">
        <w:rPr>
          <w:rFonts w:ascii="Times New Roman" w:hAnsi="Times New Roman" w:cs="Times New Roman"/>
          <w:sz w:val="24"/>
          <w:szCs w:val="24"/>
        </w:rPr>
        <w:t>contacting a</w:t>
      </w:r>
      <w:r w:rsidR="00252822">
        <w:rPr>
          <w:rFonts w:ascii="Times New Roman" w:hAnsi="Times New Roman" w:cs="Times New Roman"/>
          <w:sz w:val="24"/>
          <w:szCs w:val="24"/>
        </w:rPr>
        <w:t xml:space="preserve"> square meter over a 24-hour </w:t>
      </w:r>
      <w:r w:rsidR="00FE1066">
        <w:rPr>
          <w:rFonts w:ascii="Times New Roman" w:hAnsi="Times New Roman" w:cs="Times New Roman"/>
          <w:sz w:val="24"/>
          <w:szCs w:val="24"/>
        </w:rPr>
        <w:t>pe</w:t>
      </w:r>
      <w:r w:rsidR="00FE1066" w:rsidRPr="00F07DEB">
        <w:rPr>
          <w:rFonts w:ascii="Times New Roman" w:hAnsi="Times New Roman" w:cs="Times New Roman"/>
          <w:sz w:val="24"/>
          <w:szCs w:val="24"/>
        </w:rPr>
        <w:t>riod</w:t>
      </w:r>
      <w:r w:rsidR="00A80298" w:rsidRPr="00F07DEB">
        <w:rPr>
          <w:rFonts w:ascii="Times New Roman" w:hAnsi="Times New Roman" w:cs="Times New Roman"/>
          <w:sz w:val="24"/>
          <w:szCs w:val="24"/>
        </w:rPr>
        <w:t xml:space="preserve"> in </w:t>
      </w:r>
      <w:proofErr w:type="spellStart"/>
      <w:r w:rsidR="00A80298" w:rsidRPr="00F07DEB">
        <w:rPr>
          <w:rFonts w:ascii="Times New Roman" w:hAnsi="Times New Roman" w:cs="Times New Roman"/>
          <w:sz w:val="24"/>
          <w:szCs w:val="24"/>
        </w:rPr>
        <w:t>mol</w:t>
      </w:r>
      <w:proofErr w:type="spellEnd"/>
      <w:r w:rsidR="00A80298" w:rsidRPr="00F07DEB">
        <w:rPr>
          <w:rFonts w:ascii="Times New Roman" w:hAnsi="Times New Roman" w:cs="Times New Roman"/>
          <w:sz w:val="24"/>
          <w:szCs w:val="24"/>
        </w:rPr>
        <w:t>/m</w:t>
      </w:r>
      <w:r w:rsidR="00A80298" w:rsidRPr="00F07DEB">
        <w:rPr>
          <w:rFonts w:ascii="Times New Roman" w:hAnsi="Times New Roman" w:cs="Times New Roman"/>
          <w:sz w:val="24"/>
          <w:szCs w:val="24"/>
          <w:vertAlign w:val="superscript"/>
        </w:rPr>
        <w:t>2</w:t>
      </w:r>
      <w:r w:rsidR="00A80298" w:rsidRPr="00F07DEB">
        <w:rPr>
          <w:rFonts w:ascii="Times New Roman" w:hAnsi="Times New Roman" w:cs="Times New Roman"/>
          <w:sz w:val="24"/>
          <w:szCs w:val="24"/>
        </w:rPr>
        <w:t>/d. The DLI values recorded over the duration of the expe</w:t>
      </w:r>
      <w:r w:rsidR="00CE3D29">
        <w:rPr>
          <w:rFonts w:ascii="Times New Roman" w:hAnsi="Times New Roman" w:cs="Times New Roman"/>
          <w:sz w:val="24"/>
          <w:szCs w:val="24"/>
        </w:rPr>
        <w:t xml:space="preserve">riment are provided </w:t>
      </w:r>
      <w:r w:rsidR="00CE3D29" w:rsidRPr="00CE3D29">
        <w:rPr>
          <w:rFonts w:ascii="Times New Roman" w:hAnsi="Times New Roman" w:cs="Times New Roman"/>
          <w:sz w:val="24"/>
          <w:szCs w:val="24"/>
        </w:rPr>
        <w:t xml:space="preserve">in </w:t>
      </w:r>
      <w:r w:rsidR="00CE3D29" w:rsidRPr="00CE3D29">
        <w:rPr>
          <w:rFonts w:ascii="Times New Roman" w:hAnsi="Times New Roman" w:cs="Times New Roman"/>
          <w:sz w:val="24"/>
          <w:szCs w:val="24"/>
        </w:rPr>
        <w:fldChar w:fldCharType="begin"/>
      </w:r>
      <w:r w:rsidR="00CE3D29" w:rsidRPr="00CE3D29">
        <w:rPr>
          <w:rFonts w:ascii="Times New Roman" w:hAnsi="Times New Roman" w:cs="Times New Roman"/>
          <w:sz w:val="24"/>
          <w:szCs w:val="24"/>
        </w:rPr>
        <w:instrText xml:space="preserve"> REF _Ref56718433 \h  \* MERGEFORMAT </w:instrText>
      </w:r>
      <w:r w:rsidR="00CE3D29" w:rsidRPr="00CE3D29">
        <w:rPr>
          <w:rFonts w:ascii="Times New Roman" w:hAnsi="Times New Roman" w:cs="Times New Roman"/>
          <w:sz w:val="24"/>
          <w:szCs w:val="24"/>
        </w:rPr>
      </w:r>
      <w:r w:rsidR="00CE3D29" w:rsidRPr="00CE3D29">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14</w:t>
      </w:r>
      <w:r w:rsidR="00CE3D29" w:rsidRPr="00CE3D29">
        <w:rPr>
          <w:rFonts w:ascii="Times New Roman" w:hAnsi="Times New Roman" w:cs="Times New Roman"/>
          <w:sz w:val="24"/>
          <w:szCs w:val="24"/>
        </w:rPr>
        <w:fldChar w:fldCharType="end"/>
      </w:r>
      <w:r w:rsidR="00A80298" w:rsidRPr="00F07DEB">
        <w:rPr>
          <w:rFonts w:ascii="Times New Roman" w:hAnsi="Times New Roman" w:cs="Times New Roman"/>
          <w:sz w:val="24"/>
          <w:szCs w:val="24"/>
        </w:rPr>
        <w:t>.</w:t>
      </w:r>
    </w:p>
    <w:p w14:paraId="4E817B62" w14:textId="3CEB449A" w:rsidR="005E3C69" w:rsidRPr="00F07DEB" w:rsidRDefault="005E3C69" w:rsidP="00A80298">
      <w:pPr>
        <w:keepNext/>
        <w:spacing w:line="480" w:lineRule="auto"/>
        <w:jc w:val="center"/>
        <w:rPr>
          <w:rFonts w:ascii="Times New Roman" w:hAnsi="Times New Roman" w:cs="Times New Roman"/>
        </w:rPr>
      </w:pPr>
      <w:r>
        <w:rPr>
          <w:noProof/>
          <w:lang w:eastAsia="en-US"/>
        </w:rPr>
        <w:drawing>
          <wp:inline distT="0" distB="0" distL="0" distR="0" wp14:anchorId="1836C445" wp14:editId="0EA70A07">
            <wp:extent cx="5602172" cy="3383082"/>
            <wp:effectExtent l="0" t="0" r="17780" b="8255"/>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A5BAF13" w14:textId="4132B3BC" w:rsidR="005B24A1" w:rsidRPr="00F07DEB" w:rsidRDefault="00A80298" w:rsidP="00204C13">
      <w:pPr>
        <w:pStyle w:val="Caption"/>
      </w:pPr>
      <w:bookmarkStart w:id="66" w:name="_Ref56718433"/>
      <w:bookmarkStart w:id="67" w:name="_Toc58975224"/>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14</w:t>
      </w:r>
      <w:r w:rsidR="00DE3B90" w:rsidRPr="00F07DEB">
        <w:rPr>
          <w:noProof/>
        </w:rPr>
        <w:fldChar w:fldCharType="end"/>
      </w:r>
      <w:bookmarkEnd w:id="66"/>
      <w:r w:rsidRPr="00F07DEB">
        <w:t>: Daily light integrals of photosynthetically active radiation during the full-scale experiment</w:t>
      </w:r>
      <w:bookmarkEnd w:id="67"/>
    </w:p>
    <w:p w14:paraId="59DD148E" w14:textId="77777777" w:rsidR="00F07DEB" w:rsidRPr="00F07DEB" w:rsidRDefault="00F07DEB" w:rsidP="00F07DEB">
      <w:pPr>
        <w:rPr>
          <w:rFonts w:ascii="Times New Roman" w:hAnsi="Times New Roman" w:cs="Times New Roman"/>
        </w:rPr>
      </w:pPr>
    </w:p>
    <w:p w14:paraId="13C7E9FB" w14:textId="16004D12" w:rsidR="00B36246" w:rsidRPr="00F07DEB" w:rsidRDefault="005A22A1" w:rsidP="00BE1CB6">
      <w:pPr>
        <w:spacing w:line="480" w:lineRule="auto"/>
        <w:rPr>
          <w:rFonts w:ascii="Times New Roman" w:hAnsi="Times New Roman" w:cs="Times New Roman"/>
          <w:sz w:val="24"/>
          <w:szCs w:val="24"/>
        </w:rPr>
      </w:pPr>
      <w:r w:rsidRPr="00F07DEB">
        <w:rPr>
          <w:rFonts w:ascii="Times New Roman" w:hAnsi="Times New Roman" w:cs="Times New Roman"/>
          <w:sz w:val="24"/>
          <w:szCs w:val="24"/>
        </w:rPr>
        <w:lastRenderedPageBreak/>
        <w:tab/>
        <w:t xml:space="preserve">The cluster of DLI values below 10 </w:t>
      </w:r>
      <w:proofErr w:type="spellStart"/>
      <w:r w:rsidRPr="00F07DEB">
        <w:rPr>
          <w:rFonts w:ascii="Times New Roman" w:hAnsi="Times New Roman" w:cs="Times New Roman"/>
          <w:sz w:val="24"/>
          <w:szCs w:val="24"/>
        </w:rPr>
        <w:t>mol</w:t>
      </w:r>
      <w:proofErr w:type="spellEnd"/>
      <w:r w:rsidRPr="00F07DEB">
        <w:rPr>
          <w:rFonts w:ascii="Times New Roman" w:hAnsi="Times New Roman" w:cs="Times New Roman"/>
          <w:sz w:val="24"/>
          <w:szCs w:val="24"/>
        </w:rPr>
        <w:t>/m</w:t>
      </w:r>
      <w:r w:rsidRPr="00F07DEB">
        <w:rPr>
          <w:rFonts w:ascii="Times New Roman" w:hAnsi="Times New Roman" w:cs="Times New Roman"/>
          <w:sz w:val="24"/>
          <w:szCs w:val="24"/>
          <w:vertAlign w:val="superscript"/>
        </w:rPr>
        <w:t>2</w:t>
      </w:r>
      <w:r w:rsidRPr="00F07DEB">
        <w:rPr>
          <w:rFonts w:ascii="Times New Roman" w:hAnsi="Times New Roman" w:cs="Times New Roman"/>
          <w:sz w:val="24"/>
          <w:szCs w:val="24"/>
        </w:rPr>
        <w:t>/d during the first two weeks were recorded underneath a covered carport</w:t>
      </w:r>
      <w:r w:rsidR="005E3C69">
        <w:rPr>
          <w:rFonts w:ascii="Times New Roman" w:hAnsi="Times New Roman" w:cs="Times New Roman"/>
          <w:sz w:val="24"/>
          <w:szCs w:val="24"/>
        </w:rPr>
        <w:t>, which protected the seeds from being dislodged by rain and facilitated the hanging of a mosquito net to exclude pests</w:t>
      </w:r>
      <w:r w:rsidRPr="00F07DEB">
        <w:rPr>
          <w:rFonts w:ascii="Times New Roman" w:hAnsi="Times New Roman" w:cs="Times New Roman"/>
          <w:sz w:val="24"/>
          <w:szCs w:val="24"/>
        </w:rPr>
        <w:t>. Once the pots were moved into direct sunlight</w:t>
      </w:r>
      <w:r w:rsidR="00462DB6">
        <w:rPr>
          <w:rFonts w:ascii="Times New Roman" w:hAnsi="Times New Roman" w:cs="Times New Roman"/>
          <w:sz w:val="24"/>
          <w:szCs w:val="24"/>
        </w:rPr>
        <w:t xml:space="preserve"> shortly after the summer solstice</w:t>
      </w:r>
      <w:r w:rsidRPr="00F07DEB">
        <w:rPr>
          <w:rFonts w:ascii="Times New Roman" w:hAnsi="Times New Roman" w:cs="Times New Roman"/>
          <w:sz w:val="24"/>
          <w:szCs w:val="24"/>
        </w:rPr>
        <w:t xml:space="preserve">, DLI spiked to a maximum of 44.1 </w:t>
      </w:r>
      <w:proofErr w:type="spellStart"/>
      <w:r w:rsidRPr="00F07DEB">
        <w:rPr>
          <w:rFonts w:ascii="Times New Roman" w:hAnsi="Times New Roman" w:cs="Times New Roman"/>
          <w:sz w:val="24"/>
          <w:szCs w:val="24"/>
        </w:rPr>
        <w:t>mol</w:t>
      </w:r>
      <w:proofErr w:type="spellEnd"/>
      <w:r w:rsidRPr="00F07DEB">
        <w:rPr>
          <w:rFonts w:ascii="Times New Roman" w:hAnsi="Times New Roman" w:cs="Times New Roman"/>
          <w:sz w:val="24"/>
          <w:szCs w:val="24"/>
        </w:rPr>
        <w:t>/m</w:t>
      </w:r>
      <w:r w:rsidRPr="00F07DEB">
        <w:rPr>
          <w:rFonts w:ascii="Times New Roman" w:hAnsi="Times New Roman" w:cs="Times New Roman"/>
          <w:sz w:val="24"/>
          <w:szCs w:val="24"/>
          <w:vertAlign w:val="superscript"/>
        </w:rPr>
        <w:t>2</w:t>
      </w:r>
      <w:r w:rsidRPr="00F07DEB">
        <w:rPr>
          <w:rFonts w:ascii="Times New Roman" w:hAnsi="Times New Roman" w:cs="Times New Roman"/>
          <w:sz w:val="24"/>
          <w:szCs w:val="24"/>
        </w:rPr>
        <w:t>/d followed by a gradual decline as the sun rose later and set earlier in the day. DLI is strongly influenced by weather co</w:t>
      </w:r>
      <w:r w:rsidR="00B36246" w:rsidRPr="00F07DEB">
        <w:rPr>
          <w:rFonts w:ascii="Times New Roman" w:hAnsi="Times New Roman" w:cs="Times New Roman"/>
          <w:sz w:val="24"/>
          <w:szCs w:val="24"/>
        </w:rPr>
        <w:t xml:space="preserve">nditions, which can explain much </w:t>
      </w:r>
      <w:r w:rsidRPr="00F07DEB">
        <w:rPr>
          <w:rFonts w:ascii="Times New Roman" w:hAnsi="Times New Roman" w:cs="Times New Roman"/>
          <w:sz w:val="24"/>
          <w:szCs w:val="24"/>
        </w:rPr>
        <w:t>of the variability between adjacent DLI measurements</w:t>
      </w:r>
      <w:r w:rsidR="00B36246" w:rsidRPr="00F07DEB">
        <w:rPr>
          <w:rFonts w:ascii="Times New Roman" w:hAnsi="Times New Roman" w:cs="Times New Roman"/>
          <w:sz w:val="24"/>
          <w:szCs w:val="24"/>
        </w:rPr>
        <w:t xml:space="preserve">. Excessive light and </w:t>
      </w:r>
      <w:r w:rsidR="00F1100C">
        <w:rPr>
          <w:rFonts w:ascii="Times New Roman" w:hAnsi="Times New Roman" w:cs="Times New Roman"/>
          <w:sz w:val="24"/>
          <w:szCs w:val="24"/>
        </w:rPr>
        <w:t>elevated</w:t>
      </w:r>
      <w:r w:rsidR="00F1100C" w:rsidRPr="00F07DEB">
        <w:rPr>
          <w:rFonts w:ascii="Times New Roman" w:hAnsi="Times New Roman" w:cs="Times New Roman"/>
          <w:sz w:val="24"/>
          <w:szCs w:val="24"/>
        </w:rPr>
        <w:t xml:space="preserve"> </w:t>
      </w:r>
      <w:r w:rsidR="00B36246" w:rsidRPr="00F07DEB">
        <w:rPr>
          <w:rFonts w:ascii="Times New Roman" w:hAnsi="Times New Roman" w:cs="Times New Roman"/>
          <w:sz w:val="24"/>
          <w:szCs w:val="24"/>
        </w:rPr>
        <w:t xml:space="preserve">DLIs were not prominent concerns during this experiment because corn, sorghum, and Bermuda grass can mitigate inefficient photorespiration under full sunlight through the C4 photosynthetic pathway </w:t>
      </w:r>
      <w:r w:rsidR="00B36246" w:rsidRPr="00F07DEB">
        <w:rPr>
          <w:rFonts w:ascii="Times New Roman" w:hAnsi="Times New Roman" w:cs="Times New Roman"/>
          <w:sz w:val="24"/>
          <w:szCs w:val="24"/>
        </w:rPr>
        <w:fldChar w:fldCharType="begin"/>
      </w:r>
      <w:r w:rsidR="00B36246" w:rsidRPr="00F07DEB">
        <w:rPr>
          <w:rFonts w:ascii="Times New Roman" w:hAnsi="Times New Roman" w:cs="Times New Roman"/>
          <w:sz w:val="24"/>
          <w:szCs w:val="24"/>
        </w:rPr>
        <w:instrText xml:space="preserve"> ADDIN ZOTERO_ITEM CSL_CITATION {"citationID":"VbVVBTnN","properties":{"formattedCitation":"(Australian OGTR, 2008; Schmer et al., 2012; Sushil et al., 2017)","plainCitation":"(Australian OGTR, 2008; Schmer et al., 2012; Sushil et al., 2017)","noteIndex":0},"citationItems":[{"id":787,"uris":["http://zotero.org/users/5446453/items/B489QULW"],"uri":["http://zotero.org/users/5446453/items/B489QULW"],"itemData":{"id":787,"type":"report","language":"en","page":"81","publisher":"Australian Government, Department of Health and Ageing, Office of the Gene Technology Regulator","source":"Zotero","title":"The Biology of Zea Mays L. ssp mays (maize or corn)","author":[{"literal":"Australian OGTR"}],"issued":{"date-parts":[["2008",9]]}}},{"id":794,"uris":["http://zotero.org/users/5446453/items/L3HYMG55"],"uri":["http://zotero.org/users/5446453/items/L3HYMG55"],"itemData":{"id":794,"type":"article-journal","abstract":"Schmer, M. R., Xue, Q. and Hendrickson, J. R. 2012. Salinity effects on perennial, warm-season (C4) grass germination adapted to the northern Great Plains. Can. J. Plant Sci. 92: 873Á881. Limited information is available on the germination of perennial C4 grasses adapted to the northern Great Plains under saline conditions. Big bluestem (Andropogen gerardii Vitman), indiangrass [Sorghastrum nutans (L.) Nash], prairie cordgrass (Spartina pectinata Link), and switchgrass (Panicum virgatum L.) seeds were evaluated under non-saline and saline conditions corresponding to electric conductivity (EC) values of 0, 4, 8, 12, 16, and 20 dS m(1, respectively. Ten cultivars were evaluated to determine salinity tolerance differences among and within species. Seeds were monitored for 21 d and analyzed for final germination percentage (GP), germination rate index (GRI), corrected germination rate index (CGRI), and germination velocity (GV). Differences among species were observed for all indices tested (PB0.01). Indices showed within species variation for big bluestem, indiangrass, and switchgrass. Big bluestem had the highest germination rates under increased salinity levels while prairie cordgrass had the lowest germination rates under non-saline and saline conditions. Indiangrass showed higher seed germination than switchgrass under low EC levels (0 to 4 dS m(1) but declined at a higher rate when EC levels exceeded 16 dS m(1. Results from this study suggest grassland reestablishment from seed on variable saline soils will be dependent on both the species chosen and the specific cultivar used.","container-title":"Canadian Journal of Plant Science","DOI":"10.4141/cjps2012-001","ISSN":"0008-4220, 1918-1833","issue":"5","journalAbbreviation":"Can. J. Plant Sci.","language":"en","page":"873-881","source":"DOI.org (Crossref)","title":"Salinity effects on perennial, warm-season (C4) grass germination adapted to the northern Great Plains","volume":"92","author":[{"family":"Schmer","given":"M. R."},{"family":"Xue","given":"Q."},{"family":"Hendrickson","given":"J. R."}],"issued":{"date-parts":[["2012",9]]}}},{"id":792,"uris":["http://zotero.org/users/5446453/items/XHSZTQHY"],"uri":["http://zotero.org/users/5446453/items/XHSZTQHY"],"itemData":{"id":792,"type":"article-journal","abstract":"Thapa S., Stewart B.A., Xue Q.W. (2017): Grain sorghum transpiration efficiency at different growth stages. Plant Soil Environ., 63: 70–75.","container-title":"Plant, Soil and Environment","DOI":"10.17221/796/2016-PSE","ISSN":"12141178, 18059368","issue":"No. 2","journalAbbreviation":"Plant Soil Environ.","language":"en","page":"70-75","source":"DOI.org (Crossref)","title":"Grain sorghum transpiration efficiency at different growth stages","volume":"63","author":[{"family":"Sushil","given":"Thapa"},{"family":"Bob A","given":"Stewart"},{"family":"Qingwu","given":"Xue"}],"issued":{"date-parts":[["2017",4,24]]}}}],"schema":"https://github.com/citation-style-language/schema/raw/master/csl-citation.json"} </w:instrText>
      </w:r>
      <w:r w:rsidR="00B36246"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(Australian OGTR, 2008; Schmer et al., 2012; Sushil et al., 2017)</w:t>
      </w:r>
      <w:r w:rsidR="00B36246" w:rsidRPr="00F07DEB">
        <w:rPr>
          <w:rFonts w:ascii="Times New Roman" w:hAnsi="Times New Roman" w:cs="Times New Roman"/>
          <w:sz w:val="24"/>
          <w:szCs w:val="24"/>
        </w:rPr>
        <w:fldChar w:fldCharType="end"/>
      </w:r>
      <w:r w:rsidR="00B36246" w:rsidRPr="00F07DEB">
        <w:rPr>
          <w:rFonts w:ascii="Times New Roman" w:hAnsi="Times New Roman" w:cs="Times New Roman"/>
          <w:sz w:val="24"/>
          <w:szCs w:val="24"/>
        </w:rPr>
        <w:t>. Conversely</w:t>
      </w:r>
      <w:r w:rsidRPr="00F07DEB">
        <w:rPr>
          <w:rFonts w:ascii="Times New Roman" w:hAnsi="Times New Roman" w:cs="Times New Roman"/>
          <w:sz w:val="24"/>
          <w:szCs w:val="24"/>
        </w:rPr>
        <w:t>,</w:t>
      </w:r>
      <w:r w:rsidR="00B36246" w:rsidRPr="00F07DEB">
        <w:rPr>
          <w:rFonts w:ascii="Times New Roman" w:hAnsi="Times New Roman" w:cs="Times New Roman"/>
          <w:sz w:val="24"/>
          <w:szCs w:val="24"/>
        </w:rPr>
        <w:t xml:space="preserve"> extended periods of low-light conditions later in the growing season can be problematic for plant growth, but</w:t>
      </w:r>
      <w:r w:rsidRPr="00F07DEB">
        <w:rPr>
          <w:rFonts w:ascii="Times New Roman" w:hAnsi="Times New Roman" w:cs="Times New Roman"/>
          <w:sz w:val="24"/>
          <w:szCs w:val="24"/>
        </w:rPr>
        <w:t xml:space="preserve"> even overcast </w:t>
      </w:r>
      <w:r w:rsidR="00B36246" w:rsidRPr="00F07DEB">
        <w:rPr>
          <w:rFonts w:ascii="Times New Roman" w:hAnsi="Times New Roman" w:cs="Times New Roman"/>
          <w:sz w:val="24"/>
          <w:szCs w:val="24"/>
        </w:rPr>
        <w:t>skies</w:t>
      </w:r>
      <w:r w:rsidR="000615EA" w:rsidRPr="00F07DEB">
        <w:rPr>
          <w:rFonts w:ascii="Times New Roman" w:hAnsi="Times New Roman" w:cs="Times New Roman"/>
          <w:sz w:val="24"/>
          <w:szCs w:val="24"/>
        </w:rPr>
        <w:t xml:space="preserve"> during the experiment</w:t>
      </w:r>
      <w:r w:rsidRPr="00F07DEB">
        <w:rPr>
          <w:rFonts w:ascii="Times New Roman" w:hAnsi="Times New Roman" w:cs="Times New Roman"/>
          <w:sz w:val="24"/>
          <w:szCs w:val="24"/>
        </w:rPr>
        <w:t xml:space="preserve"> transmit</w:t>
      </w:r>
      <w:r w:rsidR="000615EA" w:rsidRPr="00F07DEB">
        <w:rPr>
          <w:rFonts w:ascii="Times New Roman" w:hAnsi="Times New Roman" w:cs="Times New Roman"/>
          <w:sz w:val="24"/>
          <w:szCs w:val="24"/>
        </w:rPr>
        <w:t>ted</w:t>
      </w:r>
      <w:r w:rsidRPr="00F07DEB">
        <w:rPr>
          <w:rFonts w:ascii="Times New Roman" w:hAnsi="Times New Roman" w:cs="Times New Roman"/>
          <w:sz w:val="24"/>
          <w:szCs w:val="24"/>
        </w:rPr>
        <w:t xml:space="preserve"> sufficient solar radiation for plant growth prior to September</w:t>
      </w:r>
      <w:r w:rsidR="0078795A" w:rsidRPr="00F07DEB">
        <w:rPr>
          <w:rFonts w:ascii="Times New Roman" w:hAnsi="Times New Roman" w:cs="Times New Roman"/>
          <w:sz w:val="24"/>
          <w:szCs w:val="24"/>
        </w:rPr>
        <w:t xml:space="preserve"> </w:t>
      </w:r>
      <w:r w:rsidR="0078795A"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{"citationID":"K7KoxKtq","properties":{"formattedCitation":"(Eddy &amp; Hahn, 2013)","plainCitation":"(Eddy &amp; Hahn, 2013)","dontUpdate":true,"noteIndex":0},"citationItems":[{"id":762,"uris":["http://zotero.org/users/5446453/items/R7HJS4ZR"],"uri":["http://zotero.org/users/5446453/items/R7HJS4ZR"],"itemData":{"id":762,"type":"report","collection-title":"Purdue Methods for Corn Growth","language":"en","number":"Paper 13","page":"5","source":"Zotero","title":"Optimizing Greenhouse Corn Production: What Is the Best Lighting and Plant Density?","URL":"http://docs.lib.purdue.edu/pmcg/13","author":[{"family":"Eddy","given":"Robert"},{"family":"Hahn","given":"Daniel T"}],"issued":{"date-parts":[["2013"]]}}}],"schema":"https://github.com/citation-style-language/schema/raw/master/csl-citation.json"} </w:instrText>
      </w:r>
      <w:r w:rsidR="0078795A" w:rsidRPr="00F07DEB">
        <w:rPr>
          <w:rFonts w:ascii="Times New Roman" w:hAnsi="Times New Roman" w:cs="Times New Roman"/>
          <w:sz w:val="24"/>
          <w:szCs w:val="24"/>
        </w:rPr>
        <w:fldChar w:fldCharType="separate"/>
      </w:r>
      <w:r w:rsidR="0078795A" w:rsidRPr="00F07DEB">
        <w:rPr>
          <w:rFonts w:ascii="Times New Roman" w:hAnsi="Times New Roman" w:cs="Times New Roman"/>
          <w:sz w:val="24"/>
        </w:rPr>
        <w:t xml:space="preserve">(Eddy </w:t>
      </w:r>
      <w:r w:rsidR="002A6AB5">
        <w:rPr>
          <w:rFonts w:ascii="Times New Roman" w:hAnsi="Times New Roman" w:cs="Times New Roman"/>
          <w:sz w:val="24"/>
        </w:rPr>
        <w:t>and</w:t>
      </w:r>
      <w:r w:rsidR="0078795A" w:rsidRPr="00F07DEB">
        <w:rPr>
          <w:rFonts w:ascii="Times New Roman" w:hAnsi="Times New Roman" w:cs="Times New Roman"/>
          <w:sz w:val="24"/>
        </w:rPr>
        <w:t xml:space="preserve"> Hahn, 2013)</w:t>
      </w:r>
      <w:r w:rsidR="0078795A"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w:t>
      </w:r>
      <w:r w:rsidR="00604FFB" w:rsidRPr="00F07DEB">
        <w:rPr>
          <w:rFonts w:ascii="Times New Roman" w:hAnsi="Times New Roman" w:cs="Times New Roman"/>
          <w:sz w:val="24"/>
          <w:szCs w:val="24"/>
        </w:rPr>
        <w:t xml:space="preserve">Whereas some specialized plant growth chambers maintain DLI upwards of 50 </w:t>
      </w:r>
      <w:proofErr w:type="spellStart"/>
      <w:r w:rsidR="00604FFB" w:rsidRPr="00F07DEB">
        <w:rPr>
          <w:rFonts w:ascii="Times New Roman" w:hAnsi="Times New Roman" w:cs="Times New Roman"/>
          <w:sz w:val="24"/>
          <w:szCs w:val="24"/>
        </w:rPr>
        <w:t>mol</w:t>
      </w:r>
      <w:proofErr w:type="spellEnd"/>
      <w:r w:rsidR="00604FFB" w:rsidRPr="00F07DEB">
        <w:rPr>
          <w:rFonts w:ascii="Times New Roman" w:hAnsi="Times New Roman" w:cs="Times New Roman"/>
          <w:sz w:val="24"/>
          <w:szCs w:val="24"/>
        </w:rPr>
        <w:t>/m</w:t>
      </w:r>
      <w:r w:rsidR="00604FFB" w:rsidRPr="00F07DEB">
        <w:rPr>
          <w:rFonts w:ascii="Times New Roman" w:hAnsi="Times New Roman" w:cs="Times New Roman"/>
          <w:sz w:val="24"/>
          <w:szCs w:val="24"/>
          <w:vertAlign w:val="superscript"/>
        </w:rPr>
        <w:t>2</w:t>
      </w:r>
      <w:r w:rsidR="00604FFB" w:rsidRPr="00F07DEB">
        <w:rPr>
          <w:rFonts w:ascii="Times New Roman" w:hAnsi="Times New Roman" w:cs="Times New Roman"/>
          <w:sz w:val="24"/>
          <w:szCs w:val="24"/>
        </w:rPr>
        <w:t>/</w:t>
      </w:r>
      <w:r w:rsidR="005E336D" w:rsidRPr="00F07DEB">
        <w:rPr>
          <w:rFonts w:ascii="Times New Roman" w:hAnsi="Times New Roman" w:cs="Times New Roman"/>
          <w:sz w:val="24"/>
          <w:szCs w:val="24"/>
        </w:rPr>
        <w:t>d to take advantage of corn’s C4 photosynthetic pathway</w:t>
      </w:r>
      <w:r w:rsidR="00604FFB" w:rsidRPr="00F07DEB">
        <w:rPr>
          <w:rFonts w:ascii="Times New Roman" w:hAnsi="Times New Roman" w:cs="Times New Roman"/>
          <w:sz w:val="24"/>
          <w:szCs w:val="24"/>
        </w:rPr>
        <w:t xml:space="preserve">, researchers have reported that corn can grow and reproduce at much lower values </w:t>
      </w:r>
      <w:r w:rsidR="00604FFB"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{"citationID":"fecnqyZ7","properties":{"formattedCitation":"(Eddy &amp; Hahn, 2013)","plainCitation":"(Eddy &amp; Hahn, 2013)","dontUpdate":true,"noteIndex":0},"citationItems":[{"id":762,"uris":["http://zotero.org/users/5446453/items/R7HJS4ZR"],"uri":["http://zotero.org/users/5446453/items/R7HJS4ZR"],"itemData":{"id":762,"type":"report","collection-title":"Purdue Methods for Corn Growth","language":"en","number":"Paper 13","page":"5","source":"Zotero","title":"Optimizing Greenhouse Corn Production: What Is the Best Lighting and Plant Density?","URL":"http://docs.lib.purdue.edu/pmcg/13","author":[{"family":"Eddy","given":"Robert"},{"family":"Hahn","given":"Daniel T"}],"issued":{"date-parts":[["2013"]]}}}],"schema":"https://github.com/citation-style-language/schema/raw/master/csl-citation.json"} </w:instrText>
      </w:r>
      <w:r w:rsidR="00604FFB" w:rsidRPr="00F07DEB">
        <w:rPr>
          <w:rFonts w:ascii="Times New Roman" w:hAnsi="Times New Roman" w:cs="Times New Roman"/>
          <w:sz w:val="24"/>
          <w:szCs w:val="24"/>
        </w:rPr>
        <w:fldChar w:fldCharType="separate"/>
      </w:r>
      <w:r w:rsidR="00604FFB" w:rsidRPr="00F07DEB">
        <w:rPr>
          <w:rFonts w:ascii="Times New Roman" w:hAnsi="Times New Roman" w:cs="Times New Roman"/>
          <w:sz w:val="24"/>
        </w:rPr>
        <w:t xml:space="preserve">(Eddy </w:t>
      </w:r>
      <w:r w:rsidR="002A6AB5">
        <w:rPr>
          <w:rFonts w:ascii="Times New Roman" w:hAnsi="Times New Roman" w:cs="Times New Roman"/>
          <w:sz w:val="24"/>
        </w:rPr>
        <w:t>and</w:t>
      </w:r>
      <w:r w:rsidR="00604FFB" w:rsidRPr="00F07DEB">
        <w:rPr>
          <w:rFonts w:ascii="Times New Roman" w:hAnsi="Times New Roman" w:cs="Times New Roman"/>
          <w:sz w:val="24"/>
        </w:rPr>
        <w:t xml:space="preserve"> Hahn, 2013)</w:t>
      </w:r>
      <w:r w:rsidR="00604FFB" w:rsidRPr="00F07DEB">
        <w:rPr>
          <w:rFonts w:ascii="Times New Roman" w:hAnsi="Times New Roman" w:cs="Times New Roman"/>
          <w:sz w:val="24"/>
          <w:szCs w:val="24"/>
        </w:rPr>
        <w:fldChar w:fldCharType="end"/>
      </w:r>
      <w:r w:rsidR="00604FFB" w:rsidRPr="00F07DEB">
        <w:rPr>
          <w:rFonts w:ascii="Times New Roman" w:hAnsi="Times New Roman" w:cs="Times New Roman"/>
          <w:sz w:val="24"/>
          <w:szCs w:val="24"/>
        </w:rPr>
        <w:t xml:space="preserve">. Greenhouse-grown corn has produced above-average yields at DLI as low as 8 to 10 </w:t>
      </w:r>
      <w:proofErr w:type="spellStart"/>
      <w:r w:rsidR="00604FFB" w:rsidRPr="00F07DEB">
        <w:rPr>
          <w:rFonts w:ascii="Times New Roman" w:hAnsi="Times New Roman" w:cs="Times New Roman"/>
          <w:sz w:val="24"/>
          <w:szCs w:val="24"/>
        </w:rPr>
        <w:t>mol</w:t>
      </w:r>
      <w:proofErr w:type="spellEnd"/>
      <w:r w:rsidR="00604FFB" w:rsidRPr="00F07DEB">
        <w:rPr>
          <w:rFonts w:ascii="Times New Roman" w:hAnsi="Times New Roman" w:cs="Times New Roman"/>
          <w:sz w:val="24"/>
          <w:szCs w:val="24"/>
        </w:rPr>
        <w:t>/m</w:t>
      </w:r>
      <w:r w:rsidR="00604FFB" w:rsidRPr="00F07DEB">
        <w:rPr>
          <w:rFonts w:ascii="Times New Roman" w:hAnsi="Times New Roman" w:cs="Times New Roman"/>
          <w:sz w:val="24"/>
          <w:szCs w:val="24"/>
          <w:vertAlign w:val="superscript"/>
        </w:rPr>
        <w:t>2</w:t>
      </w:r>
      <w:r w:rsidR="00604FFB" w:rsidRPr="00F07DEB">
        <w:rPr>
          <w:rFonts w:ascii="Times New Roman" w:hAnsi="Times New Roman" w:cs="Times New Roman"/>
          <w:sz w:val="24"/>
          <w:szCs w:val="24"/>
        </w:rPr>
        <w:t xml:space="preserve">/d, but tassel development in some corn lines can suffer when the DLI falls below 23.7 </w:t>
      </w:r>
      <w:proofErr w:type="spellStart"/>
      <w:r w:rsidR="00604FFB" w:rsidRPr="00F07DEB">
        <w:rPr>
          <w:rFonts w:ascii="Times New Roman" w:hAnsi="Times New Roman" w:cs="Times New Roman"/>
          <w:sz w:val="24"/>
          <w:szCs w:val="24"/>
        </w:rPr>
        <w:t>mol</w:t>
      </w:r>
      <w:proofErr w:type="spellEnd"/>
      <w:r w:rsidR="00604FFB" w:rsidRPr="00F07DEB">
        <w:rPr>
          <w:rFonts w:ascii="Times New Roman" w:hAnsi="Times New Roman" w:cs="Times New Roman"/>
          <w:sz w:val="24"/>
          <w:szCs w:val="24"/>
        </w:rPr>
        <w:t>/m</w:t>
      </w:r>
      <w:r w:rsidR="00604FFB" w:rsidRPr="00F07DEB">
        <w:rPr>
          <w:rFonts w:ascii="Times New Roman" w:hAnsi="Times New Roman" w:cs="Times New Roman"/>
          <w:sz w:val="24"/>
          <w:szCs w:val="24"/>
          <w:vertAlign w:val="superscript"/>
        </w:rPr>
        <w:t>2</w:t>
      </w:r>
      <w:r w:rsidR="00604FFB" w:rsidRPr="00F07DEB">
        <w:rPr>
          <w:rFonts w:ascii="Times New Roman" w:hAnsi="Times New Roman" w:cs="Times New Roman"/>
          <w:sz w:val="24"/>
          <w:szCs w:val="24"/>
        </w:rPr>
        <w:t>/d for a week or longer</w:t>
      </w:r>
      <w:r w:rsidR="003F3F14" w:rsidRPr="00F07DEB">
        <w:rPr>
          <w:rFonts w:ascii="Times New Roman" w:hAnsi="Times New Roman" w:cs="Times New Roman"/>
          <w:sz w:val="24"/>
          <w:szCs w:val="24"/>
        </w:rPr>
        <w:t xml:space="preserve"> </w:t>
      </w:r>
      <w:r w:rsidR="003F3F14"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{"citationID":"eZ2QL10j","properties":{"formattedCitation":"(Eddy &amp; Hahn, 2013; Trecker, 2018)","plainCitation":"(Eddy &amp; Hahn, 2013; Trecker, 2018)","dontUpdate":true,"noteIndex":0},"citationItems":[{"id":762,"uris":["http://zotero.org/users/5446453/items/R7HJS4ZR"],"uri":["http://zotero.org/users/5446453/items/R7HJS4ZR"],"itemData":{"id":762,"type":"report","collection-title":"Purdue Methods for Corn Growth","language":"en","number":"Paper 13","page":"5","source":"Zotero","title":"Optimizing Greenhouse Corn Production: What Is the Best Lighting and Plant Density?","URL":"http://docs.lib.purdue.edu/pmcg/13","author":[{"family":"Eddy","given":"Robert"},{"family":"Hahn","given":"Daniel T"}],"issued":{"date-parts":[["2013"]]}}},{"id":775,"uris":["http://zotero.org/users/5446453/items/UU7YU8F8"],"uri":["http://zotero.org/users/5446453/items/UU7YU8F8"],"itemData":{"id":775,"type":"thesis","event-place":"Ames","genre":"Master of Science","language":"en","note":"page: 12331563\nDOI: 10.31274/etd-180810-6105","publisher":"Iowa State University, Digital Repository","publisher-place":"Ames","source":"DOI.org (Crossref)","title":"Quantifying the effects of daily light integral or photoperiod on maize tassel morphology across developmental stages","URL":"https://lib.dr.iastate.edu/etd/16475/","author":[{"family":"Trecker","given":"Elizabeth Ann"}],"accessed":{"date-parts":[["2020",11,7]]},"issued":{"date-parts":[["2018"]]}}}],"schema":"https://github.com/citation-style-language/schema/raw/master/csl-citation.json"} </w:instrText>
      </w:r>
      <w:r w:rsidR="003F3F14" w:rsidRPr="00F07DEB">
        <w:rPr>
          <w:rFonts w:ascii="Times New Roman" w:hAnsi="Times New Roman" w:cs="Times New Roman"/>
          <w:sz w:val="24"/>
          <w:szCs w:val="24"/>
        </w:rPr>
        <w:fldChar w:fldCharType="separate"/>
      </w:r>
      <w:r w:rsidR="003F3F14" w:rsidRPr="00F07DEB">
        <w:rPr>
          <w:rFonts w:ascii="Times New Roman" w:hAnsi="Times New Roman" w:cs="Times New Roman"/>
          <w:sz w:val="24"/>
        </w:rPr>
        <w:t xml:space="preserve">(Eddy </w:t>
      </w:r>
      <w:r w:rsidR="002A6AB5">
        <w:rPr>
          <w:rFonts w:ascii="Times New Roman" w:hAnsi="Times New Roman" w:cs="Times New Roman"/>
          <w:sz w:val="24"/>
        </w:rPr>
        <w:t>and</w:t>
      </w:r>
      <w:r w:rsidR="003F3F14" w:rsidRPr="00F07DEB">
        <w:rPr>
          <w:rFonts w:ascii="Times New Roman" w:hAnsi="Times New Roman" w:cs="Times New Roman"/>
          <w:sz w:val="24"/>
        </w:rPr>
        <w:t xml:space="preserve"> Hahn, 2013; Trecker, 2018)</w:t>
      </w:r>
      <w:r w:rsidR="003F3F14" w:rsidRPr="00F07DEB">
        <w:rPr>
          <w:rFonts w:ascii="Times New Roman" w:hAnsi="Times New Roman" w:cs="Times New Roman"/>
          <w:sz w:val="24"/>
          <w:szCs w:val="24"/>
        </w:rPr>
        <w:fldChar w:fldCharType="end"/>
      </w:r>
      <w:r w:rsidR="00604FFB" w:rsidRPr="00F07DEB">
        <w:rPr>
          <w:rFonts w:ascii="Times New Roman" w:hAnsi="Times New Roman" w:cs="Times New Roman"/>
          <w:sz w:val="24"/>
          <w:szCs w:val="24"/>
        </w:rPr>
        <w:t>.</w:t>
      </w:r>
      <w:r w:rsidR="003F3F14" w:rsidRPr="00F07DEB">
        <w:rPr>
          <w:rFonts w:ascii="Times New Roman" w:hAnsi="Times New Roman" w:cs="Times New Roman"/>
          <w:sz w:val="24"/>
          <w:szCs w:val="24"/>
        </w:rPr>
        <w:t xml:space="preserve"> </w:t>
      </w:r>
      <w:r w:rsidR="001C58CE" w:rsidRPr="00F07DEB">
        <w:rPr>
          <w:rFonts w:ascii="Times New Roman" w:hAnsi="Times New Roman" w:cs="Times New Roman"/>
          <w:sz w:val="24"/>
          <w:szCs w:val="24"/>
        </w:rPr>
        <w:t xml:space="preserve">Because the corn pots were moved into direct sunlight before the onset of tassel development, which takes place between vegetative stages 5 (V5) and 7 (V7), it is unlikely that spending the first two weeks after sowing under shade </w:t>
      </w:r>
      <w:r w:rsidR="00310895" w:rsidRPr="00F07DEB">
        <w:rPr>
          <w:rFonts w:ascii="Times New Roman" w:hAnsi="Times New Roman" w:cs="Times New Roman"/>
          <w:sz w:val="24"/>
          <w:szCs w:val="24"/>
        </w:rPr>
        <w:t xml:space="preserve">negatively </w:t>
      </w:r>
      <w:r w:rsidR="001C58CE" w:rsidRPr="00F07DEB">
        <w:rPr>
          <w:rFonts w:ascii="Times New Roman" w:hAnsi="Times New Roman" w:cs="Times New Roman"/>
          <w:sz w:val="24"/>
          <w:szCs w:val="24"/>
        </w:rPr>
        <w:t xml:space="preserve">impacted tassel development. </w:t>
      </w:r>
      <w:r w:rsidR="00310895" w:rsidRPr="00F07DEB">
        <w:rPr>
          <w:rFonts w:ascii="Times New Roman" w:hAnsi="Times New Roman" w:cs="Times New Roman"/>
          <w:sz w:val="24"/>
          <w:szCs w:val="24"/>
        </w:rPr>
        <w:t xml:space="preserve">The first tassel appeared </w:t>
      </w:r>
      <w:r w:rsidR="00462DB6">
        <w:rPr>
          <w:rFonts w:ascii="Times New Roman" w:hAnsi="Times New Roman" w:cs="Times New Roman"/>
          <w:sz w:val="24"/>
          <w:szCs w:val="24"/>
        </w:rPr>
        <w:t>65 days after planting</w:t>
      </w:r>
      <w:r w:rsidR="00310895" w:rsidRPr="00F07DEB">
        <w:rPr>
          <w:rFonts w:ascii="Times New Roman" w:hAnsi="Times New Roman" w:cs="Times New Roman"/>
          <w:sz w:val="24"/>
          <w:szCs w:val="24"/>
        </w:rPr>
        <w:t xml:space="preserve">, and by </w:t>
      </w:r>
      <w:r w:rsidR="00462DB6">
        <w:rPr>
          <w:rFonts w:ascii="Times New Roman" w:hAnsi="Times New Roman" w:cs="Times New Roman"/>
          <w:sz w:val="24"/>
          <w:szCs w:val="24"/>
        </w:rPr>
        <w:t>day 79</w:t>
      </w:r>
      <w:r w:rsidR="00310895" w:rsidRPr="00F07DEB">
        <w:rPr>
          <w:rFonts w:ascii="Times New Roman" w:hAnsi="Times New Roman" w:cs="Times New Roman"/>
          <w:sz w:val="24"/>
          <w:szCs w:val="24"/>
        </w:rPr>
        <w:t xml:space="preserve"> every corn plant was visibly tasseling (VT) or farther along in the reproductive growth stages. The first time that recorded DLI measurements dropped below 23.7 </w:t>
      </w:r>
      <w:proofErr w:type="spellStart"/>
      <w:r w:rsidR="00310895" w:rsidRPr="00F07DEB">
        <w:rPr>
          <w:rFonts w:ascii="Times New Roman" w:hAnsi="Times New Roman" w:cs="Times New Roman"/>
          <w:sz w:val="24"/>
          <w:szCs w:val="24"/>
        </w:rPr>
        <w:t>mol</w:t>
      </w:r>
      <w:proofErr w:type="spellEnd"/>
      <w:r w:rsidR="00310895" w:rsidRPr="00F07DEB">
        <w:rPr>
          <w:rFonts w:ascii="Times New Roman" w:hAnsi="Times New Roman" w:cs="Times New Roman"/>
          <w:sz w:val="24"/>
          <w:szCs w:val="24"/>
        </w:rPr>
        <w:t>/m</w:t>
      </w:r>
      <w:r w:rsidR="00310895" w:rsidRPr="00F07DEB">
        <w:rPr>
          <w:rFonts w:ascii="Times New Roman" w:hAnsi="Times New Roman" w:cs="Times New Roman"/>
          <w:sz w:val="24"/>
          <w:szCs w:val="24"/>
          <w:vertAlign w:val="superscript"/>
        </w:rPr>
        <w:t>2</w:t>
      </w:r>
      <w:r w:rsidR="00310895" w:rsidRPr="00F07DEB">
        <w:rPr>
          <w:rFonts w:ascii="Times New Roman" w:hAnsi="Times New Roman" w:cs="Times New Roman"/>
          <w:sz w:val="24"/>
          <w:szCs w:val="24"/>
        </w:rPr>
        <w:t xml:space="preserve">/d for a week </w:t>
      </w:r>
      <w:r w:rsidR="00310895" w:rsidRPr="00F07DEB">
        <w:rPr>
          <w:rFonts w:ascii="Times New Roman" w:hAnsi="Times New Roman" w:cs="Times New Roman"/>
          <w:sz w:val="24"/>
          <w:szCs w:val="24"/>
        </w:rPr>
        <w:lastRenderedPageBreak/>
        <w:t xml:space="preserve">or longer began on </w:t>
      </w:r>
      <w:r w:rsidR="00462DB6">
        <w:rPr>
          <w:rFonts w:ascii="Times New Roman" w:hAnsi="Times New Roman" w:cs="Times New Roman"/>
          <w:sz w:val="24"/>
          <w:szCs w:val="24"/>
        </w:rPr>
        <w:t>day 78</w:t>
      </w:r>
      <w:r w:rsidR="00310895" w:rsidRPr="00F07DEB">
        <w:rPr>
          <w:rFonts w:ascii="Times New Roman" w:hAnsi="Times New Roman" w:cs="Times New Roman"/>
          <w:sz w:val="24"/>
          <w:szCs w:val="24"/>
        </w:rPr>
        <w:t>. Therefore, tassel development during the vegetative growth stages should n</w:t>
      </w:r>
      <w:r w:rsidR="005D79C3" w:rsidRPr="00F07DEB">
        <w:rPr>
          <w:rFonts w:ascii="Times New Roman" w:hAnsi="Times New Roman" w:cs="Times New Roman"/>
          <w:sz w:val="24"/>
          <w:szCs w:val="24"/>
        </w:rPr>
        <w:t xml:space="preserve">ot have been limited by the availability of </w:t>
      </w:r>
      <w:r w:rsidR="007C6EF4" w:rsidRPr="00F07DEB">
        <w:rPr>
          <w:rFonts w:ascii="Times New Roman" w:hAnsi="Times New Roman" w:cs="Times New Roman"/>
          <w:sz w:val="24"/>
          <w:szCs w:val="24"/>
        </w:rPr>
        <w:t>PAR</w:t>
      </w:r>
      <w:r w:rsidR="005D79C3" w:rsidRPr="00F07DEB">
        <w:rPr>
          <w:rFonts w:ascii="Times New Roman" w:hAnsi="Times New Roman" w:cs="Times New Roman"/>
          <w:sz w:val="24"/>
          <w:szCs w:val="24"/>
        </w:rPr>
        <w:t>.</w:t>
      </w:r>
      <w:r w:rsidR="005B7E4F" w:rsidRPr="00F07DEB">
        <w:rPr>
          <w:rFonts w:ascii="Times New Roman" w:hAnsi="Times New Roman" w:cs="Times New Roman"/>
          <w:sz w:val="24"/>
          <w:szCs w:val="24"/>
        </w:rPr>
        <w:t xml:space="preserve"> </w:t>
      </w:r>
    </w:p>
    <w:p w14:paraId="6FF1C696" w14:textId="76E19312" w:rsidR="008C5A17" w:rsidRPr="00F07DEB" w:rsidRDefault="00C20152" w:rsidP="00445B96">
      <w:pPr>
        <w:pStyle w:val="Heading3"/>
        <w:spacing w:line="480" w:lineRule="auto"/>
        <w:ind w:left="1166"/>
      </w:pPr>
      <w:bookmarkStart w:id="68" w:name="_Toc58975169"/>
      <w:r w:rsidRPr="00F07DEB">
        <w:t xml:space="preserve">Temperature and </w:t>
      </w:r>
      <w:r w:rsidR="00445B96" w:rsidRPr="00F07DEB">
        <w:t>Growing Degree Units</w:t>
      </w:r>
      <w:bookmarkEnd w:id="68"/>
    </w:p>
    <w:p w14:paraId="669E9615" w14:textId="411B9C10" w:rsidR="00C20152" w:rsidRPr="00F07DEB" w:rsidRDefault="00C700FF" w:rsidP="00355EB3">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Corn, the most heat- and drought-sensitive of the three plants examined, can tolerate temperatures between 8 ℃ and 40 ℃ although pollen viability and grain yield are negatively affected by temperatures greater than 35 ℃ or less than 15 ℃ </w:t>
      </w:r>
      <w:r w:rsidRPr="00F07DEB">
        <w:rPr>
          <w:rFonts w:ascii="Times New Roman" w:hAnsi="Times New Roman" w:cs="Times New Roman"/>
          <w:sz w:val="24"/>
          <w:szCs w:val="24"/>
        </w:rPr>
        <w:fldChar w:fldCharType="begin"/>
      </w:r>
      <w:r w:rsidRPr="00F07DEB">
        <w:rPr>
          <w:rFonts w:ascii="Times New Roman" w:hAnsi="Times New Roman" w:cs="Times New Roman"/>
          <w:sz w:val="24"/>
          <w:szCs w:val="24"/>
        </w:rPr>
        <w:instrText xml:space="preserve"> ADDIN ZOTERO_ITEM CSL_CITATION {"citationID":"h4DsPAtV","properties":{"formattedCitation":"(Australian OGTR, 2008; Sushil et al., 2017; Vandevender, 2006)","plainCitation":"(Australian OGTR, 2008; Sushil et al., 2017; Vandevender, 2006)","noteIndex":0},"citationItems":[{"id":787,"uris":["http://zotero.org/users/5446453/items/B489QULW"],"uri":["http://zotero.org/users/5446453/items/B489QULW"],"itemData":{"id":787,"type":"report","language":"en","page":"81","publisher":"Australian Government, Department of Health and Ageing, Office of the Gene Technology Regulator","source":"Zotero","title":"The Biology of Zea Mays L. ssp mays (maize or corn)","author":[{"literal":"Australian OGTR"}],"issued":{"date-parts":[["2008",9]]}}},{"id":792,"uris":["http://zotero.org/users/5446453/items/XHSZTQHY"],"uri":["http://zotero.org/users/5446453/items/XHSZTQHY"],"itemData":{"id":792,"type":"article-journal","abstract":"Thapa S., Stewart B.A., Xue Q.W. (2017): Grain sorghum transpiration efficiency at different growth stages. Plant Soil Environ., 63: 70–75.","container-title":"Plant, Soil and Environment","DOI":"10.17221/796/2016-PSE","ISSN":"12141178, 18059368","issue":"No. 2","journalAbbreviation":"Plant Soil Environ.","language":"en","page":"70-75","source":"DOI.org (Crossref)","title":"Grain sorghum transpiration efficiency at different growth stages","volume":"63","author":[{"family":"Sushil","given":"Thapa"},{"family":"Bob A","given":"Stewart"},{"family":"Qingwu","given":"Xue"}],"issued":{"date-parts":[["2017",4,24]]}}},{"id":767,"uris":["http://zotero.org/users/5446453/items/TBC82GGU"],"uri":["http://zotero.org/users/5446453/items/TBC82GGU"],"itemData":{"id":767,"type":"report","event-place":"Appalachian Plant Materials Center, Alderson, WV","page":"3","publisher":"USDA-Natural Resources Conservation Service","publisher-place":"Appalachian Plant Materials Center, Alderson, WV","title":"Plant guide for Bermudagrass (Cynodon dactylon L.)","author":[{"family":"Vandevender","given":"John"}],"issued":{"date-parts":[["2006"]]}}}],"schema":"https://github.com/citation-style-language/schema/raw/master/csl-citation.json"} </w:instrText>
      </w:r>
      <w:r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(Australian OGTR, 2008; Sushil et al., 2017; Vandevender, 2006)</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w:t>
      </w:r>
      <w:r w:rsidR="006A2F05" w:rsidRPr="00F07DEB">
        <w:rPr>
          <w:rFonts w:ascii="Times New Roman" w:hAnsi="Times New Roman" w:cs="Times New Roman"/>
          <w:sz w:val="24"/>
          <w:szCs w:val="24"/>
        </w:rPr>
        <w:t xml:space="preserve"> Sorghum and Bermuda grass can accommodate more extreme temperatures</w:t>
      </w:r>
      <w:r w:rsidR="00B747B7" w:rsidRPr="00F07DEB">
        <w:rPr>
          <w:rFonts w:ascii="Times New Roman" w:hAnsi="Times New Roman" w:cs="Times New Roman"/>
          <w:sz w:val="24"/>
          <w:szCs w:val="24"/>
        </w:rPr>
        <w:t xml:space="preserve"> and drought</w:t>
      </w:r>
      <w:r w:rsidR="006A2F05" w:rsidRPr="00F07DEB">
        <w:rPr>
          <w:rFonts w:ascii="Times New Roman" w:hAnsi="Times New Roman" w:cs="Times New Roman"/>
          <w:sz w:val="24"/>
          <w:szCs w:val="24"/>
        </w:rPr>
        <w:t xml:space="preserve">; this spectrum of tolerances was </w:t>
      </w:r>
      <w:r w:rsidR="004455A8" w:rsidRPr="00F07DEB">
        <w:rPr>
          <w:rFonts w:ascii="Times New Roman" w:hAnsi="Times New Roman" w:cs="Times New Roman"/>
          <w:sz w:val="24"/>
          <w:szCs w:val="24"/>
        </w:rPr>
        <w:t>visible in</w:t>
      </w:r>
      <w:r w:rsidR="006A2F05" w:rsidRPr="00F07DEB">
        <w:rPr>
          <w:rFonts w:ascii="Times New Roman" w:hAnsi="Times New Roman" w:cs="Times New Roman"/>
          <w:sz w:val="24"/>
          <w:szCs w:val="24"/>
        </w:rPr>
        <w:t xml:space="preserve"> plant behavior during hot days in July and August, when leaves on many or all of the corn plants roll</w:t>
      </w:r>
      <w:r w:rsidR="004455A8" w:rsidRPr="00F07DEB">
        <w:rPr>
          <w:rFonts w:ascii="Times New Roman" w:hAnsi="Times New Roman" w:cs="Times New Roman"/>
          <w:sz w:val="24"/>
          <w:szCs w:val="24"/>
        </w:rPr>
        <w:t>ed up</w:t>
      </w:r>
      <w:r w:rsidR="00B747B7" w:rsidRPr="00F07DEB">
        <w:rPr>
          <w:rFonts w:ascii="Times New Roman" w:hAnsi="Times New Roman" w:cs="Times New Roman"/>
          <w:sz w:val="24"/>
          <w:szCs w:val="24"/>
        </w:rPr>
        <w:t xml:space="preserve"> </w:t>
      </w:r>
      <w:r w:rsidR="00750A3B" w:rsidRPr="00F07DEB">
        <w:rPr>
          <w:rFonts w:ascii="Times New Roman" w:hAnsi="Times New Roman" w:cs="Times New Roman"/>
          <w:sz w:val="24"/>
          <w:szCs w:val="24"/>
        </w:rPr>
        <w:t xml:space="preserve">as seen in </w:t>
      </w:r>
      <w:r w:rsidR="00750A3B" w:rsidRPr="00F07DEB">
        <w:rPr>
          <w:rFonts w:ascii="Times New Roman" w:hAnsi="Times New Roman" w:cs="Times New Roman"/>
          <w:sz w:val="24"/>
          <w:szCs w:val="24"/>
        </w:rPr>
        <w:fldChar w:fldCharType="begin"/>
      </w:r>
      <w:r w:rsidR="00750A3B" w:rsidRPr="00F07DEB">
        <w:rPr>
          <w:rFonts w:ascii="Times New Roman" w:hAnsi="Times New Roman" w:cs="Times New Roman"/>
          <w:sz w:val="24"/>
          <w:szCs w:val="24"/>
        </w:rPr>
        <w:instrText xml:space="preserve"> REF _Ref56683688 \h  \* MERGEFORMAT </w:instrText>
      </w:r>
      <w:r w:rsidR="00750A3B" w:rsidRPr="00F07DEB">
        <w:rPr>
          <w:rFonts w:ascii="Times New Roman" w:hAnsi="Times New Roman" w:cs="Times New Roman"/>
          <w:sz w:val="24"/>
          <w:szCs w:val="24"/>
        </w:rPr>
      </w:r>
      <w:r w:rsidR="00750A3B"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15</w:t>
      </w:r>
      <w:r w:rsidR="00750A3B" w:rsidRPr="00F07DEB">
        <w:rPr>
          <w:rFonts w:ascii="Times New Roman" w:hAnsi="Times New Roman" w:cs="Times New Roman"/>
          <w:sz w:val="24"/>
          <w:szCs w:val="24"/>
        </w:rPr>
        <w:fldChar w:fldCharType="end"/>
      </w:r>
      <w:r w:rsidR="00750A3B" w:rsidRPr="00F07DEB">
        <w:rPr>
          <w:rFonts w:ascii="Times New Roman" w:hAnsi="Times New Roman" w:cs="Times New Roman"/>
          <w:sz w:val="24"/>
          <w:szCs w:val="24"/>
        </w:rPr>
        <w:t xml:space="preserve"> </w:t>
      </w:r>
      <w:r w:rsidR="00B747B7" w:rsidRPr="00F07DEB">
        <w:rPr>
          <w:rFonts w:ascii="Times New Roman" w:hAnsi="Times New Roman" w:cs="Times New Roman"/>
          <w:sz w:val="24"/>
          <w:szCs w:val="24"/>
        </w:rPr>
        <w:fldChar w:fldCharType="begin"/>
      </w:r>
      <w:r w:rsidR="00B747B7" w:rsidRPr="00F07DEB">
        <w:rPr>
          <w:rFonts w:ascii="Times New Roman" w:hAnsi="Times New Roman" w:cs="Times New Roman"/>
          <w:sz w:val="24"/>
          <w:szCs w:val="24"/>
        </w:rPr>
        <w:instrText xml:space="preserve"> ADDIN ZOTERO_ITEM CSL_CITATION {"citationID":"WXS6Doks","properties":{"formattedCitation":"(Assefa et al., 2010; Vandevender, 2006)","plainCitation":"(Assefa et al., 2010; Vandevender, 2006)","noteIndex":0},"citationItems":[{"id":800,"uris":["http://zotero.org/users/5446453/items/CWAU8HCK"],"uri":["http://zotero.org/users/5446453/items/CWAU8HCK"],"itemData":{"id":800,"type":"article-journal","abstract":"Because sorghum is a drought-tolerant crop, it is often preferred by producers in cases of expected water stress. The objectives of this review were to summarize the water requirements, effect of water stress, and hybrid variation in drought tolerance of grain sorghum, and to suggest possible solutions that could help narrow the gap between potential and actual dryland sorghum yield. We reviewed more than 70 reports in peer-reviewed journals, extension publications, books, and websites. Grain sorghum tolerates and avoids drought more than many other cereal crops, but the drought response of sorghum does not come without a yield loss. Water stress at the vegetative stage alone can reduce yield more than 36%, and water stress at the reproductive stage can reduce yield more than 55%.","container-title":"Crop Management","DOI":"10.1094/CM-2010-1109-01-RV","ISSN":"15437833","issue":"1","journalAbbreviation":"Crop Management","language":"en","page":"1-11","source":"DOI.org (Crossref)","title":"Grain Sorghum Water Requirement and Responses to Drought Stress: A Review","title-short":"Grain Sorghum Water Requirement and Responses to Drought Stress","volume":"9","author":[{"family":"Assefa","given":"Yared"},{"family":"Staggenborg","given":"Scott A."},{"family":"Prasad","given":"Vara P. V."}],"issued":{"date-parts":[["2010"]]}}},{"id":767,"uris":["http://zotero.org/users/5446453/items/TBC82GGU"],"uri":["http://zotero.org/users/5446453/items/TBC82GGU"],"itemData":{"id":767,"type":"report","event-place":"Appalachian Plant Materials Center, Alderson, WV","page":"3","publisher":"USDA-Natural Resources Conservation Service","publisher-place":"Appalachian Plant Materials Center, Alderson, WV","title":"Plant guide for Bermudagrass (Cynodon dactylon L.)","author":[{"family":"Vandevender","given":"John"}],"issued":{"date-parts":[["2006"]]}}}],"schema":"https://github.com/citation-style-language/schema/raw/master/csl-citation.json"} </w:instrText>
      </w:r>
      <w:r w:rsidR="00B747B7"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w:t>
      </w:r>
      <w:proofErr w:type="spellStart"/>
      <w:r w:rsidR="00234033" w:rsidRPr="00234033">
        <w:rPr>
          <w:rFonts w:ascii="Times New Roman" w:hAnsi="Times New Roman" w:cs="Times New Roman"/>
          <w:sz w:val="24"/>
        </w:rPr>
        <w:t>Assefa</w:t>
      </w:r>
      <w:proofErr w:type="spellEnd"/>
      <w:r w:rsidR="00234033" w:rsidRPr="00234033">
        <w:rPr>
          <w:rFonts w:ascii="Times New Roman" w:hAnsi="Times New Roman" w:cs="Times New Roman"/>
          <w:sz w:val="24"/>
        </w:rPr>
        <w:t xml:space="preserve"> et al., 2010; Vandevender, 2006)</w:t>
      </w:r>
      <w:r w:rsidR="00B747B7" w:rsidRPr="00F07DEB">
        <w:rPr>
          <w:rFonts w:ascii="Times New Roman" w:hAnsi="Times New Roman" w:cs="Times New Roman"/>
          <w:sz w:val="24"/>
          <w:szCs w:val="24"/>
        </w:rPr>
        <w:fldChar w:fldCharType="end"/>
      </w:r>
      <w:r w:rsidR="006A2F05" w:rsidRPr="00F07DEB">
        <w:rPr>
          <w:rFonts w:ascii="Times New Roman" w:hAnsi="Times New Roman" w:cs="Times New Roman"/>
          <w:sz w:val="24"/>
          <w:szCs w:val="24"/>
        </w:rPr>
        <w:t xml:space="preserve">. This adaptation, which reduces </w:t>
      </w:r>
      <w:r w:rsidR="00344253" w:rsidRPr="00F07DEB">
        <w:rPr>
          <w:rFonts w:ascii="Times New Roman" w:hAnsi="Times New Roman" w:cs="Times New Roman"/>
          <w:sz w:val="24"/>
          <w:szCs w:val="24"/>
        </w:rPr>
        <w:t>the surface area of leaves exposed to the sun in an effort to</w:t>
      </w:r>
      <w:r w:rsidR="006A2F05" w:rsidRPr="00F07DEB">
        <w:rPr>
          <w:rFonts w:ascii="Times New Roman" w:hAnsi="Times New Roman" w:cs="Times New Roman"/>
          <w:sz w:val="24"/>
          <w:szCs w:val="24"/>
        </w:rPr>
        <w:t xml:space="preserve"> reduce water loss via evapo</w:t>
      </w:r>
      <w:r w:rsidR="00462DB6">
        <w:rPr>
          <w:rFonts w:ascii="Times New Roman" w:hAnsi="Times New Roman" w:cs="Times New Roman"/>
          <w:sz w:val="24"/>
          <w:szCs w:val="24"/>
        </w:rPr>
        <w:t>transpi</w:t>
      </w:r>
      <w:r w:rsidR="006A2F05" w:rsidRPr="00F07DEB">
        <w:rPr>
          <w:rFonts w:ascii="Times New Roman" w:hAnsi="Times New Roman" w:cs="Times New Roman"/>
          <w:sz w:val="24"/>
          <w:szCs w:val="24"/>
        </w:rPr>
        <w:t>ration</w:t>
      </w:r>
      <w:r w:rsidR="00344253" w:rsidRPr="00F07DEB">
        <w:rPr>
          <w:rFonts w:ascii="Times New Roman" w:hAnsi="Times New Roman" w:cs="Times New Roman"/>
          <w:sz w:val="24"/>
          <w:szCs w:val="24"/>
        </w:rPr>
        <w:t xml:space="preserve">, was also present in some sorghum plants, albeit less frequently than in corn </w:t>
      </w:r>
      <w:r w:rsidR="00344253"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{"citationID":"0EXhXBnB","properties":{"formattedCitation":"(Assefa et al., 2010; Lauer, 2003)","plainCitation":"(Assefa et al., 2010; Lauer, 2003)","noteIndex":0},"citationItems":[{"id":800,"uris":["http://zotero.org/users/5446453/items/CWAU8HCK"],"uri":["http://zotero.org/users/5446453/items/CWAU8HCK"],"itemData":{"id":800,"type":"article-journal","abstract":"Because sorghum is a drought-tolerant crop, it is often preferred by producers in cases of expected water stress. The objectives of this review were to summarize the water requirements, effect of water stress, and hybrid variation in drought tolerance of grain sorghum, and to suggest possible solutions that could help narrow the gap between potential and actual dryland sorghum yield. We reviewed more than 70 reports in peer-reviewed journals, extension publications, books, and websites. Grain sorghum tolerates and avoids drought more than many other cereal crops, but the drought response of sorghum does not come without a yield loss. Water stress at the vegetative stage alone can reduce yield more than 36%, and water stress at the reproductive stage can reduce yield more than 55%.","container-title":"Crop Management","DOI":"10.1094/CM-2010-1109-01-RV","ISSN":"15437833","issue":"1","journalAbbreviation":"Crop Management","language":"en","page":"1-11","source":"DOI.org (Crossref)","title":"Grain Sorghum Water Requirement and Responses to Drought Stress: A Review","title-short":"Grain Sorghum Water Requirement and Responses to Drought Stress","volume":"9","author":[{"family":"Assefa","given":"Yared"},{"family":"Staggenborg","given":"Scott A."},{"family":"Prasad","given":"Vara P. V."}],"issued":{"date-parts":[["2010"]]}}},{"id":796,"uris":["http://zotero.org/users/5446453/items/CI4BGSRM"],"uri":["http://zotero.org/users/5446453/items/CI4BGSRM"],"itemData":{"id":796,"type":"article-journal","container-title":"Corn Agronomist","issue":"22","language":"en","page":"153-155","source":"Zotero","title":"What happens within the corn plant when drought occurs","volume":"10","author":[{"family":"Lauer","given":"Joe"}],"issued":{"date-parts":[["2003"]]}}}],"schema":"https://github.com/citation-style-language/schema/raw/master/csl-citation.json"} </w:instrText>
      </w:r>
      <w:r w:rsidR="00344253"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(Assefa et al., 2010; Lauer, 2003)</w:t>
      </w:r>
      <w:r w:rsidR="00344253" w:rsidRPr="00F07DEB">
        <w:rPr>
          <w:rFonts w:ascii="Times New Roman" w:hAnsi="Times New Roman" w:cs="Times New Roman"/>
          <w:sz w:val="24"/>
          <w:szCs w:val="24"/>
        </w:rPr>
        <w:fldChar w:fldCharType="end"/>
      </w:r>
      <w:r w:rsidR="006A2F05" w:rsidRPr="00F07DEB">
        <w:rPr>
          <w:rFonts w:ascii="Times New Roman" w:hAnsi="Times New Roman" w:cs="Times New Roman"/>
          <w:sz w:val="24"/>
          <w:szCs w:val="24"/>
        </w:rPr>
        <w:t xml:space="preserve">. </w:t>
      </w:r>
      <w:r w:rsidR="00757870" w:rsidRPr="00F07DEB">
        <w:rPr>
          <w:rFonts w:ascii="Times New Roman" w:hAnsi="Times New Roman" w:cs="Times New Roman"/>
          <w:sz w:val="24"/>
          <w:szCs w:val="24"/>
        </w:rPr>
        <w:t xml:space="preserve">Moving the plants out of direct sunlight completely reversed leaf roll after eight to ten minutes, but this sort of micromanagement is time-consuming and dramatically reduces </w:t>
      </w:r>
      <w:r w:rsidR="00B34B25" w:rsidRPr="00F07DEB">
        <w:rPr>
          <w:rFonts w:ascii="Times New Roman" w:hAnsi="Times New Roman" w:cs="Times New Roman"/>
          <w:sz w:val="24"/>
          <w:szCs w:val="24"/>
        </w:rPr>
        <w:t>PAR</w:t>
      </w:r>
      <w:r w:rsidR="00757870" w:rsidRPr="00F07DEB">
        <w:rPr>
          <w:rFonts w:ascii="Times New Roman" w:hAnsi="Times New Roman" w:cs="Times New Roman"/>
          <w:sz w:val="24"/>
          <w:szCs w:val="24"/>
        </w:rPr>
        <w:t xml:space="preserve">. </w:t>
      </w:r>
      <w:r w:rsidR="00197882" w:rsidRPr="00F07DEB">
        <w:rPr>
          <w:rFonts w:ascii="Times New Roman" w:hAnsi="Times New Roman" w:cs="Times New Roman"/>
          <w:sz w:val="24"/>
          <w:szCs w:val="24"/>
        </w:rPr>
        <w:t xml:space="preserve">Leaf roll is a visible indicator of drought stress, which was likely initiated or exacerbated by constriction of the root systems inside the pots. Corn and sorghum roots </w:t>
      </w:r>
      <w:r w:rsidR="000F0233" w:rsidRPr="00F07DEB">
        <w:rPr>
          <w:rFonts w:ascii="Times New Roman" w:hAnsi="Times New Roman" w:cs="Times New Roman"/>
          <w:sz w:val="24"/>
          <w:szCs w:val="24"/>
        </w:rPr>
        <w:t>can</w:t>
      </w:r>
      <w:r w:rsidR="00197882" w:rsidRPr="00F07DEB">
        <w:rPr>
          <w:rFonts w:ascii="Times New Roman" w:hAnsi="Times New Roman" w:cs="Times New Roman"/>
          <w:sz w:val="24"/>
          <w:szCs w:val="24"/>
        </w:rPr>
        <w:t xml:space="preserve"> reach depths of 1 to 2.5 m</w:t>
      </w:r>
      <w:r w:rsidR="000F0233" w:rsidRPr="00F07DEB">
        <w:rPr>
          <w:rFonts w:ascii="Times New Roman" w:hAnsi="Times New Roman" w:cs="Times New Roman"/>
          <w:sz w:val="24"/>
          <w:szCs w:val="24"/>
        </w:rPr>
        <w:t>, can reliably source soil water from depths of approximately 1</w:t>
      </w:r>
      <w:r w:rsidR="00B747B7" w:rsidRPr="00F07DEB">
        <w:rPr>
          <w:rFonts w:ascii="Times New Roman" w:hAnsi="Times New Roman" w:cs="Times New Roman"/>
          <w:sz w:val="24"/>
          <w:szCs w:val="24"/>
        </w:rPr>
        <w:t xml:space="preserve"> to 1.5</w:t>
      </w:r>
      <w:r w:rsidR="000F0233" w:rsidRPr="00F07DEB">
        <w:rPr>
          <w:rFonts w:ascii="Times New Roman" w:hAnsi="Times New Roman" w:cs="Times New Roman"/>
          <w:sz w:val="24"/>
          <w:szCs w:val="24"/>
        </w:rPr>
        <w:t xml:space="preserve"> m, </w:t>
      </w:r>
      <w:r w:rsidR="00197882" w:rsidRPr="00F07DEB">
        <w:rPr>
          <w:rFonts w:ascii="Times New Roman" w:hAnsi="Times New Roman" w:cs="Times New Roman"/>
          <w:sz w:val="24"/>
          <w:szCs w:val="24"/>
        </w:rPr>
        <w:t>and can extend ou</w:t>
      </w:r>
      <w:r w:rsidR="00E47278" w:rsidRPr="00F07DEB">
        <w:rPr>
          <w:rFonts w:ascii="Times New Roman" w:hAnsi="Times New Roman" w:cs="Times New Roman"/>
          <w:sz w:val="24"/>
          <w:szCs w:val="24"/>
        </w:rPr>
        <w:t>twards by more than a meter in search of soil moisture; inside the pots, root growth was restricted to approximately 0.006 m</w:t>
      </w:r>
      <w:r w:rsidR="00E47278" w:rsidRPr="00F07DEB">
        <w:rPr>
          <w:rFonts w:ascii="Times New Roman" w:hAnsi="Times New Roman" w:cs="Times New Roman"/>
          <w:sz w:val="24"/>
          <w:szCs w:val="24"/>
          <w:vertAlign w:val="superscript"/>
        </w:rPr>
        <w:t>3</w:t>
      </w:r>
      <w:r w:rsidR="00E47278" w:rsidRPr="00F07DEB">
        <w:rPr>
          <w:rFonts w:ascii="Times New Roman" w:hAnsi="Times New Roman" w:cs="Times New Roman"/>
          <w:sz w:val="24"/>
          <w:szCs w:val="24"/>
        </w:rPr>
        <w:t xml:space="preserve"> and could not access soil moisture reserves in the subsurface soil horizons</w:t>
      </w:r>
      <w:r w:rsidR="000F0233" w:rsidRPr="00F07DEB">
        <w:rPr>
          <w:rFonts w:ascii="Times New Roman" w:hAnsi="Times New Roman" w:cs="Times New Roman"/>
          <w:sz w:val="24"/>
          <w:szCs w:val="24"/>
        </w:rPr>
        <w:t xml:space="preserve"> </w:t>
      </w:r>
      <w:r w:rsidR="006F0B69" w:rsidRPr="00F07DEB">
        <w:rPr>
          <w:rFonts w:ascii="Times New Roman" w:hAnsi="Times New Roman" w:cs="Times New Roman"/>
          <w:sz w:val="24"/>
          <w:szCs w:val="24"/>
        </w:rPr>
        <w:fldChar w:fldCharType="begin"/>
      </w:r>
      <w:r w:rsidR="00B747B7" w:rsidRPr="00F07DEB">
        <w:rPr>
          <w:rFonts w:ascii="Times New Roman" w:hAnsi="Times New Roman" w:cs="Times New Roman"/>
          <w:sz w:val="24"/>
          <w:szCs w:val="24"/>
        </w:rPr>
        <w:instrText xml:space="preserve"> ADDIN ZOTERO_ITEM CSL_CITATION {"citationID":"NXnlYNVB","properties":{"formattedCitation":"(Assefa et al., 2010; Dial, 2012; Duncan et al., 2007; Ross, 1997)","plainCitation":"(Assefa et al., 2010; Dial, 2012; Duncan et al., 2007; Ross, 1997)","noteIndex":0},"citationItems":[{"id":800,"uris":["http://zotero.org/users/5446453/items/CWAU8HCK"],"uri":["http://zotero.org/users/5446453/items/CWAU8HCK"],"itemData":{"id":800,"type":"article-journal","abstract":"Because sorghum is a drought-tolerant crop, it is often preferred by producers in cases of expected water stress. The objectives of this review were to summarize the water requirements, effect of water stress, and hybrid variation in drought tolerance of grain sorghum, and to suggest possible solutions that could help narrow the gap between potential and actual dryland sorghum yield. We reviewed more than 70 reports in peer-reviewed journals, extension publications, books, and websites. Grain sorghum tolerates and avoids drought more than many other cereal crops, but the drought response of sorghum does not come without a yield loss. Water stress at the vegetative stage alone can reduce yield more than 36%, and water stress at the reproductive stage can reduce yield more than 55%.","container-title":"Crop Management","DOI":"10.1094/CM-2010-1109-01-RV","ISSN":"15437833","issue":"1","journalAbbreviation":"Crop Management","language":"en","page":"1-11","source":"DOI.org (Crossref)","title":"Grain Sorghum Water Requirement and Responses to Drought Stress: A Review","title-short":"Grain Sorghum Water Requirement and Responses to Drought Stress","volume":"9","author":[{"family":"Assefa","given":"Yared"},{"family":"Staggenborg","given":"Scott A."},{"family":"Prasad","given":"Vara P. V."}],"issued":{"date-parts":[["2010"]]}}},{"id":766,"uris":["http://zotero.org/users/5446453/items/UD72MFJC"],"uri":["http://zotero.org/users/5446453/items/UD72MFJC"],"itemData":{"id":766,"type":"report","event-place":"Tucson Plant Materials Center, Tucson, AZ","language":"en","page":"5","publisher":"USDA-Natural Resources Conservation Service","publisher-place":"Tucson Plant Materials Center, Tucson, AZ","source":"Zotero","title":"Plant guide for sorghum (Sorghum bicolor L.)","author":[{"family":"Dial","given":"Heather"}],"issued":{"date-parts":[["2012"]]}}},{"id":779,"uris":["http://zotero.org/users/5446453/items/R6RQRMQ4"],"uri":["http://zotero.org/users/5446453/items/R6RQRMQ4"],"itemData":{"id":779,"type":"article","publisher":"Kansas State University","title":"Corn Production Handbook","URL":"https://bookstore.ksre.ksu.edu/pubs/c560.pdf","author":[{"family":"Duncan","given":"Stewart"},{"family":"Fjell","given":"Dale"},{"family":"Vanderlip","given":"Richard"}],"issued":{"date-parts":[["2007",9]]}}},{"id":808,"uris":["http://zotero.org/users/5446453/items/B7P8R33X"],"uri":["http://zotero.org/users/5446453/items/B7P8R33X"],"itemData":{"id":808,"type":"report","number":"210-vi-NEH","page":"820","publisher":"United States Department of Agriculture, Natural Resources Conservation Service","title":"NRCS Irrigation Guide","URL":"https://www.nrcs.usda.gov/Internet/FSE_DOCUMENTS/nrcs144p2_033068.pdf","author":[{"family":"Ross","given":"Elwin"}],"accessed":{"date-parts":[["2020",11,9]]},"issued":{"date-parts":[["1997",9]]}}}],"schema":"https://github.com/citation-style-language/schema/raw/master/csl-citation.json"} </w:instrText>
      </w:r>
      <w:r w:rsidR="006F0B69"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(Assefa et al., 2010; Dial, 2012; Duncan et al., 2007; Ross, 1997)</w:t>
      </w:r>
      <w:r w:rsidR="006F0B69" w:rsidRPr="00F07DEB">
        <w:rPr>
          <w:rFonts w:ascii="Times New Roman" w:hAnsi="Times New Roman" w:cs="Times New Roman"/>
          <w:sz w:val="24"/>
          <w:szCs w:val="24"/>
        </w:rPr>
        <w:fldChar w:fldCharType="end"/>
      </w:r>
      <w:r w:rsidR="00E47278" w:rsidRPr="00F07DEB">
        <w:rPr>
          <w:rFonts w:ascii="Times New Roman" w:hAnsi="Times New Roman" w:cs="Times New Roman"/>
          <w:sz w:val="24"/>
          <w:szCs w:val="24"/>
        </w:rPr>
        <w:t>.</w:t>
      </w:r>
      <w:r w:rsidR="00197882" w:rsidRPr="00F07DEB">
        <w:rPr>
          <w:rFonts w:ascii="Times New Roman" w:hAnsi="Times New Roman" w:cs="Times New Roman"/>
          <w:sz w:val="24"/>
          <w:szCs w:val="24"/>
        </w:rPr>
        <w:t xml:space="preserve"> </w:t>
      </w:r>
      <w:r w:rsidR="00C8102C" w:rsidRPr="00F07DEB">
        <w:rPr>
          <w:rFonts w:ascii="Times New Roman" w:hAnsi="Times New Roman" w:cs="Times New Roman"/>
          <w:sz w:val="24"/>
          <w:szCs w:val="24"/>
        </w:rPr>
        <w:t xml:space="preserve">Furthermore, potting mix is quick-draining and porous by design. </w:t>
      </w:r>
      <w:r w:rsidR="009A4D77">
        <w:rPr>
          <w:rFonts w:ascii="Times New Roman" w:hAnsi="Times New Roman" w:cs="Times New Roman"/>
          <w:sz w:val="24"/>
          <w:szCs w:val="24"/>
        </w:rPr>
        <w:t xml:space="preserve">Irrigating once in the early morning or late evening resulted in excessive water loss to evaporation and drainage. </w:t>
      </w:r>
      <w:r w:rsidR="004455A8" w:rsidRPr="00F07DEB">
        <w:rPr>
          <w:rFonts w:ascii="Times New Roman" w:hAnsi="Times New Roman" w:cs="Times New Roman"/>
          <w:sz w:val="24"/>
          <w:szCs w:val="24"/>
        </w:rPr>
        <w:t xml:space="preserve">To ensure that the plants had access to water throughout the day, daily irrigation volumes were divided and </w:t>
      </w:r>
      <w:r w:rsidR="004455A8" w:rsidRPr="00F07DEB">
        <w:rPr>
          <w:rFonts w:ascii="Times New Roman" w:hAnsi="Times New Roman" w:cs="Times New Roman"/>
          <w:sz w:val="24"/>
          <w:szCs w:val="24"/>
        </w:rPr>
        <w:lastRenderedPageBreak/>
        <w:t>applied at multiple times over the course of the mornings and afternoons</w:t>
      </w:r>
      <w:r w:rsidR="009A4D77">
        <w:rPr>
          <w:rFonts w:ascii="Times New Roman" w:hAnsi="Times New Roman" w:cs="Times New Roman"/>
          <w:sz w:val="24"/>
          <w:szCs w:val="24"/>
        </w:rPr>
        <w:t xml:space="preserve"> per Purdue University Plant Growth Facility recommendations</w:t>
      </w:r>
      <w:r w:rsidR="004455A8" w:rsidRPr="00F07DEB">
        <w:rPr>
          <w:rFonts w:ascii="Times New Roman" w:hAnsi="Times New Roman" w:cs="Times New Roman"/>
          <w:sz w:val="24"/>
          <w:szCs w:val="24"/>
        </w:rPr>
        <w:t>, but no modification of irrigation techniques completely eliminated corn leaf roll when temperatures approached 35 ℃</w:t>
      </w:r>
      <w:r w:rsidR="009A4D77">
        <w:rPr>
          <w:rFonts w:ascii="Times New Roman" w:hAnsi="Times New Roman" w:cs="Times New Roman"/>
          <w:sz w:val="24"/>
          <w:szCs w:val="24"/>
        </w:rPr>
        <w:t xml:space="preserve"> </w:t>
      </w:r>
      <w:r w:rsidR="009A4D77">
        <w:rPr>
          <w:rFonts w:ascii="Times New Roman" w:hAnsi="Times New Roman" w:cs="Times New Roman"/>
          <w:sz w:val="24"/>
          <w:szCs w:val="24"/>
        </w:rPr>
        <w:fldChar w:fldCharType="begin"/>
      </w:r>
      <w:r w:rsidR="00CF2322">
        <w:rPr>
          <w:rFonts w:ascii="Times New Roman" w:hAnsi="Times New Roman" w:cs="Times New Roman"/>
          <w:sz w:val="24"/>
          <w:szCs w:val="24"/>
        </w:rPr>
        <w:instrText xml:space="preserve"> ADDIN ZOTERO_ITEM CSL_CITATION {"citationID":"a11t6msg6fe","properties":{"formattedCitation":"(Rink et al., 2010)","plainCitation":"(Rink et al., 2010)","noteIndex":0},"citationItems":[{"id":938,"uris":["http://zotero.org/users/5446453/items/AG7NYZTB"],"uri":["http://zotero.org/users/5446453/items/AG7NYZTB"],"itemData":{"id":938,"type":"report","abstract":"purdue","collection-title":"Purdue Methods for Corn Growth","language":"en","number":"Paper 15","page":"6","source":"Zotero","title":"Optimizing Greenhouse Corn Production: What Is the Best Irrigation Strategy?","URL":"http://docs.lib.purdue.edu/pmcg/15","author":[{"family":"Rink","given":"Westin"},{"family":"Gambrel","given":"Derek"},{"family":"Eddy","given":"Robert"},{"family":"Hahn","given":"Daniel T."}],"issued":{"date-parts":[["2010"]]}}}],"schema":"https://github.com/citation-style-language/schema/raw/master/csl-citation.json"} </w:instrText>
      </w:r>
      <w:r w:rsidR="009A4D77">
        <w:rPr>
          <w:rFonts w:ascii="Times New Roman" w:hAnsi="Times New Roman" w:cs="Times New Roman"/>
          <w:sz w:val="24"/>
          <w:szCs w:val="24"/>
        </w:rPr>
        <w:fldChar w:fldCharType="separate"/>
      </w:r>
      <w:r w:rsidR="00234033" w:rsidRPr="00234033">
        <w:rPr>
          <w:rFonts w:ascii="Times New Roman" w:hAnsi="Times New Roman" w:cs="Times New Roman"/>
          <w:sz w:val="24"/>
        </w:rPr>
        <w:t>(Rink et al., 2010)</w:t>
      </w:r>
      <w:r w:rsidR="009A4D77">
        <w:rPr>
          <w:rFonts w:ascii="Times New Roman" w:hAnsi="Times New Roman" w:cs="Times New Roman"/>
          <w:sz w:val="24"/>
          <w:szCs w:val="24"/>
        </w:rPr>
        <w:fldChar w:fldCharType="end"/>
      </w:r>
      <w:r w:rsidR="004455A8" w:rsidRPr="00F07DEB">
        <w:rPr>
          <w:rFonts w:ascii="Times New Roman" w:hAnsi="Times New Roman" w:cs="Times New Roman"/>
          <w:sz w:val="24"/>
          <w:szCs w:val="24"/>
        </w:rPr>
        <w:t>.</w:t>
      </w:r>
      <w:r w:rsidR="000F7E59" w:rsidRPr="00F07DEB">
        <w:rPr>
          <w:rFonts w:ascii="Times New Roman" w:hAnsi="Times New Roman" w:cs="Times New Roman"/>
          <w:sz w:val="24"/>
          <w:szCs w:val="24"/>
        </w:rPr>
        <w:t xml:space="preserve"> Because </w:t>
      </w:r>
      <w:r w:rsidR="006B1775" w:rsidRPr="00F07DEB">
        <w:rPr>
          <w:rFonts w:ascii="Times New Roman" w:hAnsi="Times New Roman" w:cs="Times New Roman"/>
          <w:sz w:val="24"/>
          <w:szCs w:val="24"/>
        </w:rPr>
        <w:t xml:space="preserve">leaf roll </w:t>
      </w:r>
      <w:r w:rsidR="000F7E59" w:rsidRPr="00F07DEB">
        <w:rPr>
          <w:rFonts w:ascii="Times New Roman" w:hAnsi="Times New Roman" w:cs="Times New Roman"/>
          <w:sz w:val="24"/>
          <w:szCs w:val="24"/>
        </w:rPr>
        <w:t xml:space="preserve">manifested similarly in the mine water and </w:t>
      </w:r>
      <w:r w:rsidR="00803CEC" w:rsidRPr="00F07DEB">
        <w:rPr>
          <w:rFonts w:ascii="Times New Roman" w:hAnsi="Times New Roman" w:cs="Times New Roman"/>
          <w:sz w:val="24"/>
          <w:szCs w:val="24"/>
        </w:rPr>
        <w:t xml:space="preserve">groundwater irrigated plants, </w:t>
      </w:r>
      <w:r w:rsidR="00055F6D" w:rsidRPr="00F07DEB">
        <w:rPr>
          <w:rFonts w:ascii="Times New Roman" w:hAnsi="Times New Roman" w:cs="Times New Roman"/>
          <w:sz w:val="24"/>
          <w:szCs w:val="24"/>
        </w:rPr>
        <w:t xml:space="preserve">drought stress by proxy </w:t>
      </w:r>
      <w:r w:rsidR="000F7E59" w:rsidRPr="00F07DEB">
        <w:rPr>
          <w:rFonts w:ascii="Times New Roman" w:hAnsi="Times New Roman" w:cs="Times New Roman"/>
          <w:sz w:val="24"/>
          <w:szCs w:val="24"/>
        </w:rPr>
        <w:t>might have been a function of water quantity</w:t>
      </w:r>
      <w:r w:rsidR="00ED779C" w:rsidRPr="00F07DEB">
        <w:rPr>
          <w:rFonts w:ascii="Times New Roman" w:hAnsi="Times New Roman" w:cs="Times New Roman"/>
          <w:sz w:val="24"/>
          <w:szCs w:val="24"/>
        </w:rPr>
        <w:t>, root constriction,</w:t>
      </w:r>
      <w:r w:rsidR="000F7E59" w:rsidRPr="00F07DEB">
        <w:rPr>
          <w:rFonts w:ascii="Times New Roman" w:hAnsi="Times New Roman" w:cs="Times New Roman"/>
          <w:sz w:val="24"/>
          <w:szCs w:val="24"/>
        </w:rPr>
        <w:t xml:space="preserve"> and air temperature</w:t>
      </w:r>
      <w:r w:rsidR="00C16E3D">
        <w:rPr>
          <w:rFonts w:ascii="Times New Roman" w:hAnsi="Times New Roman" w:cs="Times New Roman"/>
          <w:sz w:val="24"/>
          <w:szCs w:val="24"/>
        </w:rPr>
        <w:t>,</w:t>
      </w:r>
      <w:r w:rsidR="000F7E59" w:rsidRPr="00F07DEB">
        <w:rPr>
          <w:rFonts w:ascii="Times New Roman" w:hAnsi="Times New Roman" w:cs="Times New Roman"/>
          <w:sz w:val="24"/>
          <w:szCs w:val="24"/>
        </w:rPr>
        <w:t xml:space="preserve"> rather than water quality.</w:t>
      </w:r>
      <w:r w:rsidR="004455A8" w:rsidRPr="00F07DEB">
        <w:rPr>
          <w:rFonts w:ascii="Times New Roman" w:hAnsi="Times New Roman" w:cs="Times New Roman"/>
          <w:sz w:val="24"/>
          <w:szCs w:val="24"/>
        </w:rPr>
        <w:t xml:space="preserve"> </w:t>
      </w:r>
    </w:p>
    <w:p w14:paraId="6CBC3E40" w14:textId="77777777" w:rsidR="00355EB3" w:rsidRPr="00F07DEB" w:rsidRDefault="0050172C" w:rsidP="00355EB3">
      <w:pPr>
        <w:keepNext/>
        <w:spacing w:line="480" w:lineRule="auto"/>
        <w:jc w:val="center"/>
        <w:rPr>
          <w:rFonts w:ascii="Times New Roman" w:hAnsi="Times New Roman" w:cs="Times New Roman"/>
        </w:rPr>
      </w:pPr>
      <w:r w:rsidRPr="00F07DEB">
        <w:rPr>
          <w:rFonts w:ascii="Times New Roman" w:hAnsi="Times New Roman" w:cs="Times New Roman"/>
          <w:noProof/>
          <w:sz w:val="24"/>
          <w:szCs w:val="24"/>
          <w:lang w:eastAsia="en-US"/>
        </w:rPr>
        <w:drawing>
          <wp:inline distT="0" distB="0" distL="0" distR="0" wp14:anchorId="33976815" wp14:editId="01462FE6">
            <wp:extent cx="3437681" cy="2578261"/>
            <wp:effectExtent l="0" t="0" r="0" b="0"/>
            <wp:docPr id="1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438755" cy="2579067"/>
                    </a:xfrm>
                    <a:prstGeom prst="rect">
                      <a:avLst/>
                    </a:prstGeom>
                  </pic:spPr>
                </pic:pic>
              </a:graphicData>
            </a:graphic>
          </wp:inline>
        </w:drawing>
      </w:r>
    </w:p>
    <w:p w14:paraId="28778712" w14:textId="327B4DBC" w:rsidR="0050172C" w:rsidRPr="00F07DEB" w:rsidRDefault="00355EB3" w:rsidP="00204C13">
      <w:pPr>
        <w:pStyle w:val="Caption"/>
      </w:pPr>
      <w:bookmarkStart w:id="69" w:name="_Ref56683688"/>
      <w:bookmarkStart w:id="70" w:name="_Toc58975225"/>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15</w:t>
      </w:r>
      <w:r w:rsidR="00DE3B90" w:rsidRPr="00F07DEB">
        <w:rPr>
          <w:noProof/>
        </w:rPr>
        <w:fldChar w:fldCharType="end"/>
      </w:r>
      <w:bookmarkEnd w:id="69"/>
      <w:r w:rsidRPr="00F07DEB">
        <w:t>: Rolling corn leaves were an indicator of drought stress</w:t>
      </w:r>
      <w:bookmarkEnd w:id="70"/>
    </w:p>
    <w:p w14:paraId="3965DC69" w14:textId="77777777" w:rsidR="00F07DEB" w:rsidRPr="00F07DEB" w:rsidRDefault="00F07DEB" w:rsidP="00F07DEB">
      <w:pPr>
        <w:rPr>
          <w:rFonts w:ascii="Times New Roman" w:hAnsi="Times New Roman" w:cs="Times New Roman"/>
        </w:rPr>
      </w:pPr>
    </w:p>
    <w:p w14:paraId="7EB3597A" w14:textId="26F17018" w:rsidR="005B7E4F" w:rsidRPr="00F07DEB" w:rsidRDefault="006A2F05" w:rsidP="008834FB">
      <w:pPr>
        <w:spacing w:line="480" w:lineRule="auto"/>
        <w:ind w:firstLine="720"/>
        <w:rPr>
          <w:rFonts w:ascii="Times New Roman" w:hAnsi="Times New Roman" w:cs="Times New Roman"/>
          <w:sz w:val="24"/>
          <w:szCs w:val="24"/>
        </w:rPr>
      </w:pPr>
      <w:r w:rsidRPr="0012121F">
        <w:rPr>
          <w:rFonts w:ascii="Times New Roman" w:hAnsi="Times New Roman" w:cs="Times New Roman"/>
          <w:sz w:val="24"/>
          <w:szCs w:val="24"/>
        </w:rPr>
        <w:t>Se</w:t>
      </w:r>
      <w:r w:rsidR="0012121F">
        <w:rPr>
          <w:rFonts w:ascii="Times New Roman" w:hAnsi="Times New Roman" w:cs="Times New Roman"/>
          <w:sz w:val="24"/>
          <w:szCs w:val="24"/>
        </w:rPr>
        <w:t>lected</w:t>
      </w:r>
      <w:r w:rsidRPr="00F07DEB">
        <w:rPr>
          <w:rFonts w:ascii="Times New Roman" w:hAnsi="Times New Roman" w:cs="Times New Roman"/>
          <w:sz w:val="24"/>
          <w:szCs w:val="24"/>
        </w:rPr>
        <w:t xml:space="preserve"> descriptive statistics for average air temperature and GDU are presented in </w:t>
      </w:r>
      <w:r w:rsidRPr="00F07DEB">
        <w:rPr>
          <w:rFonts w:ascii="Times New Roman" w:hAnsi="Times New Roman" w:cs="Times New Roman"/>
          <w:sz w:val="24"/>
          <w:szCs w:val="24"/>
        </w:rPr>
        <w:fldChar w:fldCharType="begin"/>
      </w:r>
      <w:r w:rsidRPr="00F07DEB">
        <w:rPr>
          <w:rFonts w:ascii="Times New Roman" w:hAnsi="Times New Roman" w:cs="Times New Roman"/>
          <w:sz w:val="24"/>
          <w:szCs w:val="24"/>
        </w:rPr>
        <w:instrText xml:space="preserve"> REF _Ref55831071 \h  \* MERGEFORMAT </w:instrText>
      </w:r>
      <w:r w:rsidRPr="00F07DEB">
        <w:rPr>
          <w:rFonts w:ascii="Times New Roman" w:hAnsi="Times New Roman" w:cs="Times New Roman"/>
          <w:sz w:val="24"/>
          <w:szCs w:val="24"/>
        </w:rPr>
      </w:r>
      <w:r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Table </w:t>
      </w:r>
      <w:r w:rsidR="00E179CA" w:rsidRPr="00E179CA">
        <w:rPr>
          <w:rFonts w:ascii="Times New Roman" w:hAnsi="Times New Roman" w:cs="Times New Roman"/>
          <w:noProof/>
          <w:sz w:val="24"/>
          <w:szCs w:val="24"/>
        </w:rPr>
        <w:t>11</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and d</w:t>
      </w:r>
      <w:r w:rsidR="009D2040" w:rsidRPr="00F07DEB">
        <w:rPr>
          <w:rFonts w:ascii="Times New Roman" w:hAnsi="Times New Roman" w:cs="Times New Roman"/>
          <w:sz w:val="24"/>
          <w:szCs w:val="24"/>
        </w:rPr>
        <w:t xml:space="preserve">aily minimum and maximum air temperatures are plotted alongside GDUs in </w:t>
      </w:r>
      <w:r w:rsidR="009D2040" w:rsidRPr="00F07DEB">
        <w:rPr>
          <w:rFonts w:ascii="Times New Roman" w:hAnsi="Times New Roman" w:cs="Times New Roman"/>
          <w:sz w:val="24"/>
          <w:szCs w:val="24"/>
        </w:rPr>
        <w:fldChar w:fldCharType="begin"/>
      </w:r>
      <w:r w:rsidR="009D2040" w:rsidRPr="00F07DEB">
        <w:rPr>
          <w:rFonts w:ascii="Times New Roman" w:hAnsi="Times New Roman" w:cs="Times New Roman"/>
          <w:sz w:val="24"/>
          <w:szCs w:val="24"/>
        </w:rPr>
        <w:instrText xml:space="preserve"> REF _Ref55830820 \h </w:instrText>
      </w:r>
      <w:r w:rsidRPr="00F07DEB">
        <w:rPr>
          <w:rFonts w:ascii="Times New Roman" w:hAnsi="Times New Roman" w:cs="Times New Roman"/>
          <w:sz w:val="24"/>
          <w:szCs w:val="24"/>
        </w:rPr>
        <w:instrText xml:space="preserve"> \* MERGEFORMAT </w:instrText>
      </w:r>
      <w:r w:rsidR="009D2040" w:rsidRPr="00F07DEB">
        <w:rPr>
          <w:rFonts w:ascii="Times New Roman" w:hAnsi="Times New Roman" w:cs="Times New Roman"/>
          <w:sz w:val="24"/>
          <w:szCs w:val="24"/>
        </w:rPr>
      </w:r>
      <w:r w:rsidR="009D2040"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16</w:t>
      </w:r>
      <w:r w:rsidR="009D2040" w:rsidRPr="00F07DEB">
        <w:rPr>
          <w:rFonts w:ascii="Times New Roman" w:hAnsi="Times New Roman" w:cs="Times New Roman"/>
          <w:sz w:val="24"/>
          <w:szCs w:val="24"/>
        </w:rPr>
        <w:fldChar w:fldCharType="end"/>
      </w:r>
      <w:r w:rsidR="009D2040" w:rsidRPr="00F07DEB">
        <w:rPr>
          <w:rFonts w:ascii="Times New Roman" w:hAnsi="Times New Roman" w:cs="Times New Roman"/>
          <w:sz w:val="24"/>
          <w:szCs w:val="24"/>
        </w:rPr>
        <w:t>.</w:t>
      </w:r>
      <w:r w:rsidR="005B7E4F" w:rsidRPr="00F07DEB">
        <w:rPr>
          <w:rFonts w:ascii="Times New Roman" w:hAnsi="Times New Roman" w:cs="Times New Roman"/>
          <w:sz w:val="24"/>
          <w:szCs w:val="24"/>
        </w:rPr>
        <w:t xml:space="preserve"> </w:t>
      </w:r>
      <w:r w:rsidRPr="00F07DEB">
        <w:rPr>
          <w:rFonts w:ascii="Times New Roman" w:hAnsi="Times New Roman" w:cs="Times New Roman"/>
          <w:sz w:val="24"/>
          <w:szCs w:val="24"/>
        </w:rPr>
        <w:t>Air temperatures rose above 35 ℃ on 12 days, mainly during mid-July and early August</w:t>
      </w:r>
      <w:r w:rsidR="005875A6" w:rsidRPr="00F07DEB">
        <w:rPr>
          <w:rFonts w:ascii="Times New Roman" w:hAnsi="Times New Roman" w:cs="Times New Roman"/>
          <w:sz w:val="24"/>
          <w:szCs w:val="24"/>
        </w:rPr>
        <w:t>, and never fell below 8 ℃</w:t>
      </w:r>
      <w:r w:rsidRPr="00F07DEB">
        <w:rPr>
          <w:rFonts w:ascii="Times New Roman" w:hAnsi="Times New Roman" w:cs="Times New Roman"/>
          <w:sz w:val="24"/>
          <w:szCs w:val="24"/>
        </w:rPr>
        <w:t xml:space="preserve">. </w:t>
      </w:r>
      <w:r w:rsidR="003B48A4" w:rsidRPr="00F07DEB">
        <w:rPr>
          <w:rFonts w:ascii="Times New Roman" w:hAnsi="Times New Roman" w:cs="Times New Roman"/>
          <w:sz w:val="24"/>
          <w:szCs w:val="24"/>
        </w:rPr>
        <w:t xml:space="preserve">Relative humidity dropped below 40% during nine consecutive days in mid-August, just </w:t>
      </w:r>
      <w:r w:rsidR="006113F5" w:rsidRPr="00F07DEB">
        <w:rPr>
          <w:rFonts w:ascii="Times New Roman" w:hAnsi="Times New Roman" w:cs="Times New Roman"/>
          <w:sz w:val="24"/>
          <w:szCs w:val="24"/>
        </w:rPr>
        <w:t xml:space="preserve">as </w:t>
      </w:r>
      <w:r w:rsidR="003B48A4" w:rsidRPr="00F07DEB">
        <w:rPr>
          <w:rFonts w:ascii="Times New Roman" w:hAnsi="Times New Roman" w:cs="Times New Roman"/>
          <w:sz w:val="24"/>
          <w:szCs w:val="24"/>
        </w:rPr>
        <w:t>many of the corn and sorghum plants were undergoing critical reproductive stages: tassel emergence and ear development in the corn and panicle emergence</w:t>
      </w:r>
      <w:r w:rsidR="00055F6D" w:rsidRPr="00F07DEB">
        <w:rPr>
          <w:rFonts w:ascii="Times New Roman" w:hAnsi="Times New Roman" w:cs="Times New Roman"/>
          <w:sz w:val="24"/>
          <w:szCs w:val="24"/>
        </w:rPr>
        <w:t xml:space="preserve"> (heading)</w:t>
      </w:r>
      <w:r w:rsidR="003B48A4" w:rsidRPr="00F07DEB">
        <w:rPr>
          <w:rFonts w:ascii="Times New Roman" w:hAnsi="Times New Roman" w:cs="Times New Roman"/>
          <w:sz w:val="24"/>
          <w:szCs w:val="24"/>
        </w:rPr>
        <w:t xml:space="preserve"> and flowering in the sorghum. </w:t>
      </w:r>
      <w:r w:rsidR="00445B96" w:rsidRPr="00F07DEB">
        <w:rPr>
          <w:rFonts w:ascii="Times New Roman" w:hAnsi="Times New Roman" w:cs="Times New Roman"/>
          <w:sz w:val="24"/>
          <w:szCs w:val="24"/>
        </w:rPr>
        <w:t xml:space="preserve">In total, 1565 GDUs accumulated between </w:t>
      </w:r>
      <w:r w:rsidR="00445B96" w:rsidRPr="00F07DEB">
        <w:rPr>
          <w:rFonts w:ascii="Times New Roman" w:hAnsi="Times New Roman" w:cs="Times New Roman"/>
          <w:sz w:val="24"/>
          <w:szCs w:val="24"/>
        </w:rPr>
        <w:lastRenderedPageBreak/>
        <w:t xml:space="preserve">planting and harvesting. </w:t>
      </w:r>
      <w:r w:rsidR="00C20152" w:rsidRPr="00F07DEB">
        <w:rPr>
          <w:rFonts w:ascii="Times New Roman" w:hAnsi="Times New Roman" w:cs="Times New Roman"/>
          <w:sz w:val="24"/>
          <w:szCs w:val="24"/>
        </w:rPr>
        <w:t xml:space="preserve">This accrual of temperature units exceeded the cumulative GDUs estimated </w:t>
      </w:r>
      <w:r w:rsidR="00B905A2" w:rsidRPr="00F07DEB">
        <w:rPr>
          <w:rFonts w:ascii="Times New Roman" w:hAnsi="Times New Roman" w:cs="Times New Roman"/>
          <w:sz w:val="24"/>
          <w:szCs w:val="24"/>
        </w:rPr>
        <w:t xml:space="preserve">in </w:t>
      </w:r>
      <w:r w:rsidR="00B905A2" w:rsidRPr="008834FB">
        <w:rPr>
          <w:rFonts w:ascii="Times New Roman" w:hAnsi="Times New Roman" w:cs="Times New Roman"/>
          <w:sz w:val="24"/>
          <w:szCs w:val="24"/>
        </w:rPr>
        <w:fldChar w:fldCharType="begin"/>
      </w:r>
      <w:r w:rsidR="00B905A2" w:rsidRPr="008834FB">
        <w:rPr>
          <w:rFonts w:ascii="Times New Roman" w:hAnsi="Times New Roman" w:cs="Times New Roman"/>
          <w:sz w:val="24"/>
          <w:szCs w:val="24"/>
        </w:rPr>
        <w:instrText xml:space="preserve"> REF _Ref55735792 \h  \* MERGEFORMAT </w:instrText>
      </w:r>
      <w:r w:rsidR="00B905A2" w:rsidRPr="008834FB">
        <w:rPr>
          <w:rFonts w:ascii="Times New Roman" w:hAnsi="Times New Roman" w:cs="Times New Roman"/>
          <w:sz w:val="24"/>
          <w:szCs w:val="24"/>
        </w:rPr>
      </w:r>
      <w:r w:rsidR="00B905A2" w:rsidRPr="008834FB">
        <w:rPr>
          <w:rFonts w:ascii="Times New Roman" w:hAnsi="Times New Roman" w:cs="Times New Roman"/>
          <w:sz w:val="24"/>
          <w:szCs w:val="24"/>
        </w:rPr>
        <w:fldChar w:fldCharType="separate"/>
      </w:r>
      <w:r w:rsidR="00E179CA" w:rsidRPr="008834FB">
        <w:rPr>
          <w:rFonts w:ascii="Times New Roman" w:hAnsi="Times New Roman" w:cs="Times New Roman"/>
          <w:noProof/>
          <w:sz w:val="24"/>
          <w:szCs w:val="24"/>
        </w:rPr>
        <w:t>Table 7</w:t>
      </w:r>
      <w:r w:rsidR="00B905A2" w:rsidRPr="008834FB">
        <w:rPr>
          <w:rFonts w:ascii="Times New Roman" w:hAnsi="Times New Roman" w:cs="Times New Roman"/>
          <w:sz w:val="24"/>
          <w:szCs w:val="24"/>
        </w:rPr>
        <w:fldChar w:fldCharType="end"/>
      </w:r>
      <w:r w:rsidR="00B905A2" w:rsidRPr="008834FB">
        <w:rPr>
          <w:rFonts w:ascii="Times New Roman" w:hAnsi="Times New Roman" w:cs="Times New Roman"/>
          <w:sz w:val="24"/>
          <w:szCs w:val="24"/>
        </w:rPr>
        <w:t xml:space="preserve"> </w:t>
      </w:r>
      <w:r w:rsidR="00C20152" w:rsidRPr="008834FB">
        <w:rPr>
          <w:rFonts w:ascii="Times New Roman" w:hAnsi="Times New Roman" w:cs="Times New Roman"/>
          <w:sz w:val="24"/>
          <w:szCs w:val="24"/>
        </w:rPr>
        <w:t>for</w:t>
      </w:r>
      <w:r w:rsidR="00C20152" w:rsidRPr="00F07DEB">
        <w:rPr>
          <w:rFonts w:ascii="Times New Roman" w:hAnsi="Times New Roman" w:cs="Times New Roman"/>
          <w:sz w:val="24"/>
          <w:szCs w:val="24"/>
        </w:rPr>
        <w:t xml:space="preserve"> maturation of mid-season corn, short-season sorghum, and an established Bermuda grass crop by 5.6%, 6.6%, and 65%, respectively.</w:t>
      </w:r>
      <w:r w:rsidR="00A07B0A" w:rsidRPr="00F07DEB">
        <w:rPr>
          <w:rFonts w:ascii="Times New Roman" w:hAnsi="Times New Roman" w:cs="Times New Roman"/>
          <w:sz w:val="24"/>
          <w:szCs w:val="24"/>
        </w:rPr>
        <w:t xml:space="preserve"> </w:t>
      </w:r>
    </w:p>
    <w:p w14:paraId="2D210E13" w14:textId="60791C93" w:rsidR="009D2040" w:rsidRPr="00F07DEB" w:rsidRDefault="009D2040" w:rsidP="00204C13">
      <w:pPr>
        <w:pStyle w:val="Caption"/>
      </w:pPr>
      <w:bookmarkStart w:id="71" w:name="_Ref55831071"/>
      <w:bookmarkStart w:id="72" w:name="_Toc58975197"/>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11</w:t>
      </w:r>
      <w:r w:rsidR="00DE3B90" w:rsidRPr="00F07DEB">
        <w:rPr>
          <w:noProof/>
        </w:rPr>
        <w:fldChar w:fldCharType="end"/>
      </w:r>
      <w:bookmarkEnd w:id="71"/>
      <w:r w:rsidRPr="00F07DEB">
        <w:t>: Descriptive statistics for average daily air temperature and GDU</w:t>
      </w:r>
      <w:bookmarkEnd w:id="72"/>
    </w:p>
    <w:tbl>
      <w:tblPr>
        <w:tblW w:w="0" w:type="auto"/>
        <w:jc w:val="center"/>
        <w:tblBorders>
          <w:bottom w:val="single" w:sz="8" w:space="0" w:color="auto"/>
        </w:tblBorders>
        <w:tblLook w:val="04A0" w:firstRow="1" w:lastRow="0" w:firstColumn="1" w:lastColumn="0" w:noHBand="0" w:noVBand="1"/>
      </w:tblPr>
      <w:tblGrid>
        <w:gridCol w:w="1050"/>
        <w:gridCol w:w="3164"/>
        <w:gridCol w:w="1038"/>
      </w:tblGrid>
      <w:tr w:rsidR="009D2040" w:rsidRPr="00F07DEB" w14:paraId="7E0CD5D0" w14:textId="77777777" w:rsidTr="006811C1">
        <w:trPr>
          <w:trHeight w:val="302"/>
          <w:jc w:val="center"/>
        </w:trPr>
        <w:tc>
          <w:tcPr>
            <w:tcW w:w="0" w:type="auto"/>
            <w:tcBorders>
              <w:top w:val="single" w:sz="8" w:space="0" w:color="auto"/>
              <w:bottom w:val="single" w:sz="8" w:space="0" w:color="auto"/>
            </w:tcBorders>
            <w:noWrap/>
            <w:vAlign w:val="center"/>
            <w:hideMark/>
          </w:tcPr>
          <w:p w14:paraId="1E6468EB" w14:textId="77777777" w:rsidR="009D2040" w:rsidRPr="00F07DEB" w:rsidRDefault="009D2040" w:rsidP="00F07DEB">
            <w:pPr>
              <w:spacing w:after="0"/>
              <w:jc w:val="center"/>
              <w:rPr>
                <w:rFonts w:ascii="Times New Roman" w:hAnsi="Times New Roman" w:cs="Times New Roman"/>
                <w:sz w:val="20"/>
                <w:szCs w:val="20"/>
              </w:rPr>
            </w:pPr>
          </w:p>
        </w:tc>
        <w:tc>
          <w:tcPr>
            <w:tcW w:w="0" w:type="auto"/>
            <w:tcBorders>
              <w:top w:val="single" w:sz="8" w:space="0" w:color="auto"/>
              <w:bottom w:val="single" w:sz="8" w:space="0" w:color="auto"/>
            </w:tcBorders>
            <w:noWrap/>
            <w:vAlign w:val="center"/>
            <w:hideMark/>
          </w:tcPr>
          <w:p w14:paraId="0D19B326" w14:textId="77777777" w:rsidR="009D2040" w:rsidRPr="00F07DEB" w:rsidRDefault="009D2040" w:rsidP="00F07DEB">
            <w:pPr>
              <w:spacing w:after="0"/>
              <w:jc w:val="center"/>
              <w:rPr>
                <w:rFonts w:ascii="Times New Roman" w:hAnsi="Times New Roman" w:cs="Times New Roman"/>
                <w:sz w:val="20"/>
                <w:szCs w:val="20"/>
              </w:rPr>
            </w:pPr>
            <w:r w:rsidRPr="00F07DEB">
              <w:rPr>
                <w:rFonts w:ascii="Times New Roman" w:hAnsi="Times New Roman" w:cs="Times New Roman"/>
                <w:sz w:val="20"/>
                <w:szCs w:val="20"/>
              </w:rPr>
              <w:t>Average Daily Air Temperature (℃)</w:t>
            </w:r>
          </w:p>
        </w:tc>
        <w:tc>
          <w:tcPr>
            <w:tcW w:w="0" w:type="auto"/>
            <w:tcBorders>
              <w:top w:val="single" w:sz="8" w:space="0" w:color="auto"/>
              <w:bottom w:val="single" w:sz="8" w:space="0" w:color="auto"/>
            </w:tcBorders>
            <w:noWrap/>
            <w:vAlign w:val="center"/>
            <w:hideMark/>
          </w:tcPr>
          <w:p w14:paraId="2DFA7FFD" w14:textId="77777777" w:rsidR="009D2040" w:rsidRPr="00F07DEB" w:rsidRDefault="009D2040" w:rsidP="00F07DEB">
            <w:pPr>
              <w:spacing w:after="0"/>
              <w:jc w:val="center"/>
              <w:rPr>
                <w:rFonts w:ascii="Times New Roman" w:hAnsi="Times New Roman" w:cs="Times New Roman"/>
                <w:sz w:val="20"/>
                <w:szCs w:val="20"/>
              </w:rPr>
            </w:pPr>
            <w:r w:rsidRPr="00F07DEB">
              <w:rPr>
                <w:rFonts w:ascii="Times New Roman" w:hAnsi="Times New Roman" w:cs="Times New Roman"/>
                <w:sz w:val="20"/>
                <w:szCs w:val="20"/>
              </w:rPr>
              <w:t>GDU (℃)</w:t>
            </w:r>
          </w:p>
        </w:tc>
      </w:tr>
      <w:tr w:rsidR="009D2040" w:rsidRPr="00F07DEB" w14:paraId="17B5D00F" w14:textId="77777777" w:rsidTr="006811C1">
        <w:trPr>
          <w:trHeight w:val="302"/>
          <w:jc w:val="center"/>
        </w:trPr>
        <w:tc>
          <w:tcPr>
            <w:tcW w:w="0" w:type="auto"/>
            <w:tcBorders>
              <w:top w:val="single" w:sz="8" w:space="0" w:color="auto"/>
            </w:tcBorders>
            <w:noWrap/>
            <w:vAlign w:val="center"/>
            <w:hideMark/>
          </w:tcPr>
          <w:p w14:paraId="4D7382A6" w14:textId="77777777" w:rsidR="009D2040" w:rsidRPr="00F07DEB" w:rsidRDefault="009D2040" w:rsidP="00F07DEB">
            <w:pPr>
              <w:spacing w:after="0"/>
              <w:jc w:val="center"/>
              <w:rPr>
                <w:rFonts w:ascii="Times New Roman" w:hAnsi="Times New Roman" w:cs="Times New Roman"/>
                <w:sz w:val="20"/>
                <w:szCs w:val="20"/>
              </w:rPr>
            </w:pPr>
            <w:r w:rsidRPr="00F07DEB">
              <w:rPr>
                <w:rFonts w:ascii="Times New Roman" w:hAnsi="Times New Roman" w:cs="Times New Roman"/>
                <w:sz w:val="20"/>
                <w:szCs w:val="20"/>
              </w:rPr>
              <w:t>Minimum</w:t>
            </w:r>
          </w:p>
        </w:tc>
        <w:tc>
          <w:tcPr>
            <w:tcW w:w="0" w:type="auto"/>
            <w:tcBorders>
              <w:top w:val="single" w:sz="8" w:space="0" w:color="auto"/>
            </w:tcBorders>
            <w:noWrap/>
            <w:vAlign w:val="center"/>
            <w:hideMark/>
          </w:tcPr>
          <w:p w14:paraId="6367FE55" w14:textId="77777777" w:rsidR="009D2040" w:rsidRPr="00F07DEB" w:rsidRDefault="009D2040" w:rsidP="00F07DEB">
            <w:pPr>
              <w:spacing w:after="0"/>
              <w:jc w:val="center"/>
              <w:rPr>
                <w:rFonts w:ascii="Times New Roman" w:hAnsi="Times New Roman" w:cs="Times New Roman"/>
                <w:sz w:val="20"/>
                <w:szCs w:val="20"/>
              </w:rPr>
            </w:pPr>
            <w:r w:rsidRPr="00F07DEB">
              <w:rPr>
                <w:rFonts w:ascii="Times New Roman" w:hAnsi="Times New Roman" w:cs="Times New Roman"/>
                <w:sz w:val="20"/>
                <w:szCs w:val="20"/>
              </w:rPr>
              <w:t>11.82</w:t>
            </w:r>
          </w:p>
        </w:tc>
        <w:tc>
          <w:tcPr>
            <w:tcW w:w="0" w:type="auto"/>
            <w:tcBorders>
              <w:top w:val="single" w:sz="8" w:space="0" w:color="auto"/>
            </w:tcBorders>
            <w:noWrap/>
            <w:vAlign w:val="center"/>
            <w:hideMark/>
          </w:tcPr>
          <w:p w14:paraId="2794EF87" w14:textId="77777777" w:rsidR="009D2040" w:rsidRPr="00F07DEB" w:rsidRDefault="009D2040" w:rsidP="00F07DEB">
            <w:pPr>
              <w:spacing w:after="0"/>
              <w:jc w:val="center"/>
              <w:rPr>
                <w:rFonts w:ascii="Times New Roman" w:hAnsi="Times New Roman" w:cs="Times New Roman"/>
                <w:sz w:val="20"/>
                <w:szCs w:val="20"/>
              </w:rPr>
            </w:pPr>
            <w:r w:rsidRPr="00F07DEB">
              <w:rPr>
                <w:rFonts w:ascii="Times New Roman" w:hAnsi="Times New Roman" w:cs="Times New Roman"/>
                <w:sz w:val="20"/>
                <w:szCs w:val="20"/>
              </w:rPr>
              <w:t>2.29</w:t>
            </w:r>
          </w:p>
        </w:tc>
      </w:tr>
      <w:tr w:rsidR="009D2040" w:rsidRPr="00F07DEB" w14:paraId="0D9704DE" w14:textId="77777777" w:rsidTr="006811C1">
        <w:trPr>
          <w:trHeight w:val="302"/>
          <w:jc w:val="center"/>
        </w:trPr>
        <w:tc>
          <w:tcPr>
            <w:tcW w:w="0" w:type="auto"/>
            <w:noWrap/>
            <w:vAlign w:val="center"/>
            <w:hideMark/>
          </w:tcPr>
          <w:p w14:paraId="34FB83E6" w14:textId="77777777" w:rsidR="009D2040" w:rsidRPr="00F07DEB" w:rsidRDefault="009D2040" w:rsidP="00F07DEB">
            <w:pPr>
              <w:spacing w:after="0"/>
              <w:jc w:val="center"/>
              <w:rPr>
                <w:rFonts w:ascii="Times New Roman" w:hAnsi="Times New Roman" w:cs="Times New Roman"/>
                <w:sz w:val="20"/>
                <w:szCs w:val="20"/>
              </w:rPr>
            </w:pPr>
            <w:r w:rsidRPr="00F07DEB">
              <w:rPr>
                <w:rFonts w:ascii="Times New Roman" w:hAnsi="Times New Roman" w:cs="Times New Roman"/>
                <w:sz w:val="20"/>
                <w:szCs w:val="20"/>
              </w:rPr>
              <w:t>Maximum</w:t>
            </w:r>
          </w:p>
        </w:tc>
        <w:tc>
          <w:tcPr>
            <w:tcW w:w="0" w:type="auto"/>
            <w:noWrap/>
            <w:vAlign w:val="center"/>
            <w:hideMark/>
          </w:tcPr>
          <w:p w14:paraId="2FFFEE17" w14:textId="77777777" w:rsidR="009D2040" w:rsidRPr="00F07DEB" w:rsidRDefault="009D2040" w:rsidP="00F07DEB">
            <w:pPr>
              <w:spacing w:after="0"/>
              <w:jc w:val="center"/>
              <w:rPr>
                <w:rFonts w:ascii="Times New Roman" w:hAnsi="Times New Roman" w:cs="Times New Roman"/>
                <w:sz w:val="20"/>
                <w:szCs w:val="20"/>
              </w:rPr>
            </w:pPr>
            <w:r w:rsidRPr="00F07DEB">
              <w:rPr>
                <w:rFonts w:ascii="Times New Roman" w:hAnsi="Times New Roman" w:cs="Times New Roman"/>
                <w:sz w:val="20"/>
                <w:szCs w:val="20"/>
              </w:rPr>
              <w:t>30.33</w:t>
            </w:r>
          </w:p>
        </w:tc>
        <w:tc>
          <w:tcPr>
            <w:tcW w:w="0" w:type="auto"/>
            <w:noWrap/>
            <w:vAlign w:val="center"/>
            <w:hideMark/>
          </w:tcPr>
          <w:p w14:paraId="085DB28A" w14:textId="77777777" w:rsidR="009D2040" w:rsidRPr="00F07DEB" w:rsidRDefault="009D2040" w:rsidP="00F07DEB">
            <w:pPr>
              <w:spacing w:after="0"/>
              <w:jc w:val="center"/>
              <w:rPr>
                <w:rFonts w:ascii="Times New Roman" w:hAnsi="Times New Roman" w:cs="Times New Roman"/>
                <w:sz w:val="20"/>
                <w:szCs w:val="20"/>
              </w:rPr>
            </w:pPr>
            <w:r w:rsidRPr="00F07DEB">
              <w:rPr>
                <w:rFonts w:ascii="Times New Roman" w:hAnsi="Times New Roman" w:cs="Times New Roman"/>
                <w:sz w:val="20"/>
                <w:szCs w:val="20"/>
              </w:rPr>
              <w:t>18.31</w:t>
            </w:r>
          </w:p>
        </w:tc>
      </w:tr>
      <w:tr w:rsidR="009D2040" w:rsidRPr="00F07DEB" w14:paraId="0B47B5CC" w14:textId="77777777" w:rsidTr="006811C1">
        <w:trPr>
          <w:trHeight w:val="302"/>
          <w:jc w:val="center"/>
        </w:trPr>
        <w:tc>
          <w:tcPr>
            <w:tcW w:w="0" w:type="auto"/>
            <w:noWrap/>
            <w:vAlign w:val="center"/>
            <w:hideMark/>
          </w:tcPr>
          <w:p w14:paraId="75A27CFB" w14:textId="5077F863" w:rsidR="009D2040" w:rsidRPr="00F07DEB" w:rsidRDefault="009D2040" w:rsidP="00F07DEB">
            <w:pPr>
              <w:spacing w:after="0"/>
              <w:jc w:val="center"/>
              <w:rPr>
                <w:rFonts w:ascii="Times New Roman" w:hAnsi="Times New Roman" w:cs="Times New Roman"/>
                <w:sz w:val="20"/>
                <w:szCs w:val="20"/>
              </w:rPr>
            </w:pPr>
            <w:r w:rsidRPr="00F07DEB">
              <w:rPr>
                <w:rFonts w:ascii="Times New Roman" w:hAnsi="Times New Roman" w:cs="Times New Roman"/>
                <w:sz w:val="20"/>
                <w:szCs w:val="20"/>
              </w:rPr>
              <w:t>Mean</w:t>
            </w:r>
          </w:p>
        </w:tc>
        <w:tc>
          <w:tcPr>
            <w:tcW w:w="0" w:type="auto"/>
            <w:noWrap/>
            <w:vAlign w:val="center"/>
            <w:hideMark/>
          </w:tcPr>
          <w:p w14:paraId="75A19C32" w14:textId="77777777" w:rsidR="009D2040" w:rsidRPr="00F07DEB" w:rsidRDefault="009D2040" w:rsidP="00F07DEB">
            <w:pPr>
              <w:spacing w:after="0" w:line="240" w:lineRule="auto"/>
              <w:jc w:val="center"/>
              <w:rPr>
                <w:rFonts w:ascii="Times New Roman" w:hAnsi="Times New Roman" w:cs="Times New Roman"/>
                <w:sz w:val="20"/>
                <w:szCs w:val="20"/>
              </w:rPr>
            </w:pPr>
            <w:r w:rsidRPr="00F07DEB">
              <w:rPr>
                <w:rFonts w:ascii="Times New Roman" w:hAnsi="Times New Roman" w:cs="Times New Roman"/>
                <w:sz w:val="20"/>
                <w:szCs w:val="20"/>
              </w:rPr>
              <w:t>25.59</w:t>
            </w:r>
          </w:p>
        </w:tc>
        <w:tc>
          <w:tcPr>
            <w:tcW w:w="0" w:type="auto"/>
            <w:noWrap/>
            <w:vAlign w:val="center"/>
            <w:hideMark/>
          </w:tcPr>
          <w:p w14:paraId="53F22379" w14:textId="77777777" w:rsidR="009D2040" w:rsidRPr="00F07DEB" w:rsidRDefault="009D2040" w:rsidP="00F07DEB">
            <w:pPr>
              <w:spacing w:after="0"/>
              <w:jc w:val="center"/>
              <w:rPr>
                <w:rFonts w:ascii="Times New Roman" w:hAnsi="Times New Roman" w:cs="Times New Roman"/>
                <w:sz w:val="20"/>
                <w:szCs w:val="20"/>
              </w:rPr>
            </w:pPr>
            <w:r w:rsidRPr="00F07DEB">
              <w:rPr>
                <w:rFonts w:ascii="Times New Roman" w:hAnsi="Times New Roman" w:cs="Times New Roman"/>
                <w:sz w:val="20"/>
                <w:szCs w:val="20"/>
              </w:rPr>
              <w:t>14.49</w:t>
            </w:r>
          </w:p>
        </w:tc>
      </w:tr>
    </w:tbl>
    <w:p w14:paraId="580CEAC5" w14:textId="77777777" w:rsidR="00E32F87" w:rsidRPr="00F07DEB" w:rsidRDefault="00E32F87" w:rsidP="009D2040">
      <w:pPr>
        <w:spacing w:line="480" w:lineRule="auto"/>
        <w:rPr>
          <w:rFonts w:ascii="Times New Roman" w:hAnsi="Times New Roman" w:cs="Times New Roman"/>
          <w:sz w:val="24"/>
          <w:szCs w:val="24"/>
        </w:rPr>
      </w:pPr>
    </w:p>
    <w:p w14:paraId="2505F9EB" w14:textId="754676F0" w:rsidR="009D2040" w:rsidRPr="00F07DEB" w:rsidRDefault="00DC768E" w:rsidP="009D2040">
      <w:pPr>
        <w:keepNext/>
        <w:jc w:val="center"/>
        <w:rPr>
          <w:rFonts w:ascii="Times New Roman" w:hAnsi="Times New Roman" w:cs="Times New Roman"/>
        </w:rPr>
      </w:pPr>
      <w:r>
        <w:rPr>
          <w:noProof/>
          <w:lang w:eastAsia="en-US"/>
        </w:rPr>
        <w:drawing>
          <wp:inline distT="0" distB="0" distL="0" distR="0" wp14:anchorId="6F5C004D" wp14:editId="5DDD052D">
            <wp:extent cx="4565184" cy="2717031"/>
            <wp:effectExtent l="0" t="0" r="6985" b="762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1515FD8" w14:textId="7B3E3C69" w:rsidR="009D2040" w:rsidRPr="00F07DEB" w:rsidRDefault="009D2040" w:rsidP="00204C13">
      <w:pPr>
        <w:pStyle w:val="Caption"/>
      </w:pPr>
      <w:bookmarkStart w:id="73" w:name="_Ref55830820"/>
      <w:bookmarkStart w:id="74" w:name="_Toc58975226"/>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16</w:t>
      </w:r>
      <w:r w:rsidR="00DE3B90" w:rsidRPr="00F07DEB">
        <w:rPr>
          <w:noProof/>
        </w:rPr>
        <w:fldChar w:fldCharType="end"/>
      </w:r>
      <w:bookmarkEnd w:id="73"/>
      <w:r w:rsidRPr="00F07DEB">
        <w:t>: Daily temperature extremes and GDUs</w:t>
      </w:r>
      <w:bookmarkEnd w:id="74"/>
    </w:p>
    <w:p w14:paraId="13C56BF5" w14:textId="77777777" w:rsidR="00F07DEB" w:rsidRPr="00F07DEB" w:rsidRDefault="00F07DEB" w:rsidP="00F07DEB">
      <w:pPr>
        <w:rPr>
          <w:rFonts w:ascii="Times New Roman" w:hAnsi="Times New Roman" w:cs="Times New Roman"/>
        </w:rPr>
      </w:pPr>
    </w:p>
    <w:p w14:paraId="6F9AC209" w14:textId="253E8BE4" w:rsidR="007F1DFE" w:rsidRPr="00F07DEB" w:rsidRDefault="007F1DFE" w:rsidP="007F1DFE">
      <w:pPr>
        <w:pStyle w:val="Heading3"/>
        <w:spacing w:line="480" w:lineRule="auto"/>
        <w:ind w:left="1080"/>
      </w:pPr>
      <w:bookmarkStart w:id="75" w:name="_Toc58975170"/>
      <w:r w:rsidRPr="00F07DEB">
        <w:t>Irrigation and Precipitation Quantities</w:t>
      </w:r>
      <w:bookmarkEnd w:id="75"/>
    </w:p>
    <w:p w14:paraId="7D31DC89" w14:textId="39244211" w:rsidR="00AD3EDD" w:rsidRPr="00F07DEB" w:rsidRDefault="00B862B7" w:rsidP="00B862B7">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All plants were hand-watered for the first three weeks of the experiment. Following installation of the drip-irrigation system, corn and sorghum received automated pump irrigation for the remainder of the growing cycle. Bermuda grass pots were not attached to the irrigation system because they required much less water than sorghum or corn, which had similar water demands. The volumes of groundwater and mine water applied each day fluctuated in </w:t>
      </w:r>
      <w:r w:rsidRPr="00F07DEB">
        <w:rPr>
          <w:rFonts w:ascii="Times New Roman" w:hAnsi="Times New Roman" w:cs="Times New Roman"/>
          <w:sz w:val="24"/>
          <w:szCs w:val="24"/>
        </w:rPr>
        <w:lastRenderedPageBreak/>
        <w:t xml:space="preserve">accordance with </w:t>
      </w:r>
      <w:r w:rsidR="00BC49E6" w:rsidRPr="00F07DEB">
        <w:rPr>
          <w:rFonts w:ascii="Times New Roman" w:hAnsi="Times New Roman" w:cs="Times New Roman"/>
          <w:sz w:val="24"/>
          <w:szCs w:val="24"/>
        </w:rPr>
        <w:t>UN FAO growth stage-modified irrigation recommendations,</w:t>
      </w:r>
      <w:r w:rsidR="00BA2708" w:rsidRPr="00F07DEB">
        <w:rPr>
          <w:rFonts w:ascii="Times New Roman" w:hAnsi="Times New Roman" w:cs="Times New Roman"/>
          <w:sz w:val="24"/>
          <w:szCs w:val="24"/>
        </w:rPr>
        <w:t xml:space="preserve"> Oklahoma </w:t>
      </w:r>
      <w:proofErr w:type="spellStart"/>
      <w:r w:rsidR="00BA2708" w:rsidRPr="00F07DEB">
        <w:rPr>
          <w:rFonts w:ascii="Times New Roman" w:hAnsi="Times New Roman" w:cs="Times New Roman"/>
          <w:sz w:val="24"/>
          <w:szCs w:val="24"/>
        </w:rPr>
        <w:t>Mesonet</w:t>
      </w:r>
      <w:proofErr w:type="spellEnd"/>
      <w:r w:rsidR="00BA2708" w:rsidRPr="00F07DEB">
        <w:rPr>
          <w:rFonts w:ascii="Times New Roman" w:hAnsi="Times New Roman" w:cs="Times New Roman"/>
          <w:sz w:val="24"/>
          <w:szCs w:val="24"/>
        </w:rPr>
        <w:t xml:space="preserve"> Irrigation Planner recommendations,</w:t>
      </w:r>
      <w:r w:rsidR="00BC49E6" w:rsidRPr="00F07DEB">
        <w:rPr>
          <w:rFonts w:ascii="Times New Roman" w:hAnsi="Times New Roman" w:cs="Times New Roman"/>
          <w:sz w:val="24"/>
          <w:szCs w:val="24"/>
        </w:rPr>
        <w:t xml:space="preserve"> air temperature, soil moisture content, </w:t>
      </w:r>
      <w:r w:rsidR="00793720" w:rsidRPr="00F07DEB">
        <w:rPr>
          <w:rFonts w:ascii="Times New Roman" w:hAnsi="Times New Roman" w:cs="Times New Roman"/>
          <w:sz w:val="24"/>
          <w:szCs w:val="24"/>
        </w:rPr>
        <w:t xml:space="preserve">plant health, </w:t>
      </w:r>
      <w:r w:rsidR="00BC49E6" w:rsidRPr="00F07DEB">
        <w:rPr>
          <w:rFonts w:ascii="Times New Roman" w:hAnsi="Times New Roman" w:cs="Times New Roman"/>
          <w:sz w:val="24"/>
          <w:szCs w:val="24"/>
        </w:rPr>
        <w:t>and past or forecasted precipitation events, but groundwater and mine</w:t>
      </w:r>
      <w:r w:rsidR="00793720" w:rsidRPr="00F07DEB">
        <w:rPr>
          <w:rFonts w:ascii="Times New Roman" w:hAnsi="Times New Roman" w:cs="Times New Roman"/>
          <w:sz w:val="24"/>
          <w:szCs w:val="24"/>
        </w:rPr>
        <w:t xml:space="preserve"> </w:t>
      </w:r>
      <w:r w:rsidR="00BC49E6" w:rsidRPr="00F07DEB">
        <w:rPr>
          <w:rFonts w:ascii="Times New Roman" w:hAnsi="Times New Roman" w:cs="Times New Roman"/>
          <w:sz w:val="24"/>
          <w:szCs w:val="24"/>
        </w:rPr>
        <w:t xml:space="preserve">water pots </w:t>
      </w:r>
      <w:r w:rsidR="00793720" w:rsidRPr="00F07DEB">
        <w:rPr>
          <w:rFonts w:ascii="Times New Roman" w:hAnsi="Times New Roman" w:cs="Times New Roman"/>
          <w:sz w:val="24"/>
          <w:szCs w:val="24"/>
        </w:rPr>
        <w:t xml:space="preserve">within each species </w:t>
      </w:r>
      <w:r w:rsidR="00BC49E6" w:rsidRPr="00F07DEB">
        <w:rPr>
          <w:rFonts w:ascii="Times New Roman" w:hAnsi="Times New Roman" w:cs="Times New Roman"/>
          <w:sz w:val="24"/>
          <w:szCs w:val="24"/>
        </w:rPr>
        <w:t xml:space="preserve">always received </w:t>
      </w:r>
      <w:r w:rsidR="00793720" w:rsidRPr="00F07DEB">
        <w:rPr>
          <w:rFonts w:ascii="Times New Roman" w:hAnsi="Times New Roman" w:cs="Times New Roman"/>
          <w:sz w:val="24"/>
          <w:szCs w:val="24"/>
        </w:rPr>
        <w:t>the same</w:t>
      </w:r>
      <w:r w:rsidR="00BC49E6" w:rsidRPr="00F07DEB">
        <w:rPr>
          <w:rFonts w:ascii="Times New Roman" w:hAnsi="Times New Roman" w:cs="Times New Roman"/>
          <w:sz w:val="24"/>
          <w:szCs w:val="24"/>
        </w:rPr>
        <w:t xml:space="preserve"> irrigation</w:t>
      </w:r>
      <w:r w:rsidR="00793720" w:rsidRPr="00F07DEB">
        <w:rPr>
          <w:rFonts w:ascii="Times New Roman" w:hAnsi="Times New Roman" w:cs="Times New Roman"/>
          <w:sz w:val="24"/>
          <w:szCs w:val="24"/>
        </w:rPr>
        <w:t xml:space="preserve"> volumes</w:t>
      </w:r>
      <w:r w:rsidR="00BC49E6" w:rsidRPr="00F07DEB">
        <w:rPr>
          <w:rFonts w:ascii="Times New Roman" w:hAnsi="Times New Roman" w:cs="Times New Roman"/>
          <w:sz w:val="24"/>
          <w:szCs w:val="24"/>
        </w:rPr>
        <w:t xml:space="preserve"> on a</w:t>
      </w:r>
      <w:r w:rsidR="0012121F">
        <w:rPr>
          <w:rFonts w:ascii="Times New Roman" w:hAnsi="Times New Roman" w:cs="Times New Roman"/>
          <w:sz w:val="24"/>
          <w:szCs w:val="24"/>
        </w:rPr>
        <w:t>ny</w:t>
      </w:r>
      <w:r w:rsidR="00BC49E6" w:rsidRPr="00F07DEB">
        <w:rPr>
          <w:rFonts w:ascii="Times New Roman" w:hAnsi="Times New Roman" w:cs="Times New Roman"/>
          <w:sz w:val="24"/>
          <w:szCs w:val="24"/>
        </w:rPr>
        <w:t xml:space="preserve"> given day</w:t>
      </w:r>
      <w:r w:rsidR="009B50E0" w:rsidRPr="00F07DEB">
        <w:rPr>
          <w:rFonts w:ascii="Times New Roman" w:hAnsi="Times New Roman" w:cs="Times New Roman"/>
          <w:sz w:val="24"/>
          <w:szCs w:val="24"/>
        </w:rPr>
        <w:t xml:space="preserve"> </w:t>
      </w:r>
      <w:r w:rsidR="009B50E0"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{"citationID":"r7hOc1jS","properties":{"formattedCitation":"(Critchley &amp; Siegert, 1991; University of Oklahoma, 2020b)","plainCitation":"(Critchley &amp; Siegert, 1991; University of Oklahoma, 2020b)","dontUpdate":true,"noteIndex":0},"citationItems":[{"id":700,"uris":["http://zotero.org/users/5446453/items/NQDJNWPU"],"uri":["http://zotero.org/users/5446453/items/NQDJNWPU"],"itemData":{"id":700,"type":"webpage","container-title":"Food and Agriculture Organization of the United Nations","title":"A Manual for the Design and Construction of Water Harvesting Schemes for Plant Production","title-short":"UN FAO","URL":"http://www.fao.org/3/U3160E/u3160e00.htm","author":[{"family":"Critchley","given":"Will"},{"family":"Siegert","given":"Klaus"}],"accessed":{"date-parts":[["2020",7,24]]},"issued":{"date-parts":[["1991"]]}}},{"id":801,"uris":["http://zotero.org/users/5446453/items/P3A22W5K"],"uri":["http://zotero.org/users/5446453/items/P3A22W5K"],"itemData":{"id":801,"type":"webpage","container-title":"Mesonet","title":"Oklahoma Mesonet Irrigation Planner","URL":"https://www.mesonet.org/index.php/agriculture/irrigation_planner","author":[{"literal":"University of Oklahoma"}],"accessed":{"date-parts":[["2020",11,9]]},"issued":{"date-parts":[["2020"]]}}}],"schema":"https://github.com/citation-style-language/schema/raw/master/csl-citation.json"} </w:instrText>
      </w:r>
      <w:r w:rsidR="009B50E0" w:rsidRPr="00F07DEB">
        <w:rPr>
          <w:rFonts w:ascii="Times New Roman" w:hAnsi="Times New Roman" w:cs="Times New Roman"/>
          <w:sz w:val="24"/>
          <w:szCs w:val="24"/>
        </w:rPr>
        <w:fldChar w:fldCharType="separate"/>
      </w:r>
      <w:r w:rsidR="00FF5DF8" w:rsidRPr="00FF5DF8">
        <w:rPr>
          <w:rFonts w:ascii="Times New Roman" w:hAnsi="Times New Roman" w:cs="Times New Roman"/>
          <w:sz w:val="24"/>
        </w:rPr>
        <w:t xml:space="preserve">(Critchley </w:t>
      </w:r>
      <w:r w:rsidR="002A6AB5">
        <w:rPr>
          <w:rFonts w:ascii="Times New Roman" w:hAnsi="Times New Roman" w:cs="Times New Roman"/>
          <w:sz w:val="24"/>
        </w:rPr>
        <w:t>and</w:t>
      </w:r>
      <w:r w:rsidR="00FF5DF8" w:rsidRPr="00FF5DF8">
        <w:rPr>
          <w:rFonts w:ascii="Times New Roman" w:hAnsi="Times New Roman" w:cs="Times New Roman"/>
          <w:sz w:val="24"/>
        </w:rPr>
        <w:t xml:space="preserve"> Siegert, 1991; University of Oklahoma, 2020b)</w:t>
      </w:r>
      <w:r w:rsidR="009B50E0" w:rsidRPr="00F07DEB">
        <w:rPr>
          <w:rFonts w:ascii="Times New Roman" w:hAnsi="Times New Roman" w:cs="Times New Roman"/>
          <w:sz w:val="24"/>
          <w:szCs w:val="24"/>
        </w:rPr>
        <w:fldChar w:fldCharType="end"/>
      </w:r>
      <w:r w:rsidR="00BC49E6" w:rsidRPr="00F07DEB">
        <w:rPr>
          <w:rFonts w:ascii="Times New Roman" w:hAnsi="Times New Roman" w:cs="Times New Roman"/>
          <w:sz w:val="24"/>
          <w:szCs w:val="24"/>
        </w:rPr>
        <w:t xml:space="preserve">. </w:t>
      </w:r>
    </w:p>
    <w:p w14:paraId="3F6FCA2C" w14:textId="68F22CEF" w:rsidR="00991820" w:rsidRPr="00F07DEB" w:rsidRDefault="00035AA3" w:rsidP="00B862B7">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Estimations of cumulative irrigation and precipitation quantities are presented in </w:t>
      </w:r>
      <w:r w:rsidRPr="00F07DEB">
        <w:rPr>
          <w:rFonts w:ascii="Times New Roman" w:hAnsi="Times New Roman" w:cs="Times New Roman"/>
          <w:sz w:val="24"/>
          <w:szCs w:val="24"/>
        </w:rPr>
        <w:fldChar w:fldCharType="begin"/>
      </w:r>
      <w:r w:rsidRPr="00F07DEB">
        <w:rPr>
          <w:rFonts w:ascii="Times New Roman" w:hAnsi="Times New Roman" w:cs="Times New Roman"/>
          <w:sz w:val="24"/>
          <w:szCs w:val="24"/>
        </w:rPr>
        <w:instrText xml:space="preserve"> REF _Ref55841084 \h </w:instrText>
      </w:r>
      <w:r w:rsidR="000F0233" w:rsidRPr="00F07DEB">
        <w:rPr>
          <w:rFonts w:ascii="Times New Roman" w:hAnsi="Times New Roman" w:cs="Times New Roman"/>
          <w:sz w:val="24"/>
          <w:szCs w:val="24"/>
        </w:rPr>
        <w:instrText xml:space="preserve"> \* MERGEFORMAT </w:instrText>
      </w:r>
      <w:r w:rsidRPr="00F07DEB">
        <w:rPr>
          <w:rFonts w:ascii="Times New Roman" w:hAnsi="Times New Roman" w:cs="Times New Roman"/>
          <w:sz w:val="24"/>
          <w:szCs w:val="24"/>
        </w:rPr>
      </w:r>
      <w:r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Table </w:t>
      </w:r>
      <w:r w:rsidR="00E179CA" w:rsidRPr="00E179CA">
        <w:rPr>
          <w:rFonts w:ascii="Times New Roman" w:hAnsi="Times New Roman" w:cs="Times New Roman"/>
          <w:noProof/>
          <w:sz w:val="24"/>
          <w:szCs w:val="24"/>
        </w:rPr>
        <w:t>12</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w:t>
      </w:r>
      <w:r w:rsidR="000F0233" w:rsidRPr="00F07DEB">
        <w:rPr>
          <w:rFonts w:ascii="Times New Roman" w:hAnsi="Times New Roman" w:cs="Times New Roman"/>
          <w:sz w:val="24"/>
          <w:szCs w:val="24"/>
        </w:rPr>
        <w:t xml:space="preserve">Field corn requires a reported 56 to 76 cm of water to reach maturity; sorghum seasonal water </w:t>
      </w:r>
      <w:r w:rsidR="004870FF" w:rsidRPr="00F07DEB">
        <w:rPr>
          <w:rFonts w:ascii="Times New Roman" w:hAnsi="Times New Roman" w:cs="Times New Roman"/>
          <w:sz w:val="24"/>
          <w:szCs w:val="24"/>
        </w:rPr>
        <w:t>demand is between 45 and 65 cm</w:t>
      </w:r>
      <w:r w:rsidR="000F0233" w:rsidRPr="00F07DEB">
        <w:rPr>
          <w:rFonts w:ascii="Times New Roman" w:hAnsi="Times New Roman" w:cs="Times New Roman"/>
          <w:sz w:val="24"/>
          <w:szCs w:val="24"/>
        </w:rPr>
        <w:t xml:space="preserve"> </w:t>
      </w:r>
      <w:r w:rsidR="000F0233" w:rsidRPr="00F07DEB">
        <w:rPr>
          <w:rFonts w:ascii="Times New Roman" w:hAnsi="Times New Roman" w:cs="Times New Roman"/>
          <w:sz w:val="24"/>
          <w:szCs w:val="24"/>
        </w:rPr>
        <w:fldChar w:fldCharType="begin"/>
      </w:r>
      <w:r w:rsidR="006F0B69" w:rsidRPr="00F07DEB">
        <w:rPr>
          <w:rFonts w:ascii="Times New Roman" w:hAnsi="Times New Roman" w:cs="Times New Roman"/>
          <w:sz w:val="24"/>
          <w:szCs w:val="24"/>
        </w:rPr>
        <w:instrText xml:space="preserve"> ADDIN ZOTERO_ITEM CSL_CITATION {"citationID":"vhTpA9ZE","properties":{"formattedCitation":"(Assefa et al., 2010; Duncan et al., 2007; New, 2004)","plainCitation":"(Assefa et al., 2010; Duncan et al., 2007; New, 2004)","noteIndex":0},"citationItems":[{"id":800,"uris":["http://zotero.org/users/5446453/items/CWAU8HCK"],"uri":["http://zotero.org/users/5446453/items/CWAU8HCK"],"itemData":{"id":800,"type":"article-journal","abstract":"Because sorghum is a drought-tolerant crop, it is often preferred by producers in cases of expected water stress. The objectives of this review were to summarize the water requirements, effect of water stress, and hybrid variation in drought tolerance of grain sorghum, and to suggest possible solutions that could help narrow the gap between potential and actual dryland sorghum yield. We reviewed more than 70 reports in peer-reviewed journals, extension publications, books, and websites. Grain sorghum tolerates and avoids drought more than many other cereal crops, but the drought response of sorghum does not come without a yield loss. Water stress at the vegetative stage alone can reduce yield more than 36%, and water stress at the reproductive stage can reduce yield more than 55%.","container-title":"Crop Management","DOI":"10.1094/CM-2010-1109-01-RV","ISSN":"15437833","issue":"1","journalAbbreviation":"Crop Management","language":"en","page":"1-11","source":"DOI.org (Crossref)","title":"Grain Sorghum Water Requirement and Responses to Drought Stress: A Review","title-short":"Grain Sorghum Water Requirement and Responses to Drought Stress","volume":"9","author":[{"family":"Assefa","given":"Yared"},{"family":"Staggenborg","given":"Scott A."},{"family":"Prasad","given":"Vara P. V."}],"issued":{"date-parts":[["2010"]]}}},{"id":779,"uris":["http://zotero.org/users/5446453/items/R6RQRMQ4"],"uri":["http://zotero.org/users/5446453/items/R6RQRMQ4"],"itemData":{"id":779,"type":"article","publisher":"Kansas State University","title":"Corn Production Handbook","URL":"https://bookstore.ksre.ksu.edu/pubs/c560.pdf","author":[{"family":"Duncan","given":"Stewart"},{"family":"Fjell","given":"Dale"},{"family":"Vanderlip","given":"Richard"}],"issued":{"date-parts":[["2007",9]]}}},{"id":804,"uris":["http://zotero.org/users/5446453/items/T69GSKN2"],"uri":["http://zotero.org/users/5446453/items/T69GSKN2"],"itemData":{"id":804,"type":"report","language":"en","number":"B-6152","page":"8","publisher":"Texas A&amp;M University, AgriLife Extension","source":"Zotero","title":"Grain sorghum irrigation","author":[{"family":"New","given":"Leon"}],"issued":{"date-parts":[["2004"]]}}}],"schema":"https://github.com/citation-style-language/schema/raw/master/csl-citation.json"} </w:instrText>
      </w:r>
      <w:r w:rsidR="000F0233"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(Assefa et al., 2010; Duncan et al., 2007; New, 2004)</w:t>
      </w:r>
      <w:r w:rsidR="000F0233" w:rsidRPr="00F07DEB">
        <w:rPr>
          <w:rFonts w:ascii="Times New Roman" w:hAnsi="Times New Roman" w:cs="Times New Roman"/>
          <w:sz w:val="24"/>
          <w:szCs w:val="24"/>
        </w:rPr>
        <w:fldChar w:fldCharType="end"/>
      </w:r>
      <w:r w:rsidR="004870FF" w:rsidRPr="00F07DEB">
        <w:rPr>
          <w:rFonts w:ascii="Times New Roman" w:hAnsi="Times New Roman" w:cs="Times New Roman"/>
          <w:sz w:val="24"/>
          <w:szCs w:val="24"/>
        </w:rPr>
        <w:t>.</w:t>
      </w:r>
      <w:r w:rsidR="00B71A7E" w:rsidRPr="00F07DEB">
        <w:rPr>
          <w:rFonts w:ascii="Times New Roman" w:hAnsi="Times New Roman" w:cs="Times New Roman"/>
          <w:sz w:val="24"/>
          <w:szCs w:val="24"/>
        </w:rPr>
        <w:t xml:space="preserve"> Bermuda grass is deep-rooted for a forage grass, and the plant’s ability to draw from </w:t>
      </w:r>
      <w:r w:rsidR="002504F4">
        <w:rPr>
          <w:rFonts w:ascii="Times New Roman" w:hAnsi="Times New Roman" w:cs="Times New Roman"/>
          <w:sz w:val="24"/>
          <w:szCs w:val="24"/>
        </w:rPr>
        <w:t>soil water</w:t>
      </w:r>
      <w:r w:rsidR="00B71A7E" w:rsidRPr="00F07DEB">
        <w:rPr>
          <w:rFonts w:ascii="Times New Roman" w:hAnsi="Times New Roman" w:cs="Times New Roman"/>
          <w:sz w:val="24"/>
          <w:szCs w:val="24"/>
        </w:rPr>
        <w:t xml:space="preserve"> reserves has led some researchers to report annual minimum irrigation requirements as low as 16.3 to 22.4 cm, but the total annual water demand of Bermuda grass in arid environments can </w:t>
      </w:r>
      <w:r w:rsidR="003A2F90" w:rsidRPr="00F07DEB">
        <w:rPr>
          <w:rFonts w:ascii="Times New Roman" w:hAnsi="Times New Roman" w:cs="Times New Roman"/>
          <w:sz w:val="24"/>
          <w:szCs w:val="24"/>
        </w:rPr>
        <w:t>reach</w:t>
      </w:r>
      <w:r w:rsidR="00B71A7E" w:rsidRPr="00F07DEB">
        <w:rPr>
          <w:rFonts w:ascii="Times New Roman" w:hAnsi="Times New Roman" w:cs="Times New Roman"/>
          <w:sz w:val="24"/>
          <w:szCs w:val="24"/>
        </w:rPr>
        <w:t xml:space="preserve"> 131 cm </w:t>
      </w:r>
      <w:r w:rsidR="00B71A7E"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{"citationID":"hqyA8IaE","properties":{"formattedCitation":"(Fu et al., 2004; Garrot &amp; Mancino, 1994)","plainCitation":"(Fu et al., 2004; Garrot &amp; Mancino, 1994)","dontUpdate":true,"noteIndex":0},"citationItems":[{"id":812,"uris":["http://zotero.org/users/5446453/items/VAGDJXZH"],"uri":["http://zotero.org/users/5446453/items/VAGDJXZH"],"itemData":{"id":812,"type":"article-journal","abstract":"Water requirements for ‘Meyer’ zoysiagrass (Zoysia japonica Steud., hereafter referred to as zoysia), ‘Midlawn’ bermudagrass [Cynodon dactylon (L.) Pers. × C. transvaalensis Burtt-Davy, hereafter referred to as bermuda], ‘Falcon II’ tall fescue (Festuca arundinacea Schreb.) and ‘Brilliant’kentucky bluegrass (Poa pratensis L., hereafter referred to as bluegrass) were evaluated under a mobile rainout shelter at deﬁcit irrigation levels of 20% to 100% of actual evapotranspiration (ETa), applied twice weekly, between June and September 2001 and 2002. Soil was a river-deposited silt loam (ﬁne, montmorillonitic, mesic Aquic Arquidolls). Minimum annual irrigation amounts required to maintain quality ranged from 244 mm for bermuda to 552 mm for bluegrass. Turfgrass species and respective irrigation levels (% of ET ) at which season-long acceptable turf quality was maintained in each year were bluegrass, a 100% (evaluated 2001 only); tall fescue, 60% in 2001 and 80% in 2002; bermuda, 60% in both years; and zoysia, 80% in both years. A landscape manager who could tolerate one week of less- than-acceptable quality could have irrigated tall fescue at 40% ETa (224 mm) in 2001 and 60% ETa (359 mm) in 2002. Likewise, bermuda exhibited unacceptable quality on only one September rating date when irrigated at 40% ETa (163 mm) in 2001. Bermuda was able to tolerate a lower leaf relative water content (LRWC) and higher level of leaf electrolyte leakage (EL) compared to other grasses before quality declined to an unacceptable level.","container-title":"HortScience","DOI":"10.21273/HORTSCI.39.7.1740","ISSN":"0018-5345, 2327-9834","issue":"7","journalAbbreviation":"HortSci","language":"en","page":"1740-1744","source":"DOI.org (Crossref)","title":"Minimum Water Requirements of Four Turfgrasses in the Transition Zone","volume":"39","author":[{"family":"Fu","given":"Jinmin"},{"family":"Fry","given":"Jack"},{"family":"Huang","given":"Bingru"}],"issued":{"date-parts":[["2004",12]]}}},{"id":810,"uris":["http://zotero.org/users/5446453/items/RJ9EHC7E"],"uri":["http://zotero.org/users/5446453/items/RJ9EHC7E"],"itemData":{"id":810,"type":"article-journal","container-title":"Crop Science","DOI":"10.2135/cropsci1994.0011183X003400010039x","ISSN":"0011-183X, 1435-0653","issue":"1","journalAbbreviation":"Crop Sci.","language":"en","page":"215-221","source":"DOI.org (Crossref)","title":"Consumptive Water Use of Three Intensively Managed Bermudagrasses Growing under Arid Conditions","volume":"34","author":[{"family":"Garrot","given":"D. J."},{"family":"Mancino","given":"C. F."}],"issued":{"date-parts":[["1994",1]]}}}],"schema":"https://github.com/citation-style-language/schema/raw/master/csl-citation.json"} </w:instrText>
      </w:r>
      <w:r w:rsidR="00B71A7E" w:rsidRPr="00F07DEB">
        <w:rPr>
          <w:rFonts w:ascii="Times New Roman" w:hAnsi="Times New Roman" w:cs="Times New Roman"/>
          <w:sz w:val="24"/>
          <w:szCs w:val="24"/>
        </w:rPr>
        <w:fldChar w:fldCharType="separate"/>
      </w:r>
      <w:r w:rsidR="00B71A7E" w:rsidRPr="00F07DEB">
        <w:rPr>
          <w:rFonts w:ascii="Times New Roman" w:hAnsi="Times New Roman" w:cs="Times New Roman"/>
          <w:sz w:val="24"/>
        </w:rPr>
        <w:t xml:space="preserve">(Fu et al., 2004; Garrot </w:t>
      </w:r>
      <w:r w:rsidR="002A6AB5">
        <w:rPr>
          <w:rFonts w:ascii="Times New Roman" w:hAnsi="Times New Roman" w:cs="Times New Roman"/>
          <w:sz w:val="24"/>
        </w:rPr>
        <w:t>and</w:t>
      </w:r>
      <w:r w:rsidR="00B71A7E" w:rsidRPr="00F07DEB">
        <w:rPr>
          <w:rFonts w:ascii="Times New Roman" w:hAnsi="Times New Roman" w:cs="Times New Roman"/>
          <w:sz w:val="24"/>
        </w:rPr>
        <w:t xml:space="preserve"> Mancino, 1994)</w:t>
      </w:r>
      <w:r w:rsidR="00B71A7E" w:rsidRPr="00F07DEB">
        <w:rPr>
          <w:rFonts w:ascii="Times New Roman" w:hAnsi="Times New Roman" w:cs="Times New Roman"/>
          <w:sz w:val="24"/>
          <w:szCs w:val="24"/>
        </w:rPr>
        <w:fldChar w:fldCharType="end"/>
      </w:r>
      <w:r w:rsidR="00B71A7E" w:rsidRPr="00F07DEB">
        <w:rPr>
          <w:rFonts w:ascii="Times New Roman" w:hAnsi="Times New Roman" w:cs="Times New Roman"/>
          <w:sz w:val="24"/>
          <w:szCs w:val="24"/>
        </w:rPr>
        <w:t>.</w:t>
      </w:r>
      <w:r w:rsidR="00AD3EDD" w:rsidRPr="00F07DEB">
        <w:rPr>
          <w:rFonts w:ascii="Times New Roman" w:hAnsi="Times New Roman" w:cs="Times New Roman"/>
          <w:sz w:val="24"/>
          <w:szCs w:val="24"/>
        </w:rPr>
        <w:t xml:space="preserve"> The corn and sorghum pots received average and high irrigation volumes, respectively, when compared to the recommended ranges. When precipitation is included in the total water supply, all three species were operating at a theoretical water surplus. However, the precipitation events were not evenly distributed throughout the growing season; once the pots were saturated during multi-day storm clusters, further precipitation continued to recharge the </w:t>
      </w:r>
      <w:r w:rsidR="002504F4">
        <w:rPr>
          <w:rFonts w:ascii="Times New Roman" w:hAnsi="Times New Roman" w:cs="Times New Roman"/>
          <w:sz w:val="24"/>
          <w:szCs w:val="24"/>
        </w:rPr>
        <w:t xml:space="preserve">soil water and </w:t>
      </w:r>
      <w:r w:rsidR="00AD3EDD" w:rsidRPr="00F07DEB">
        <w:rPr>
          <w:rFonts w:ascii="Times New Roman" w:hAnsi="Times New Roman" w:cs="Times New Roman"/>
          <w:sz w:val="24"/>
          <w:szCs w:val="24"/>
        </w:rPr>
        <w:t>water table but was not accessible</w:t>
      </w:r>
      <w:r w:rsidR="00950DE1" w:rsidRPr="00F07DEB">
        <w:rPr>
          <w:rFonts w:ascii="Times New Roman" w:hAnsi="Times New Roman" w:cs="Times New Roman"/>
          <w:sz w:val="24"/>
          <w:szCs w:val="24"/>
        </w:rPr>
        <w:t xml:space="preserve"> to</w:t>
      </w:r>
      <w:r w:rsidR="00AD3EDD" w:rsidRPr="00F07DEB">
        <w:rPr>
          <w:rFonts w:ascii="Times New Roman" w:hAnsi="Times New Roman" w:cs="Times New Roman"/>
          <w:sz w:val="24"/>
          <w:szCs w:val="24"/>
        </w:rPr>
        <w:t xml:space="preserve"> the plants.</w:t>
      </w:r>
      <w:r w:rsidR="00950DE1" w:rsidRPr="00F07DEB">
        <w:rPr>
          <w:rFonts w:ascii="Times New Roman" w:hAnsi="Times New Roman" w:cs="Times New Roman"/>
          <w:sz w:val="24"/>
          <w:szCs w:val="24"/>
        </w:rPr>
        <w:t xml:space="preserve"> Upon first examination, it may appear that precipitation accounted for almost one-third of the corn and sorghum water supply and over half of the Bermuda grass supply, but the </w:t>
      </w:r>
      <w:r w:rsidR="0043589B">
        <w:rPr>
          <w:rFonts w:ascii="Times New Roman" w:hAnsi="Times New Roman" w:cs="Times New Roman"/>
          <w:sz w:val="24"/>
          <w:szCs w:val="24"/>
        </w:rPr>
        <w:t xml:space="preserve">enhanced drainage of the </w:t>
      </w:r>
      <w:r w:rsidR="00355EB3" w:rsidRPr="00F07DEB">
        <w:rPr>
          <w:rFonts w:ascii="Times New Roman" w:hAnsi="Times New Roman" w:cs="Times New Roman"/>
          <w:sz w:val="24"/>
          <w:szCs w:val="24"/>
        </w:rPr>
        <w:t>aboveground</w:t>
      </w:r>
      <w:r w:rsidR="00950DE1" w:rsidRPr="00F07DEB">
        <w:rPr>
          <w:rFonts w:ascii="Times New Roman" w:hAnsi="Times New Roman" w:cs="Times New Roman"/>
          <w:sz w:val="24"/>
          <w:szCs w:val="24"/>
        </w:rPr>
        <w:t xml:space="preserve"> pot experiment</w:t>
      </w:r>
      <w:r w:rsidR="009D334C">
        <w:rPr>
          <w:rFonts w:ascii="Times New Roman" w:hAnsi="Times New Roman" w:cs="Times New Roman"/>
          <w:sz w:val="24"/>
          <w:szCs w:val="24"/>
        </w:rPr>
        <w:t>s</w:t>
      </w:r>
      <w:r w:rsidR="00950DE1" w:rsidRPr="00F07DEB">
        <w:rPr>
          <w:rFonts w:ascii="Times New Roman" w:hAnsi="Times New Roman" w:cs="Times New Roman"/>
          <w:sz w:val="24"/>
          <w:szCs w:val="24"/>
        </w:rPr>
        <w:t xml:space="preserve"> renders precipitation far less impactful insofar as water quantitie</w:t>
      </w:r>
      <w:r w:rsidR="0021517C" w:rsidRPr="00F07DEB">
        <w:rPr>
          <w:rFonts w:ascii="Times New Roman" w:hAnsi="Times New Roman" w:cs="Times New Roman"/>
          <w:sz w:val="24"/>
          <w:szCs w:val="24"/>
        </w:rPr>
        <w:t>s are concerned.</w:t>
      </w:r>
    </w:p>
    <w:p w14:paraId="2B4FBA6A" w14:textId="77777777" w:rsidR="008834FB" w:rsidRDefault="008834FB">
      <w:pPr>
        <w:rPr>
          <w:rFonts w:ascii="Times New Roman" w:hAnsi="Times New Roman" w:cs="Times New Roman"/>
          <w:b/>
          <w:sz w:val="20"/>
          <w:szCs w:val="20"/>
        </w:rPr>
      </w:pPr>
      <w:bookmarkStart w:id="76" w:name="_Ref55841084"/>
      <w:bookmarkStart w:id="77" w:name="_Toc58975198"/>
      <w:r>
        <w:br w:type="page"/>
      </w:r>
    </w:p>
    <w:p w14:paraId="389EE90F" w14:textId="36F9E194" w:rsidR="00035AA3" w:rsidRPr="00F07DEB" w:rsidRDefault="00035AA3" w:rsidP="00204C13">
      <w:pPr>
        <w:pStyle w:val="Caption"/>
      </w:pPr>
      <w:r w:rsidRPr="00F07DEB">
        <w:lastRenderedPageBreak/>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12</w:t>
      </w:r>
      <w:r w:rsidR="00DE3B90" w:rsidRPr="00F07DEB">
        <w:rPr>
          <w:noProof/>
        </w:rPr>
        <w:fldChar w:fldCharType="end"/>
      </w:r>
      <w:bookmarkEnd w:id="76"/>
      <w:r w:rsidRPr="00F07DEB">
        <w:t>: Estimated irrigation and precipitation quantities per pot</w:t>
      </w:r>
      <w:bookmarkEnd w:id="77"/>
    </w:p>
    <w:tbl>
      <w:tblPr>
        <w:tblW w:w="0" w:type="auto"/>
        <w:jc w:val="center"/>
        <w:tblBorders>
          <w:top w:val="single" w:sz="8" w:space="0" w:color="auto"/>
          <w:bottom w:val="single" w:sz="8" w:space="0" w:color="auto"/>
        </w:tblBorders>
        <w:tblLook w:val="04A0" w:firstRow="1" w:lastRow="0" w:firstColumn="1" w:lastColumn="0" w:noHBand="0" w:noVBand="1"/>
      </w:tblPr>
      <w:tblGrid>
        <w:gridCol w:w="2634"/>
        <w:gridCol w:w="666"/>
        <w:gridCol w:w="950"/>
        <w:gridCol w:w="1058"/>
        <w:gridCol w:w="353"/>
        <w:gridCol w:w="222"/>
        <w:gridCol w:w="1238"/>
      </w:tblGrid>
      <w:tr w:rsidR="00AB3556" w:rsidRPr="00F07DEB" w14:paraId="7016D6BC" w14:textId="77777777" w:rsidTr="00DC768E">
        <w:trPr>
          <w:trHeight w:val="302"/>
          <w:jc w:val="center"/>
        </w:trPr>
        <w:tc>
          <w:tcPr>
            <w:tcW w:w="0" w:type="auto"/>
            <w:tcBorders>
              <w:top w:val="single" w:sz="8" w:space="0" w:color="auto"/>
              <w:bottom w:val="nil"/>
            </w:tcBorders>
            <w:noWrap/>
            <w:vAlign w:val="center"/>
            <w:hideMark/>
          </w:tcPr>
          <w:p w14:paraId="071837D0" w14:textId="77777777" w:rsidR="00AB3556" w:rsidRPr="00F07DEB" w:rsidRDefault="00AB3556" w:rsidP="00F07DEB">
            <w:pPr>
              <w:spacing w:after="0"/>
              <w:ind w:left="720"/>
              <w:rPr>
                <w:rFonts w:ascii="Times New Roman" w:hAnsi="Times New Roman" w:cs="Times New Roman"/>
                <w:sz w:val="20"/>
                <w:szCs w:val="20"/>
              </w:rPr>
            </w:pPr>
          </w:p>
        </w:tc>
        <w:tc>
          <w:tcPr>
            <w:tcW w:w="0" w:type="auto"/>
            <w:gridSpan w:val="4"/>
            <w:tcBorders>
              <w:top w:val="single" w:sz="8" w:space="0" w:color="auto"/>
              <w:bottom w:val="single" w:sz="8" w:space="0" w:color="auto"/>
            </w:tcBorders>
            <w:noWrap/>
            <w:vAlign w:val="center"/>
            <w:hideMark/>
          </w:tcPr>
          <w:p w14:paraId="7A181365" w14:textId="1B6CAAE4" w:rsidR="00AB3556" w:rsidRPr="00F07DEB" w:rsidRDefault="00AB3556" w:rsidP="00F07DEB">
            <w:pPr>
              <w:spacing w:after="0"/>
              <w:jc w:val="center"/>
              <w:rPr>
                <w:rFonts w:ascii="Times New Roman" w:hAnsi="Times New Roman" w:cs="Times New Roman"/>
                <w:sz w:val="20"/>
                <w:szCs w:val="20"/>
              </w:rPr>
            </w:pPr>
            <w:r w:rsidRPr="00F07DEB">
              <w:rPr>
                <w:rFonts w:ascii="Times New Roman" w:hAnsi="Times New Roman" w:cs="Times New Roman"/>
                <w:sz w:val="20"/>
                <w:szCs w:val="20"/>
              </w:rPr>
              <w:t>Irrigation</w:t>
            </w:r>
          </w:p>
        </w:tc>
        <w:tc>
          <w:tcPr>
            <w:tcW w:w="0" w:type="auto"/>
            <w:tcBorders>
              <w:bottom w:val="nil"/>
            </w:tcBorders>
          </w:tcPr>
          <w:p w14:paraId="35BD5BC1" w14:textId="77777777" w:rsidR="00AB3556" w:rsidRPr="00F07DEB" w:rsidRDefault="00AB3556" w:rsidP="00F07DEB">
            <w:pPr>
              <w:spacing w:after="0"/>
              <w:ind w:left="720"/>
              <w:rPr>
                <w:rFonts w:ascii="Times New Roman" w:hAnsi="Times New Roman" w:cs="Times New Roman"/>
                <w:sz w:val="20"/>
                <w:szCs w:val="20"/>
              </w:rPr>
            </w:pPr>
          </w:p>
        </w:tc>
        <w:tc>
          <w:tcPr>
            <w:tcW w:w="0" w:type="auto"/>
            <w:vMerge w:val="restart"/>
            <w:noWrap/>
            <w:vAlign w:val="bottom"/>
            <w:hideMark/>
          </w:tcPr>
          <w:p w14:paraId="08AD0148" w14:textId="20A9E93D" w:rsidR="00AB3556" w:rsidRPr="00F07DEB" w:rsidRDefault="00AB3556" w:rsidP="00F07DEB">
            <w:pPr>
              <w:spacing w:after="0"/>
              <w:rPr>
                <w:rFonts w:ascii="Times New Roman" w:hAnsi="Times New Roman" w:cs="Times New Roman"/>
                <w:sz w:val="20"/>
                <w:szCs w:val="20"/>
              </w:rPr>
            </w:pPr>
            <w:r w:rsidRPr="00F07DEB">
              <w:rPr>
                <w:rFonts w:ascii="Times New Roman" w:hAnsi="Times New Roman" w:cs="Times New Roman"/>
                <w:sz w:val="20"/>
                <w:szCs w:val="20"/>
              </w:rPr>
              <w:t>Precipitation</w:t>
            </w:r>
          </w:p>
        </w:tc>
      </w:tr>
      <w:tr w:rsidR="00AB3556" w:rsidRPr="00F07DEB" w14:paraId="6AE6B445" w14:textId="77777777" w:rsidTr="00DC768E">
        <w:trPr>
          <w:trHeight w:val="302"/>
          <w:jc w:val="center"/>
        </w:trPr>
        <w:tc>
          <w:tcPr>
            <w:tcW w:w="0" w:type="auto"/>
            <w:tcBorders>
              <w:top w:val="nil"/>
              <w:bottom w:val="single" w:sz="8" w:space="0" w:color="auto"/>
            </w:tcBorders>
            <w:noWrap/>
            <w:vAlign w:val="center"/>
            <w:hideMark/>
          </w:tcPr>
          <w:p w14:paraId="3738D140" w14:textId="77777777" w:rsidR="00AB3556" w:rsidRPr="00F07DEB" w:rsidRDefault="00AB3556" w:rsidP="00F07DEB">
            <w:pPr>
              <w:spacing w:after="0"/>
              <w:rPr>
                <w:rFonts w:ascii="Times New Roman" w:hAnsi="Times New Roman" w:cs="Times New Roman"/>
                <w:sz w:val="20"/>
                <w:szCs w:val="20"/>
              </w:rPr>
            </w:pPr>
            <w:r w:rsidRPr="00F07DEB">
              <w:rPr>
                <w:rFonts w:ascii="Times New Roman" w:hAnsi="Times New Roman" w:cs="Times New Roman"/>
                <w:sz w:val="20"/>
                <w:szCs w:val="20"/>
              </w:rPr>
              <w:t>Quantity</w:t>
            </w:r>
          </w:p>
        </w:tc>
        <w:tc>
          <w:tcPr>
            <w:tcW w:w="0" w:type="auto"/>
            <w:tcBorders>
              <w:top w:val="single" w:sz="8" w:space="0" w:color="auto"/>
              <w:bottom w:val="single" w:sz="8" w:space="0" w:color="auto"/>
            </w:tcBorders>
            <w:noWrap/>
            <w:vAlign w:val="center"/>
            <w:hideMark/>
          </w:tcPr>
          <w:p w14:paraId="19C04DE8" w14:textId="77777777" w:rsidR="00AB3556" w:rsidRPr="00F07DEB" w:rsidRDefault="00AB3556" w:rsidP="00F07DEB">
            <w:pPr>
              <w:spacing w:after="0"/>
              <w:rPr>
                <w:rFonts w:ascii="Times New Roman" w:hAnsi="Times New Roman" w:cs="Times New Roman"/>
                <w:sz w:val="20"/>
                <w:szCs w:val="20"/>
              </w:rPr>
            </w:pPr>
            <w:r w:rsidRPr="00F07DEB">
              <w:rPr>
                <w:rFonts w:ascii="Times New Roman" w:hAnsi="Times New Roman" w:cs="Times New Roman"/>
                <w:sz w:val="20"/>
                <w:szCs w:val="20"/>
              </w:rPr>
              <w:t>Corn</w:t>
            </w:r>
          </w:p>
        </w:tc>
        <w:tc>
          <w:tcPr>
            <w:tcW w:w="0" w:type="auto"/>
            <w:tcBorders>
              <w:top w:val="single" w:sz="8" w:space="0" w:color="auto"/>
              <w:bottom w:val="single" w:sz="8" w:space="0" w:color="auto"/>
            </w:tcBorders>
            <w:noWrap/>
            <w:vAlign w:val="center"/>
            <w:hideMark/>
          </w:tcPr>
          <w:p w14:paraId="017985F7" w14:textId="77777777" w:rsidR="00AB3556" w:rsidRPr="00F07DEB" w:rsidRDefault="00AB3556" w:rsidP="00F07DEB">
            <w:pPr>
              <w:spacing w:after="0"/>
              <w:rPr>
                <w:rFonts w:ascii="Times New Roman" w:hAnsi="Times New Roman" w:cs="Times New Roman"/>
                <w:sz w:val="20"/>
                <w:szCs w:val="20"/>
              </w:rPr>
            </w:pPr>
            <w:r w:rsidRPr="00F07DEB">
              <w:rPr>
                <w:rFonts w:ascii="Times New Roman" w:hAnsi="Times New Roman" w:cs="Times New Roman"/>
                <w:sz w:val="20"/>
                <w:szCs w:val="20"/>
              </w:rPr>
              <w:t>Sorghum</w:t>
            </w:r>
          </w:p>
        </w:tc>
        <w:tc>
          <w:tcPr>
            <w:tcW w:w="0" w:type="auto"/>
            <w:gridSpan w:val="2"/>
            <w:tcBorders>
              <w:top w:val="single" w:sz="8" w:space="0" w:color="auto"/>
              <w:bottom w:val="single" w:sz="8" w:space="0" w:color="auto"/>
            </w:tcBorders>
            <w:noWrap/>
            <w:vAlign w:val="center"/>
            <w:hideMark/>
          </w:tcPr>
          <w:p w14:paraId="2E150F8D" w14:textId="77777777" w:rsidR="00AB3556" w:rsidRPr="00F07DEB" w:rsidRDefault="00AB3556" w:rsidP="00F07DEB">
            <w:pPr>
              <w:spacing w:after="0"/>
              <w:rPr>
                <w:rFonts w:ascii="Times New Roman" w:hAnsi="Times New Roman" w:cs="Times New Roman"/>
                <w:sz w:val="20"/>
                <w:szCs w:val="20"/>
              </w:rPr>
            </w:pPr>
            <w:r w:rsidRPr="00F07DEB">
              <w:rPr>
                <w:rFonts w:ascii="Times New Roman" w:hAnsi="Times New Roman" w:cs="Times New Roman"/>
                <w:sz w:val="20"/>
                <w:szCs w:val="20"/>
              </w:rPr>
              <w:t>Bermuda grass</w:t>
            </w:r>
          </w:p>
        </w:tc>
        <w:tc>
          <w:tcPr>
            <w:tcW w:w="0" w:type="auto"/>
            <w:tcBorders>
              <w:top w:val="nil"/>
              <w:bottom w:val="nil"/>
            </w:tcBorders>
          </w:tcPr>
          <w:p w14:paraId="0EB3EF1C" w14:textId="77777777" w:rsidR="00AB3556" w:rsidRPr="00F07DEB" w:rsidRDefault="00AB3556" w:rsidP="00F07DEB">
            <w:pPr>
              <w:spacing w:after="0"/>
              <w:rPr>
                <w:rFonts w:ascii="Times New Roman" w:hAnsi="Times New Roman" w:cs="Times New Roman"/>
                <w:sz w:val="20"/>
                <w:szCs w:val="20"/>
              </w:rPr>
            </w:pPr>
          </w:p>
        </w:tc>
        <w:tc>
          <w:tcPr>
            <w:tcW w:w="0" w:type="auto"/>
            <w:vMerge/>
            <w:tcBorders>
              <w:bottom w:val="single" w:sz="8" w:space="0" w:color="auto"/>
            </w:tcBorders>
            <w:noWrap/>
            <w:vAlign w:val="center"/>
            <w:hideMark/>
          </w:tcPr>
          <w:p w14:paraId="79025E40" w14:textId="174DD9D1" w:rsidR="00AB3556" w:rsidRPr="00F07DEB" w:rsidRDefault="00AB3556" w:rsidP="00F07DEB">
            <w:pPr>
              <w:spacing w:after="0"/>
              <w:rPr>
                <w:rFonts w:ascii="Times New Roman" w:hAnsi="Times New Roman" w:cs="Times New Roman"/>
                <w:sz w:val="20"/>
                <w:szCs w:val="20"/>
              </w:rPr>
            </w:pPr>
          </w:p>
        </w:tc>
      </w:tr>
      <w:tr w:rsidR="00035AA3" w:rsidRPr="00F07DEB" w14:paraId="7DF24862" w14:textId="77777777" w:rsidTr="00DC768E">
        <w:trPr>
          <w:trHeight w:val="302"/>
          <w:jc w:val="center"/>
        </w:trPr>
        <w:tc>
          <w:tcPr>
            <w:tcW w:w="0" w:type="auto"/>
            <w:tcBorders>
              <w:top w:val="single" w:sz="8" w:space="0" w:color="auto"/>
              <w:bottom w:val="nil"/>
            </w:tcBorders>
            <w:noWrap/>
            <w:vAlign w:val="center"/>
            <w:hideMark/>
          </w:tcPr>
          <w:p w14:paraId="2F9EBCC5" w14:textId="27F3E3E3" w:rsidR="00035AA3" w:rsidRPr="00F07DEB" w:rsidRDefault="006C0D33" w:rsidP="00F07DEB">
            <w:pPr>
              <w:spacing w:after="0"/>
              <w:rPr>
                <w:rFonts w:ascii="Times New Roman" w:hAnsi="Times New Roman" w:cs="Times New Roman"/>
                <w:sz w:val="20"/>
                <w:szCs w:val="20"/>
              </w:rPr>
            </w:pPr>
            <w:r w:rsidRPr="00F07DEB">
              <w:rPr>
                <w:rFonts w:ascii="Times New Roman" w:hAnsi="Times New Roman" w:cs="Times New Roman"/>
                <w:sz w:val="20"/>
                <w:szCs w:val="20"/>
              </w:rPr>
              <w:t>Depth (cm</w:t>
            </w:r>
            <w:r w:rsidR="00035AA3" w:rsidRPr="00F07DEB">
              <w:rPr>
                <w:rFonts w:ascii="Times New Roman" w:hAnsi="Times New Roman" w:cs="Times New Roman"/>
                <w:sz w:val="20"/>
                <w:szCs w:val="20"/>
              </w:rPr>
              <w:t>)</w:t>
            </w:r>
          </w:p>
        </w:tc>
        <w:tc>
          <w:tcPr>
            <w:tcW w:w="0" w:type="auto"/>
            <w:tcBorders>
              <w:top w:val="single" w:sz="8" w:space="0" w:color="auto"/>
              <w:bottom w:val="nil"/>
            </w:tcBorders>
            <w:noWrap/>
            <w:vAlign w:val="bottom"/>
            <w:hideMark/>
          </w:tcPr>
          <w:p w14:paraId="77BC9539" w14:textId="68E4D8EC" w:rsidR="00035AA3" w:rsidRPr="00F07DEB" w:rsidRDefault="00035AA3"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64.16</w:t>
            </w:r>
          </w:p>
        </w:tc>
        <w:tc>
          <w:tcPr>
            <w:tcW w:w="0" w:type="auto"/>
            <w:tcBorders>
              <w:top w:val="single" w:sz="8" w:space="0" w:color="auto"/>
              <w:bottom w:val="nil"/>
            </w:tcBorders>
            <w:noWrap/>
            <w:vAlign w:val="bottom"/>
            <w:hideMark/>
          </w:tcPr>
          <w:p w14:paraId="18B5ACBC" w14:textId="1C8BB9D7" w:rsidR="00035AA3" w:rsidRPr="00F07DEB" w:rsidRDefault="00035AA3"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63.35</w:t>
            </w:r>
          </w:p>
        </w:tc>
        <w:tc>
          <w:tcPr>
            <w:tcW w:w="0" w:type="auto"/>
            <w:tcBorders>
              <w:top w:val="nil"/>
              <w:bottom w:val="nil"/>
            </w:tcBorders>
            <w:noWrap/>
            <w:vAlign w:val="bottom"/>
            <w:hideMark/>
          </w:tcPr>
          <w:p w14:paraId="0CB07A0C" w14:textId="4276AE10" w:rsidR="00035AA3" w:rsidRPr="00F07DEB" w:rsidRDefault="00035AA3"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26.97</w:t>
            </w:r>
          </w:p>
        </w:tc>
        <w:tc>
          <w:tcPr>
            <w:tcW w:w="0" w:type="auto"/>
            <w:tcBorders>
              <w:top w:val="nil"/>
              <w:bottom w:val="nil"/>
            </w:tcBorders>
            <w:noWrap/>
            <w:vAlign w:val="bottom"/>
            <w:hideMark/>
          </w:tcPr>
          <w:p w14:paraId="6946D85A" w14:textId="77777777" w:rsidR="00035AA3" w:rsidRPr="00F07DEB" w:rsidRDefault="00035AA3" w:rsidP="00F07DEB">
            <w:pPr>
              <w:spacing w:after="0"/>
              <w:ind w:left="720"/>
              <w:rPr>
                <w:rFonts w:ascii="Times New Roman" w:hAnsi="Times New Roman" w:cs="Times New Roman"/>
                <w:sz w:val="20"/>
                <w:szCs w:val="20"/>
              </w:rPr>
            </w:pPr>
          </w:p>
        </w:tc>
        <w:tc>
          <w:tcPr>
            <w:tcW w:w="0" w:type="auto"/>
            <w:tcBorders>
              <w:top w:val="nil"/>
              <w:bottom w:val="nil"/>
            </w:tcBorders>
            <w:vAlign w:val="bottom"/>
          </w:tcPr>
          <w:p w14:paraId="27AFB694" w14:textId="632CE71A" w:rsidR="00035AA3" w:rsidRPr="00F07DEB" w:rsidRDefault="00035AA3" w:rsidP="00F07DEB">
            <w:pPr>
              <w:spacing w:after="0"/>
              <w:rPr>
                <w:rFonts w:ascii="Times New Roman" w:hAnsi="Times New Roman" w:cs="Times New Roman"/>
                <w:sz w:val="20"/>
                <w:szCs w:val="20"/>
              </w:rPr>
            </w:pPr>
          </w:p>
        </w:tc>
        <w:tc>
          <w:tcPr>
            <w:tcW w:w="0" w:type="auto"/>
            <w:tcBorders>
              <w:top w:val="single" w:sz="8" w:space="0" w:color="auto"/>
              <w:bottom w:val="nil"/>
            </w:tcBorders>
            <w:noWrap/>
            <w:vAlign w:val="bottom"/>
            <w:hideMark/>
          </w:tcPr>
          <w:p w14:paraId="5DE6E529" w14:textId="67077D90" w:rsidR="00035AA3" w:rsidRPr="00F07DEB" w:rsidRDefault="00B43A1D" w:rsidP="00F07DEB">
            <w:pPr>
              <w:spacing w:after="0"/>
              <w:rPr>
                <w:rFonts w:ascii="Times New Roman" w:hAnsi="Times New Roman" w:cs="Times New Roman"/>
                <w:sz w:val="20"/>
                <w:szCs w:val="20"/>
              </w:rPr>
            </w:pPr>
            <w:r w:rsidRPr="00F07DEB">
              <w:rPr>
                <w:rFonts w:ascii="Times New Roman" w:hAnsi="Times New Roman" w:cs="Times New Roman"/>
                <w:sz w:val="20"/>
                <w:szCs w:val="20"/>
              </w:rPr>
              <w:t>25.81</w:t>
            </w:r>
          </w:p>
        </w:tc>
      </w:tr>
      <w:tr w:rsidR="00035AA3" w:rsidRPr="00F07DEB" w14:paraId="25149A70" w14:textId="77777777" w:rsidTr="00DC768E">
        <w:trPr>
          <w:trHeight w:val="302"/>
          <w:jc w:val="center"/>
        </w:trPr>
        <w:tc>
          <w:tcPr>
            <w:tcW w:w="0" w:type="auto"/>
            <w:tcBorders>
              <w:top w:val="nil"/>
              <w:bottom w:val="single" w:sz="8" w:space="0" w:color="auto"/>
            </w:tcBorders>
            <w:noWrap/>
            <w:vAlign w:val="center"/>
            <w:hideMark/>
          </w:tcPr>
          <w:p w14:paraId="52CFC66B" w14:textId="77777777" w:rsidR="00035AA3" w:rsidRPr="00F07DEB" w:rsidRDefault="00035AA3" w:rsidP="00F07DEB">
            <w:pPr>
              <w:spacing w:after="0"/>
              <w:rPr>
                <w:rFonts w:ascii="Times New Roman" w:hAnsi="Times New Roman" w:cs="Times New Roman"/>
                <w:sz w:val="20"/>
                <w:szCs w:val="20"/>
              </w:rPr>
            </w:pPr>
            <w:r w:rsidRPr="00F07DEB">
              <w:rPr>
                <w:rFonts w:ascii="Times New Roman" w:hAnsi="Times New Roman" w:cs="Times New Roman"/>
                <w:sz w:val="20"/>
                <w:szCs w:val="20"/>
              </w:rPr>
              <w:t>Volume (L)</w:t>
            </w:r>
          </w:p>
        </w:tc>
        <w:tc>
          <w:tcPr>
            <w:tcW w:w="0" w:type="auto"/>
            <w:tcBorders>
              <w:top w:val="nil"/>
              <w:bottom w:val="single" w:sz="8" w:space="0" w:color="auto"/>
            </w:tcBorders>
            <w:noWrap/>
            <w:vAlign w:val="bottom"/>
            <w:hideMark/>
          </w:tcPr>
          <w:p w14:paraId="07FBE997" w14:textId="07EA7362" w:rsidR="00035AA3" w:rsidRPr="00F07DEB" w:rsidRDefault="00035AA3"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20.81</w:t>
            </w:r>
          </w:p>
        </w:tc>
        <w:tc>
          <w:tcPr>
            <w:tcW w:w="0" w:type="auto"/>
            <w:tcBorders>
              <w:top w:val="nil"/>
              <w:bottom w:val="single" w:sz="8" w:space="0" w:color="auto"/>
            </w:tcBorders>
            <w:noWrap/>
            <w:vAlign w:val="bottom"/>
            <w:hideMark/>
          </w:tcPr>
          <w:p w14:paraId="663CFCDA" w14:textId="2084C95F" w:rsidR="00035AA3" w:rsidRPr="00F07DEB" w:rsidRDefault="00035AA3"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20.54</w:t>
            </w:r>
          </w:p>
        </w:tc>
        <w:tc>
          <w:tcPr>
            <w:tcW w:w="0" w:type="auto"/>
            <w:tcBorders>
              <w:top w:val="nil"/>
              <w:bottom w:val="single" w:sz="8" w:space="0" w:color="auto"/>
            </w:tcBorders>
            <w:noWrap/>
            <w:vAlign w:val="bottom"/>
            <w:hideMark/>
          </w:tcPr>
          <w:p w14:paraId="4CBD1D79" w14:textId="7B55DCFE" w:rsidR="00035AA3" w:rsidRPr="00F07DEB" w:rsidRDefault="00035AA3"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8.75</w:t>
            </w:r>
          </w:p>
        </w:tc>
        <w:tc>
          <w:tcPr>
            <w:tcW w:w="0" w:type="auto"/>
            <w:tcBorders>
              <w:top w:val="nil"/>
              <w:bottom w:val="single" w:sz="8" w:space="0" w:color="auto"/>
            </w:tcBorders>
            <w:noWrap/>
            <w:vAlign w:val="bottom"/>
            <w:hideMark/>
          </w:tcPr>
          <w:p w14:paraId="0E20827A" w14:textId="77777777" w:rsidR="00035AA3" w:rsidRPr="00F07DEB" w:rsidRDefault="00035AA3" w:rsidP="00F07DEB">
            <w:pPr>
              <w:spacing w:after="0"/>
              <w:ind w:left="720"/>
              <w:rPr>
                <w:rFonts w:ascii="Times New Roman" w:hAnsi="Times New Roman" w:cs="Times New Roman"/>
                <w:sz w:val="20"/>
                <w:szCs w:val="20"/>
              </w:rPr>
            </w:pPr>
          </w:p>
        </w:tc>
        <w:tc>
          <w:tcPr>
            <w:tcW w:w="0" w:type="auto"/>
            <w:tcBorders>
              <w:top w:val="nil"/>
              <w:bottom w:val="single" w:sz="8" w:space="0" w:color="auto"/>
            </w:tcBorders>
            <w:vAlign w:val="bottom"/>
          </w:tcPr>
          <w:p w14:paraId="55838542" w14:textId="4CAAB2E7" w:rsidR="00035AA3" w:rsidRPr="00F07DEB" w:rsidRDefault="00035AA3" w:rsidP="00F07DEB">
            <w:pPr>
              <w:spacing w:after="0"/>
              <w:rPr>
                <w:rFonts w:ascii="Times New Roman" w:hAnsi="Times New Roman" w:cs="Times New Roman"/>
                <w:sz w:val="20"/>
                <w:szCs w:val="20"/>
              </w:rPr>
            </w:pPr>
          </w:p>
        </w:tc>
        <w:tc>
          <w:tcPr>
            <w:tcW w:w="0" w:type="auto"/>
            <w:tcBorders>
              <w:top w:val="nil"/>
              <w:bottom w:val="single" w:sz="8" w:space="0" w:color="auto"/>
            </w:tcBorders>
            <w:noWrap/>
            <w:vAlign w:val="bottom"/>
            <w:hideMark/>
          </w:tcPr>
          <w:p w14:paraId="103A3BCB" w14:textId="1374A806" w:rsidR="00035AA3" w:rsidRPr="00F07DEB" w:rsidRDefault="00B43A1D"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8.37</w:t>
            </w:r>
          </w:p>
        </w:tc>
      </w:tr>
      <w:tr w:rsidR="00035AA3" w:rsidRPr="00F07DEB" w14:paraId="44FE898C" w14:textId="77777777" w:rsidTr="006811C1">
        <w:trPr>
          <w:trHeight w:val="302"/>
          <w:jc w:val="center"/>
        </w:trPr>
        <w:tc>
          <w:tcPr>
            <w:tcW w:w="0" w:type="auto"/>
            <w:tcBorders>
              <w:top w:val="single" w:sz="8" w:space="0" w:color="auto"/>
            </w:tcBorders>
            <w:noWrap/>
            <w:vAlign w:val="center"/>
            <w:hideMark/>
          </w:tcPr>
          <w:p w14:paraId="22757D4D" w14:textId="1342EB62" w:rsidR="00035AA3" w:rsidRPr="00F07DEB" w:rsidRDefault="006C0D33" w:rsidP="00F07DEB">
            <w:pPr>
              <w:spacing w:after="0"/>
              <w:rPr>
                <w:rFonts w:ascii="Times New Roman" w:hAnsi="Times New Roman" w:cs="Times New Roman"/>
                <w:sz w:val="20"/>
                <w:szCs w:val="20"/>
              </w:rPr>
            </w:pPr>
            <w:r w:rsidRPr="00F07DEB">
              <w:rPr>
                <w:rFonts w:ascii="Times New Roman" w:hAnsi="Times New Roman" w:cs="Times New Roman"/>
                <w:sz w:val="20"/>
                <w:szCs w:val="20"/>
              </w:rPr>
              <w:t>Irrig</w:t>
            </w:r>
            <w:r w:rsidR="008C237F" w:rsidRPr="00F07DEB">
              <w:rPr>
                <w:rFonts w:ascii="Times New Roman" w:hAnsi="Times New Roman" w:cs="Times New Roman"/>
                <w:sz w:val="20"/>
                <w:szCs w:val="20"/>
              </w:rPr>
              <w:t>ation</w:t>
            </w:r>
            <w:r w:rsidR="0012121F">
              <w:rPr>
                <w:rFonts w:ascii="Times New Roman" w:hAnsi="Times New Roman" w:cs="Times New Roman"/>
                <w:sz w:val="20"/>
                <w:szCs w:val="20"/>
              </w:rPr>
              <w:t xml:space="preserve"> </w:t>
            </w:r>
            <w:r w:rsidRPr="00F07DEB">
              <w:rPr>
                <w:rFonts w:ascii="Times New Roman" w:hAnsi="Times New Roman" w:cs="Times New Roman"/>
                <w:sz w:val="20"/>
                <w:szCs w:val="20"/>
              </w:rPr>
              <w:t>+</w:t>
            </w:r>
            <w:r w:rsidR="0012121F">
              <w:rPr>
                <w:rFonts w:ascii="Times New Roman" w:hAnsi="Times New Roman" w:cs="Times New Roman"/>
                <w:sz w:val="20"/>
                <w:szCs w:val="20"/>
              </w:rPr>
              <w:t xml:space="preserve"> </w:t>
            </w:r>
            <w:r w:rsidRPr="00F07DEB">
              <w:rPr>
                <w:rFonts w:ascii="Times New Roman" w:hAnsi="Times New Roman" w:cs="Times New Roman"/>
                <w:sz w:val="20"/>
                <w:szCs w:val="20"/>
              </w:rPr>
              <w:t>Precip</w:t>
            </w:r>
            <w:r w:rsidR="008C237F" w:rsidRPr="00F07DEB">
              <w:rPr>
                <w:rFonts w:ascii="Times New Roman" w:hAnsi="Times New Roman" w:cs="Times New Roman"/>
                <w:sz w:val="20"/>
                <w:szCs w:val="20"/>
              </w:rPr>
              <w:t>itation</w:t>
            </w:r>
            <w:r w:rsidRPr="00F07DEB">
              <w:rPr>
                <w:rFonts w:ascii="Times New Roman" w:hAnsi="Times New Roman" w:cs="Times New Roman"/>
                <w:sz w:val="20"/>
                <w:szCs w:val="20"/>
              </w:rPr>
              <w:t xml:space="preserve"> (cm</w:t>
            </w:r>
            <w:r w:rsidR="00035AA3" w:rsidRPr="00F07DEB">
              <w:rPr>
                <w:rFonts w:ascii="Times New Roman" w:hAnsi="Times New Roman" w:cs="Times New Roman"/>
                <w:sz w:val="20"/>
                <w:szCs w:val="20"/>
              </w:rPr>
              <w:t>)</w:t>
            </w:r>
          </w:p>
        </w:tc>
        <w:tc>
          <w:tcPr>
            <w:tcW w:w="0" w:type="auto"/>
            <w:tcBorders>
              <w:top w:val="single" w:sz="8" w:space="0" w:color="auto"/>
            </w:tcBorders>
            <w:noWrap/>
            <w:vAlign w:val="bottom"/>
            <w:hideMark/>
          </w:tcPr>
          <w:p w14:paraId="1054B8CF" w14:textId="3ECB897C" w:rsidR="00035AA3" w:rsidRPr="00F07DEB" w:rsidRDefault="00B43A1D"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89.98</w:t>
            </w:r>
          </w:p>
        </w:tc>
        <w:tc>
          <w:tcPr>
            <w:tcW w:w="0" w:type="auto"/>
            <w:tcBorders>
              <w:top w:val="single" w:sz="8" w:space="0" w:color="auto"/>
            </w:tcBorders>
            <w:noWrap/>
            <w:vAlign w:val="bottom"/>
            <w:hideMark/>
          </w:tcPr>
          <w:p w14:paraId="1D429BC4" w14:textId="5D9ACFA8" w:rsidR="00035AA3" w:rsidRPr="00F07DEB" w:rsidRDefault="00B43A1D"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89.15</w:t>
            </w:r>
          </w:p>
        </w:tc>
        <w:tc>
          <w:tcPr>
            <w:tcW w:w="0" w:type="auto"/>
            <w:tcBorders>
              <w:top w:val="single" w:sz="8" w:space="0" w:color="auto"/>
            </w:tcBorders>
            <w:noWrap/>
            <w:vAlign w:val="bottom"/>
            <w:hideMark/>
          </w:tcPr>
          <w:p w14:paraId="1F5E7B62" w14:textId="5614622F" w:rsidR="00035AA3" w:rsidRPr="00F07DEB" w:rsidRDefault="00B43A1D"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52.78</w:t>
            </w:r>
          </w:p>
        </w:tc>
        <w:tc>
          <w:tcPr>
            <w:tcW w:w="0" w:type="auto"/>
            <w:tcBorders>
              <w:top w:val="single" w:sz="8" w:space="0" w:color="auto"/>
            </w:tcBorders>
            <w:noWrap/>
            <w:vAlign w:val="bottom"/>
            <w:hideMark/>
          </w:tcPr>
          <w:p w14:paraId="06B01587" w14:textId="77777777" w:rsidR="00035AA3" w:rsidRPr="00F07DEB" w:rsidRDefault="00035AA3" w:rsidP="00F07DEB">
            <w:pPr>
              <w:spacing w:after="0"/>
              <w:ind w:left="720"/>
              <w:rPr>
                <w:rFonts w:ascii="Times New Roman" w:hAnsi="Times New Roman" w:cs="Times New Roman"/>
                <w:sz w:val="20"/>
                <w:szCs w:val="20"/>
              </w:rPr>
            </w:pPr>
          </w:p>
        </w:tc>
        <w:tc>
          <w:tcPr>
            <w:tcW w:w="0" w:type="auto"/>
            <w:tcBorders>
              <w:top w:val="single" w:sz="8" w:space="0" w:color="auto"/>
            </w:tcBorders>
            <w:vAlign w:val="bottom"/>
          </w:tcPr>
          <w:p w14:paraId="4A2802A6" w14:textId="77777777" w:rsidR="00035AA3" w:rsidRPr="00F07DEB" w:rsidRDefault="00035AA3" w:rsidP="00F07DEB">
            <w:pPr>
              <w:spacing w:after="0"/>
              <w:ind w:left="720"/>
              <w:rPr>
                <w:rFonts w:ascii="Times New Roman" w:hAnsi="Times New Roman" w:cs="Times New Roman"/>
                <w:sz w:val="20"/>
                <w:szCs w:val="20"/>
              </w:rPr>
            </w:pPr>
          </w:p>
        </w:tc>
        <w:tc>
          <w:tcPr>
            <w:tcW w:w="0" w:type="auto"/>
            <w:tcBorders>
              <w:top w:val="single" w:sz="8" w:space="0" w:color="auto"/>
            </w:tcBorders>
            <w:noWrap/>
            <w:vAlign w:val="bottom"/>
          </w:tcPr>
          <w:p w14:paraId="2C3694FD" w14:textId="0D440706" w:rsidR="00035AA3" w:rsidRPr="00F07DEB" w:rsidRDefault="00035AA3" w:rsidP="00F07DEB">
            <w:pPr>
              <w:spacing w:after="0"/>
              <w:ind w:left="720"/>
              <w:rPr>
                <w:rFonts w:ascii="Times New Roman" w:hAnsi="Times New Roman" w:cs="Times New Roman"/>
                <w:sz w:val="20"/>
                <w:szCs w:val="20"/>
              </w:rPr>
            </w:pPr>
          </w:p>
        </w:tc>
      </w:tr>
      <w:tr w:rsidR="00035AA3" w:rsidRPr="00F07DEB" w14:paraId="3ECE9DAE" w14:textId="77777777" w:rsidTr="006811C1">
        <w:trPr>
          <w:trHeight w:val="302"/>
          <w:jc w:val="center"/>
        </w:trPr>
        <w:tc>
          <w:tcPr>
            <w:tcW w:w="0" w:type="auto"/>
            <w:noWrap/>
            <w:vAlign w:val="center"/>
            <w:hideMark/>
          </w:tcPr>
          <w:p w14:paraId="73EF9F51" w14:textId="094CDD81" w:rsidR="00035AA3" w:rsidRPr="00F07DEB" w:rsidRDefault="00035AA3" w:rsidP="00F07DEB">
            <w:pPr>
              <w:spacing w:after="0"/>
              <w:rPr>
                <w:rFonts w:ascii="Times New Roman" w:hAnsi="Times New Roman" w:cs="Times New Roman"/>
                <w:sz w:val="20"/>
                <w:szCs w:val="20"/>
              </w:rPr>
            </w:pPr>
            <w:r w:rsidRPr="00F07DEB">
              <w:rPr>
                <w:rFonts w:ascii="Times New Roman" w:hAnsi="Times New Roman" w:cs="Times New Roman"/>
                <w:sz w:val="20"/>
                <w:szCs w:val="20"/>
              </w:rPr>
              <w:t>Irrig</w:t>
            </w:r>
            <w:r w:rsidR="008C237F" w:rsidRPr="00F07DEB">
              <w:rPr>
                <w:rFonts w:ascii="Times New Roman" w:hAnsi="Times New Roman" w:cs="Times New Roman"/>
                <w:sz w:val="20"/>
                <w:szCs w:val="20"/>
              </w:rPr>
              <w:t>ation</w:t>
            </w:r>
            <w:r w:rsidR="0012121F">
              <w:rPr>
                <w:rFonts w:ascii="Times New Roman" w:hAnsi="Times New Roman" w:cs="Times New Roman"/>
                <w:sz w:val="20"/>
                <w:szCs w:val="20"/>
              </w:rPr>
              <w:t xml:space="preserve"> </w:t>
            </w:r>
            <w:r w:rsidRPr="00F07DEB">
              <w:rPr>
                <w:rFonts w:ascii="Times New Roman" w:hAnsi="Times New Roman" w:cs="Times New Roman"/>
                <w:sz w:val="20"/>
                <w:szCs w:val="20"/>
              </w:rPr>
              <w:t>+</w:t>
            </w:r>
            <w:r w:rsidR="0012121F">
              <w:rPr>
                <w:rFonts w:ascii="Times New Roman" w:hAnsi="Times New Roman" w:cs="Times New Roman"/>
                <w:sz w:val="20"/>
                <w:szCs w:val="20"/>
              </w:rPr>
              <w:t xml:space="preserve"> </w:t>
            </w:r>
            <w:r w:rsidRPr="00F07DEB">
              <w:rPr>
                <w:rFonts w:ascii="Times New Roman" w:hAnsi="Times New Roman" w:cs="Times New Roman"/>
                <w:sz w:val="20"/>
                <w:szCs w:val="20"/>
              </w:rPr>
              <w:t>Precip</w:t>
            </w:r>
            <w:r w:rsidR="008C237F" w:rsidRPr="00F07DEB">
              <w:rPr>
                <w:rFonts w:ascii="Times New Roman" w:hAnsi="Times New Roman" w:cs="Times New Roman"/>
                <w:sz w:val="20"/>
                <w:szCs w:val="20"/>
              </w:rPr>
              <w:t>itation</w:t>
            </w:r>
            <w:r w:rsidRPr="00F07DEB">
              <w:rPr>
                <w:rFonts w:ascii="Times New Roman" w:hAnsi="Times New Roman" w:cs="Times New Roman"/>
                <w:sz w:val="20"/>
                <w:szCs w:val="20"/>
              </w:rPr>
              <w:t xml:space="preserve"> (L)</w:t>
            </w:r>
          </w:p>
        </w:tc>
        <w:tc>
          <w:tcPr>
            <w:tcW w:w="0" w:type="auto"/>
            <w:noWrap/>
            <w:vAlign w:val="bottom"/>
            <w:hideMark/>
          </w:tcPr>
          <w:p w14:paraId="4ABFD000" w14:textId="450C8292" w:rsidR="00035AA3" w:rsidRPr="00F07DEB" w:rsidRDefault="00B43A1D"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29.18</w:t>
            </w:r>
          </w:p>
        </w:tc>
        <w:tc>
          <w:tcPr>
            <w:tcW w:w="0" w:type="auto"/>
            <w:noWrap/>
            <w:vAlign w:val="bottom"/>
            <w:hideMark/>
          </w:tcPr>
          <w:p w14:paraId="3B9B674B" w14:textId="565B9752" w:rsidR="00035AA3" w:rsidRPr="00F07DEB" w:rsidRDefault="00B43A1D"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28.91</w:t>
            </w:r>
          </w:p>
        </w:tc>
        <w:tc>
          <w:tcPr>
            <w:tcW w:w="0" w:type="auto"/>
            <w:noWrap/>
            <w:vAlign w:val="bottom"/>
            <w:hideMark/>
          </w:tcPr>
          <w:p w14:paraId="53D6732C" w14:textId="4BA8DD3A" w:rsidR="00035AA3" w:rsidRPr="00F07DEB" w:rsidRDefault="00B43A1D"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17.12</w:t>
            </w:r>
          </w:p>
        </w:tc>
        <w:tc>
          <w:tcPr>
            <w:tcW w:w="0" w:type="auto"/>
            <w:noWrap/>
            <w:vAlign w:val="bottom"/>
            <w:hideMark/>
          </w:tcPr>
          <w:p w14:paraId="650D5166" w14:textId="77777777" w:rsidR="00035AA3" w:rsidRPr="00F07DEB" w:rsidRDefault="00035AA3" w:rsidP="00F07DEB">
            <w:pPr>
              <w:spacing w:after="0"/>
              <w:ind w:left="720"/>
              <w:rPr>
                <w:rFonts w:ascii="Times New Roman" w:hAnsi="Times New Roman" w:cs="Times New Roman"/>
                <w:sz w:val="20"/>
                <w:szCs w:val="20"/>
              </w:rPr>
            </w:pPr>
          </w:p>
        </w:tc>
        <w:tc>
          <w:tcPr>
            <w:tcW w:w="0" w:type="auto"/>
            <w:vAlign w:val="bottom"/>
          </w:tcPr>
          <w:p w14:paraId="5531DF7D" w14:textId="77777777" w:rsidR="00035AA3" w:rsidRPr="00F07DEB" w:rsidRDefault="00035AA3" w:rsidP="00F07DEB">
            <w:pPr>
              <w:spacing w:after="0"/>
              <w:ind w:left="720"/>
              <w:rPr>
                <w:rFonts w:ascii="Times New Roman" w:hAnsi="Times New Roman" w:cs="Times New Roman"/>
                <w:sz w:val="20"/>
                <w:szCs w:val="20"/>
              </w:rPr>
            </w:pPr>
          </w:p>
        </w:tc>
        <w:tc>
          <w:tcPr>
            <w:tcW w:w="0" w:type="auto"/>
            <w:noWrap/>
            <w:vAlign w:val="bottom"/>
          </w:tcPr>
          <w:p w14:paraId="4AF89DE8" w14:textId="05CE367E" w:rsidR="00035AA3" w:rsidRPr="00F07DEB" w:rsidRDefault="00035AA3" w:rsidP="00F07DEB">
            <w:pPr>
              <w:spacing w:after="0"/>
              <w:ind w:left="720"/>
              <w:rPr>
                <w:rFonts w:ascii="Times New Roman" w:hAnsi="Times New Roman" w:cs="Times New Roman"/>
                <w:sz w:val="20"/>
                <w:szCs w:val="20"/>
              </w:rPr>
            </w:pPr>
          </w:p>
        </w:tc>
      </w:tr>
    </w:tbl>
    <w:p w14:paraId="6714F54D" w14:textId="77777777" w:rsidR="006811C1" w:rsidRPr="00F07DEB" w:rsidRDefault="006811C1" w:rsidP="00B43A1D">
      <w:pPr>
        <w:spacing w:line="480" w:lineRule="auto"/>
        <w:rPr>
          <w:rFonts w:ascii="Times New Roman" w:hAnsi="Times New Roman" w:cs="Times New Roman"/>
        </w:rPr>
      </w:pPr>
    </w:p>
    <w:p w14:paraId="4BF1F792" w14:textId="1C2063FB" w:rsidR="009D29F8" w:rsidRPr="00F07DEB" w:rsidRDefault="009D29F8" w:rsidP="009D29F8">
      <w:pPr>
        <w:pStyle w:val="Heading3"/>
        <w:spacing w:line="480" w:lineRule="auto"/>
        <w:ind w:left="1080"/>
      </w:pPr>
      <w:bookmarkStart w:id="78" w:name="_Toc58975171"/>
      <w:r w:rsidRPr="00F07DEB">
        <w:t>Fertilizer</w:t>
      </w:r>
      <w:bookmarkEnd w:id="78"/>
    </w:p>
    <w:p w14:paraId="47CDC77A" w14:textId="75DAD666" w:rsidR="008B52C3" w:rsidRPr="00F07DEB" w:rsidRDefault="0043467B" w:rsidP="009E7A5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address nitrogen deficiencies observed in corn and sorghum plants, </w:t>
      </w:r>
      <w:r w:rsidR="009E7A5F" w:rsidRPr="00F07DEB">
        <w:rPr>
          <w:rFonts w:ascii="Times New Roman" w:hAnsi="Times New Roman" w:cs="Times New Roman"/>
          <w:sz w:val="24"/>
          <w:szCs w:val="24"/>
        </w:rPr>
        <w:t>Miracle-</w:t>
      </w:r>
      <w:proofErr w:type="spellStart"/>
      <w:r w:rsidR="009E7A5F" w:rsidRPr="00F07DEB">
        <w:rPr>
          <w:rFonts w:ascii="Times New Roman" w:hAnsi="Times New Roman" w:cs="Times New Roman"/>
          <w:sz w:val="24"/>
          <w:szCs w:val="24"/>
        </w:rPr>
        <w:t>Gro</w:t>
      </w:r>
      <w:proofErr w:type="spellEnd"/>
      <w:r w:rsidR="009E7A5F" w:rsidRPr="00F07DEB">
        <w:rPr>
          <w:rFonts w:ascii="Times New Roman" w:hAnsi="Times New Roman" w:cs="Times New Roman"/>
          <w:sz w:val="24"/>
          <w:szCs w:val="24"/>
        </w:rPr>
        <w:t xml:space="preserve"> Water Soluble All Purpose Plant Food 24-8-16 was applied </w:t>
      </w:r>
      <w:r w:rsidR="00D45C00" w:rsidRPr="00F07DEB">
        <w:rPr>
          <w:rFonts w:ascii="Times New Roman" w:hAnsi="Times New Roman" w:cs="Times New Roman"/>
          <w:sz w:val="24"/>
          <w:szCs w:val="24"/>
        </w:rPr>
        <w:t xml:space="preserve">in manufacturer-recommended intervals and amounts </w:t>
      </w:r>
      <w:r w:rsidR="009E7A5F" w:rsidRPr="00F07DEB">
        <w:rPr>
          <w:rFonts w:ascii="Times New Roman" w:hAnsi="Times New Roman" w:cs="Times New Roman"/>
          <w:sz w:val="24"/>
          <w:szCs w:val="24"/>
        </w:rPr>
        <w:t xml:space="preserve">eight times </w:t>
      </w:r>
      <w:r w:rsidR="00F25E59" w:rsidRPr="00F07DEB">
        <w:rPr>
          <w:rFonts w:ascii="Times New Roman" w:hAnsi="Times New Roman" w:cs="Times New Roman"/>
          <w:sz w:val="24"/>
          <w:szCs w:val="24"/>
        </w:rPr>
        <w:t xml:space="preserve">to every plant </w:t>
      </w:r>
      <w:r w:rsidR="0009083D" w:rsidRPr="00F07DEB">
        <w:rPr>
          <w:rFonts w:ascii="Times New Roman" w:hAnsi="Times New Roman" w:cs="Times New Roman"/>
          <w:sz w:val="24"/>
          <w:szCs w:val="24"/>
        </w:rPr>
        <w:t>during</w:t>
      </w:r>
      <w:r w:rsidR="009E7A5F" w:rsidRPr="00F07DEB">
        <w:rPr>
          <w:rFonts w:ascii="Times New Roman" w:hAnsi="Times New Roman" w:cs="Times New Roman"/>
          <w:sz w:val="24"/>
          <w:szCs w:val="24"/>
        </w:rPr>
        <w:t xml:space="preserve"> the growing season</w:t>
      </w:r>
      <w:r w:rsidR="009A4D77">
        <w:rPr>
          <w:rFonts w:ascii="Times New Roman" w:hAnsi="Times New Roman" w:cs="Times New Roman"/>
          <w:sz w:val="24"/>
          <w:szCs w:val="24"/>
        </w:rPr>
        <w:t xml:space="preserve"> at the recommendation of </w:t>
      </w:r>
      <w:r>
        <w:rPr>
          <w:rFonts w:ascii="Times New Roman" w:hAnsi="Times New Roman" w:cs="Times New Roman"/>
          <w:sz w:val="24"/>
          <w:szCs w:val="24"/>
        </w:rPr>
        <w:t>Cleveland County Extension Office agriculture specialists</w:t>
      </w:r>
      <w:r w:rsidR="009E7A5F" w:rsidRPr="00F07DEB">
        <w:rPr>
          <w:rFonts w:ascii="Times New Roman" w:hAnsi="Times New Roman" w:cs="Times New Roman"/>
          <w:sz w:val="24"/>
          <w:szCs w:val="24"/>
        </w:rPr>
        <w:t xml:space="preserve">. </w:t>
      </w:r>
      <w:r w:rsidR="008B52C3" w:rsidRPr="00F07DEB">
        <w:rPr>
          <w:rFonts w:ascii="Times New Roman" w:hAnsi="Times New Roman" w:cs="Times New Roman"/>
          <w:sz w:val="24"/>
          <w:szCs w:val="24"/>
        </w:rPr>
        <w:t>Despite these regular applications of urea, which is the recommended nitrogen source for fertilizer application with irrigation, the symptoms of nitrogen deficiency – inverted v-shaped yellowing beginning in the lower leaves (</w:t>
      </w:r>
      <w:r w:rsidR="008B52C3" w:rsidRPr="00F07DEB">
        <w:rPr>
          <w:rFonts w:ascii="Times New Roman" w:hAnsi="Times New Roman" w:cs="Times New Roman"/>
          <w:sz w:val="24"/>
          <w:szCs w:val="24"/>
        </w:rPr>
        <w:fldChar w:fldCharType="begin"/>
      </w:r>
      <w:r w:rsidR="008B52C3" w:rsidRPr="00F07DEB">
        <w:rPr>
          <w:rFonts w:ascii="Times New Roman" w:hAnsi="Times New Roman" w:cs="Times New Roman"/>
          <w:sz w:val="24"/>
          <w:szCs w:val="24"/>
        </w:rPr>
        <w:instrText xml:space="preserve"> REF _Ref56204997 \h  \* MERGEFORMAT </w:instrText>
      </w:r>
      <w:r w:rsidR="008B52C3" w:rsidRPr="00F07DEB">
        <w:rPr>
          <w:rFonts w:ascii="Times New Roman" w:hAnsi="Times New Roman" w:cs="Times New Roman"/>
          <w:sz w:val="24"/>
          <w:szCs w:val="24"/>
        </w:rPr>
      </w:r>
      <w:r w:rsidR="008B52C3"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17</w:t>
      </w:r>
      <w:r w:rsidR="008B52C3" w:rsidRPr="00F07DEB">
        <w:rPr>
          <w:rFonts w:ascii="Times New Roman" w:hAnsi="Times New Roman" w:cs="Times New Roman"/>
          <w:sz w:val="24"/>
          <w:szCs w:val="24"/>
        </w:rPr>
        <w:fldChar w:fldCharType="end"/>
      </w:r>
      <w:r w:rsidR="008B52C3" w:rsidRPr="00F07DEB">
        <w:rPr>
          <w:rFonts w:ascii="Times New Roman" w:hAnsi="Times New Roman" w:cs="Times New Roman"/>
          <w:sz w:val="24"/>
          <w:szCs w:val="24"/>
        </w:rPr>
        <w:t xml:space="preserve">), late onset of flowering, and stunted ears – were witnessed in every corn plant </w:t>
      </w:r>
      <w:r w:rsidR="008B52C3" w:rsidRPr="00F07DEB">
        <w:rPr>
          <w:rFonts w:ascii="Times New Roman" w:hAnsi="Times New Roman" w:cs="Times New Roman"/>
          <w:sz w:val="24"/>
          <w:szCs w:val="24"/>
        </w:rPr>
        <w:fldChar w:fldCharType="begin"/>
      </w:r>
      <w:r w:rsidR="008B52C3" w:rsidRPr="00F07DEB">
        <w:rPr>
          <w:rFonts w:ascii="Times New Roman" w:hAnsi="Times New Roman" w:cs="Times New Roman"/>
          <w:sz w:val="24"/>
          <w:szCs w:val="24"/>
        </w:rPr>
        <w:instrText xml:space="preserve"> ADDIN ZOTERO_ITEM CSL_CITATION {"citationID":"ZERjM8iJ","properties":{"formattedCitation":"(Australian OGTR, 2008)","plainCitation":"(Australian OGTR, 2008)","noteIndex":0},"citationItems":[{"id":787,"uris":["http://zotero.org/users/5446453/items/B489QULW"],"uri":["http://zotero.org/users/5446453/items/B489QULW"],"itemData":{"id":787,"type":"report","language":"en","page":"81","publisher":"Australian Government, Department of Health and Ageing, Office of the Gene Technology Regulator","source":"Zotero","title":"The Biology of Zea Mays L. ssp mays (maize or corn)","author":[{"literal":"Australian OGTR"}],"issued":{"date-parts":[["2008",9]]}}}],"schema":"https://github.com/citation-style-language/schema/raw/master/csl-citation.json"} </w:instrText>
      </w:r>
      <w:r w:rsidR="008B52C3"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(Australian OGTR, 2008)</w:t>
      </w:r>
      <w:r w:rsidR="008B52C3" w:rsidRPr="00F07DEB">
        <w:rPr>
          <w:rFonts w:ascii="Times New Roman" w:hAnsi="Times New Roman" w:cs="Times New Roman"/>
          <w:sz w:val="24"/>
          <w:szCs w:val="24"/>
        </w:rPr>
        <w:fldChar w:fldCharType="end"/>
      </w:r>
      <w:r w:rsidR="008B52C3" w:rsidRPr="00F07DEB">
        <w:rPr>
          <w:rFonts w:ascii="Times New Roman" w:hAnsi="Times New Roman" w:cs="Times New Roman"/>
          <w:sz w:val="24"/>
          <w:szCs w:val="24"/>
        </w:rPr>
        <w:t xml:space="preserve">. </w:t>
      </w:r>
    </w:p>
    <w:p w14:paraId="474490F9" w14:textId="77777777" w:rsidR="008B52C3" w:rsidRPr="00F07DEB" w:rsidRDefault="008B52C3" w:rsidP="008B52C3">
      <w:pPr>
        <w:keepNext/>
        <w:spacing w:line="480" w:lineRule="auto"/>
        <w:jc w:val="center"/>
        <w:rPr>
          <w:rFonts w:ascii="Times New Roman" w:hAnsi="Times New Roman" w:cs="Times New Roman"/>
        </w:rPr>
      </w:pPr>
      <w:r w:rsidRPr="00F07DEB">
        <w:rPr>
          <w:rFonts w:ascii="Times New Roman" w:hAnsi="Times New Roman" w:cs="Times New Roman"/>
          <w:noProof/>
          <w:sz w:val="24"/>
          <w:szCs w:val="24"/>
          <w:lang w:eastAsia="en-US"/>
        </w:rPr>
        <w:lastRenderedPageBreak/>
        <w:drawing>
          <wp:inline distT="0" distB="0" distL="0" distR="0" wp14:anchorId="756651C6" wp14:editId="5993F464">
            <wp:extent cx="3656633" cy="2743200"/>
            <wp:effectExtent l="0" t="0" r="1270" b="0"/>
            <wp:docPr id="36" name="Picture 36" descr="C:\Users\harper3663\Documents\School\_CREW\Irrigation Project\Pics\iCloud Photos\CG2c 070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arper3663\Documents\School\_CREW\Irrigation Project\Pics\iCloud Photos\CG2c 07092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56633" cy="2743200"/>
                    </a:xfrm>
                    <a:prstGeom prst="rect">
                      <a:avLst/>
                    </a:prstGeom>
                    <a:noFill/>
                    <a:ln>
                      <a:noFill/>
                    </a:ln>
                  </pic:spPr>
                </pic:pic>
              </a:graphicData>
            </a:graphic>
          </wp:inline>
        </w:drawing>
      </w:r>
    </w:p>
    <w:p w14:paraId="71FAF823" w14:textId="7FADF781" w:rsidR="008B52C3" w:rsidRPr="00F07DEB" w:rsidRDefault="008B52C3" w:rsidP="00204C13">
      <w:pPr>
        <w:pStyle w:val="Caption"/>
      </w:pPr>
      <w:bookmarkStart w:id="79" w:name="_Ref56204997"/>
      <w:bookmarkStart w:id="80" w:name="_Toc58975227"/>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17</w:t>
      </w:r>
      <w:r w:rsidR="00DE3B90" w:rsidRPr="00F07DEB">
        <w:rPr>
          <w:noProof/>
        </w:rPr>
        <w:fldChar w:fldCharType="end"/>
      </w:r>
      <w:bookmarkEnd w:id="79"/>
      <w:r w:rsidRPr="00F07DEB">
        <w:t>: Inverted v-shaped yellowing of lower corn leaf indicative of nitrogen deficiency</w:t>
      </w:r>
      <w:bookmarkEnd w:id="80"/>
    </w:p>
    <w:p w14:paraId="7E47CD4A" w14:textId="77777777" w:rsidR="00F07DEB" w:rsidRPr="00F07DEB" w:rsidRDefault="00F07DEB" w:rsidP="00F07DEB">
      <w:pPr>
        <w:rPr>
          <w:rFonts w:ascii="Times New Roman" w:hAnsi="Times New Roman" w:cs="Times New Roman"/>
        </w:rPr>
      </w:pPr>
    </w:p>
    <w:p w14:paraId="2CA5E2B5" w14:textId="7D37640D" w:rsidR="0009083D" w:rsidRPr="00F07DEB" w:rsidRDefault="000F3DD7" w:rsidP="009E7A5F">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Concentrations from the “guaranteed analysis” of macro- and micronutrients were provided on the</w:t>
      </w:r>
      <w:r w:rsidR="004525F2" w:rsidRPr="00F07DEB">
        <w:rPr>
          <w:rFonts w:ascii="Times New Roman" w:hAnsi="Times New Roman" w:cs="Times New Roman"/>
          <w:sz w:val="24"/>
          <w:szCs w:val="24"/>
        </w:rPr>
        <w:t xml:space="preserve"> fertilizer’s</w:t>
      </w:r>
      <w:r w:rsidRPr="00F07DEB">
        <w:rPr>
          <w:rFonts w:ascii="Times New Roman" w:hAnsi="Times New Roman" w:cs="Times New Roman"/>
          <w:sz w:val="24"/>
          <w:szCs w:val="24"/>
        </w:rPr>
        <w:t xml:space="preserve"> packaging. Concentrations of “reported metals” that must be below regulatory limits were found online </w:t>
      </w:r>
      <w:r w:rsidRPr="00F07DEB">
        <w:rPr>
          <w:rFonts w:ascii="Times New Roman" w:hAnsi="Times New Roman" w:cs="Times New Roman"/>
          <w:sz w:val="24"/>
          <w:szCs w:val="24"/>
        </w:rPr>
        <w:fldChar w:fldCharType="begin"/>
      </w:r>
      <w:r w:rsidRPr="00F07DEB">
        <w:rPr>
          <w:rFonts w:ascii="Times New Roman" w:hAnsi="Times New Roman" w:cs="Times New Roman"/>
          <w:sz w:val="24"/>
          <w:szCs w:val="24"/>
        </w:rPr>
        <w:instrText xml:space="preserve"> ADDIN ZOTERO_ITEM CSL_CITATION {"citationID":"5oA01lig","properties":{"formattedCitation":"(WSDA, 2020)","plainCitation":"(WSDA, 2020)","noteIndex":0},"citationItems":[{"id":813,"uris":["http://zotero.org/users/5446453/items/BCHKKG36"],"uri":["http://zotero.org/users/5446453/items/BCHKKG36"],"itemData":{"id":813,"type":"webpage","container-title":"Washington State Department of Agriculture","title":"Fertilizer Product Lookup","URL":"https://agr.wa.gov/departments/pesticides-and-fertilizers/fertilizers/fertilizer-database/fertilizer-product-lookup","author":[{"literal":"WSDA"}],"accessed":{"date-parts":[["2020",11,9]]},"issued":{"date-parts":[["2020"]]}}}],"schema":"https://github.com/citation-style-language/schema/raw/master/csl-citation.json"} </w:instrText>
      </w:r>
      <w:r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(WSDA, 2020)</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w:t>
      </w:r>
      <w:r w:rsidR="00D45C00" w:rsidRPr="00F07DEB">
        <w:rPr>
          <w:rFonts w:ascii="Times New Roman" w:hAnsi="Times New Roman" w:cs="Times New Roman"/>
          <w:sz w:val="24"/>
          <w:szCs w:val="24"/>
        </w:rPr>
        <w:t>Total mass loadings were estimated from the nutrient and metal concentrations</w:t>
      </w:r>
      <w:r w:rsidR="00BD09E8" w:rsidRPr="00F07DEB">
        <w:rPr>
          <w:rFonts w:ascii="Times New Roman" w:hAnsi="Times New Roman" w:cs="Times New Roman"/>
          <w:sz w:val="24"/>
          <w:szCs w:val="24"/>
        </w:rPr>
        <w:t xml:space="preserve"> in the fertilizer, the manufacturer-recommended dilution rate, and </w:t>
      </w:r>
      <w:r w:rsidR="00D45C00" w:rsidRPr="00F07DEB">
        <w:rPr>
          <w:rFonts w:ascii="Times New Roman" w:hAnsi="Times New Roman" w:cs="Times New Roman"/>
          <w:sz w:val="24"/>
          <w:szCs w:val="24"/>
        </w:rPr>
        <w:t xml:space="preserve">the </w:t>
      </w:r>
      <w:r w:rsidR="00F25E59" w:rsidRPr="00F07DEB">
        <w:rPr>
          <w:rFonts w:ascii="Times New Roman" w:hAnsi="Times New Roman" w:cs="Times New Roman"/>
          <w:sz w:val="24"/>
          <w:szCs w:val="24"/>
        </w:rPr>
        <w:t xml:space="preserve">plant-specific </w:t>
      </w:r>
      <w:r w:rsidR="00D45C00" w:rsidRPr="00F07DEB">
        <w:rPr>
          <w:rFonts w:ascii="Times New Roman" w:hAnsi="Times New Roman" w:cs="Times New Roman"/>
          <w:sz w:val="24"/>
          <w:szCs w:val="24"/>
        </w:rPr>
        <w:t xml:space="preserve">volumes of </w:t>
      </w:r>
      <w:r w:rsidR="00BD09E8" w:rsidRPr="00F07DEB">
        <w:rPr>
          <w:rFonts w:ascii="Times New Roman" w:hAnsi="Times New Roman" w:cs="Times New Roman"/>
          <w:sz w:val="24"/>
          <w:szCs w:val="24"/>
        </w:rPr>
        <w:t>irrigation water that were spiked with fertilizer and applied by hand.</w:t>
      </w:r>
      <w:r w:rsidR="00D45C00" w:rsidRPr="00F07DEB">
        <w:rPr>
          <w:rFonts w:ascii="Times New Roman" w:hAnsi="Times New Roman" w:cs="Times New Roman"/>
          <w:sz w:val="24"/>
          <w:szCs w:val="24"/>
        </w:rPr>
        <w:t xml:space="preserve"> </w:t>
      </w:r>
      <w:r w:rsidR="0009083D" w:rsidRPr="00F07DEB">
        <w:rPr>
          <w:rFonts w:ascii="Times New Roman" w:hAnsi="Times New Roman" w:cs="Times New Roman"/>
          <w:sz w:val="24"/>
          <w:szCs w:val="24"/>
        </w:rPr>
        <w:t xml:space="preserve">The </w:t>
      </w:r>
      <w:r w:rsidRPr="00F07DEB">
        <w:rPr>
          <w:rFonts w:ascii="Times New Roman" w:hAnsi="Times New Roman" w:cs="Times New Roman"/>
          <w:sz w:val="24"/>
          <w:szCs w:val="24"/>
        </w:rPr>
        <w:t>mass loadings</w:t>
      </w:r>
      <w:r w:rsidR="0009083D" w:rsidRPr="00F07DEB">
        <w:rPr>
          <w:rFonts w:ascii="Times New Roman" w:hAnsi="Times New Roman" w:cs="Times New Roman"/>
          <w:sz w:val="24"/>
          <w:szCs w:val="24"/>
        </w:rPr>
        <w:t xml:space="preserve"> of all guaranteed and reported nutrients and metals can be found in </w:t>
      </w:r>
      <w:r w:rsidRPr="00F07DEB">
        <w:rPr>
          <w:rFonts w:ascii="Times New Roman" w:hAnsi="Times New Roman" w:cs="Times New Roman"/>
          <w:sz w:val="24"/>
          <w:szCs w:val="24"/>
        </w:rPr>
        <w:fldChar w:fldCharType="begin"/>
      </w:r>
      <w:r w:rsidRPr="00F07DEB">
        <w:rPr>
          <w:rFonts w:ascii="Times New Roman" w:hAnsi="Times New Roman" w:cs="Times New Roman"/>
          <w:sz w:val="24"/>
          <w:szCs w:val="24"/>
        </w:rPr>
        <w:instrText xml:space="preserve"> REF _Ref55855782 \h  \* MERGEFORMAT </w:instrText>
      </w:r>
      <w:r w:rsidRPr="00F07DEB">
        <w:rPr>
          <w:rFonts w:ascii="Times New Roman" w:hAnsi="Times New Roman" w:cs="Times New Roman"/>
          <w:sz w:val="24"/>
          <w:szCs w:val="24"/>
        </w:rPr>
      </w:r>
      <w:r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Table </w:t>
      </w:r>
      <w:r w:rsidR="00E179CA" w:rsidRPr="00E179CA">
        <w:rPr>
          <w:rFonts w:ascii="Times New Roman" w:hAnsi="Times New Roman" w:cs="Times New Roman"/>
          <w:noProof/>
          <w:sz w:val="24"/>
          <w:szCs w:val="24"/>
        </w:rPr>
        <w:t>13</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w:t>
      </w:r>
      <w:r w:rsidR="00F46905" w:rsidRPr="00F07DEB">
        <w:rPr>
          <w:rFonts w:ascii="Times New Roman" w:hAnsi="Times New Roman" w:cs="Times New Roman"/>
          <w:sz w:val="24"/>
          <w:szCs w:val="24"/>
        </w:rPr>
        <w:t xml:space="preserve"> </w:t>
      </w:r>
      <w:r w:rsidR="006A0705" w:rsidRPr="00565FDD">
        <w:rPr>
          <w:rFonts w:ascii="Times New Roman" w:hAnsi="Times New Roman" w:cs="Times New Roman"/>
          <w:sz w:val="24"/>
          <w:szCs w:val="24"/>
        </w:rPr>
        <w:t>Aqueous nutrient concentrations in irrigation waters spiked with fertilizer could not be measured via available spectrophotometric methods because the fertilizer salts substantially altered water color. Mass</w:t>
      </w:r>
      <w:r w:rsidR="00F25E59" w:rsidRPr="00F07DEB">
        <w:rPr>
          <w:rFonts w:ascii="Times New Roman" w:hAnsi="Times New Roman" w:cs="Times New Roman"/>
          <w:sz w:val="24"/>
          <w:szCs w:val="24"/>
        </w:rPr>
        <w:t xml:space="preserve"> loadings from fertilizer applications were higher than the mass loadings from both irrigation waters for every element included in the </w:t>
      </w:r>
      <w:r w:rsidR="00317A03" w:rsidRPr="00F07DEB">
        <w:rPr>
          <w:rFonts w:ascii="Times New Roman" w:hAnsi="Times New Roman" w:cs="Times New Roman"/>
          <w:sz w:val="24"/>
          <w:szCs w:val="24"/>
        </w:rPr>
        <w:t>“</w:t>
      </w:r>
      <w:r w:rsidR="00F25E59" w:rsidRPr="00F07DEB">
        <w:rPr>
          <w:rFonts w:ascii="Times New Roman" w:hAnsi="Times New Roman" w:cs="Times New Roman"/>
          <w:sz w:val="24"/>
          <w:szCs w:val="24"/>
        </w:rPr>
        <w:t>guaranteed analysis.</w:t>
      </w:r>
      <w:r w:rsidR="00317A03" w:rsidRPr="00F07DEB">
        <w:rPr>
          <w:rFonts w:ascii="Times New Roman" w:hAnsi="Times New Roman" w:cs="Times New Roman"/>
          <w:sz w:val="24"/>
          <w:szCs w:val="24"/>
        </w:rPr>
        <w:t>”</w:t>
      </w:r>
      <w:r w:rsidR="00F25E59" w:rsidRPr="00F07DEB">
        <w:rPr>
          <w:rFonts w:ascii="Times New Roman" w:hAnsi="Times New Roman" w:cs="Times New Roman"/>
          <w:sz w:val="24"/>
          <w:szCs w:val="24"/>
        </w:rPr>
        <w:t xml:space="preserve"> Conversely, mass loadings from fertilizer applications were lower than</w:t>
      </w:r>
      <w:r w:rsidR="00317A03" w:rsidRPr="00F07DEB">
        <w:rPr>
          <w:rFonts w:ascii="Times New Roman" w:hAnsi="Times New Roman" w:cs="Times New Roman"/>
          <w:sz w:val="24"/>
          <w:szCs w:val="24"/>
        </w:rPr>
        <w:t xml:space="preserve"> the mass loadings of every “reported metal” that was present in measurable concentrations from both irrigation waters, namely</w:t>
      </w:r>
      <w:r w:rsidR="000E58B1" w:rsidRPr="00F07DEB">
        <w:rPr>
          <w:rFonts w:ascii="Times New Roman" w:hAnsi="Times New Roman" w:cs="Times New Roman"/>
          <w:sz w:val="24"/>
          <w:szCs w:val="24"/>
        </w:rPr>
        <w:t xml:space="preserve"> Cd, Co, Ni, and </w:t>
      </w:r>
      <w:proofErr w:type="spellStart"/>
      <w:r w:rsidR="000E58B1" w:rsidRPr="00F07DEB">
        <w:rPr>
          <w:rFonts w:ascii="Times New Roman" w:hAnsi="Times New Roman" w:cs="Times New Roman"/>
          <w:sz w:val="24"/>
          <w:szCs w:val="24"/>
        </w:rPr>
        <w:t>Pb</w:t>
      </w:r>
      <w:proofErr w:type="spellEnd"/>
      <w:r w:rsidR="000E58B1" w:rsidRPr="00F07DEB">
        <w:rPr>
          <w:rFonts w:ascii="Times New Roman" w:hAnsi="Times New Roman" w:cs="Times New Roman"/>
          <w:sz w:val="24"/>
          <w:szCs w:val="24"/>
        </w:rPr>
        <w:t>.</w:t>
      </w:r>
    </w:p>
    <w:p w14:paraId="60F071EE" w14:textId="12953F5E" w:rsidR="000F3DD7" w:rsidRPr="00F07DEB" w:rsidRDefault="000F3DD7" w:rsidP="00204C13">
      <w:pPr>
        <w:pStyle w:val="Caption"/>
      </w:pPr>
      <w:bookmarkStart w:id="81" w:name="_Ref55855782"/>
      <w:bookmarkStart w:id="82" w:name="_Toc58975199"/>
      <w:r w:rsidRPr="00F07DEB">
        <w:lastRenderedPageBreak/>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13</w:t>
      </w:r>
      <w:r w:rsidR="00DE3B90" w:rsidRPr="00F07DEB">
        <w:rPr>
          <w:noProof/>
        </w:rPr>
        <w:fldChar w:fldCharType="end"/>
      </w:r>
      <w:bookmarkEnd w:id="81"/>
      <w:r w:rsidR="0082596C">
        <w:t>: Miracle-</w:t>
      </w:r>
      <w:proofErr w:type="spellStart"/>
      <w:r w:rsidRPr="00F07DEB">
        <w:t>Gro</w:t>
      </w:r>
      <w:proofErr w:type="spellEnd"/>
      <w:r w:rsidRPr="00F07DEB">
        <w:t xml:space="preserve"> Water Soluble All Purpose Plant Food 24-8-16 estimated mass loadings </w:t>
      </w:r>
      <w:r w:rsidR="0043467B">
        <w:t>per pot</w:t>
      </w:r>
      <w:bookmarkEnd w:id="82"/>
    </w:p>
    <w:tbl>
      <w:tblPr>
        <w:tblW w:w="4615" w:type="pct"/>
        <w:tblBorders>
          <w:top w:val="single" w:sz="8" w:space="0" w:color="auto"/>
          <w:bottom w:val="single" w:sz="8" w:space="0" w:color="auto"/>
        </w:tblBorders>
        <w:tblLook w:val="04A0" w:firstRow="1" w:lastRow="0" w:firstColumn="1" w:lastColumn="0" w:noHBand="0" w:noVBand="1"/>
      </w:tblPr>
      <w:tblGrid>
        <w:gridCol w:w="1459"/>
        <w:gridCol w:w="1458"/>
        <w:gridCol w:w="1933"/>
        <w:gridCol w:w="1933"/>
        <w:gridCol w:w="1856"/>
      </w:tblGrid>
      <w:tr w:rsidR="00D27F70" w:rsidRPr="00F07DEB" w14:paraId="25C186D1" w14:textId="77777777" w:rsidTr="00F07DEB">
        <w:trPr>
          <w:trHeight w:val="288"/>
        </w:trPr>
        <w:tc>
          <w:tcPr>
            <w:tcW w:w="844" w:type="pct"/>
            <w:tcBorders>
              <w:top w:val="single" w:sz="8" w:space="0" w:color="auto"/>
              <w:bottom w:val="single" w:sz="8" w:space="0" w:color="auto"/>
            </w:tcBorders>
          </w:tcPr>
          <w:p w14:paraId="58210941" w14:textId="77777777" w:rsidR="00D27F70" w:rsidRPr="00F07DEB" w:rsidRDefault="00D27F70" w:rsidP="00F07DEB">
            <w:pPr>
              <w:spacing w:after="0"/>
              <w:rPr>
                <w:rFonts w:ascii="Times New Roman" w:hAnsi="Times New Roman" w:cs="Times New Roman"/>
                <w:sz w:val="20"/>
                <w:szCs w:val="20"/>
              </w:rPr>
            </w:pPr>
          </w:p>
        </w:tc>
        <w:tc>
          <w:tcPr>
            <w:tcW w:w="844" w:type="pct"/>
            <w:tcBorders>
              <w:top w:val="single" w:sz="8" w:space="0" w:color="auto"/>
              <w:bottom w:val="single" w:sz="8" w:space="0" w:color="auto"/>
            </w:tcBorders>
            <w:noWrap/>
            <w:vAlign w:val="center"/>
            <w:hideMark/>
          </w:tcPr>
          <w:p w14:paraId="6C9A1124" w14:textId="0F84F794" w:rsidR="00D27F70" w:rsidRPr="00F07DEB" w:rsidRDefault="00884B71" w:rsidP="00F07DEB">
            <w:pPr>
              <w:spacing w:after="0"/>
              <w:rPr>
                <w:rFonts w:ascii="Times New Roman" w:hAnsi="Times New Roman" w:cs="Times New Roman"/>
                <w:sz w:val="20"/>
                <w:szCs w:val="20"/>
              </w:rPr>
            </w:pPr>
            <w:r w:rsidRPr="00F07DEB">
              <w:rPr>
                <w:rFonts w:ascii="Times New Roman" w:hAnsi="Times New Roman" w:cs="Times New Roman"/>
                <w:sz w:val="20"/>
                <w:szCs w:val="20"/>
              </w:rPr>
              <w:t>Parameter</w:t>
            </w:r>
          </w:p>
        </w:tc>
        <w:tc>
          <w:tcPr>
            <w:tcW w:w="1119" w:type="pct"/>
            <w:tcBorders>
              <w:top w:val="single" w:sz="8" w:space="0" w:color="auto"/>
              <w:bottom w:val="single" w:sz="8" w:space="0" w:color="auto"/>
            </w:tcBorders>
            <w:noWrap/>
            <w:vAlign w:val="center"/>
            <w:hideMark/>
          </w:tcPr>
          <w:p w14:paraId="6D9088B0" w14:textId="32E91B7B" w:rsidR="00D27F70" w:rsidRPr="00F07DEB" w:rsidRDefault="00B43A1D" w:rsidP="00F07DEB">
            <w:pPr>
              <w:spacing w:after="0"/>
              <w:rPr>
                <w:rFonts w:ascii="Times New Roman" w:hAnsi="Times New Roman" w:cs="Times New Roman"/>
                <w:sz w:val="20"/>
                <w:szCs w:val="20"/>
              </w:rPr>
            </w:pPr>
            <w:r w:rsidRPr="00F07DEB">
              <w:rPr>
                <w:rFonts w:ascii="Times New Roman" w:hAnsi="Times New Roman" w:cs="Times New Roman"/>
                <w:sz w:val="20"/>
                <w:szCs w:val="20"/>
              </w:rPr>
              <w:t>Corn</w:t>
            </w:r>
            <w:r w:rsidR="0043467B">
              <w:rPr>
                <w:rFonts w:ascii="Times New Roman" w:hAnsi="Times New Roman" w:cs="Times New Roman"/>
                <w:sz w:val="20"/>
                <w:szCs w:val="20"/>
              </w:rPr>
              <w:t xml:space="preserve"> (mg)</w:t>
            </w:r>
          </w:p>
        </w:tc>
        <w:tc>
          <w:tcPr>
            <w:tcW w:w="1119" w:type="pct"/>
            <w:tcBorders>
              <w:top w:val="single" w:sz="8" w:space="0" w:color="auto"/>
              <w:bottom w:val="single" w:sz="8" w:space="0" w:color="auto"/>
            </w:tcBorders>
            <w:noWrap/>
            <w:vAlign w:val="center"/>
            <w:hideMark/>
          </w:tcPr>
          <w:p w14:paraId="5CD8B675" w14:textId="33D00DA2" w:rsidR="00D27F70" w:rsidRPr="00F07DEB" w:rsidRDefault="00B43A1D" w:rsidP="00F07DEB">
            <w:pPr>
              <w:spacing w:after="0"/>
              <w:rPr>
                <w:rFonts w:ascii="Times New Roman" w:hAnsi="Times New Roman" w:cs="Times New Roman"/>
                <w:sz w:val="20"/>
                <w:szCs w:val="20"/>
              </w:rPr>
            </w:pPr>
            <w:r w:rsidRPr="00F07DEB">
              <w:rPr>
                <w:rFonts w:ascii="Times New Roman" w:hAnsi="Times New Roman" w:cs="Times New Roman"/>
                <w:sz w:val="20"/>
                <w:szCs w:val="20"/>
              </w:rPr>
              <w:t>Sorghum</w:t>
            </w:r>
            <w:r w:rsidR="0043467B">
              <w:rPr>
                <w:rFonts w:ascii="Times New Roman" w:hAnsi="Times New Roman" w:cs="Times New Roman"/>
                <w:sz w:val="20"/>
                <w:szCs w:val="20"/>
              </w:rPr>
              <w:t xml:space="preserve"> (mg)</w:t>
            </w:r>
          </w:p>
        </w:tc>
        <w:tc>
          <w:tcPr>
            <w:tcW w:w="1074" w:type="pct"/>
            <w:tcBorders>
              <w:top w:val="single" w:sz="8" w:space="0" w:color="auto"/>
              <w:bottom w:val="single" w:sz="8" w:space="0" w:color="auto"/>
            </w:tcBorders>
            <w:noWrap/>
            <w:vAlign w:val="center"/>
            <w:hideMark/>
          </w:tcPr>
          <w:p w14:paraId="00DC7D5A" w14:textId="4FA7D26C" w:rsidR="00D27F70" w:rsidRPr="00F07DEB" w:rsidRDefault="00B43A1D" w:rsidP="00F07DEB">
            <w:pPr>
              <w:spacing w:after="0"/>
              <w:rPr>
                <w:rFonts w:ascii="Times New Roman" w:hAnsi="Times New Roman" w:cs="Times New Roman"/>
                <w:sz w:val="20"/>
                <w:szCs w:val="20"/>
              </w:rPr>
            </w:pPr>
            <w:r w:rsidRPr="00F07DEB">
              <w:rPr>
                <w:rFonts w:ascii="Times New Roman" w:hAnsi="Times New Roman" w:cs="Times New Roman"/>
                <w:sz w:val="20"/>
                <w:szCs w:val="20"/>
              </w:rPr>
              <w:t>Bermuda grass</w:t>
            </w:r>
            <w:r w:rsidR="0043467B">
              <w:rPr>
                <w:rFonts w:ascii="Times New Roman" w:hAnsi="Times New Roman" w:cs="Times New Roman"/>
                <w:sz w:val="20"/>
                <w:szCs w:val="20"/>
              </w:rPr>
              <w:t xml:space="preserve"> (mg)</w:t>
            </w:r>
          </w:p>
        </w:tc>
      </w:tr>
      <w:tr w:rsidR="00BB3901" w:rsidRPr="00F07DEB" w14:paraId="365F21D3" w14:textId="77777777" w:rsidTr="00F07DEB">
        <w:trPr>
          <w:trHeight w:val="288"/>
        </w:trPr>
        <w:tc>
          <w:tcPr>
            <w:tcW w:w="844" w:type="pct"/>
            <w:vMerge w:val="restart"/>
            <w:tcBorders>
              <w:top w:val="single" w:sz="8" w:space="0" w:color="auto"/>
            </w:tcBorders>
            <w:vAlign w:val="center"/>
          </w:tcPr>
          <w:p w14:paraId="1CF855C9" w14:textId="7895D239"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Guaranteed Analysis</w:t>
            </w:r>
          </w:p>
        </w:tc>
        <w:tc>
          <w:tcPr>
            <w:tcW w:w="844" w:type="pct"/>
            <w:tcBorders>
              <w:top w:val="single" w:sz="8" w:space="0" w:color="auto"/>
            </w:tcBorders>
            <w:noWrap/>
            <w:vAlign w:val="center"/>
            <w:hideMark/>
          </w:tcPr>
          <w:p w14:paraId="0C5DBE58" w14:textId="066CF4CF"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N</w:t>
            </w:r>
          </w:p>
        </w:tc>
        <w:tc>
          <w:tcPr>
            <w:tcW w:w="1119" w:type="pct"/>
            <w:tcBorders>
              <w:top w:val="single" w:sz="8" w:space="0" w:color="auto"/>
            </w:tcBorders>
            <w:noWrap/>
            <w:vAlign w:val="center"/>
            <w:hideMark/>
          </w:tcPr>
          <w:p w14:paraId="035C00B7" w14:textId="77777777"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1638</w:t>
            </w:r>
          </w:p>
        </w:tc>
        <w:tc>
          <w:tcPr>
            <w:tcW w:w="1119" w:type="pct"/>
            <w:tcBorders>
              <w:top w:val="single" w:sz="8" w:space="0" w:color="auto"/>
            </w:tcBorders>
            <w:noWrap/>
            <w:vAlign w:val="center"/>
            <w:hideMark/>
          </w:tcPr>
          <w:p w14:paraId="7B9413ED" w14:textId="77777777"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1600</w:t>
            </w:r>
          </w:p>
        </w:tc>
        <w:tc>
          <w:tcPr>
            <w:tcW w:w="1074" w:type="pct"/>
            <w:tcBorders>
              <w:top w:val="single" w:sz="8" w:space="0" w:color="auto"/>
            </w:tcBorders>
            <w:noWrap/>
            <w:vAlign w:val="center"/>
            <w:hideMark/>
          </w:tcPr>
          <w:p w14:paraId="7ACD706E" w14:textId="77777777"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861.0</w:t>
            </w:r>
          </w:p>
        </w:tc>
      </w:tr>
      <w:tr w:rsidR="00BB3901" w:rsidRPr="00F07DEB" w14:paraId="45F3762B" w14:textId="77777777" w:rsidTr="00F07DEB">
        <w:trPr>
          <w:trHeight w:val="288"/>
        </w:trPr>
        <w:tc>
          <w:tcPr>
            <w:tcW w:w="844" w:type="pct"/>
            <w:vMerge/>
          </w:tcPr>
          <w:p w14:paraId="5605FBC4" w14:textId="77777777" w:rsidR="00BB3901" w:rsidRPr="00F07DEB" w:rsidRDefault="00BB3901" w:rsidP="00F07DEB">
            <w:pPr>
              <w:spacing w:after="0"/>
              <w:rPr>
                <w:rFonts w:ascii="Times New Roman" w:hAnsi="Times New Roman" w:cs="Times New Roman"/>
                <w:sz w:val="20"/>
                <w:szCs w:val="20"/>
              </w:rPr>
            </w:pPr>
          </w:p>
        </w:tc>
        <w:tc>
          <w:tcPr>
            <w:tcW w:w="844" w:type="pct"/>
            <w:noWrap/>
            <w:vAlign w:val="center"/>
            <w:hideMark/>
          </w:tcPr>
          <w:p w14:paraId="7AA16AD9" w14:textId="7DFFB66A"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P</w:t>
            </w:r>
          </w:p>
        </w:tc>
        <w:tc>
          <w:tcPr>
            <w:tcW w:w="1119" w:type="pct"/>
            <w:noWrap/>
            <w:vAlign w:val="center"/>
            <w:hideMark/>
          </w:tcPr>
          <w:p w14:paraId="1D8D06D0" w14:textId="77777777"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238.2</w:t>
            </w:r>
          </w:p>
        </w:tc>
        <w:tc>
          <w:tcPr>
            <w:tcW w:w="1119" w:type="pct"/>
            <w:noWrap/>
            <w:vAlign w:val="center"/>
            <w:hideMark/>
          </w:tcPr>
          <w:p w14:paraId="464B1654" w14:textId="77777777"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232.7</w:t>
            </w:r>
          </w:p>
        </w:tc>
        <w:tc>
          <w:tcPr>
            <w:tcW w:w="1074" w:type="pct"/>
            <w:noWrap/>
            <w:vAlign w:val="center"/>
            <w:hideMark/>
          </w:tcPr>
          <w:p w14:paraId="49A47A45" w14:textId="77777777"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125.2</w:t>
            </w:r>
          </w:p>
        </w:tc>
      </w:tr>
      <w:tr w:rsidR="00D27F70" w:rsidRPr="00F07DEB" w14:paraId="41B62EAF" w14:textId="77777777" w:rsidTr="00F07DEB">
        <w:trPr>
          <w:trHeight w:val="288"/>
        </w:trPr>
        <w:tc>
          <w:tcPr>
            <w:tcW w:w="844" w:type="pct"/>
          </w:tcPr>
          <w:p w14:paraId="76B70CDB" w14:textId="77777777" w:rsidR="00D27F70" w:rsidRPr="00F07DEB" w:rsidRDefault="00D27F70" w:rsidP="00F07DEB">
            <w:pPr>
              <w:spacing w:after="0"/>
              <w:rPr>
                <w:rFonts w:ascii="Times New Roman" w:hAnsi="Times New Roman" w:cs="Times New Roman"/>
                <w:sz w:val="20"/>
                <w:szCs w:val="20"/>
              </w:rPr>
            </w:pPr>
          </w:p>
        </w:tc>
        <w:tc>
          <w:tcPr>
            <w:tcW w:w="844" w:type="pct"/>
            <w:noWrap/>
            <w:vAlign w:val="center"/>
            <w:hideMark/>
          </w:tcPr>
          <w:p w14:paraId="280925F1" w14:textId="3E986066"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K</w:t>
            </w:r>
          </w:p>
        </w:tc>
        <w:tc>
          <w:tcPr>
            <w:tcW w:w="1119" w:type="pct"/>
            <w:noWrap/>
            <w:vAlign w:val="center"/>
            <w:hideMark/>
          </w:tcPr>
          <w:p w14:paraId="02014B9F"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906.4</w:t>
            </w:r>
          </w:p>
        </w:tc>
        <w:tc>
          <w:tcPr>
            <w:tcW w:w="1119" w:type="pct"/>
            <w:noWrap/>
            <w:vAlign w:val="center"/>
            <w:hideMark/>
          </w:tcPr>
          <w:p w14:paraId="06BEC7AA"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885.3</w:t>
            </w:r>
          </w:p>
        </w:tc>
        <w:tc>
          <w:tcPr>
            <w:tcW w:w="1074" w:type="pct"/>
            <w:noWrap/>
            <w:vAlign w:val="center"/>
            <w:hideMark/>
          </w:tcPr>
          <w:p w14:paraId="5FFE8160"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476.4</w:t>
            </w:r>
          </w:p>
        </w:tc>
      </w:tr>
      <w:tr w:rsidR="00D27F70" w:rsidRPr="00F07DEB" w14:paraId="43863C19" w14:textId="77777777" w:rsidTr="00F07DEB">
        <w:trPr>
          <w:trHeight w:val="288"/>
        </w:trPr>
        <w:tc>
          <w:tcPr>
            <w:tcW w:w="844" w:type="pct"/>
          </w:tcPr>
          <w:p w14:paraId="1518E736" w14:textId="77777777" w:rsidR="00D27F70" w:rsidRPr="00F07DEB" w:rsidRDefault="00D27F70" w:rsidP="00F07DEB">
            <w:pPr>
              <w:spacing w:after="0"/>
              <w:rPr>
                <w:rFonts w:ascii="Times New Roman" w:hAnsi="Times New Roman" w:cs="Times New Roman"/>
                <w:sz w:val="20"/>
                <w:szCs w:val="20"/>
              </w:rPr>
            </w:pPr>
          </w:p>
        </w:tc>
        <w:tc>
          <w:tcPr>
            <w:tcW w:w="844" w:type="pct"/>
            <w:noWrap/>
            <w:vAlign w:val="center"/>
            <w:hideMark/>
          </w:tcPr>
          <w:p w14:paraId="0529D2EF" w14:textId="67752BA9"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B</w:t>
            </w:r>
          </w:p>
        </w:tc>
        <w:tc>
          <w:tcPr>
            <w:tcW w:w="1119" w:type="pct"/>
            <w:noWrap/>
            <w:vAlign w:val="center"/>
            <w:hideMark/>
          </w:tcPr>
          <w:p w14:paraId="308DC8C2"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1.365</w:t>
            </w:r>
          </w:p>
        </w:tc>
        <w:tc>
          <w:tcPr>
            <w:tcW w:w="1119" w:type="pct"/>
            <w:noWrap/>
            <w:vAlign w:val="center"/>
            <w:hideMark/>
          </w:tcPr>
          <w:p w14:paraId="4A5B7B37"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1.333</w:t>
            </w:r>
          </w:p>
        </w:tc>
        <w:tc>
          <w:tcPr>
            <w:tcW w:w="1074" w:type="pct"/>
            <w:noWrap/>
            <w:vAlign w:val="center"/>
            <w:hideMark/>
          </w:tcPr>
          <w:p w14:paraId="3292C46C"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0.717</w:t>
            </w:r>
          </w:p>
        </w:tc>
      </w:tr>
      <w:tr w:rsidR="00D27F70" w:rsidRPr="00F07DEB" w14:paraId="1E350DD0" w14:textId="77777777" w:rsidTr="00F07DEB">
        <w:trPr>
          <w:trHeight w:val="288"/>
        </w:trPr>
        <w:tc>
          <w:tcPr>
            <w:tcW w:w="844" w:type="pct"/>
          </w:tcPr>
          <w:p w14:paraId="54DE1C9F" w14:textId="77777777" w:rsidR="00D27F70" w:rsidRPr="00F07DEB" w:rsidRDefault="00D27F70" w:rsidP="00F07DEB">
            <w:pPr>
              <w:spacing w:after="0"/>
              <w:rPr>
                <w:rFonts w:ascii="Times New Roman" w:hAnsi="Times New Roman" w:cs="Times New Roman"/>
                <w:sz w:val="20"/>
                <w:szCs w:val="20"/>
              </w:rPr>
            </w:pPr>
          </w:p>
        </w:tc>
        <w:tc>
          <w:tcPr>
            <w:tcW w:w="844" w:type="pct"/>
            <w:noWrap/>
            <w:vAlign w:val="center"/>
            <w:hideMark/>
          </w:tcPr>
          <w:p w14:paraId="0FBC7542" w14:textId="776ABCE9"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Cu</w:t>
            </w:r>
          </w:p>
        </w:tc>
        <w:tc>
          <w:tcPr>
            <w:tcW w:w="1119" w:type="pct"/>
            <w:noWrap/>
            <w:vAlign w:val="center"/>
            <w:hideMark/>
          </w:tcPr>
          <w:p w14:paraId="4BEB2736"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4.778</w:t>
            </w:r>
          </w:p>
        </w:tc>
        <w:tc>
          <w:tcPr>
            <w:tcW w:w="1119" w:type="pct"/>
            <w:noWrap/>
            <w:vAlign w:val="center"/>
            <w:hideMark/>
          </w:tcPr>
          <w:p w14:paraId="174C3257"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4.667</w:t>
            </w:r>
          </w:p>
        </w:tc>
        <w:tc>
          <w:tcPr>
            <w:tcW w:w="1074" w:type="pct"/>
            <w:noWrap/>
            <w:vAlign w:val="center"/>
            <w:hideMark/>
          </w:tcPr>
          <w:p w14:paraId="6133E069"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2.511</w:t>
            </w:r>
          </w:p>
        </w:tc>
      </w:tr>
      <w:tr w:rsidR="00D27F70" w:rsidRPr="00F07DEB" w14:paraId="439E4597" w14:textId="77777777" w:rsidTr="00F07DEB">
        <w:trPr>
          <w:trHeight w:val="288"/>
        </w:trPr>
        <w:tc>
          <w:tcPr>
            <w:tcW w:w="844" w:type="pct"/>
          </w:tcPr>
          <w:p w14:paraId="6B70EC64" w14:textId="77777777" w:rsidR="00D27F70" w:rsidRPr="00F07DEB" w:rsidRDefault="00D27F70" w:rsidP="00F07DEB">
            <w:pPr>
              <w:spacing w:after="0"/>
              <w:rPr>
                <w:rFonts w:ascii="Times New Roman" w:hAnsi="Times New Roman" w:cs="Times New Roman"/>
                <w:sz w:val="20"/>
                <w:szCs w:val="20"/>
              </w:rPr>
            </w:pPr>
          </w:p>
        </w:tc>
        <w:tc>
          <w:tcPr>
            <w:tcW w:w="844" w:type="pct"/>
            <w:noWrap/>
            <w:vAlign w:val="center"/>
            <w:hideMark/>
          </w:tcPr>
          <w:p w14:paraId="745FAD17" w14:textId="67FCE1D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Fe</w:t>
            </w:r>
          </w:p>
        </w:tc>
        <w:tc>
          <w:tcPr>
            <w:tcW w:w="1119" w:type="pct"/>
            <w:noWrap/>
            <w:vAlign w:val="center"/>
            <w:hideMark/>
          </w:tcPr>
          <w:p w14:paraId="158044F8"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10.238</w:t>
            </w:r>
          </w:p>
        </w:tc>
        <w:tc>
          <w:tcPr>
            <w:tcW w:w="1119" w:type="pct"/>
            <w:noWrap/>
            <w:vAlign w:val="center"/>
            <w:hideMark/>
          </w:tcPr>
          <w:p w14:paraId="74E28A13"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10.000</w:t>
            </w:r>
          </w:p>
        </w:tc>
        <w:tc>
          <w:tcPr>
            <w:tcW w:w="1074" w:type="pct"/>
            <w:noWrap/>
            <w:vAlign w:val="center"/>
            <w:hideMark/>
          </w:tcPr>
          <w:p w14:paraId="31D7ECA5"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5.381</w:t>
            </w:r>
          </w:p>
        </w:tc>
      </w:tr>
      <w:tr w:rsidR="00D27F70" w:rsidRPr="00F07DEB" w14:paraId="451F25E3" w14:textId="77777777" w:rsidTr="00F07DEB">
        <w:trPr>
          <w:trHeight w:val="288"/>
        </w:trPr>
        <w:tc>
          <w:tcPr>
            <w:tcW w:w="844" w:type="pct"/>
          </w:tcPr>
          <w:p w14:paraId="64D641FC" w14:textId="77777777" w:rsidR="00D27F70" w:rsidRPr="00F07DEB" w:rsidRDefault="00D27F70" w:rsidP="00F07DEB">
            <w:pPr>
              <w:spacing w:after="0"/>
              <w:rPr>
                <w:rFonts w:ascii="Times New Roman" w:hAnsi="Times New Roman" w:cs="Times New Roman"/>
                <w:sz w:val="20"/>
                <w:szCs w:val="20"/>
              </w:rPr>
            </w:pPr>
          </w:p>
        </w:tc>
        <w:tc>
          <w:tcPr>
            <w:tcW w:w="844" w:type="pct"/>
            <w:noWrap/>
            <w:vAlign w:val="center"/>
            <w:hideMark/>
          </w:tcPr>
          <w:p w14:paraId="29E08EEB" w14:textId="662998C2" w:rsidR="00D27F70" w:rsidRPr="00F07DEB" w:rsidRDefault="00D27F70" w:rsidP="00F07DEB">
            <w:pPr>
              <w:spacing w:after="0"/>
              <w:rPr>
                <w:rFonts w:ascii="Times New Roman" w:hAnsi="Times New Roman" w:cs="Times New Roman"/>
                <w:sz w:val="20"/>
                <w:szCs w:val="20"/>
              </w:rPr>
            </w:pPr>
            <w:proofErr w:type="spellStart"/>
            <w:r w:rsidRPr="00F07DEB">
              <w:rPr>
                <w:rFonts w:ascii="Times New Roman" w:hAnsi="Times New Roman" w:cs="Times New Roman"/>
                <w:sz w:val="20"/>
                <w:szCs w:val="20"/>
              </w:rPr>
              <w:t>Mn</w:t>
            </w:r>
            <w:proofErr w:type="spellEnd"/>
          </w:p>
        </w:tc>
        <w:tc>
          <w:tcPr>
            <w:tcW w:w="1119" w:type="pct"/>
            <w:noWrap/>
            <w:vAlign w:val="center"/>
            <w:hideMark/>
          </w:tcPr>
          <w:p w14:paraId="26D797C7"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3.413</w:t>
            </w:r>
          </w:p>
        </w:tc>
        <w:tc>
          <w:tcPr>
            <w:tcW w:w="1119" w:type="pct"/>
            <w:noWrap/>
            <w:vAlign w:val="center"/>
            <w:hideMark/>
          </w:tcPr>
          <w:p w14:paraId="37E66EEE"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3.333</w:t>
            </w:r>
          </w:p>
        </w:tc>
        <w:tc>
          <w:tcPr>
            <w:tcW w:w="1074" w:type="pct"/>
            <w:noWrap/>
            <w:vAlign w:val="center"/>
            <w:hideMark/>
          </w:tcPr>
          <w:p w14:paraId="1E3A7ECC"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1.794</w:t>
            </w:r>
          </w:p>
        </w:tc>
      </w:tr>
      <w:tr w:rsidR="00D27F70" w:rsidRPr="00F07DEB" w14:paraId="61C59308" w14:textId="77777777" w:rsidTr="00F07DEB">
        <w:trPr>
          <w:trHeight w:val="288"/>
        </w:trPr>
        <w:tc>
          <w:tcPr>
            <w:tcW w:w="844" w:type="pct"/>
            <w:tcBorders>
              <w:bottom w:val="nil"/>
            </w:tcBorders>
          </w:tcPr>
          <w:p w14:paraId="5D21AA2C" w14:textId="77777777" w:rsidR="00D27F70" w:rsidRPr="00F07DEB" w:rsidRDefault="00D27F70" w:rsidP="00F07DEB">
            <w:pPr>
              <w:spacing w:after="0"/>
              <w:rPr>
                <w:rFonts w:ascii="Times New Roman" w:hAnsi="Times New Roman" w:cs="Times New Roman"/>
                <w:sz w:val="20"/>
                <w:szCs w:val="20"/>
              </w:rPr>
            </w:pPr>
          </w:p>
        </w:tc>
        <w:tc>
          <w:tcPr>
            <w:tcW w:w="844" w:type="pct"/>
            <w:tcBorders>
              <w:bottom w:val="nil"/>
            </w:tcBorders>
            <w:noWrap/>
            <w:vAlign w:val="center"/>
            <w:hideMark/>
          </w:tcPr>
          <w:p w14:paraId="56FD3DC5" w14:textId="0AAE55E3"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Mo</w:t>
            </w:r>
          </w:p>
        </w:tc>
        <w:tc>
          <w:tcPr>
            <w:tcW w:w="1119" w:type="pct"/>
            <w:tcBorders>
              <w:bottom w:val="nil"/>
            </w:tcBorders>
            <w:noWrap/>
            <w:vAlign w:val="center"/>
            <w:hideMark/>
          </w:tcPr>
          <w:p w14:paraId="4C379345"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0.034</w:t>
            </w:r>
          </w:p>
        </w:tc>
        <w:tc>
          <w:tcPr>
            <w:tcW w:w="1119" w:type="pct"/>
            <w:tcBorders>
              <w:bottom w:val="nil"/>
            </w:tcBorders>
            <w:noWrap/>
            <w:vAlign w:val="center"/>
            <w:hideMark/>
          </w:tcPr>
          <w:p w14:paraId="0B199CB4"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0.033</w:t>
            </w:r>
          </w:p>
        </w:tc>
        <w:tc>
          <w:tcPr>
            <w:tcW w:w="1074" w:type="pct"/>
            <w:tcBorders>
              <w:bottom w:val="nil"/>
            </w:tcBorders>
            <w:noWrap/>
            <w:vAlign w:val="center"/>
            <w:hideMark/>
          </w:tcPr>
          <w:p w14:paraId="709D68AC"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0.018</w:t>
            </w:r>
          </w:p>
        </w:tc>
      </w:tr>
      <w:tr w:rsidR="00D27F70" w:rsidRPr="00F07DEB" w14:paraId="0F764DE3" w14:textId="77777777" w:rsidTr="00F07DEB">
        <w:trPr>
          <w:trHeight w:val="288"/>
        </w:trPr>
        <w:tc>
          <w:tcPr>
            <w:tcW w:w="844" w:type="pct"/>
            <w:tcBorders>
              <w:top w:val="nil"/>
              <w:bottom w:val="single" w:sz="8" w:space="0" w:color="auto"/>
            </w:tcBorders>
          </w:tcPr>
          <w:p w14:paraId="2731B1F3" w14:textId="77777777" w:rsidR="00D27F70" w:rsidRPr="00F07DEB" w:rsidRDefault="00D27F70" w:rsidP="00F07DEB">
            <w:pPr>
              <w:spacing w:after="0"/>
              <w:rPr>
                <w:rFonts w:ascii="Times New Roman" w:hAnsi="Times New Roman" w:cs="Times New Roman"/>
                <w:sz w:val="20"/>
                <w:szCs w:val="20"/>
              </w:rPr>
            </w:pPr>
          </w:p>
        </w:tc>
        <w:tc>
          <w:tcPr>
            <w:tcW w:w="844" w:type="pct"/>
            <w:tcBorders>
              <w:top w:val="nil"/>
              <w:bottom w:val="single" w:sz="8" w:space="0" w:color="auto"/>
            </w:tcBorders>
            <w:noWrap/>
            <w:vAlign w:val="center"/>
            <w:hideMark/>
          </w:tcPr>
          <w:p w14:paraId="73A6802E" w14:textId="6F8A497A"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Zn</w:t>
            </w:r>
          </w:p>
        </w:tc>
        <w:tc>
          <w:tcPr>
            <w:tcW w:w="1119" w:type="pct"/>
            <w:tcBorders>
              <w:top w:val="nil"/>
              <w:bottom w:val="single" w:sz="8" w:space="0" w:color="auto"/>
            </w:tcBorders>
            <w:noWrap/>
            <w:vAlign w:val="center"/>
            <w:hideMark/>
          </w:tcPr>
          <w:p w14:paraId="55906297"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4.095</w:t>
            </w:r>
          </w:p>
        </w:tc>
        <w:tc>
          <w:tcPr>
            <w:tcW w:w="1119" w:type="pct"/>
            <w:tcBorders>
              <w:top w:val="nil"/>
              <w:bottom w:val="single" w:sz="8" w:space="0" w:color="auto"/>
            </w:tcBorders>
            <w:noWrap/>
            <w:vAlign w:val="center"/>
            <w:hideMark/>
          </w:tcPr>
          <w:p w14:paraId="1F231AB1"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4.000</w:t>
            </w:r>
          </w:p>
        </w:tc>
        <w:tc>
          <w:tcPr>
            <w:tcW w:w="1074" w:type="pct"/>
            <w:tcBorders>
              <w:top w:val="nil"/>
              <w:bottom w:val="single" w:sz="8" w:space="0" w:color="auto"/>
            </w:tcBorders>
            <w:noWrap/>
            <w:vAlign w:val="center"/>
            <w:hideMark/>
          </w:tcPr>
          <w:p w14:paraId="20C3B7FE"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2.152</w:t>
            </w:r>
          </w:p>
        </w:tc>
      </w:tr>
      <w:tr w:rsidR="00BB3901" w:rsidRPr="00F07DEB" w14:paraId="0B19D7DC" w14:textId="77777777" w:rsidTr="00F07DEB">
        <w:trPr>
          <w:trHeight w:val="288"/>
        </w:trPr>
        <w:tc>
          <w:tcPr>
            <w:tcW w:w="844" w:type="pct"/>
            <w:vMerge w:val="restart"/>
            <w:tcBorders>
              <w:top w:val="single" w:sz="8" w:space="0" w:color="auto"/>
            </w:tcBorders>
            <w:vAlign w:val="center"/>
          </w:tcPr>
          <w:p w14:paraId="506F8131" w14:textId="0A757328"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 xml:space="preserve">Reported </w:t>
            </w:r>
            <w:r w:rsidR="000F3DD7" w:rsidRPr="00F07DEB">
              <w:rPr>
                <w:rFonts w:ascii="Times New Roman" w:hAnsi="Times New Roman" w:cs="Times New Roman"/>
                <w:sz w:val="20"/>
                <w:szCs w:val="20"/>
              </w:rPr>
              <w:t>Metals</w:t>
            </w:r>
          </w:p>
        </w:tc>
        <w:tc>
          <w:tcPr>
            <w:tcW w:w="844" w:type="pct"/>
            <w:tcBorders>
              <w:top w:val="single" w:sz="8" w:space="0" w:color="auto"/>
            </w:tcBorders>
            <w:noWrap/>
            <w:vAlign w:val="center"/>
            <w:hideMark/>
          </w:tcPr>
          <w:p w14:paraId="4896C34C" w14:textId="38848F05"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As</w:t>
            </w:r>
          </w:p>
        </w:tc>
        <w:tc>
          <w:tcPr>
            <w:tcW w:w="1119" w:type="pct"/>
            <w:tcBorders>
              <w:top w:val="single" w:sz="8" w:space="0" w:color="auto"/>
            </w:tcBorders>
            <w:noWrap/>
            <w:vAlign w:val="center"/>
            <w:hideMark/>
          </w:tcPr>
          <w:p w14:paraId="5ACF1F89" w14:textId="77777777"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0.00597</w:t>
            </w:r>
          </w:p>
        </w:tc>
        <w:tc>
          <w:tcPr>
            <w:tcW w:w="1119" w:type="pct"/>
            <w:tcBorders>
              <w:top w:val="single" w:sz="8" w:space="0" w:color="auto"/>
            </w:tcBorders>
            <w:noWrap/>
            <w:vAlign w:val="center"/>
            <w:hideMark/>
          </w:tcPr>
          <w:p w14:paraId="56F9BE4F" w14:textId="77777777"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0.00583</w:t>
            </w:r>
          </w:p>
        </w:tc>
        <w:tc>
          <w:tcPr>
            <w:tcW w:w="1074" w:type="pct"/>
            <w:tcBorders>
              <w:top w:val="single" w:sz="8" w:space="0" w:color="auto"/>
            </w:tcBorders>
            <w:noWrap/>
            <w:vAlign w:val="center"/>
            <w:hideMark/>
          </w:tcPr>
          <w:p w14:paraId="4606B9FC" w14:textId="77777777"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0.00314</w:t>
            </w:r>
          </w:p>
        </w:tc>
      </w:tr>
      <w:tr w:rsidR="00BB3901" w:rsidRPr="00F07DEB" w14:paraId="3EC7367B" w14:textId="77777777" w:rsidTr="00F07DEB">
        <w:trPr>
          <w:trHeight w:val="288"/>
        </w:trPr>
        <w:tc>
          <w:tcPr>
            <w:tcW w:w="844" w:type="pct"/>
            <w:vMerge/>
          </w:tcPr>
          <w:p w14:paraId="2984BB83" w14:textId="77777777" w:rsidR="00BB3901" w:rsidRPr="00F07DEB" w:rsidRDefault="00BB3901" w:rsidP="00F07DEB">
            <w:pPr>
              <w:spacing w:after="0"/>
              <w:rPr>
                <w:rFonts w:ascii="Times New Roman" w:hAnsi="Times New Roman" w:cs="Times New Roman"/>
                <w:sz w:val="20"/>
                <w:szCs w:val="20"/>
              </w:rPr>
            </w:pPr>
          </w:p>
        </w:tc>
        <w:tc>
          <w:tcPr>
            <w:tcW w:w="844" w:type="pct"/>
            <w:noWrap/>
            <w:vAlign w:val="center"/>
            <w:hideMark/>
          </w:tcPr>
          <w:p w14:paraId="797AC831" w14:textId="60BC0E7D"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Cd</w:t>
            </w:r>
          </w:p>
        </w:tc>
        <w:tc>
          <w:tcPr>
            <w:tcW w:w="1119" w:type="pct"/>
            <w:noWrap/>
            <w:vAlign w:val="center"/>
            <w:hideMark/>
          </w:tcPr>
          <w:p w14:paraId="765F059F" w14:textId="77777777"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0.00040</w:t>
            </w:r>
          </w:p>
        </w:tc>
        <w:tc>
          <w:tcPr>
            <w:tcW w:w="1119" w:type="pct"/>
            <w:noWrap/>
            <w:vAlign w:val="center"/>
            <w:hideMark/>
          </w:tcPr>
          <w:p w14:paraId="36678E7D" w14:textId="77777777"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0.00039</w:t>
            </w:r>
          </w:p>
        </w:tc>
        <w:tc>
          <w:tcPr>
            <w:tcW w:w="1074" w:type="pct"/>
            <w:noWrap/>
            <w:vAlign w:val="center"/>
            <w:hideMark/>
          </w:tcPr>
          <w:p w14:paraId="3DD21047" w14:textId="77777777" w:rsidR="00BB3901" w:rsidRPr="00F07DEB" w:rsidRDefault="00BB3901" w:rsidP="00F07DEB">
            <w:pPr>
              <w:spacing w:after="0"/>
              <w:rPr>
                <w:rFonts w:ascii="Times New Roman" w:hAnsi="Times New Roman" w:cs="Times New Roman"/>
                <w:sz w:val="20"/>
                <w:szCs w:val="20"/>
              </w:rPr>
            </w:pPr>
            <w:r w:rsidRPr="00F07DEB">
              <w:rPr>
                <w:rFonts w:ascii="Times New Roman" w:hAnsi="Times New Roman" w:cs="Times New Roman"/>
                <w:sz w:val="20"/>
                <w:szCs w:val="20"/>
              </w:rPr>
              <w:t>0.00021</w:t>
            </w:r>
          </w:p>
        </w:tc>
      </w:tr>
      <w:tr w:rsidR="00D27F70" w:rsidRPr="00F07DEB" w14:paraId="5B8F09E4" w14:textId="77777777" w:rsidTr="00F07DEB">
        <w:trPr>
          <w:trHeight w:val="288"/>
        </w:trPr>
        <w:tc>
          <w:tcPr>
            <w:tcW w:w="844" w:type="pct"/>
          </w:tcPr>
          <w:p w14:paraId="5FDD0465" w14:textId="77777777" w:rsidR="00D27F70" w:rsidRPr="00F07DEB" w:rsidRDefault="00D27F70" w:rsidP="00F07DEB">
            <w:pPr>
              <w:spacing w:after="0"/>
              <w:rPr>
                <w:rFonts w:ascii="Times New Roman" w:hAnsi="Times New Roman" w:cs="Times New Roman"/>
                <w:sz w:val="20"/>
                <w:szCs w:val="20"/>
              </w:rPr>
            </w:pPr>
          </w:p>
        </w:tc>
        <w:tc>
          <w:tcPr>
            <w:tcW w:w="844" w:type="pct"/>
            <w:noWrap/>
            <w:vAlign w:val="center"/>
            <w:hideMark/>
          </w:tcPr>
          <w:p w14:paraId="7B81D97B" w14:textId="641A4BDB"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Co</w:t>
            </w:r>
          </w:p>
        </w:tc>
        <w:tc>
          <w:tcPr>
            <w:tcW w:w="1119" w:type="pct"/>
            <w:noWrap/>
            <w:vAlign w:val="center"/>
            <w:hideMark/>
          </w:tcPr>
          <w:p w14:paraId="3F814ADB"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0.00102</w:t>
            </w:r>
          </w:p>
        </w:tc>
        <w:tc>
          <w:tcPr>
            <w:tcW w:w="1119" w:type="pct"/>
            <w:noWrap/>
            <w:vAlign w:val="center"/>
            <w:hideMark/>
          </w:tcPr>
          <w:p w14:paraId="5E21811C"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0.00100</w:t>
            </w:r>
          </w:p>
        </w:tc>
        <w:tc>
          <w:tcPr>
            <w:tcW w:w="1074" w:type="pct"/>
            <w:noWrap/>
            <w:vAlign w:val="center"/>
            <w:hideMark/>
          </w:tcPr>
          <w:p w14:paraId="4662E8F0"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0.00054</w:t>
            </w:r>
          </w:p>
        </w:tc>
      </w:tr>
      <w:tr w:rsidR="00D27F70" w:rsidRPr="00F07DEB" w14:paraId="60487962" w14:textId="77777777" w:rsidTr="00F07DEB">
        <w:trPr>
          <w:trHeight w:val="288"/>
        </w:trPr>
        <w:tc>
          <w:tcPr>
            <w:tcW w:w="844" w:type="pct"/>
          </w:tcPr>
          <w:p w14:paraId="0CE16D06" w14:textId="77777777" w:rsidR="00D27F70" w:rsidRPr="00F07DEB" w:rsidRDefault="00D27F70" w:rsidP="00F07DEB">
            <w:pPr>
              <w:spacing w:after="0"/>
              <w:rPr>
                <w:rFonts w:ascii="Times New Roman" w:hAnsi="Times New Roman" w:cs="Times New Roman"/>
                <w:sz w:val="20"/>
                <w:szCs w:val="20"/>
              </w:rPr>
            </w:pPr>
          </w:p>
        </w:tc>
        <w:tc>
          <w:tcPr>
            <w:tcW w:w="844" w:type="pct"/>
            <w:noWrap/>
            <w:vAlign w:val="center"/>
            <w:hideMark/>
          </w:tcPr>
          <w:p w14:paraId="197B4D57" w14:textId="3CFE8FDA"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Hg</w:t>
            </w:r>
          </w:p>
        </w:tc>
        <w:tc>
          <w:tcPr>
            <w:tcW w:w="1119" w:type="pct"/>
            <w:noWrap/>
            <w:vAlign w:val="center"/>
            <w:hideMark/>
          </w:tcPr>
          <w:p w14:paraId="2A52D075"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0.00004</w:t>
            </w:r>
          </w:p>
        </w:tc>
        <w:tc>
          <w:tcPr>
            <w:tcW w:w="1119" w:type="pct"/>
            <w:noWrap/>
            <w:vAlign w:val="center"/>
            <w:hideMark/>
          </w:tcPr>
          <w:p w14:paraId="4613E7C7"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0.00004</w:t>
            </w:r>
          </w:p>
        </w:tc>
        <w:tc>
          <w:tcPr>
            <w:tcW w:w="1074" w:type="pct"/>
            <w:noWrap/>
            <w:vAlign w:val="center"/>
            <w:hideMark/>
          </w:tcPr>
          <w:p w14:paraId="04AF9DE1"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0.00002</w:t>
            </w:r>
          </w:p>
        </w:tc>
      </w:tr>
      <w:tr w:rsidR="00D27F70" w:rsidRPr="00F07DEB" w14:paraId="7E3EE7F8" w14:textId="77777777" w:rsidTr="00F07DEB">
        <w:trPr>
          <w:trHeight w:val="288"/>
        </w:trPr>
        <w:tc>
          <w:tcPr>
            <w:tcW w:w="844" w:type="pct"/>
          </w:tcPr>
          <w:p w14:paraId="6AF741CD" w14:textId="77777777" w:rsidR="00D27F70" w:rsidRPr="00F07DEB" w:rsidRDefault="00D27F70" w:rsidP="00F07DEB">
            <w:pPr>
              <w:spacing w:after="0"/>
              <w:rPr>
                <w:rFonts w:ascii="Times New Roman" w:hAnsi="Times New Roman" w:cs="Times New Roman"/>
                <w:sz w:val="20"/>
                <w:szCs w:val="20"/>
              </w:rPr>
            </w:pPr>
          </w:p>
        </w:tc>
        <w:tc>
          <w:tcPr>
            <w:tcW w:w="844" w:type="pct"/>
            <w:noWrap/>
            <w:vAlign w:val="center"/>
            <w:hideMark/>
          </w:tcPr>
          <w:p w14:paraId="40C4462A" w14:textId="32F48DF8"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Ni</w:t>
            </w:r>
          </w:p>
        </w:tc>
        <w:tc>
          <w:tcPr>
            <w:tcW w:w="1119" w:type="pct"/>
            <w:noWrap/>
            <w:vAlign w:val="center"/>
            <w:hideMark/>
          </w:tcPr>
          <w:p w14:paraId="44C49AD1"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0.00349</w:t>
            </w:r>
          </w:p>
        </w:tc>
        <w:tc>
          <w:tcPr>
            <w:tcW w:w="1119" w:type="pct"/>
            <w:noWrap/>
            <w:vAlign w:val="center"/>
            <w:hideMark/>
          </w:tcPr>
          <w:p w14:paraId="45740A6F"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0.00341</w:t>
            </w:r>
          </w:p>
        </w:tc>
        <w:tc>
          <w:tcPr>
            <w:tcW w:w="1074" w:type="pct"/>
            <w:noWrap/>
            <w:vAlign w:val="center"/>
            <w:hideMark/>
          </w:tcPr>
          <w:p w14:paraId="0FC11B3F"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0.00183</w:t>
            </w:r>
          </w:p>
        </w:tc>
      </w:tr>
      <w:tr w:rsidR="00D27F70" w:rsidRPr="00F07DEB" w14:paraId="087274CF" w14:textId="77777777" w:rsidTr="00F07DEB">
        <w:trPr>
          <w:trHeight w:val="288"/>
        </w:trPr>
        <w:tc>
          <w:tcPr>
            <w:tcW w:w="844" w:type="pct"/>
          </w:tcPr>
          <w:p w14:paraId="7B21BA7E" w14:textId="77777777" w:rsidR="00D27F70" w:rsidRPr="00F07DEB" w:rsidRDefault="00D27F70" w:rsidP="00F07DEB">
            <w:pPr>
              <w:spacing w:after="0"/>
              <w:rPr>
                <w:rFonts w:ascii="Times New Roman" w:hAnsi="Times New Roman" w:cs="Times New Roman"/>
                <w:sz w:val="20"/>
                <w:szCs w:val="20"/>
              </w:rPr>
            </w:pPr>
          </w:p>
        </w:tc>
        <w:tc>
          <w:tcPr>
            <w:tcW w:w="844" w:type="pct"/>
            <w:noWrap/>
            <w:vAlign w:val="center"/>
            <w:hideMark/>
          </w:tcPr>
          <w:p w14:paraId="4E561C1D" w14:textId="2AA44617" w:rsidR="00D27F70" w:rsidRPr="00F07DEB" w:rsidRDefault="00D27F70" w:rsidP="00F07DEB">
            <w:pPr>
              <w:spacing w:after="0"/>
              <w:rPr>
                <w:rFonts w:ascii="Times New Roman" w:hAnsi="Times New Roman" w:cs="Times New Roman"/>
                <w:sz w:val="20"/>
                <w:szCs w:val="20"/>
              </w:rPr>
            </w:pPr>
            <w:proofErr w:type="spellStart"/>
            <w:r w:rsidRPr="00F07DEB">
              <w:rPr>
                <w:rFonts w:ascii="Times New Roman" w:hAnsi="Times New Roman" w:cs="Times New Roman"/>
                <w:sz w:val="20"/>
                <w:szCs w:val="20"/>
              </w:rPr>
              <w:t>Pb</w:t>
            </w:r>
            <w:proofErr w:type="spellEnd"/>
          </w:p>
        </w:tc>
        <w:tc>
          <w:tcPr>
            <w:tcW w:w="1119" w:type="pct"/>
            <w:noWrap/>
            <w:vAlign w:val="center"/>
            <w:hideMark/>
          </w:tcPr>
          <w:p w14:paraId="58816AA9"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0.00102</w:t>
            </w:r>
          </w:p>
        </w:tc>
        <w:tc>
          <w:tcPr>
            <w:tcW w:w="1119" w:type="pct"/>
            <w:noWrap/>
            <w:vAlign w:val="center"/>
            <w:hideMark/>
          </w:tcPr>
          <w:p w14:paraId="77E5C556"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0.00100</w:t>
            </w:r>
          </w:p>
        </w:tc>
        <w:tc>
          <w:tcPr>
            <w:tcW w:w="1074" w:type="pct"/>
            <w:noWrap/>
            <w:vAlign w:val="center"/>
            <w:hideMark/>
          </w:tcPr>
          <w:p w14:paraId="44D05C51"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0.00054</w:t>
            </w:r>
          </w:p>
        </w:tc>
      </w:tr>
      <w:tr w:rsidR="00D27F70" w:rsidRPr="00F07DEB" w14:paraId="1251988E" w14:textId="77777777" w:rsidTr="00F07DEB">
        <w:trPr>
          <w:trHeight w:val="288"/>
        </w:trPr>
        <w:tc>
          <w:tcPr>
            <w:tcW w:w="844" w:type="pct"/>
          </w:tcPr>
          <w:p w14:paraId="082E4FD9" w14:textId="77777777" w:rsidR="00D27F70" w:rsidRPr="00F07DEB" w:rsidRDefault="00D27F70" w:rsidP="00F07DEB">
            <w:pPr>
              <w:spacing w:after="0"/>
              <w:rPr>
                <w:rFonts w:ascii="Times New Roman" w:hAnsi="Times New Roman" w:cs="Times New Roman"/>
                <w:sz w:val="20"/>
                <w:szCs w:val="20"/>
              </w:rPr>
            </w:pPr>
          </w:p>
        </w:tc>
        <w:tc>
          <w:tcPr>
            <w:tcW w:w="844" w:type="pct"/>
            <w:noWrap/>
            <w:vAlign w:val="center"/>
            <w:hideMark/>
          </w:tcPr>
          <w:p w14:paraId="29F7D376" w14:textId="57FC6151"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Se</w:t>
            </w:r>
          </w:p>
        </w:tc>
        <w:tc>
          <w:tcPr>
            <w:tcW w:w="1119" w:type="pct"/>
            <w:noWrap/>
            <w:vAlign w:val="center"/>
            <w:hideMark/>
          </w:tcPr>
          <w:p w14:paraId="23781A6E"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0.00597</w:t>
            </w:r>
          </w:p>
        </w:tc>
        <w:tc>
          <w:tcPr>
            <w:tcW w:w="1119" w:type="pct"/>
            <w:noWrap/>
            <w:vAlign w:val="center"/>
            <w:hideMark/>
          </w:tcPr>
          <w:p w14:paraId="519AA927"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0.00583</w:t>
            </w:r>
          </w:p>
        </w:tc>
        <w:tc>
          <w:tcPr>
            <w:tcW w:w="1074" w:type="pct"/>
            <w:noWrap/>
            <w:vAlign w:val="center"/>
            <w:hideMark/>
          </w:tcPr>
          <w:p w14:paraId="35582A0A" w14:textId="77777777" w:rsidR="00D27F70" w:rsidRPr="00F07DEB" w:rsidRDefault="00D27F70" w:rsidP="00F07DEB">
            <w:pPr>
              <w:spacing w:after="0"/>
              <w:rPr>
                <w:rFonts w:ascii="Times New Roman" w:hAnsi="Times New Roman" w:cs="Times New Roman"/>
                <w:sz w:val="20"/>
                <w:szCs w:val="20"/>
              </w:rPr>
            </w:pPr>
            <w:r w:rsidRPr="00F07DEB">
              <w:rPr>
                <w:rFonts w:ascii="Times New Roman" w:hAnsi="Times New Roman" w:cs="Times New Roman"/>
                <w:sz w:val="20"/>
                <w:szCs w:val="20"/>
              </w:rPr>
              <w:t>0.00314</w:t>
            </w:r>
          </w:p>
        </w:tc>
      </w:tr>
    </w:tbl>
    <w:p w14:paraId="5681415D" w14:textId="77777777" w:rsidR="008A673D" w:rsidRPr="00F07DEB" w:rsidRDefault="008A673D" w:rsidP="0009083D">
      <w:pPr>
        <w:spacing w:line="480" w:lineRule="auto"/>
        <w:rPr>
          <w:rFonts w:ascii="Times New Roman" w:hAnsi="Times New Roman" w:cs="Times New Roman"/>
          <w:sz w:val="24"/>
          <w:szCs w:val="24"/>
        </w:rPr>
      </w:pPr>
    </w:p>
    <w:p w14:paraId="5B3BFA24" w14:textId="75018838" w:rsidR="000D0BAF" w:rsidRPr="00F07DEB" w:rsidRDefault="000D0BAF" w:rsidP="000D0BAF">
      <w:pPr>
        <w:pStyle w:val="Heading3"/>
        <w:spacing w:line="480" w:lineRule="auto"/>
        <w:ind w:left="990"/>
      </w:pPr>
      <w:bookmarkStart w:id="83" w:name="_Toc58975172"/>
      <w:r w:rsidRPr="00F07DEB">
        <w:t>Irrigation Water Quality</w:t>
      </w:r>
      <w:bookmarkEnd w:id="83"/>
    </w:p>
    <w:p w14:paraId="0093FD92" w14:textId="2131703D" w:rsidR="0012121F" w:rsidRDefault="00086C3F" w:rsidP="008834FB">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A suite of total and dissolved metals </w:t>
      </w:r>
      <w:r w:rsidR="00B323D9">
        <w:rPr>
          <w:rFonts w:ascii="Times New Roman" w:hAnsi="Times New Roman" w:cs="Times New Roman"/>
          <w:sz w:val="24"/>
          <w:szCs w:val="24"/>
        </w:rPr>
        <w:t>was</w:t>
      </w:r>
      <w:r w:rsidRPr="00F07DEB">
        <w:rPr>
          <w:rFonts w:ascii="Times New Roman" w:hAnsi="Times New Roman" w:cs="Times New Roman"/>
          <w:sz w:val="24"/>
          <w:szCs w:val="24"/>
        </w:rPr>
        <w:t xml:space="preserve"> measured periodically throughout the experiment, and the dissolved concentrations of 11 metal species of particular importance are compared across irrigation waters in</w:t>
      </w:r>
      <w:r w:rsidRPr="007874B4">
        <w:rPr>
          <w:rFonts w:ascii="Times New Roman" w:hAnsi="Times New Roman" w:cs="Times New Roman"/>
          <w:sz w:val="24"/>
          <w:szCs w:val="24"/>
        </w:rPr>
        <w:t xml:space="preserve"> </w:t>
      </w:r>
      <w:r w:rsidRPr="008834FB">
        <w:rPr>
          <w:rFonts w:ascii="Times New Roman" w:hAnsi="Times New Roman" w:cs="Times New Roman"/>
          <w:sz w:val="24"/>
          <w:szCs w:val="24"/>
        </w:rPr>
        <w:fldChar w:fldCharType="begin"/>
      </w:r>
      <w:r w:rsidRPr="008834FB">
        <w:rPr>
          <w:rFonts w:ascii="Times New Roman" w:hAnsi="Times New Roman" w:cs="Times New Roman"/>
          <w:sz w:val="24"/>
          <w:szCs w:val="24"/>
        </w:rPr>
        <w:instrText xml:space="preserve"> REF _Ref55901272 \h </w:instrText>
      </w:r>
      <w:r w:rsidR="009249EE" w:rsidRPr="008834FB">
        <w:rPr>
          <w:rFonts w:ascii="Times New Roman" w:hAnsi="Times New Roman" w:cs="Times New Roman"/>
          <w:sz w:val="24"/>
          <w:szCs w:val="24"/>
        </w:rPr>
        <w:instrText xml:space="preserve"> \* MERGEFORMAT </w:instrText>
      </w:r>
      <w:r w:rsidRPr="008834FB">
        <w:rPr>
          <w:rFonts w:ascii="Times New Roman" w:hAnsi="Times New Roman" w:cs="Times New Roman"/>
          <w:sz w:val="24"/>
          <w:szCs w:val="24"/>
        </w:rPr>
      </w:r>
      <w:r w:rsidRPr="008834FB">
        <w:rPr>
          <w:rFonts w:ascii="Times New Roman" w:hAnsi="Times New Roman" w:cs="Times New Roman"/>
          <w:sz w:val="24"/>
          <w:szCs w:val="24"/>
        </w:rPr>
        <w:fldChar w:fldCharType="separate"/>
      </w:r>
      <w:r w:rsidR="00E179CA" w:rsidRPr="008834FB">
        <w:rPr>
          <w:rFonts w:ascii="Times New Roman" w:hAnsi="Times New Roman" w:cs="Times New Roman"/>
          <w:noProof/>
          <w:sz w:val="24"/>
          <w:szCs w:val="24"/>
        </w:rPr>
        <w:t>Table</w:t>
      </w:r>
      <w:r w:rsidR="00E179CA" w:rsidRPr="008834FB">
        <w:rPr>
          <w:rFonts w:ascii="Times New Roman" w:hAnsi="Times New Roman" w:cs="Times New Roman"/>
          <w:sz w:val="24"/>
          <w:szCs w:val="24"/>
        </w:rPr>
        <w:t xml:space="preserve"> </w:t>
      </w:r>
      <w:r w:rsidR="00E179CA" w:rsidRPr="008834FB">
        <w:rPr>
          <w:rFonts w:ascii="Times New Roman" w:hAnsi="Times New Roman" w:cs="Times New Roman"/>
          <w:noProof/>
          <w:sz w:val="24"/>
          <w:szCs w:val="24"/>
        </w:rPr>
        <w:t>14</w:t>
      </w:r>
      <w:r w:rsidRPr="008834FB">
        <w:rPr>
          <w:rFonts w:ascii="Times New Roman" w:hAnsi="Times New Roman" w:cs="Times New Roman"/>
          <w:sz w:val="24"/>
          <w:szCs w:val="24"/>
        </w:rPr>
        <w:fldChar w:fldCharType="end"/>
      </w:r>
      <w:r w:rsidRPr="008834FB">
        <w:rPr>
          <w:rFonts w:ascii="Times New Roman" w:hAnsi="Times New Roman" w:cs="Times New Roman"/>
          <w:sz w:val="24"/>
          <w:szCs w:val="24"/>
        </w:rPr>
        <w:t xml:space="preserve">. </w:t>
      </w:r>
      <w:r w:rsidR="00A3581B" w:rsidRPr="00641A81">
        <w:rPr>
          <w:rFonts w:ascii="Times New Roman" w:hAnsi="Times New Roman" w:cs="Times New Roman"/>
          <w:sz w:val="24"/>
          <w:szCs w:val="24"/>
        </w:rPr>
        <w:t>Ele</w:t>
      </w:r>
      <w:r w:rsidR="00A3581B" w:rsidRPr="00F07DEB">
        <w:rPr>
          <w:rFonts w:ascii="Times New Roman" w:hAnsi="Times New Roman" w:cs="Times New Roman"/>
          <w:sz w:val="24"/>
          <w:szCs w:val="24"/>
        </w:rPr>
        <w:t xml:space="preserve">ments were chosen to represent all of the macronutrients as well as a selection of micronutrients and non-essential elements that are targeted for removal from mine water at MRPTS and can produce toxic responses in plants. </w:t>
      </w:r>
      <w:r w:rsidR="006B10B3" w:rsidRPr="00F07DEB">
        <w:rPr>
          <w:rFonts w:ascii="Times New Roman" w:hAnsi="Times New Roman" w:cs="Times New Roman"/>
          <w:sz w:val="24"/>
          <w:szCs w:val="24"/>
        </w:rPr>
        <w:t>T</w:t>
      </w:r>
      <w:r w:rsidR="00F938B5" w:rsidRPr="00F07DEB">
        <w:rPr>
          <w:rFonts w:ascii="Times New Roman" w:hAnsi="Times New Roman" w:cs="Times New Roman"/>
          <w:sz w:val="24"/>
          <w:szCs w:val="24"/>
        </w:rPr>
        <w:t xml:space="preserve">he dissolved fractions </w:t>
      </w:r>
      <w:r w:rsidR="006B10B3" w:rsidRPr="00F07DEB">
        <w:rPr>
          <w:rFonts w:ascii="Times New Roman" w:hAnsi="Times New Roman" w:cs="Times New Roman"/>
          <w:sz w:val="24"/>
          <w:szCs w:val="24"/>
        </w:rPr>
        <w:t xml:space="preserve">are displayed because they </w:t>
      </w:r>
      <w:r w:rsidR="00F938B5" w:rsidRPr="00F07DEB">
        <w:rPr>
          <w:rFonts w:ascii="Times New Roman" w:hAnsi="Times New Roman" w:cs="Times New Roman"/>
          <w:sz w:val="24"/>
          <w:szCs w:val="24"/>
        </w:rPr>
        <w:t xml:space="preserve">are </w:t>
      </w:r>
      <w:r w:rsidR="006B10B3" w:rsidRPr="00F07DEB">
        <w:rPr>
          <w:rFonts w:ascii="Times New Roman" w:hAnsi="Times New Roman" w:cs="Times New Roman"/>
          <w:sz w:val="24"/>
          <w:szCs w:val="24"/>
        </w:rPr>
        <w:t>generally more</w:t>
      </w:r>
      <w:r w:rsidR="00F938B5" w:rsidRPr="00F07DEB">
        <w:rPr>
          <w:rFonts w:ascii="Times New Roman" w:hAnsi="Times New Roman" w:cs="Times New Roman"/>
          <w:sz w:val="24"/>
          <w:szCs w:val="24"/>
        </w:rPr>
        <w:t xml:space="preserve"> mobile and bioavailable than </w:t>
      </w:r>
      <w:r w:rsidR="006B10B3" w:rsidRPr="00F07DEB">
        <w:rPr>
          <w:rFonts w:ascii="Times New Roman" w:hAnsi="Times New Roman" w:cs="Times New Roman"/>
          <w:sz w:val="24"/>
          <w:szCs w:val="24"/>
        </w:rPr>
        <w:t xml:space="preserve">their particulate counterparts </w:t>
      </w:r>
      <w:r w:rsidR="006B10B3"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{"citationID":"L3vfvfrk","properties":{"formattedCitation":"(John &amp; Leventhal, 2004)","plainCitation":"(John &amp; Leventhal, 2004)","dontUpdate":true,"noteIndex":0},"citationItems":[{"id":818,"uris":["http://zotero.org/users/5446453/items/3B7YG4NJ"],"uri":["http://zotero.org/users/5446453/items/3B7YG4NJ"],"itemData":{"id":818,"type":"article","language":"en","publisher":"United States Geological Survey","title":"Bioavailability of metals","URL":"/paper/BIOAVAILABILITY-OF-METALS-John-Leventhal/f97e54c1307528fb149d641b505c6643e3cd5b13","author":[{"family":"John","given":"David A."},{"family":"Leventhal","given":"Joel S."}],"accessed":{"date-parts":[["2020",11,10]]},"issued":{"date-parts":[["2004"]]}}}],"schema":"https://github.com/citation-style-language/schema/raw/master/csl-citation.json"} </w:instrText>
      </w:r>
      <w:r w:rsidR="006B10B3" w:rsidRPr="00F07DEB">
        <w:rPr>
          <w:rFonts w:ascii="Times New Roman" w:hAnsi="Times New Roman" w:cs="Times New Roman"/>
          <w:sz w:val="24"/>
          <w:szCs w:val="24"/>
        </w:rPr>
        <w:fldChar w:fldCharType="separate"/>
      </w:r>
      <w:r w:rsidR="006B10B3" w:rsidRPr="00F07DEB">
        <w:rPr>
          <w:rFonts w:ascii="Times New Roman" w:hAnsi="Times New Roman" w:cs="Times New Roman"/>
          <w:sz w:val="24"/>
        </w:rPr>
        <w:t xml:space="preserve">(John </w:t>
      </w:r>
      <w:r w:rsidR="002A6AB5">
        <w:rPr>
          <w:rFonts w:ascii="Times New Roman" w:hAnsi="Times New Roman" w:cs="Times New Roman"/>
          <w:sz w:val="24"/>
        </w:rPr>
        <w:t>and</w:t>
      </w:r>
      <w:r w:rsidR="006B10B3" w:rsidRPr="00F07DEB">
        <w:rPr>
          <w:rFonts w:ascii="Times New Roman" w:hAnsi="Times New Roman" w:cs="Times New Roman"/>
          <w:sz w:val="24"/>
        </w:rPr>
        <w:t xml:space="preserve"> Leventhal, 2004)</w:t>
      </w:r>
      <w:r w:rsidR="006B10B3" w:rsidRPr="00F07DEB">
        <w:rPr>
          <w:rFonts w:ascii="Times New Roman" w:hAnsi="Times New Roman" w:cs="Times New Roman"/>
          <w:sz w:val="24"/>
          <w:szCs w:val="24"/>
        </w:rPr>
        <w:fldChar w:fldCharType="end"/>
      </w:r>
      <w:r w:rsidR="006B10B3" w:rsidRPr="00F07DEB">
        <w:rPr>
          <w:rFonts w:ascii="Times New Roman" w:hAnsi="Times New Roman" w:cs="Times New Roman"/>
          <w:sz w:val="24"/>
          <w:szCs w:val="24"/>
        </w:rPr>
        <w:t>.</w:t>
      </w:r>
      <w:r w:rsidR="00B27FE4" w:rsidRPr="00F07DEB">
        <w:rPr>
          <w:rFonts w:ascii="Times New Roman" w:hAnsi="Times New Roman" w:cs="Times New Roman"/>
          <w:sz w:val="24"/>
          <w:szCs w:val="24"/>
        </w:rPr>
        <w:t xml:space="preserve"> </w:t>
      </w:r>
      <w:r w:rsidR="00401125" w:rsidRPr="00F07DEB">
        <w:rPr>
          <w:rFonts w:ascii="Times New Roman" w:hAnsi="Times New Roman" w:cs="Times New Roman"/>
          <w:sz w:val="24"/>
          <w:szCs w:val="24"/>
        </w:rPr>
        <w:t xml:space="preserve">A variety of two-tailed hypothesis tests for two independent samples were considered </w:t>
      </w:r>
      <w:r w:rsidR="00F07DEB" w:rsidRPr="00F07DEB">
        <w:rPr>
          <w:rFonts w:ascii="Times New Roman" w:hAnsi="Times New Roman" w:cs="Times New Roman"/>
          <w:sz w:val="24"/>
          <w:szCs w:val="24"/>
        </w:rPr>
        <w:t xml:space="preserve">for </w:t>
      </w:r>
      <w:r w:rsidR="00401125" w:rsidRPr="00F07DEB">
        <w:rPr>
          <w:rFonts w:ascii="Times New Roman" w:hAnsi="Times New Roman" w:cs="Times New Roman"/>
          <w:sz w:val="24"/>
          <w:szCs w:val="24"/>
        </w:rPr>
        <w:t xml:space="preserve">comparing ARFGW and MRPTS irrigation waters, and the appropriate parametric or nonparametric test was selected based on normality of the data, homogeneity of variances, and the presence of outliers. Normality was assessed through an inspection of box plots and the Shapiro-Wilk test; a significant </w:t>
      </w:r>
      <w:r w:rsidR="00401125" w:rsidRPr="007B5610">
        <w:rPr>
          <w:rFonts w:ascii="Times New Roman" w:hAnsi="Times New Roman" w:cs="Times New Roman"/>
          <w:i/>
          <w:sz w:val="24"/>
          <w:szCs w:val="24"/>
        </w:rPr>
        <w:t>p</w:t>
      </w:r>
      <w:r w:rsidR="00401125" w:rsidRPr="00F07DEB">
        <w:rPr>
          <w:rFonts w:ascii="Times New Roman" w:hAnsi="Times New Roman" w:cs="Times New Roman"/>
          <w:sz w:val="24"/>
          <w:szCs w:val="24"/>
        </w:rPr>
        <w:t>-value (</w:t>
      </w:r>
      <w:r w:rsidR="00AC3591" w:rsidRPr="00204C13">
        <w:rPr>
          <w:rFonts w:ascii="Times New Roman" w:hAnsi="Times New Roman" w:cs="Times New Roman"/>
          <w:i/>
          <w:sz w:val="24"/>
          <w:szCs w:val="24"/>
        </w:rPr>
        <w:t>p</w:t>
      </w:r>
      <w:r w:rsidR="00401125" w:rsidRPr="00F07DEB">
        <w:rPr>
          <w:rFonts w:ascii="Times New Roman" w:hAnsi="Times New Roman" w:cs="Times New Roman"/>
          <w:sz w:val="24"/>
          <w:szCs w:val="24"/>
        </w:rPr>
        <w:t xml:space="preserve"> </w:t>
      </w:r>
      <w:r w:rsidR="0012121F">
        <w:rPr>
          <w:rFonts w:ascii="Times New Roman" w:hAnsi="Times New Roman" w:cs="Times New Roman"/>
          <w:sz w:val="24"/>
          <w:szCs w:val="24"/>
        </w:rPr>
        <w:t xml:space="preserve">≤ </w:t>
      </w:r>
      <w:r w:rsidR="00401125" w:rsidRPr="00F07DEB">
        <w:rPr>
          <w:rFonts w:ascii="Times New Roman" w:hAnsi="Times New Roman" w:cs="Times New Roman"/>
          <w:sz w:val="24"/>
          <w:szCs w:val="24"/>
        </w:rPr>
        <w:t xml:space="preserve">0.05) indicated </w:t>
      </w:r>
      <w:r w:rsidR="00401125" w:rsidRPr="00F07DEB">
        <w:rPr>
          <w:rFonts w:ascii="Times New Roman" w:hAnsi="Times New Roman" w:cs="Times New Roman"/>
          <w:sz w:val="24"/>
          <w:szCs w:val="24"/>
        </w:rPr>
        <w:lastRenderedPageBreak/>
        <w:t xml:space="preserve">non-normality. Homogeneity of variances could be assumed with a </w:t>
      </w:r>
      <w:r w:rsidR="00AC3591">
        <w:rPr>
          <w:rFonts w:ascii="Times New Roman" w:hAnsi="Times New Roman" w:cs="Times New Roman"/>
          <w:sz w:val="24"/>
          <w:szCs w:val="24"/>
        </w:rPr>
        <w:t xml:space="preserve">non-significant </w:t>
      </w:r>
      <w:r w:rsidR="00AC3591" w:rsidRPr="007B5610">
        <w:rPr>
          <w:rFonts w:ascii="Times New Roman" w:hAnsi="Times New Roman" w:cs="Times New Roman"/>
          <w:i/>
          <w:sz w:val="24"/>
          <w:szCs w:val="24"/>
        </w:rPr>
        <w:t>p</w:t>
      </w:r>
      <w:r w:rsidR="00AC3591">
        <w:rPr>
          <w:rFonts w:ascii="Times New Roman" w:hAnsi="Times New Roman" w:cs="Times New Roman"/>
          <w:sz w:val="24"/>
          <w:szCs w:val="24"/>
        </w:rPr>
        <w:t>-value (</w:t>
      </w:r>
      <w:r w:rsidR="00AC3591" w:rsidRPr="00204C13">
        <w:rPr>
          <w:rFonts w:ascii="Times New Roman" w:hAnsi="Times New Roman" w:cs="Times New Roman"/>
          <w:i/>
          <w:sz w:val="24"/>
          <w:szCs w:val="24"/>
        </w:rPr>
        <w:t>p</w:t>
      </w:r>
      <w:r w:rsidR="00AC3591">
        <w:rPr>
          <w:rFonts w:ascii="Times New Roman" w:hAnsi="Times New Roman" w:cs="Times New Roman"/>
          <w:sz w:val="24"/>
          <w:szCs w:val="24"/>
        </w:rPr>
        <w:t xml:space="preserve"> ≤</w:t>
      </w:r>
      <w:r w:rsidR="00401125" w:rsidRPr="00F07DEB">
        <w:rPr>
          <w:rFonts w:ascii="Times New Roman" w:hAnsi="Times New Roman" w:cs="Times New Roman"/>
          <w:sz w:val="24"/>
          <w:szCs w:val="24"/>
        </w:rPr>
        <w:t xml:space="preserve"> 0.15) from </w:t>
      </w:r>
      <w:proofErr w:type="spellStart"/>
      <w:r w:rsidR="00401125" w:rsidRPr="00F07DEB">
        <w:rPr>
          <w:rFonts w:ascii="Times New Roman" w:hAnsi="Times New Roman" w:cs="Times New Roman"/>
          <w:sz w:val="24"/>
          <w:szCs w:val="24"/>
        </w:rPr>
        <w:t>Levene’s</w:t>
      </w:r>
      <w:proofErr w:type="spellEnd"/>
      <w:r w:rsidR="00401125" w:rsidRPr="00F07DEB">
        <w:rPr>
          <w:rFonts w:ascii="Times New Roman" w:hAnsi="Times New Roman" w:cs="Times New Roman"/>
          <w:sz w:val="24"/>
          <w:szCs w:val="24"/>
        </w:rPr>
        <w:t xml:space="preserve"> test for equality of variances based on group means. The presence of outliers was noted in the box plots. If all three assumptions were satisfied, a Student’s t-test was used to compare structural biomass. If normality was assumed and no outliers were present but homogeneity of variances was not satisfied, Welch’s t-test for unequal variances was used. </w:t>
      </w:r>
      <w:r w:rsidR="0012121F">
        <w:rPr>
          <w:rFonts w:ascii="Times New Roman" w:hAnsi="Times New Roman" w:cs="Times New Roman"/>
          <w:sz w:val="24"/>
          <w:szCs w:val="24"/>
        </w:rPr>
        <w:t>I</w:t>
      </w:r>
      <w:r w:rsidR="00401125" w:rsidRPr="00F07DEB">
        <w:rPr>
          <w:rFonts w:ascii="Times New Roman" w:hAnsi="Times New Roman" w:cs="Times New Roman"/>
          <w:sz w:val="24"/>
          <w:szCs w:val="24"/>
        </w:rPr>
        <w:t xml:space="preserve">f the data were non-normal, variances were unequal, and outliers were present, the Mann-Whitney U test was carried out. </w:t>
      </w:r>
    </w:p>
    <w:p w14:paraId="1016FCAB" w14:textId="675445DE" w:rsidR="005A76AD" w:rsidRDefault="008C114D" w:rsidP="00CE3D29">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The six macronutrients – </w:t>
      </w:r>
      <w:r w:rsidR="009678A2">
        <w:rPr>
          <w:rFonts w:ascii="Times New Roman" w:hAnsi="Times New Roman" w:cs="Times New Roman"/>
          <w:sz w:val="24"/>
          <w:szCs w:val="24"/>
        </w:rPr>
        <w:t>Ca</w:t>
      </w:r>
      <w:r w:rsidR="006B675F" w:rsidRPr="00F07DEB">
        <w:rPr>
          <w:rFonts w:ascii="Times New Roman" w:hAnsi="Times New Roman" w:cs="Times New Roman"/>
          <w:sz w:val="24"/>
          <w:szCs w:val="24"/>
        </w:rPr>
        <w:t xml:space="preserve">, </w:t>
      </w:r>
      <w:r w:rsidR="009678A2">
        <w:rPr>
          <w:rFonts w:ascii="Times New Roman" w:hAnsi="Times New Roman" w:cs="Times New Roman"/>
          <w:sz w:val="24"/>
          <w:szCs w:val="24"/>
        </w:rPr>
        <w:t>K</w:t>
      </w:r>
      <w:r w:rsidR="006B675F" w:rsidRPr="00F07DEB">
        <w:rPr>
          <w:rFonts w:ascii="Times New Roman" w:hAnsi="Times New Roman" w:cs="Times New Roman"/>
          <w:sz w:val="24"/>
          <w:szCs w:val="24"/>
        </w:rPr>
        <w:t xml:space="preserve">, </w:t>
      </w:r>
      <w:r w:rsidR="009678A2">
        <w:rPr>
          <w:rFonts w:ascii="Times New Roman" w:hAnsi="Times New Roman" w:cs="Times New Roman"/>
          <w:sz w:val="24"/>
          <w:szCs w:val="24"/>
        </w:rPr>
        <w:t>Mg</w:t>
      </w:r>
      <w:r w:rsidR="006B675F" w:rsidRPr="00F07DEB">
        <w:rPr>
          <w:rFonts w:ascii="Times New Roman" w:hAnsi="Times New Roman" w:cs="Times New Roman"/>
          <w:sz w:val="24"/>
          <w:szCs w:val="24"/>
        </w:rPr>
        <w:t xml:space="preserve">, </w:t>
      </w:r>
      <w:r w:rsidR="009678A2">
        <w:rPr>
          <w:rFonts w:ascii="Times New Roman" w:hAnsi="Times New Roman" w:cs="Times New Roman"/>
          <w:sz w:val="24"/>
          <w:szCs w:val="24"/>
        </w:rPr>
        <w:t>S</w:t>
      </w:r>
      <w:r w:rsidR="006B675F" w:rsidRPr="00F07DEB">
        <w:rPr>
          <w:rFonts w:ascii="Times New Roman" w:hAnsi="Times New Roman" w:cs="Times New Roman"/>
          <w:sz w:val="24"/>
          <w:szCs w:val="24"/>
        </w:rPr>
        <w:t xml:space="preserve">, </w:t>
      </w:r>
      <w:r w:rsidR="009678A2">
        <w:rPr>
          <w:rFonts w:ascii="Times New Roman" w:hAnsi="Times New Roman" w:cs="Times New Roman"/>
          <w:sz w:val="24"/>
          <w:szCs w:val="24"/>
        </w:rPr>
        <w:t>NO</w:t>
      </w:r>
      <w:r w:rsidR="009678A2" w:rsidRPr="009678A2">
        <w:rPr>
          <w:rFonts w:ascii="Times New Roman" w:hAnsi="Times New Roman" w:cs="Times New Roman"/>
          <w:sz w:val="24"/>
          <w:szCs w:val="24"/>
          <w:vertAlign w:val="subscript"/>
        </w:rPr>
        <w:t>3</w:t>
      </w:r>
      <w:r w:rsidR="009678A2" w:rsidRPr="009678A2">
        <w:rPr>
          <w:rFonts w:ascii="Times New Roman" w:hAnsi="Times New Roman" w:cs="Times New Roman"/>
          <w:sz w:val="24"/>
          <w:szCs w:val="24"/>
          <w:vertAlign w:val="superscript"/>
        </w:rPr>
        <w:t>-</w:t>
      </w:r>
      <w:r w:rsidR="009678A2">
        <w:rPr>
          <w:rFonts w:ascii="Times New Roman" w:hAnsi="Times New Roman" w:cs="Times New Roman"/>
          <w:sz w:val="24"/>
          <w:szCs w:val="24"/>
        </w:rPr>
        <w:t>-N</w:t>
      </w:r>
      <w:r w:rsidR="006B675F" w:rsidRPr="00F07DEB">
        <w:rPr>
          <w:rFonts w:ascii="Times New Roman" w:hAnsi="Times New Roman" w:cs="Times New Roman"/>
          <w:sz w:val="24"/>
          <w:szCs w:val="24"/>
        </w:rPr>
        <w:t>, and orthophosphate</w:t>
      </w:r>
      <w:r w:rsidR="00351309" w:rsidRPr="00F07DEB">
        <w:rPr>
          <w:rFonts w:ascii="Times New Roman" w:hAnsi="Times New Roman" w:cs="Times New Roman"/>
          <w:sz w:val="24"/>
          <w:szCs w:val="24"/>
        </w:rPr>
        <w:t xml:space="preserve"> </w:t>
      </w:r>
      <w:r w:rsidRPr="00F07DEB">
        <w:rPr>
          <w:rFonts w:ascii="Times New Roman" w:hAnsi="Times New Roman" w:cs="Times New Roman"/>
          <w:sz w:val="24"/>
          <w:szCs w:val="24"/>
        </w:rPr>
        <w:t>– are</w:t>
      </w:r>
      <w:r w:rsidR="006B675F" w:rsidRPr="00F07DEB">
        <w:rPr>
          <w:rFonts w:ascii="Times New Roman" w:hAnsi="Times New Roman" w:cs="Times New Roman"/>
          <w:sz w:val="24"/>
          <w:szCs w:val="24"/>
        </w:rPr>
        <w:t xml:space="preserve"> used </w:t>
      </w:r>
      <w:r w:rsidRPr="00F07DEB">
        <w:rPr>
          <w:rFonts w:ascii="Times New Roman" w:hAnsi="Times New Roman" w:cs="Times New Roman"/>
          <w:sz w:val="24"/>
          <w:szCs w:val="24"/>
        </w:rPr>
        <w:t xml:space="preserve">by plants </w:t>
      </w:r>
      <w:r w:rsidR="006B675F" w:rsidRPr="00F07DEB">
        <w:rPr>
          <w:rFonts w:ascii="Times New Roman" w:hAnsi="Times New Roman" w:cs="Times New Roman"/>
          <w:sz w:val="24"/>
          <w:szCs w:val="24"/>
        </w:rPr>
        <w:t>in relatively large amounts</w:t>
      </w:r>
      <w:r w:rsidRPr="00F07DEB">
        <w:rPr>
          <w:rFonts w:ascii="Times New Roman" w:hAnsi="Times New Roman" w:cs="Times New Roman"/>
          <w:sz w:val="24"/>
          <w:szCs w:val="24"/>
        </w:rPr>
        <w:t>. Of these macro</w:t>
      </w:r>
      <w:r w:rsidR="0043589B">
        <w:rPr>
          <w:rFonts w:ascii="Times New Roman" w:hAnsi="Times New Roman" w:cs="Times New Roman"/>
          <w:sz w:val="24"/>
          <w:szCs w:val="24"/>
        </w:rPr>
        <w:t>nutrients</w:t>
      </w:r>
      <w:r w:rsidRPr="00F07DEB">
        <w:rPr>
          <w:rFonts w:ascii="Times New Roman" w:hAnsi="Times New Roman" w:cs="Times New Roman"/>
          <w:sz w:val="24"/>
          <w:szCs w:val="24"/>
        </w:rPr>
        <w:t>, concentrations of four species were significantly different in the two irrigation waters at an alpha level of 0.05 (Ca,</w:t>
      </w:r>
      <w:r w:rsidR="00421B82" w:rsidRPr="00421B82">
        <w:rPr>
          <w:rFonts w:ascii="Times New Roman" w:hAnsi="Times New Roman" w:cs="Times New Roman"/>
          <w:sz w:val="24"/>
          <w:szCs w:val="24"/>
        </w:rPr>
        <w:t xml:space="preserve"> </w:t>
      </w:r>
      <w:r w:rsidR="00421B82">
        <w:rPr>
          <w:rFonts w:ascii="Times New Roman" w:hAnsi="Times New Roman" w:cs="Times New Roman"/>
          <w:sz w:val="24"/>
          <w:szCs w:val="24"/>
        </w:rPr>
        <w:t xml:space="preserve">Student’s t-test, </w:t>
      </w:r>
      <w:r w:rsidRPr="00F07DEB">
        <w:rPr>
          <w:rFonts w:ascii="Times New Roman" w:hAnsi="Times New Roman" w:cs="Times New Roman"/>
          <w:sz w:val="24"/>
          <w:szCs w:val="24"/>
        </w:rPr>
        <w:t xml:space="preserve"> </w:t>
      </w:r>
      <w:r w:rsidRPr="00F07DEB">
        <w:rPr>
          <w:rFonts w:ascii="Times New Roman" w:hAnsi="Times New Roman" w:cs="Times New Roman"/>
          <w:i/>
          <w:sz w:val="24"/>
          <w:szCs w:val="24"/>
        </w:rPr>
        <w:t>p</w:t>
      </w:r>
      <w:r w:rsidRPr="00F07DEB">
        <w:rPr>
          <w:rFonts w:ascii="Times New Roman" w:hAnsi="Times New Roman" w:cs="Times New Roman"/>
          <w:sz w:val="24"/>
          <w:szCs w:val="24"/>
        </w:rPr>
        <w:t xml:space="preserve"> &lt; 0.001; K,</w:t>
      </w:r>
      <w:r w:rsidR="00421B82" w:rsidRPr="00421B82">
        <w:rPr>
          <w:rFonts w:ascii="Times New Roman" w:hAnsi="Times New Roman" w:cs="Times New Roman"/>
          <w:sz w:val="24"/>
          <w:szCs w:val="24"/>
        </w:rPr>
        <w:t xml:space="preserve"> </w:t>
      </w:r>
      <w:r w:rsidR="00421B82">
        <w:rPr>
          <w:rFonts w:ascii="Times New Roman" w:hAnsi="Times New Roman" w:cs="Times New Roman"/>
          <w:sz w:val="24"/>
          <w:szCs w:val="24"/>
        </w:rPr>
        <w:t>Mann-Whitney U test,</w:t>
      </w:r>
      <w:r w:rsidRPr="00F07DEB">
        <w:rPr>
          <w:rFonts w:ascii="Times New Roman" w:hAnsi="Times New Roman" w:cs="Times New Roman"/>
          <w:sz w:val="24"/>
          <w:szCs w:val="24"/>
        </w:rPr>
        <w:t xml:space="preserve"> </w:t>
      </w:r>
      <w:r w:rsidRPr="00F07DEB">
        <w:rPr>
          <w:rFonts w:ascii="Times New Roman" w:hAnsi="Times New Roman" w:cs="Times New Roman"/>
          <w:i/>
          <w:sz w:val="24"/>
          <w:szCs w:val="24"/>
        </w:rPr>
        <w:t>p</w:t>
      </w:r>
      <w:r w:rsidRPr="00F07DEB">
        <w:rPr>
          <w:rFonts w:ascii="Times New Roman" w:hAnsi="Times New Roman" w:cs="Times New Roman"/>
          <w:sz w:val="24"/>
          <w:szCs w:val="24"/>
        </w:rPr>
        <w:t xml:space="preserve"> &lt; 0.001; Mg,</w:t>
      </w:r>
      <w:r w:rsidR="00421B82" w:rsidRPr="00421B82">
        <w:rPr>
          <w:rFonts w:ascii="Times New Roman" w:hAnsi="Times New Roman" w:cs="Times New Roman"/>
          <w:sz w:val="24"/>
          <w:szCs w:val="24"/>
        </w:rPr>
        <w:t xml:space="preserve"> </w:t>
      </w:r>
      <w:r w:rsidR="00421B82">
        <w:rPr>
          <w:rFonts w:ascii="Times New Roman" w:hAnsi="Times New Roman" w:cs="Times New Roman"/>
          <w:sz w:val="24"/>
          <w:szCs w:val="24"/>
        </w:rPr>
        <w:t>Welch’s t-test,</w:t>
      </w:r>
      <w:r w:rsidRPr="00F07DEB">
        <w:rPr>
          <w:rFonts w:ascii="Times New Roman" w:hAnsi="Times New Roman" w:cs="Times New Roman"/>
          <w:sz w:val="24"/>
          <w:szCs w:val="24"/>
        </w:rPr>
        <w:t xml:space="preserve"> </w:t>
      </w:r>
      <w:r w:rsidRPr="00F07DEB">
        <w:rPr>
          <w:rFonts w:ascii="Times New Roman" w:hAnsi="Times New Roman" w:cs="Times New Roman"/>
          <w:i/>
          <w:sz w:val="24"/>
          <w:szCs w:val="24"/>
        </w:rPr>
        <w:t>p</w:t>
      </w:r>
      <w:r w:rsidRPr="00F07DEB">
        <w:rPr>
          <w:rFonts w:ascii="Times New Roman" w:hAnsi="Times New Roman" w:cs="Times New Roman"/>
          <w:sz w:val="24"/>
          <w:szCs w:val="24"/>
        </w:rPr>
        <w:t xml:space="preserve"> &lt; 0.001; S,</w:t>
      </w:r>
      <w:r w:rsidR="00421B82" w:rsidRPr="00421B82">
        <w:rPr>
          <w:rFonts w:ascii="Times New Roman" w:hAnsi="Times New Roman" w:cs="Times New Roman"/>
          <w:sz w:val="24"/>
          <w:szCs w:val="24"/>
        </w:rPr>
        <w:t xml:space="preserve"> </w:t>
      </w:r>
      <w:r w:rsidR="00421B82">
        <w:rPr>
          <w:rFonts w:ascii="Times New Roman" w:hAnsi="Times New Roman" w:cs="Times New Roman"/>
          <w:sz w:val="24"/>
          <w:szCs w:val="24"/>
        </w:rPr>
        <w:t>Welch’s t-test,</w:t>
      </w:r>
      <w:r w:rsidRPr="00F07DEB">
        <w:rPr>
          <w:rFonts w:ascii="Times New Roman" w:hAnsi="Times New Roman" w:cs="Times New Roman"/>
          <w:sz w:val="24"/>
          <w:szCs w:val="24"/>
        </w:rPr>
        <w:t xml:space="preserve"> </w:t>
      </w:r>
      <w:r w:rsidRPr="00F07DEB">
        <w:rPr>
          <w:rFonts w:ascii="Times New Roman" w:hAnsi="Times New Roman" w:cs="Times New Roman"/>
          <w:i/>
          <w:sz w:val="24"/>
          <w:szCs w:val="24"/>
        </w:rPr>
        <w:t>p</w:t>
      </w:r>
      <w:r w:rsidRPr="00F07DEB">
        <w:rPr>
          <w:rFonts w:ascii="Times New Roman" w:hAnsi="Times New Roman" w:cs="Times New Roman"/>
          <w:sz w:val="24"/>
          <w:szCs w:val="24"/>
        </w:rPr>
        <w:t xml:space="preserve"> &lt; 0.001). </w:t>
      </w:r>
      <w:r w:rsidR="00A3581B" w:rsidRPr="00F07DEB">
        <w:rPr>
          <w:rFonts w:ascii="Times New Roman" w:hAnsi="Times New Roman" w:cs="Times New Roman"/>
          <w:sz w:val="24"/>
          <w:szCs w:val="24"/>
        </w:rPr>
        <w:t>Because K, N, and P mass loadings from irrigation water were substantially smaller than their mass loadings from fertilizer applications, associated toxicity</w:t>
      </w:r>
      <w:r w:rsidR="00A66C97" w:rsidRPr="00F07DEB">
        <w:rPr>
          <w:rFonts w:ascii="Times New Roman" w:hAnsi="Times New Roman" w:cs="Times New Roman"/>
          <w:sz w:val="24"/>
          <w:szCs w:val="24"/>
        </w:rPr>
        <w:t>, which was not witnessed in any plants,</w:t>
      </w:r>
      <w:r w:rsidR="00A3581B" w:rsidRPr="00F07DEB">
        <w:rPr>
          <w:rFonts w:ascii="Times New Roman" w:hAnsi="Times New Roman" w:cs="Times New Roman"/>
          <w:sz w:val="24"/>
          <w:szCs w:val="24"/>
        </w:rPr>
        <w:t xml:space="preserve"> would have</w:t>
      </w:r>
      <w:r w:rsidR="00A66C97" w:rsidRPr="00F07DEB">
        <w:rPr>
          <w:rFonts w:ascii="Times New Roman" w:hAnsi="Times New Roman" w:cs="Times New Roman"/>
          <w:sz w:val="24"/>
          <w:szCs w:val="24"/>
        </w:rPr>
        <w:t xml:space="preserve"> nonetheless</w:t>
      </w:r>
      <w:r w:rsidR="00A3581B" w:rsidRPr="00F07DEB">
        <w:rPr>
          <w:rFonts w:ascii="Times New Roman" w:hAnsi="Times New Roman" w:cs="Times New Roman"/>
          <w:sz w:val="24"/>
          <w:szCs w:val="24"/>
        </w:rPr>
        <w:t xml:space="preserve"> been the result of over-fertilization. </w:t>
      </w:r>
      <w:r w:rsidR="00AB309B" w:rsidRPr="00F07DEB">
        <w:rPr>
          <w:rFonts w:ascii="Times New Roman" w:hAnsi="Times New Roman" w:cs="Times New Roman"/>
          <w:sz w:val="24"/>
          <w:szCs w:val="24"/>
        </w:rPr>
        <w:t>The secondary macronutrients – Ca, Mg, and S – were well above irrigation criteria in the treated mine water</w:t>
      </w:r>
      <w:r w:rsidR="007F7BF6" w:rsidRPr="00F07DEB">
        <w:rPr>
          <w:rFonts w:ascii="Times New Roman" w:hAnsi="Times New Roman" w:cs="Times New Roman"/>
          <w:sz w:val="24"/>
          <w:szCs w:val="24"/>
        </w:rPr>
        <w:t xml:space="preserve"> and approached irrigation criteria in the groundwater. </w:t>
      </w:r>
      <w:r w:rsidR="005A76AD">
        <w:rPr>
          <w:rFonts w:ascii="Times New Roman" w:hAnsi="Times New Roman" w:cs="Times New Roman"/>
          <w:sz w:val="24"/>
          <w:szCs w:val="24"/>
        </w:rPr>
        <w:t>Although</w:t>
      </w:r>
      <w:r w:rsidR="00883624" w:rsidRPr="00F07DEB">
        <w:rPr>
          <w:rFonts w:ascii="Times New Roman" w:hAnsi="Times New Roman" w:cs="Times New Roman"/>
          <w:sz w:val="24"/>
          <w:szCs w:val="24"/>
        </w:rPr>
        <w:t xml:space="preserve"> elevated concentrations of</w:t>
      </w:r>
      <w:r w:rsidR="007F7BF6" w:rsidRPr="00F07DEB">
        <w:rPr>
          <w:rFonts w:ascii="Times New Roman" w:hAnsi="Times New Roman" w:cs="Times New Roman"/>
          <w:sz w:val="24"/>
          <w:szCs w:val="24"/>
        </w:rPr>
        <w:t xml:space="preserve"> Ca, Mg, and S</w:t>
      </w:r>
      <w:r w:rsidR="00AB309B" w:rsidRPr="00F07DEB">
        <w:rPr>
          <w:rFonts w:ascii="Times New Roman" w:hAnsi="Times New Roman" w:cs="Times New Roman"/>
          <w:sz w:val="24"/>
          <w:szCs w:val="24"/>
        </w:rPr>
        <w:t xml:space="preserve"> </w:t>
      </w:r>
      <w:r w:rsidR="007F7BF6" w:rsidRPr="00F07DEB">
        <w:rPr>
          <w:rFonts w:ascii="Times New Roman" w:hAnsi="Times New Roman" w:cs="Times New Roman"/>
          <w:sz w:val="24"/>
          <w:szCs w:val="24"/>
        </w:rPr>
        <w:t>are not commonly associated with direct</w:t>
      </w:r>
      <w:r w:rsidR="00AB309B" w:rsidRPr="00F07DEB">
        <w:rPr>
          <w:rFonts w:ascii="Times New Roman" w:hAnsi="Times New Roman" w:cs="Times New Roman"/>
          <w:sz w:val="24"/>
          <w:szCs w:val="24"/>
        </w:rPr>
        <w:t xml:space="preserve"> toxic</w:t>
      </w:r>
      <w:r w:rsidR="007F7BF6" w:rsidRPr="00F07DEB">
        <w:rPr>
          <w:rFonts w:ascii="Times New Roman" w:hAnsi="Times New Roman" w:cs="Times New Roman"/>
          <w:sz w:val="24"/>
          <w:szCs w:val="24"/>
        </w:rPr>
        <w:t xml:space="preserve">ity in </w:t>
      </w:r>
      <w:r w:rsidR="00883624" w:rsidRPr="00F07DEB">
        <w:rPr>
          <w:rFonts w:ascii="Times New Roman" w:hAnsi="Times New Roman" w:cs="Times New Roman"/>
          <w:sz w:val="24"/>
          <w:szCs w:val="24"/>
        </w:rPr>
        <w:t>plants</w:t>
      </w:r>
      <w:r w:rsidR="007F7BF6" w:rsidRPr="00F07DEB">
        <w:rPr>
          <w:rFonts w:ascii="Times New Roman" w:hAnsi="Times New Roman" w:cs="Times New Roman"/>
          <w:sz w:val="24"/>
          <w:szCs w:val="24"/>
        </w:rPr>
        <w:t xml:space="preserve">, they </w:t>
      </w:r>
      <w:r w:rsidR="00883624" w:rsidRPr="00F07DEB">
        <w:rPr>
          <w:rFonts w:ascii="Times New Roman" w:hAnsi="Times New Roman" w:cs="Times New Roman"/>
          <w:sz w:val="24"/>
          <w:szCs w:val="24"/>
        </w:rPr>
        <w:t xml:space="preserve">can directly and indirectly affect plant health by suppressing growth and fruiting and influencing soil structure </w:t>
      </w:r>
      <w:r w:rsidR="00A4793B"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{"citationID":"cvqnf290","properties":{"formattedCitation":"(Ayers &amp; Westcot, 1985a; McCauley et al., 2011; Pearson, 2003; Richards, 1954; G. M. Ward, 1976)","plainCitation":"(Ayers &amp; Westcot, 1985a; McCauley et al., 2011; Pearson, 2003; Richards, 1954; G. M. Ward, 1976)","dontUpdate":true,"noteIndex":0},"citationItems":[{"id":415,"uris":["http://zotero.org/users/5446453/items/5W5EXXQA"],"uri":["http://zotero.org/users/5446453/items/5W5EXXQA"],"itemData":{"id":415,"type":"webpage","container-title":"Food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id":825,"uris":["http://zotero.org/users/5446453/items/J6IRDEQA"],"uri":["http://zotero.org/users/5446453/items/J6IRDEQA"],"itemData":{"id":825,"type":"article","language":"en","publisher":"Montana State University Extension","source":"Zotero","title":"Functions and Deficiency and Toxicity Symptoms","author":[{"family":"McCauley","given":"Ann"},{"family":"Jones","given":"Clain"},{"family":"Jacobsen","given":"Jeff"}],"issued":{"date-parts":[["2011",6]]}}},{"id":826,"uris":["http://zotero.org/users/5446453/items/VQJM4BFV"],"uri":["http://zotero.org/users/5446453/items/VQJM4BFV"],"itemData":{"id":826,"type":"webpage","container-title":"Montana State University Extension","title":"Basics of Salinity and Sodicity Effects on Soil Physical Properties","URL":"https://waterquality.montana.edu/energy/cbm/background/soil-prop.html","author":[{"family":"Pearson","given":"Krista E."}],"accessed":{"date-parts":[["2020",11,12]]},"issued":{"date-parts":[["2003"]]}}},{"id":828,"uris":["http://zotero.org/users/5446453/items/92W5UACN"],"uri":["http://zotero.org/users/5446453/items/92W5UACN"],"itemData":{"id":828,"type":"article-journal","container-title":"Soil Science","ISSN":"0038-075X","issue":"2","language":"en-US","page":"154","source":"journals.lww.com","title":"Diagnosis and Improvement of Saline and Alkali Soils","volume":"78","author":[{"family":"Richards","given":"L. A."}],"issued":{"date-parts":[["1954",8]]}}},{"id":845,"uris":["http://zotero.org/users/5446453/items/Q57KF98Y"],"uri":["http://zotero.org/users/5446453/items/Q57KF98Y"],"itemData":{"id":845,"type":"article-journal","abstract":"Symptoms of sulphur deficiency and toxicity on greenhouse tomatoes (Lycopersicon esculentum Mill.) and cucumbers (Cucumis sativis L.) were produced experimentally in sand culture and are described in detail. The principal morphological effect was a general depression of growth and fruit production. A S content of less than 0.25% in any plant tissue was associated with severe deficiency. The distribution of S in various plant tissues is shown.","container-title":"Canadian Journal of Plant Science","DOI":"10.4141/cjps76-020","ISSN":"0008-4220, 1918-1833","issue":"1","journalAbbreviation":"Can. J. Plant Sci.","language":"en","page":"133-137","source":"DOI.org (Crossref)","title":"Sulphur deficiency and toxicity symptoms in greenhouse tomatoes and cucumbers","volume":"56","author":[{"family":"Ward","given":"G. M."}],"issued":{"date-parts":[["1976",1,1]]}}}],"schema":"https://github.com/citation-style-language/schema/raw/master/csl-citation.json"} </w:instrText>
      </w:r>
      <w:r w:rsidR="00A4793B" w:rsidRPr="00F07DEB">
        <w:rPr>
          <w:rFonts w:ascii="Times New Roman" w:hAnsi="Times New Roman" w:cs="Times New Roman"/>
          <w:sz w:val="24"/>
          <w:szCs w:val="24"/>
        </w:rPr>
        <w:fldChar w:fldCharType="separate"/>
      </w:r>
      <w:r w:rsidR="00FF5DF8" w:rsidRPr="00FF5DF8">
        <w:rPr>
          <w:rFonts w:ascii="Times New Roman" w:hAnsi="Times New Roman" w:cs="Times New Roman"/>
          <w:sz w:val="24"/>
        </w:rPr>
        <w:t xml:space="preserve">(Ayers </w:t>
      </w:r>
      <w:r w:rsidR="002A6AB5">
        <w:rPr>
          <w:rFonts w:ascii="Times New Roman" w:hAnsi="Times New Roman" w:cs="Times New Roman"/>
          <w:sz w:val="24"/>
        </w:rPr>
        <w:t>and</w:t>
      </w:r>
      <w:r w:rsidR="00FF5DF8" w:rsidRPr="00FF5DF8">
        <w:rPr>
          <w:rFonts w:ascii="Times New Roman" w:hAnsi="Times New Roman" w:cs="Times New Roman"/>
          <w:sz w:val="24"/>
        </w:rPr>
        <w:t xml:space="preserve"> Westcot, 1985a; McCauley et al., 2011; Pear</w:t>
      </w:r>
      <w:r w:rsidR="004B13BE">
        <w:rPr>
          <w:rFonts w:ascii="Times New Roman" w:hAnsi="Times New Roman" w:cs="Times New Roman"/>
          <w:sz w:val="24"/>
        </w:rPr>
        <w:t>son, 2003; Richards, 1954;</w:t>
      </w:r>
      <w:r w:rsidR="00FF5DF8" w:rsidRPr="00FF5DF8">
        <w:rPr>
          <w:rFonts w:ascii="Times New Roman" w:hAnsi="Times New Roman" w:cs="Times New Roman"/>
          <w:sz w:val="24"/>
        </w:rPr>
        <w:t xml:space="preserve"> Ward, 1976)</w:t>
      </w:r>
      <w:r w:rsidR="00A4793B" w:rsidRPr="00F07DEB">
        <w:rPr>
          <w:rFonts w:ascii="Times New Roman" w:hAnsi="Times New Roman" w:cs="Times New Roman"/>
          <w:sz w:val="24"/>
          <w:szCs w:val="24"/>
        </w:rPr>
        <w:fldChar w:fldCharType="end"/>
      </w:r>
      <w:r w:rsidR="00883624" w:rsidRPr="00F07DEB">
        <w:rPr>
          <w:rFonts w:ascii="Times New Roman" w:hAnsi="Times New Roman" w:cs="Times New Roman"/>
          <w:sz w:val="24"/>
          <w:szCs w:val="24"/>
        </w:rPr>
        <w:t>.</w:t>
      </w:r>
      <w:r w:rsidR="00AB309B" w:rsidRPr="00F07DEB">
        <w:rPr>
          <w:rFonts w:ascii="Times New Roman" w:hAnsi="Times New Roman" w:cs="Times New Roman"/>
          <w:sz w:val="24"/>
          <w:szCs w:val="24"/>
        </w:rPr>
        <w:t xml:space="preserve"> </w:t>
      </w:r>
    </w:p>
    <w:p w14:paraId="0F798866" w14:textId="431431B0" w:rsidR="00DA4F86" w:rsidRPr="00F07DEB" w:rsidRDefault="00A66C97" w:rsidP="00CE3D29">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The micronutrients – Fe, </w:t>
      </w:r>
      <w:proofErr w:type="spellStart"/>
      <w:r w:rsidRPr="00F07DEB">
        <w:rPr>
          <w:rFonts w:ascii="Times New Roman" w:hAnsi="Times New Roman" w:cs="Times New Roman"/>
          <w:sz w:val="24"/>
          <w:szCs w:val="24"/>
        </w:rPr>
        <w:t>Mn</w:t>
      </w:r>
      <w:proofErr w:type="spellEnd"/>
      <w:r w:rsidRPr="00F07DEB">
        <w:rPr>
          <w:rFonts w:ascii="Times New Roman" w:hAnsi="Times New Roman" w:cs="Times New Roman"/>
          <w:sz w:val="24"/>
          <w:szCs w:val="24"/>
        </w:rPr>
        <w:t xml:space="preserve">, Ni, and Zn – are beneficial for plants in small quantities but can become toxic influences at elevated concentrations </w:t>
      </w:r>
      <w:r w:rsidRPr="00F07DEB">
        <w:rPr>
          <w:rFonts w:ascii="Times New Roman" w:hAnsi="Times New Roman" w:cs="Times New Roman"/>
          <w:sz w:val="24"/>
          <w:szCs w:val="24"/>
        </w:rPr>
        <w:fldChar w:fldCharType="begin"/>
      </w:r>
      <w:r w:rsidRPr="00F07DEB">
        <w:rPr>
          <w:rFonts w:ascii="Times New Roman" w:hAnsi="Times New Roman" w:cs="Times New Roman"/>
          <w:sz w:val="24"/>
          <w:szCs w:val="24"/>
        </w:rPr>
        <w:instrText xml:space="preserve"> ADDIN ZOTERO_ITEM CSL_CITATION {"citationID":"HffaksGl","properties":{"formattedCitation":"(McCauley et al., 2011)","plainCitation":"(McCauley et al., 2011)","noteIndex":0},"citationItems":[{"id":825,"uris":["http://zotero.org/users/5446453/items/J6IRDEQA"],"uri":["http://zotero.org/users/5446453/items/J6IRDEQA"],"itemData":{"id":825,"type":"article","language":"en","publisher":"Montana State University Extension","source":"Zotero","title":"Functions and Deficiency and Toxicity Symptoms","author":[{"family":"McCauley","given":"Ann"},{"family":"Jones","given":"Clain"},{"family":"Jacobsen","given":"Jeff"}],"issued":{"date-parts":[["2011",6]]}}}],"schema":"https://github.com/citation-style-language/schema/raw/master/csl-citation.json"} </w:instrText>
      </w:r>
      <w:r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(McCauley et al., 2011)</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However, these particular micronutrients are efficiently sequestered during treatment at MRPTS and were within </w:t>
      </w:r>
      <w:r w:rsidRPr="00F07DEB">
        <w:rPr>
          <w:rFonts w:ascii="Times New Roman" w:hAnsi="Times New Roman" w:cs="Times New Roman"/>
          <w:sz w:val="24"/>
          <w:szCs w:val="24"/>
        </w:rPr>
        <w:lastRenderedPageBreak/>
        <w:t xml:space="preserve">recommended irrigation criteria in both water sources. </w:t>
      </w:r>
      <w:r w:rsidR="00947F12" w:rsidRPr="00F07DEB">
        <w:rPr>
          <w:rFonts w:ascii="Times New Roman" w:hAnsi="Times New Roman" w:cs="Times New Roman"/>
          <w:sz w:val="24"/>
          <w:szCs w:val="24"/>
        </w:rPr>
        <w:t>Of the four micronutrients, only Ni concentrations were significantly different between irrigation waters (</w:t>
      </w:r>
      <w:r w:rsidR="00421B82">
        <w:rPr>
          <w:rFonts w:ascii="Times New Roman" w:hAnsi="Times New Roman" w:cs="Times New Roman"/>
          <w:sz w:val="24"/>
          <w:szCs w:val="24"/>
        </w:rPr>
        <w:t xml:space="preserve">Welch’s t-test, </w:t>
      </w:r>
      <w:r w:rsidR="00947F12" w:rsidRPr="00F07DEB">
        <w:rPr>
          <w:rFonts w:ascii="Times New Roman" w:hAnsi="Times New Roman" w:cs="Times New Roman"/>
          <w:i/>
          <w:sz w:val="24"/>
          <w:szCs w:val="24"/>
        </w:rPr>
        <w:t>p</w:t>
      </w:r>
      <w:r w:rsidR="00947F12" w:rsidRPr="00F07DEB">
        <w:rPr>
          <w:rFonts w:ascii="Times New Roman" w:hAnsi="Times New Roman" w:cs="Times New Roman"/>
          <w:sz w:val="24"/>
          <w:szCs w:val="24"/>
        </w:rPr>
        <w:t xml:space="preserve"> = 0.003). </w:t>
      </w:r>
      <w:r w:rsidRPr="00F07DEB">
        <w:rPr>
          <w:rFonts w:ascii="Times New Roman" w:hAnsi="Times New Roman" w:cs="Times New Roman"/>
          <w:sz w:val="24"/>
          <w:szCs w:val="24"/>
        </w:rPr>
        <w:t>Furthermore, with the exception of Ni, fertilizer was responsible for the majority of micronutrient mass loading. In one sense, the use of fertilizer ob</w:t>
      </w:r>
      <w:r w:rsidR="00947F12" w:rsidRPr="00F07DEB">
        <w:rPr>
          <w:rFonts w:ascii="Times New Roman" w:hAnsi="Times New Roman" w:cs="Times New Roman"/>
          <w:sz w:val="24"/>
          <w:szCs w:val="24"/>
        </w:rPr>
        <w:t xml:space="preserve">scured the treatment effect, but this ambiguity is indicative of the irrigation waters’ </w:t>
      </w:r>
      <w:r w:rsidRPr="00F07DEB">
        <w:rPr>
          <w:rFonts w:ascii="Times New Roman" w:hAnsi="Times New Roman" w:cs="Times New Roman"/>
          <w:sz w:val="24"/>
          <w:szCs w:val="24"/>
        </w:rPr>
        <w:t xml:space="preserve">low </w:t>
      </w:r>
      <w:r w:rsidR="00947F12" w:rsidRPr="00F07DEB">
        <w:rPr>
          <w:rFonts w:ascii="Times New Roman" w:hAnsi="Times New Roman" w:cs="Times New Roman"/>
          <w:sz w:val="24"/>
          <w:szCs w:val="24"/>
        </w:rPr>
        <w:t>micro-mineral</w:t>
      </w:r>
      <w:r w:rsidRPr="00F07DEB">
        <w:rPr>
          <w:rFonts w:ascii="Times New Roman" w:hAnsi="Times New Roman" w:cs="Times New Roman"/>
          <w:sz w:val="24"/>
          <w:szCs w:val="24"/>
        </w:rPr>
        <w:t xml:space="preserve"> and nutrient concentrations</w:t>
      </w:r>
      <w:r w:rsidR="00947F12" w:rsidRPr="00F07DEB">
        <w:rPr>
          <w:rFonts w:ascii="Times New Roman" w:hAnsi="Times New Roman" w:cs="Times New Roman"/>
          <w:sz w:val="24"/>
          <w:szCs w:val="24"/>
        </w:rPr>
        <w:t xml:space="preserve"> and minimal irrigation-induced toxicity risk</w:t>
      </w:r>
      <w:r w:rsidRPr="00F07DEB">
        <w:rPr>
          <w:rFonts w:ascii="Times New Roman" w:hAnsi="Times New Roman" w:cs="Times New Roman"/>
          <w:sz w:val="24"/>
          <w:szCs w:val="24"/>
        </w:rPr>
        <w:t xml:space="preserve"> </w:t>
      </w:r>
      <w:r w:rsidR="00947F12" w:rsidRPr="00F07DEB">
        <w:rPr>
          <w:rFonts w:ascii="Times New Roman" w:hAnsi="Times New Roman" w:cs="Times New Roman"/>
          <w:sz w:val="24"/>
          <w:szCs w:val="24"/>
        </w:rPr>
        <w:t>– not of abnormal fertilization practices</w:t>
      </w:r>
      <w:r w:rsidR="00557EB9">
        <w:rPr>
          <w:rFonts w:ascii="Times New Roman" w:hAnsi="Times New Roman" w:cs="Times New Roman"/>
          <w:sz w:val="24"/>
          <w:szCs w:val="24"/>
        </w:rPr>
        <w:t xml:space="preserve"> – although direct comparison of these results to field-scale agricultural practices warrants more study</w:t>
      </w:r>
      <w:r w:rsidR="00947F12" w:rsidRPr="00F07DEB">
        <w:rPr>
          <w:rFonts w:ascii="Times New Roman" w:hAnsi="Times New Roman" w:cs="Times New Roman"/>
          <w:sz w:val="24"/>
          <w:szCs w:val="24"/>
        </w:rPr>
        <w:t xml:space="preserve">. </w:t>
      </w:r>
      <w:r w:rsidR="00EA091B" w:rsidRPr="00F07DEB">
        <w:rPr>
          <w:rFonts w:ascii="Times New Roman" w:hAnsi="Times New Roman" w:cs="Times New Roman"/>
          <w:sz w:val="24"/>
          <w:szCs w:val="24"/>
        </w:rPr>
        <w:t>The non-essential elements (Cd</w:t>
      </w:r>
      <w:r w:rsidR="00D249F8" w:rsidRPr="00F07DEB">
        <w:rPr>
          <w:rFonts w:ascii="Times New Roman" w:hAnsi="Times New Roman" w:cs="Times New Roman"/>
          <w:sz w:val="24"/>
          <w:szCs w:val="24"/>
        </w:rPr>
        <w:t>,</w:t>
      </w:r>
      <w:r w:rsidR="00EA091B" w:rsidRPr="00F07DEB">
        <w:rPr>
          <w:rFonts w:ascii="Times New Roman" w:hAnsi="Times New Roman" w:cs="Times New Roman"/>
          <w:sz w:val="24"/>
          <w:szCs w:val="24"/>
        </w:rPr>
        <w:t xml:space="preserve"> </w:t>
      </w:r>
      <w:proofErr w:type="spellStart"/>
      <w:r w:rsidR="00EA091B" w:rsidRPr="00F07DEB">
        <w:rPr>
          <w:rFonts w:ascii="Times New Roman" w:hAnsi="Times New Roman" w:cs="Times New Roman"/>
          <w:sz w:val="24"/>
          <w:szCs w:val="24"/>
        </w:rPr>
        <w:t>Pb</w:t>
      </w:r>
      <w:proofErr w:type="spellEnd"/>
      <w:r w:rsidR="00D249F8" w:rsidRPr="00F07DEB">
        <w:rPr>
          <w:rFonts w:ascii="Times New Roman" w:hAnsi="Times New Roman" w:cs="Times New Roman"/>
          <w:sz w:val="24"/>
          <w:szCs w:val="24"/>
        </w:rPr>
        <w:t>, and Na</w:t>
      </w:r>
      <w:r w:rsidR="00EA091B" w:rsidRPr="00F07DEB">
        <w:rPr>
          <w:rFonts w:ascii="Times New Roman" w:hAnsi="Times New Roman" w:cs="Times New Roman"/>
          <w:sz w:val="24"/>
          <w:szCs w:val="24"/>
        </w:rPr>
        <w:t>) were predominantly contributed on a mass-load basis by the irrigation waters</w:t>
      </w:r>
      <w:r w:rsidR="002E6906" w:rsidRPr="00F07DEB">
        <w:rPr>
          <w:rFonts w:ascii="Times New Roman" w:hAnsi="Times New Roman" w:cs="Times New Roman"/>
          <w:sz w:val="24"/>
          <w:szCs w:val="24"/>
        </w:rPr>
        <w:t xml:space="preserve"> – not the fertilizer –</w:t>
      </w:r>
      <w:r w:rsidR="00EA091B" w:rsidRPr="00F07DEB">
        <w:rPr>
          <w:rFonts w:ascii="Times New Roman" w:hAnsi="Times New Roman" w:cs="Times New Roman"/>
          <w:sz w:val="24"/>
          <w:szCs w:val="24"/>
        </w:rPr>
        <w:t xml:space="preserve"> albeit at concentrations below irrigation criteria. </w:t>
      </w:r>
      <w:r w:rsidR="001E1298">
        <w:rPr>
          <w:rFonts w:ascii="Times New Roman" w:hAnsi="Times New Roman" w:cs="Times New Roman"/>
          <w:sz w:val="24"/>
          <w:szCs w:val="24"/>
        </w:rPr>
        <w:t xml:space="preserve">Furthermore, Cd concentrations in both irrigation waters were below the PQL </w:t>
      </w:r>
      <w:r w:rsidR="001E1298" w:rsidRPr="00F07DEB">
        <w:rPr>
          <w:rFonts w:ascii="Times New Roman" w:hAnsi="Times New Roman" w:cs="Times New Roman"/>
          <w:sz w:val="24"/>
          <w:szCs w:val="24"/>
        </w:rPr>
        <w:t>(practical quantitation limit)</w:t>
      </w:r>
      <w:r w:rsidR="001E1298">
        <w:rPr>
          <w:rFonts w:ascii="Times New Roman" w:hAnsi="Times New Roman" w:cs="Times New Roman"/>
          <w:sz w:val="24"/>
          <w:szCs w:val="24"/>
        </w:rPr>
        <w:t xml:space="preserve"> but were above the method detection level (MDL) in all MRPTS samples and in half of the ARFGW samples; </w:t>
      </w:r>
      <w:r w:rsidR="00305ED7">
        <w:rPr>
          <w:rFonts w:ascii="Times New Roman" w:hAnsi="Times New Roman" w:cs="Times New Roman"/>
          <w:sz w:val="24"/>
          <w:szCs w:val="24"/>
        </w:rPr>
        <w:t xml:space="preserve">per EPA recommendation, </w:t>
      </w:r>
      <w:r w:rsidR="001E1298">
        <w:rPr>
          <w:rFonts w:ascii="Times New Roman" w:hAnsi="Times New Roman" w:cs="Times New Roman"/>
          <w:sz w:val="24"/>
          <w:szCs w:val="24"/>
        </w:rPr>
        <w:t xml:space="preserve">concentrations above the MDL but below the PQL were reported </w:t>
      </w:r>
      <w:r w:rsidR="00305ED7">
        <w:rPr>
          <w:rFonts w:ascii="Times New Roman" w:hAnsi="Times New Roman" w:cs="Times New Roman"/>
          <w:sz w:val="24"/>
          <w:szCs w:val="24"/>
        </w:rPr>
        <w:t xml:space="preserve">to communicate the relative presence of Cd in both irrigation waters </w:t>
      </w:r>
      <w:r w:rsidR="00305ED7">
        <w:rPr>
          <w:rFonts w:ascii="Times New Roman" w:hAnsi="Times New Roman" w:cs="Times New Roman"/>
          <w:sz w:val="24"/>
          <w:szCs w:val="24"/>
        </w:rPr>
        <w:fldChar w:fldCharType="begin"/>
      </w:r>
      <w:r w:rsidR="00FF5DF8">
        <w:rPr>
          <w:rFonts w:ascii="Times New Roman" w:hAnsi="Times New Roman" w:cs="Times New Roman"/>
          <w:sz w:val="24"/>
          <w:szCs w:val="24"/>
        </w:rPr>
        <w:instrText xml:space="preserve"> ADDIN ZOTERO_ITEM CSL_CITATION {"citationID":"a12cut3pvn4","properties":{"formattedCitation":"(USEPA, 2006)","plainCitation":"(USEPA, 2006)","noteIndex":0},"citationItems":[{"id":916,"uris":["http://zotero.org/users/5446453/items/IWVZK59P"],"uri":["http://zotero.org/users/5446453/items/IWVZK59P"],"itemData":{"id":916,"type":"article","title":"Region III Quality Assurance MDL Factsheet","URL":"https://www.epa.gov/sites/production/files/2015-06/documents/whatthel.pdf","author":[{"literal":"USEPA"}],"accessed":{"date-parts":[["2020",11,19]]},"issued":{"date-parts":[["2006",3,17]]}}}],"schema":"https://github.com/citation-style-language/schema/raw/master/csl-citation.json"} </w:instrText>
      </w:r>
      <w:r w:rsidR="00305ED7">
        <w:rPr>
          <w:rFonts w:ascii="Times New Roman" w:hAnsi="Times New Roman" w:cs="Times New Roman"/>
          <w:sz w:val="24"/>
          <w:szCs w:val="24"/>
        </w:rPr>
        <w:fldChar w:fldCharType="separate"/>
      </w:r>
      <w:r w:rsidR="00234033" w:rsidRPr="00234033">
        <w:rPr>
          <w:rFonts w:ascii="Times New Roman" w:hAnsi="Times New Roman" w:cs="Times New Roman"/>
          <w:sz w:val="24"/>
        </w:rPr>
        <w:t>(USEPA, 2006)</w:t>
      </w:r>
      <w:r w:rsidR="00305ED7">
        <w:rPr>
          <w:rFonts w:ascii="Times New Roman" w:hAnsi="Times New Roman" w:cs="Times New Roman"/>
          <w:sz w:val="24"/>
          <w:szCs w:val="24"/>
        </w:rPr>
        <w:fldChar w:fldCharType="end"/>
      </w:r>
      <w:r w:rsidR="00305ED7">
        <w:rPr>
          <w:rFonts w:ascii="Times New Roman" w:hAnsi="Times New Roman" w:cs="Times New Roman"/>
          <w:sz w:val="24"/>
          <w:szCs w:val="24"/>
        </w:rPr>
        <w:t>.</w:t>
      </w:r>
      <w:r w:rsidR="007B463F">
        <w:rPr>
          <w:rFonts w:ascii="Times New Roman" w:hAnsi="Times New Roman" w:cs="Times New Roman"/>
          <w:sz w:val="24"/>
          <w:szCs w:val="24"/>
        </w:rPr>
        <w:t xml:space="preserve"> </w:t>
      </w:r>
      <w:r w:rsidR="007B463F" w:rsidRPr="00F07DEB">
        <w:rPr>
          <w:rFonts w:ascii="Times New Roman" w:hAnsi="Times New Roman" w:cs="Times New Roman"/>
          <w:sz w:val="24"/>
          <w:szCs w:val="24"/>
        </w:rPr>
        <w:t>Alkalinit</w:t>
      </w:r>
      <w:r w:rsidR="007B463F">
        <w:rPr>
          <w:rFonts w:ascii="Times New Roman" w:hAnsi="Times New Roman" w:cs="Times New Roman"/>
          <w:sz w:val="24"/>
          <w:szCs w:val="24"/>
        </w:rPr>
        <w:t>y</w:t>
      </w:r>
      <w:r w:rsidR="007B463F" w:rsidRPr="00F07DEB">
        <w:rPr>
          <w:rFonts w:ascii="Times New Roman" w:hAnsi="Times New Roman" w:cs="Times New Roman"/>
          <w:sz w:val="24"/>
          <w:szCs w:val="24"/>
        </w:rPr>
        <w:t xml:space="preserve"> as CaCO</w:t>
      </w:r>
      <w:r w:rsidR="007B463F" w:rsidRPr="00F07DEB">
        <w:rPr>
          <w:rFonts w:ascii="Times New Roman" w:hAnsi="Times New Roman" w:cs="Times New Roman"/>
          <w:sz w:val="24"/>
          <w:szCs w:val="24"/>
          <w:vertAlign w:val="subscript"/>
        </w:rPr>
        <w:t>3</w:t>
      </w:r>
      <w:r w:rsidR="007B463F" w:rsidRPr="00F07DEB">
        <w:rPr>
          <w:rFonts w:ascii="Times New Roman" w:hAnsi="Times New Roman" w:cs="Times New Roman"/>
          <w:sz w:val="24"/>
          <w:szCs w:val="24"/>
        </w:rPr>
        <w:t xml:space="preserve"> w</w:t>
      </w:r>
      <w:r w:rsidR="007B463F">
        <w:rPr>
          <w:rFonts w:ascii="Times New Roman" w:hAnsi="Times New Roman" w:cs="Times New Roman"/>
          <w:sz w:val="24"/>
          <w:szCs w:val="24"/>
        </w:rPr>
        <w:t>as</w:t>
      </w:r>
      <w:r w:rsidR="007B463F" w:rsidRPr="00F07DEB">
        <w:rPr>
          <w:rFonts w:ascii="Times New Roman" w:hAnsi="Times New Roman" w:cs="Times New Roman"/>
          <w:sz w:val="24"/>
          <w:szCs w:val="24"/>
        </w:rPr>
        <w:t xml:space="preserve"> significantly different in the irrigation treatments (</w:t>
      </w:r>
      <w:r w:rsidR="007B463F">
        <w:rPr>
          <w:rFonts w:ascii="Times New Roman" w:hAnsi="Times New Roman" w:cs="Times New Roman"/>
          <w:sz w:val="24"/>
          <w:szCs w:val="24"/>
        </w:rPr>
        <w:t xml:space="preserve">Mann-Whitney U test, </w:t>
      </w:r>
      <w:r w:rsidR="007B463F" w:rsidRPr="00F07DEB">
        <w:rPr>
          <w:rFonts w:ascii="Times New Roman" w:hAnsi="Times New Roman" w:cs="Times New Roman"/>
          <w:i/>
          <w:sz w:val="24"/>
          <w:szCs w:val="24"/>
        </w:rPr>
        <w:t>p</w:t>
      </w:r>
      <w:r w:rsidR="007B463F">
        <w:rPr>
          <w:rFonts w:ascii="Times New Roman" w:hAnsi="Times New Roman" w:cs="Times New Roman"/>
          <w:sz w:val="24"/>
          <w:szCs w:val="24"/>
        </w:rPr>
        <w:t xml:space="preserve"> =</w:t>
      </w:r>
      <w:r w:rsidR="007B463F" w:rsidRPr="00F07DEB">
        <w:rPr>
          <w:rFonts w:ascii="Times New Roman" w:hAnsi="Times New Roman" w:cs="Times New Roman"/>
          <w:sz w:val="24"/>
          <w:szCs w:val="24"/>
        </w:rPr>
        <w:t xml:space="preserve"> 0.001), and the mean groundwater concentration exceeded the irrigation criterion.</w:t>
      </w:r>
    </w:p>
    <w:p w14:paraId="71F837C5" w14:textId="77777777" w:rsidR="000C3519" w:rsidRPr="00F07DEB" w:rsidRDefault="000C3519">
      <w:pPr>
        <w:rPr>
          <w:rFonts w:ascii="Times New Roman" w:hAnsi="Times New Roman" w:cs="Times New Roman"/>
          <w:b/>
          <w:sz w:val="20"/>
          <w:szCs w:val="20"/>
        </w:rPr>
      </w:pPr>
      <w:bookmarkStart w:id="84" w:name="_Ref55901272"/>
      <w:r w:rsidRPr="00F07DEB">
        <w:rPr>
          <w:rFonts w:ascii="Times New Roman" w:hAnsi="Times New Roman" w:cs="Times New Roman"/>
        </w:rPr>
        <w:br w:type="page"/>
      </w:r>
    </w:p>
    <w:p w14:paraId="77A5762A" w14:textId="2C333209" w:rsidR="00086C3F" w:rsidRPr="00F07DEB" w:rsidRDefault="00086C3F" w:rsidP="00204C13">
      <w:pPr>
        <w:pStyle w:val="Caption"/>
      </w:pPr>
      <w:bookmarkStart w:id="85" w:name="_Toc58975200"/>
      <w:r w:rsidRPr="00F07DEB">
        <w:lastRenderedPageBreak/>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14</w:t>
      </w:r>
      <w:r w:rsidR="00DE3B90" w:rsidRPr="00F07DEB">
        <w:rPr>
          <w:noProof/>
        </w:rPr>
        <w:fldChar w:fldCharType="end"/>
      </w:r>
      <w:bookmarkEnd w:id="84"/>
      <w:r w:rsidRPr="00F07DEB">
        <w:t>: Dissolved metals, anions, and physicochemical parameters measured in the irrigation waters</w:t>
      </w:r>
      <w:bookmarkEnd w:id="85"/>
    </w:p>
    <w:tbl>
      <w:tblPr>
        <w:tblW w:w="5000" w:type="pct"/>
        <w:tblLayout w:type="fixed"/>
        <w:tblLook w:val="04A0" w:firstRow="1" w:lastRow="0" w:firstColumn="1" w:lastColumn="0" w:noHBand="0" w:noVBand="1"/>
      </w:tblPr>
      <w:tblGrid>
        <w:gridCol w:w="2147"/>
        <w:gridCol w:w="1275"/>
        <w:gridCol w:w="1709"/>
        <w:gridCol w:w="1709"/>
        <w:gridCol w:w="1170"/>
        <w:gridCol w:w="1350"/>
      </w:tblGrid>
      <w:tr w:rsidR="00F9641D" w:rsidRPr="00F07DEB" w14:paraId="2FC34D5A" w14:textId="07AAF10F" w:rsidTr="00F07DEB">
        <w:trPr>
          <w:trHeight w:val="300"/>
        </w:trPr>
        <w:tc>
          <w:tcPr>
            <w:tcW w:w="1828" w:type="pct"/>
            <w:gridSpan w:val="2"/>
            <w:tcBorders>
              <w:top w:val="single" w:sz="8" w:space="0" w:color="auto"/>
              <w:left w:val="nil"/>
              <w:bottom w:val="single" w:sz="8" w:space="0" w:color="auto"/>
              <w:right w:val="nil"/>
            </w:tcBorders>
            <w:noWrap/>
            <w:vAlign w:val="center"/>
            <w:hideMark/>
          </w:tcPr>
          <w:p w14:paraId="05BC09A5"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Parameter</w:t>
            </w:r>
          </w:p>
        </w:tc>
        <w:tc>
          <w:tcPr>
            <w:tcW w:w="913" w:type="pct"/>
            <w:tcBorders>
              <w:top w:val="single" w:sz="8" w:space="0" w:color="auto"/>
              <w:left w:val="nil"/>
              <w:bottom w:val="single" w:sz="8" w:space="0" w:color="auto"/>
              <w:right w:val="nil"/>
            </w:tcBorders>
            <w:noWrap/>
            <w:vAlign w:val="center"/>
            <w:hideMark/>
          </w:tcPr>
          <w:p w14:paraId="19CAA23C"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ARFGW</w:t>
            </w:r>
          </w:p>
        </w:tc>
        <w:tc>
          <w:tcPr>
            <w:tcW w:w="913" w:type="pct"/>
            <w:tcBorders>
              <w:top w:val="single" w:sz="8" w:space="0" w:color="auto"/>
              <w:left w:val="nil"/>
              <w:bottom w:val="single" w:sz="8" w:space="0" w:color="auto"/>
              <w:right w:val="nil"/>
            </w:tcBorders>
            <w:noWrap/>
            <w:vAlign w:val="center"/>
            <w:hideMark/>
          </w:tcPr>
          <w:p w14:paraId="0DBEA07B"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MRPTS</w:t>
            </w:r>
          </w:p>
        </w:tc>
        <w:tc>
          <w:tcPr>
            <w:tcW w:w="625" w:type="pct"/>
            <w:tcBorders>
              <w:top w:val="single" w:sz="8" w:space="0" w:color="auto"/>
              <w:left w:val="nil"/>
              <w:bottom w:val="single" w:sz="8" w:space="0" w:color="auto"/>
              <w:right w:val="nil"/>
            </w:tcBorders>
            <w:noWrap/>
            <w:vAlign w:val="center"/>
            <w:hideMark/>
          </w:tcPr>
          <w:p w14:paraId="651F4980" w14:textId="77777777" w:rsidR="00F9641D" w:rsidRPr="00F07DEB" w:rsidRDefault="00F9641D" w:rsidP="00F07DEB">
            <w:pPr>
              <w:spacing w:after="0"/>
              <w:rPr>
                <w:rFonts w:ascii="Times New Roman" w:hAnsi="Times New Roman" w:cs="Times New Roman"/>
                <w:i/>
                <w:iCs/>
                <w:sz w:val="20"/>
                <w:szCs w:val="20"/>
              </w:rPr>
            </w:pPr>
            <w:r w:rsidRPr="00F07DEB">
              <w:rPr>
                <w:rFonts w:ascii="Times New Roman" w:hAnsi="Times New Roman" w:cs="Times New Roman"/>
                <w:i/>
                <w:iCs/>
                <w:sz w:val="20"/>
                <w:szCs w:val="20"/>
              </w:rPr>
              <w:t>p</w:t>
            </w:r>
          </w:p>
        </w:tc>
        <w:tc>
          <w:tcPr>
            <w:tcW w:w="721" w:type="pct"/>
            <w:tcBorders>
              <w:top w:val="single" w:sz="8" w:space="0" w:color="auto"/>
              <w:left w:val="nil"/>
              <w:bottom w:val="single" w:sz="8" w:space="0" w:color="auto"/>
              <w:right w:val="nil"/>
            </w:tcBorders>
            <w:vAlign w:val="center"/>
          </w:tcPr>
          <w:p w14:paraId="43EE6FAA" w14:textId="772AB366" w:rsidR="00F9641D" w:rsidRPr="00F07DEB" w:rsidRDefault="00AB309B" w:rsidP="00F07DEB">
            <w:pPr>
              <w:spacing w:after="0"/>
              <w:rPr>
                <w:rFonts w:ascii="Times New Roman" w:hAnsi="Times New Roman" w:cs="Times New Roman"/>
                <w:iCs/>
                <w:sz w:val="20"/>
                <w:szCs w:val="20"/>
              </w:rPr>
            </w:pPr>
            <w:r w:rsidRPr="00F07DEB">
              <w:rPr>
                <w:rFonts w:ascii="Times New Roman" w:hAnsi="Times New Roman" w:cs="Times New Roman"/>
                <w:iCs/>
                <w:sz w:val="20"/>
                <w:szCs w:val="20"/>
              </w:rPr>
              <w:t>Irrigation Criteria</w:t>
            </w:r>
          </w:p>
        </w:tc>
      </w:tr>
      <w:tr w:rsidR="00F9641D" w:rsidRPr="00F07DEB" w14:paraId="693A6A45" w14:textId="2D3EB4D6" w:rsidTr="00A02B1F">
        <w:trPr>
          <w:trHeight w:val="292"/>
        </w:trPr>
        <w:tc>
          <w:tcPr>
            <w:tcW w:w="1147" w:type="pct"/>
            <w:vMerge w:val="restart"/>
            <w:tcBorders>
              <w:top w:val="single" w:sz="8" w:space="0" w:color="auto"/>
              <w:left w:val="nil"/>
              <w:right w:val="nil"/>
            </w:tcBorders>
            <w:hideMark/>
          </w:tcPr>
          <w:p w14:paraId="727B4258" w14:textId="28F5C64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Dissolved metals (mg/L)</w:t>
            </w:r>
          </w:p>
        </w:tc>
        <w:tc>
          <w:tcPr>
            <w:tcW w:w="681" w:type="pct"/>
            <w:tcBorders>
              <w:top w:val="single" w:sz="8" w:space="0" w:color="auto"/>
              <w:left w:val="nil"/>
              <w:bottom w:val="nil"/>
              <w:right w:val="nil"/>
            </w:tcBorders>
            <w:noWrap/>
            <w:vAlign w:val="center"/>
            <w:hideMark/>
          </w:tcPr>
          <w:p w14:paraId="7DAD2333"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Ca</w:t>
            </w:r>
          </w:p>
        </w:tc>
        <w:tc>
          <w:tcPr>
            <w:tcW w:w="913" w:type="pct"/>
            <w:tcBorders>
              <w:top w:val="single" w:sz="8" w:space="0" w:color="auto"/>
              <w:left w:val="nil"/>
              <w:bottom w:val="nil"/>
              <w:right w:val="nil"/>
            </w:tcBorders>
            <w:noWrap/>
            <w:vAlign w:val="center"/>
            <w:hideMark/>
          </w:tcPr>
          <w:p w14:paraId="762C57D5"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94.2 ± 59.8</w:t>
            </w:r>
          </w:p>
        </w:tc>
        <w:tc>
          <w:tcPr>
            <w:tcW w:w="913" w:type="pct"/>
            <w:tcBorders>
              <w:top w:val="single" w:sz="8" w:space="0" w:color="auto"/>
              <w:left w:val="nil"/>
              <w:bottom w:val="nil"/>
              <w:right w:val="nil"/>
            </w:tcBorders>
            <w:noWrap/>
            <w:vAlign w:val="center"/>
            <w:hideMark/>
          </w:tcPr>
          <w:p w14:paraId="1E326D68"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608 ± 29.3</w:t>
            </w:r>
          </w:p>
        </w:tc>
        <w:tc>
          <w:tcPr>
            <w:tcW w:w="625" w:type="pct"/>
            <w:tcBorders>
              <w:top w:val="single" w:sz="8" w:space="0" w:color="auto"/>
              <w:left w:val="nil"/>
              <w:bottom w:val="nil"/>
              <w:right w:val="nil"/>
            </w:tcBorders>
            <w:noWrap/>
            <w:vAlign w:val="center"/>
            <w:hideMark/>
          </w:tcPr>
          <w:p w14:paraId="0F9BFF55"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b/>
                <w:sz w:val="20"/>
                <w:szCs w:val="20"/>
              </w:rPr>
              <w:t>&lt; 0.001</w:t>
            </w:r>
            <w:r w:rsidRPr="00F07DEB">
              <w:rPr>
                <w:rFonts w:ascii="Times New Roman" w:hAnsi="Times New Roman" w:cs="Times New Roman"/>
                <w:sz w:val="20"/>
                <w:szCs w:val="20"/>
              </w:rPr>
              <w:t xml:space="preserve"> </w:t>
            </w:r>
            <w:r w:rsidRPr="00F07DEB">
              <w:rPr>
                <w:rFonts w:ascii="Times New Roman" w:hAnsi="Times New Roman" w:cs="Times New Roman"/>
                <w:sz w:val="20"/>
                <w:szCs w:val="20"/>
                <w:vertAlign w:val="superscript"/>
              </w:rPr>
              <w:t>a</w:t>
            </w:r>
          </w:p>
        </w:tc>
        <w:tc>
          <w:tcPr>
            <w:tcW w:w="721" w:type="pct"/>
            <w:tcBorders>
              <w:top w:val="single" w:sz="8" w:space="0" w:color="auto"/>
              <w:left w:val="nil"/>
              <w:bottom w:val="nil"/>
              <w:right w:val="nil"/>
            </w:tcBorders>
            <w:vAlign w:val="center"/>
          </w:tcPr>
          <w:p w14:paraId="59AC34AE" w14:textId="77F3275C" w:rsidR="00F9641D" w:rsidRPr="00F07DEB" w:rsidRDefault="00F9641D" w:rsidP="00F07DEB">
            <w:pPr>
              <w:spacing w:after="0"/>
              <w:rPr>
                <w:rFonts w:ascii="Times New Roman" w:hAnsi="Times New Roman" w:cs="Times New Roman"/>
                <w:b/>
                <w:sz w:val="20"/>
                <w:szCs w:val="20"/>
              </w:rPr>
            </w:pPr>
            <w:r w:rsidRPr="00F07DEB">
              <w:rPr>
                <w:rFonts w:ascii="Times New Roman" w:hAnsi="Times New Roman" w:cs="Times New Roman"/>
                <w:color w:val="000000"/>
                <w:sz w:val="20"/>
                <w:szCs w:val="20"/>
              </w:rPr>
              <w:t>40-100</w:t>
            </w:r>
            <w:r w:rsidRPr="00F07DEB">
              <w:rPr>
                <w:rFonts w:ascii="Times New Roman" w:hAnsi="Times New Roman" w:cs="Times New Roman"/>
                <w:color w:val="000000"/>
                <w:sz w:val="20"/>
                <w:szCs w:val="20"/>
                <w:vertAlign w:val="superscript"/>
              </w:rPr>
              <w:t>4</w:t>
            </w:r>
          </w:p>
        </w:tc>
      </w:tr>
      <w:tr w:rsidR="00F9641D" w:rsidRPr="00F07DEB" w14:paraId="3302006E" w14:textId="3E6DE73B" w:rsidTr="00A02B1F">
        <w:trPr>
          <w:trHeight w:val="300"/>
        </w:trPr>
        <w:tc>
          <w:tcPr>
            <w:tcW w:w="1147" w:type="pct"/>
            <w:vMerge/>
            <w:tcBorders>
              <w:left w:val="nil"/>
              <w:right w:val="nil"/>
            </w:tcBorders>
            <w:vAlign w:val="center"/>
            <w:hideMark/>
          </w:tcPr>
          <w:p w14:paraId="010BC5A4" w14:textId="77777777" w:rsidR="00F9641D" w:rsidRPr="00F07DEB" w:rsidRDefault="00F9641D" w:rsidP="00F07DE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3BA9DF9F" w14:textId="77777777" w:rsidR="00F9641D" w:rsidRPr="00DA1138" w:rsidRDefault="00F9641D" w:rsidP="00F07DEB">
            <w:pPr>
              <w:spacing w:after="0"/>
              <w:rPr>
                <w:rFonts w:ascii="Times New Roman" w:hAnsi="Times New Roman"/>
                <w:sz w:val="20"/>
              </w:rPr>
            </w:pPr>
            <w:r w:rsidRPr="00DA1138">
              <w:rPr>
                <w:rFonts w:ascii="Times New Roman" w:hAnsi="Times New Roman"/>
                <w:sz w:val="20"/>
              </w:rPr>
              <w:t>Cd</w:t>
            </w:r>
          </w:p>
        </w:tc>
        <w:tc>
          <w:tcPr>
            <w:tcW w:w="913" w:type="pct"/>
            <w:tcBorders>
              <w:top w:val="nil"/>
              <w:left w:val="nil"/>
              <w:bottom w:val="nil"/>
              <w:right w:val="nil"/>
            </w:tcBorders>
            <w:noWrap/>
            <w:vAlign w:val="center"/>
            <w:hideMark/>
          </w:tcPr>
          <w:p w14:paraId="7EF4B5B2" w14:textId="77777777" w:rsidR="00F9641D" w:rsidRPr="00DA1138" w:rsidRDefault="00F9641D" w:rsidP="00F07DEB">
            <w:pPr>
              <w:spacing w:after="0"/>
              <w:rPr>
                <w:rFonts w:ascii="Times New Roman" w:hAnsi="Times New Roman"/>
                <w:sz w:val="20"/>
              </w:rPr>
            </w:pPr>
            <w:r w:rsidRPr="00DA1138">
              <w:rPr>
                <w:rFonts w:ascii="Times New Roman" w:hAnsi="Times New Roman"/>
                <w:sz w:val="20"/>
              </w:rPr>
              <w:t>0.0004 ± 0.0001</w:t>
            </w:r>
          </w:p>
        </w:tc>
        <w:tc>
          <w:tcPr>
            <w:tcW w:w="913" w:type="pct"/>
            <w:tcBorders>
              <w:top w:val="nil"/>
              <w:left w:val="nil"/>
              <w:bottom w:val="nil"/>
              <w:right w:val="nil"/>
            </w:tcBorders>
            <w:noWrap/>
            <w:vAlign w:val="center"/>
            <w:hideMark/>
          </w:tcPr>
          <w:p w14:paraId="0CEB584A"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0.0007 ± 0.0001</w:t>
            </w:r>
          </w:p>
        </w:tc>
        <w:tc>
          <w:tcPr>
            <w:tcW w:w="625" w:type="pct"/>
            <w:tcBorders>
              <w:top w:val="nil"/>
              <w:left w:val="nil"/>
              <w:bottom w:val="nil"/>
              <w:right w:val="nil"/>
            </w:tcBorders>
            <w:noWrap/>
            <w:vAlign w:val="center"/>
            <w:hideMark/>
          </w:tcPr>
          <w:p w14:paraId="3BA6D4A4"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b/>
                <w:sz w:val="20"/>
                <w:szCs w:val="20"/>
              </w:rPr>
              <w:t>0.009</w:t>
            </w:r>
            <w:r w:rsidRPr="00F07DEB">
              <w:rPr>
                <w:rFonts w:ascii="Times New Roman" w:hAnsi="Times New Roman" w:cs="Times New Roman"/>
                <w:sz w:val="20"/>
                <w:szCs w:val="20"/>
              </w:rPr>
              <w:t xml:space="preserve"> </w:t>
            </w:r>
            <w:r w:rsidRPr="00F07DEB">
              <w:rPr>
                <w:rFonts w:ascii="Times New Roman" w:hAnsi="Times New Roman" w:cs="Times New Roman"/>
                <w:sz w:val="20"/>
                <w:szCs w:val="20"/>
                <w:vertAlign w:val="superscript"/>
              </w:rPr>
              <w:t>a</w:t>
            </w:r>
          </w:p>
        </w:tc>
        <w:tc>
          <w:tcPr>
            <w:tcW w:w="721" w:type="pct"/>
            <w:tcBorders>
              <w:top w:val="nil"/>
              <w:left w:val="nil"/>
              <w:bottom w:val="nil"/>
              <w:right w:val="nil"/>
            </w:tcBorders>
            <w:vAlign w:val="center"/>
          </w:tcPr>
          <w:p w14:paraId="194C8B1E" w14:textId="4639DE72" w:rsidR="00F9641D" w:rsidRPr="00F07DEB" w:rsidRDefault="00F9641D" w:rsidP="00F07DEB">
            <w:pPr>
              <w:spacing w:after="0"/>
              <w:rPr>
                <w:rFonts w:ascii="Times New Roman" w:hAnsi="Times New Roman" w:cs="Times New Roman"/>
                <w:b/>
                <w:sz w:val="20"/>
                <w:szCs w:val="20"/>
              </w:rPr>
            </w:pPr>
            <w:r w:rsidRPr="00F07DEB">
              <w:rPr>
                <w:rFonts w:ascii="Times New Roman" w:hAnsi="Times New Roman" w:cs="Times New Roman"/>
                <w:color w:val="000000"/>
                <w:sz w:val="20"/>
                <w:szCs w:val="20"/>
              </w:rPr>
              <w:t>0.01</w:t>
            </w:r>
            <w:r w:rsidRPr="00F07DEB">
              <w:rPr>
                <w:rFonts w:ascii="Times New Roman" w:hAnsi="Times New Roman" w:cs="Times New Roman"/>
                <w:color w:val="000000"/>
                <w:sz w:val="20"/>
                <w:szCs w:val="20"/>
                <w:vertAlign w:val="superscript"/>
              </w:rPr>
              <w:t>1,2,3</w:t>
            </w:r>
          </w:p>
        </w:tc>
      </w:tr>
      <w:tr w:rsidR="00F9641D" w:rsidRPr="00F07DEB" w14:paraId="210596F8" w14:textId="2881B8B8" w:rsidTr="00A02B1F">
        <w:trPr>
          <w:trHeight w:val="300"/>
        </w:trPr>
        <w:tc>
          <w:tcPr>
            <w:tcW w:w="1147" w:type="pct"/>
            <w:vMerge/>
            <w:tcBorders>
              <w:left w:val="nil"/>
              <w:right w:val="nil"/>
            </w:tcBorders>
            <w:vAlign w:val="center"/>
            <w:hideMark/>
          </w:tcPr>
          <w:p w14:paraId="6ED758DF" w14:textId="77777777" w:rsidR="00F9641D" w:rsidRPr="00F07DEB" w:rsidRDefault="00F9641D" w:rsidP="00F07DE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567945D7"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Fe</w:t>
            </w:r>
          </w:p>
        </w:tc>
        <w:tc>
          <w:tcPr>
            <w:tcW w:w="913" w:type="pct"/>
            <w:tcBorders>
              <w:top w:val="nil"/>
              <w:left w:val="nil"/>
              <w:bottom w:val="nil"/>
              <w:right w:val="nil"/>
            </w:tcBorders>
            <w:noWrap/>
            <w:vAlign w:val="center"/>
            <w:hideMark/>
          </w:tcPr>
          <w:p w14:paraId="0579396D"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0.014 ± 0.010</w:t>
            </w:r>
          </w:p>
        </w:tc>
        <w:tc>
          <w:tcPr>
            <w:tcW w:w="913" w:type="pct"/>
            <w:tcBorders>
              <w:top w:val="nil"/>
              <w:left w:val="nil"/>
              <w:bottom w:val="nil"/>
              <w:right w:val="nil"/>
            </w:tcBorders>
            <w:noWrap/>
            <w:vAlign w:val="center"/>
            <w:hideMark/>
          </w:tcPr>
          <w:p w14:paraId="169CC8CA"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0.014 ± 0.010</w:t>
            </w:r>
          </w:p>
        </w:tc>
        <w:tc>
          <w:tcPr>
            <w:tcW w:w="625" w:type="pct"/>
            <w:tcBorders>
              <w:top w:val="nil"/>
              <w:left w:val="nil"/>
              <w:bottom w:val="nil"/>
              <w:right w:val="nil"/>
            </w:tcBorders>
            <w:noWrap/>
            <w:vAlign w:val="center"/>
            <w:hideMark/>
          </w:tcPr>
          <w:p w14:paraId="17CFBE15"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 xml:space="preserve">0.992 </w:t>
            </w:r>
            <w:r w:rsidRPr="00F07DEB">
              <w:rPr>
                <w:rFonts w:ascii="Times New Roman" w:hAnsi="Times New Roman" w:cs="Times New Roman"/>
                <w:sz w:val="20"/>
                <w:szCs w:val="20"/>
                <w:vertAlign w:val="superscript"/>
              </w:rPr>
              <w:t>a</w:t>
            </w:r>
          </w:p>
        </w:tc>
        <w:tc>
          <w:tcPr>
            <w:tcW w:w="721" w:type="pct"/>
            <w:tcBorders>
              <w:top w:val="nil"/>
              <w:left w:val="nil"/>
              <w:bottom w:val="nil"/>
              <w:right w:val="nil"/>
            </w:tcBorders>
            <w:vAlign w:val="center"/>
          </w:tcPr>
          <w:p w14:paraId="139834E0" w14:textId="3517962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5.0</w:t>
            </w:r>
            <w:r w:rsidRPr="00F07DEB">
              <w:rPr>
                <w:rFonts w:ascii="Times New Roman" w:hAnsi="Times New Roman" w:cs="Times New Roman"/>
                <w:color w:val="000000"/>
                <w:sz w:val="20"/>
                <w:szCs w:val="20"/>
                <w:vertAlign w:val="superscript"/>
              </w:rPr>
              <w:t>1,2,3</w:t>
            </w:r>
          </w:p>
        </w:tc>
      </w:tr>
      <w:tr w:rsidR="00F9641D" w:rsidRPr="00F07DEB" w14:paraId="47F0D8E0" w14:textId="51313A88" w:rsidTr="00A02B1F">
        <w:trPr>
          <w:trHeight w:val="292"/>
        </w:trPr>
        <w:tc>
          <w:tcPr>
            <w:tcW w:w="1147" w:type="pct"/>
            <w:vMerge/>
            <w:tcBorders>
              <w:left w:val="nil"/>
              <w:right w:val="nil"/>
            </w:tcBorders>
            <w:vAlign w:val="center"/>
            <w:hideMark/>
          </w:tcPr>
          <w:p w14:paraId="6E7D6EF9" w14:textId="77777777" w:rsidR="00F9641D" w:rsidRPr="00F07DEB" w:rsidRDefault="00F9641D" w:rsidP="00F07DE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5D174037"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K</w:t>
            </w:r>
          </w:p>
        </w:tc>
        <w:tc>
          <w:tcPr>
            <w:tcW w:w="913" w:type="pct"/>
            <w:tcBorders>
              <w:top w:val="nil"/>
              <w:left w:val="nil"/>
              <w:bottom w:val="nil"/>
              <w:right w:val="nil"/>
            </w:tcBorders>
            <w:noWrap/>
            <w:vAlign w:val="center"/>
            <w:hideMark/>
          </w:tcPr>
          <w:p w14:paraId="60075E43"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2.55 ± 1.19</w:t>
            </w:r>
          </w:p>
        </w:tc>
        <w:tc>
          <w:tcPr>
            <w:tcW w:w="913" w:type="pct"/>
            <w:tcBorders>
              <w:top w:val="nil"/>
              <w:left w:val="nil"/>
              <w:bottom w:val="nil"/>
              <w:right w:val="nil"/>
            </w:tcBorders>
            <w:noWrap/>
            <w:vAlign w:val="center"/>
            <w:hideMark/>
          </w:tcPr>
          <w:p w14:paraId="15B819D7"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21.4 ± 2.21</w:t>
            </w:r>
          </w:p>
        </w:tc>
        <w:tc>
          <w:tcPr>
            <w:tcW w:w="625" w:type="pct"/>
            <w:tcBorders>
              <w:top w:val="nil"/>
              <w:left w:val="nil"/>
              <w:bottom w:val="nil"/>
              <w:right w:val="nil"/>
            </w:tcBorders>
            <w:noWrap/>
            <w:vAlign w:val="center"/>
            <w:hideMark/>
          </w:tcPr>
          <w:p w14:paraId="52C41D5A"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b/>
                <w:sz w:val="20"/>
                <w:szCs w:val="20"/>
              </w:rPr>
              <w:t>&lt; 0.001</w:t>
            </w:r>
            <w:r w:rsidRPr="00F07DEB">
              <w:rPr>
                <w:rFonts w:ascii="Times New Roman" w:hAnsi="Times New Roman" w:cs="Times New Roman"/>
                <w:sz w:val="20"/>
                <w:szCs w:val="20"/>
              </w:rPr>
              <w:t xml:space="preserve"> </w:t>
            </w:r>
            <w:r w:rsidRPr="00F07DEB">
              <w:rPr>
                <w:rFonts w:ascii="Times New Roman" w:hAnsi="Times New Roman" w:cs="Times New Roman"/>
                <w:sz w:val="20"/>
                <w:szCs w:val="20"/>
                <w:vertAlign w:val="superscript"/>
              </w:rPr>
              <w:t>c</w:t>
            </w:r>
          </w:p>
        </w:tc>
        <w:tc>
          <w:tcPr>
            <w:tcW w:w="721" w:type="pct"/>
            <w:tcBorders>
              <w:top w:val="nil"/>
              <w:left w:val="nil"/>
              <w:bottom w:val="nil"/>
              <w:right w:val="nil"/>
            </w:tcBorders>
            <w:vAlign w:val="center"/>
          </w:tcPr>
          <w:p w14:paraId="689F6658" w14:textId="64E82EBB" w:rsidR="00F9641D" w:rsidRPr="00F07DEB" w:rsidRDefault="00F9641D" w:rsidP="00F07DEB">
            <w:pPr>
              <w:spacing w:after="0"/>
              <w:rPr>
                <w:rFonts w:ascii="Times New Roman" w:hAnsi="Times New Roman" w:cs="Times New Roman"/>
                <w:b/>
                <w:sz w:val="20"/>
                <w:szCs w:val="20"/>
              </w:rPr>
            </w:pPr>
            <w:r w:rsidRPr="00F07DEB">
              <w:rPr>
                <w:rFonts w:ascii="Times New Roman" w:hAnsi="Times New Roman" w:cs="Times New Roman"/>
                <w:color w:val="000000"/>
                <w:sz w:val="20"/>
                <w:szCs w:val="20"/>
              </w:rPr>
              <w:t>25</w:t>
            </w:r>
          </w:p>
        </w:tc>
      </w:tr>
      <w:tr w:rsidR="00F9641D" w:rsidRPr="00F07DEB" w14:paraId="6BA5A35B" w14:textId="4626303C" w:rsidTr="00A02B1F">
        <w:trPr>
          <w:trHeight w:val="300"/>
        </w:trPr>
        <w:tc>
          <w:tcPr>
            <w:tcW w:w="1147" w:type="pct"/>
            <w:vMerge/>
            <w:tcBorders>
              <w:left w:val="nil"/>
              <w:right w:val="nil"/>
            </w:tcBorders>
            <w:vAlign w:val="center"/>
            <w:hideMark/>
          </w:tcPr>
          <w:p w14:paraId="7DBCF45F" w14:textId="77777777" w:rsidR="00F9641D" w:rsidRPr="00F07DEB" w:rsidRDefault="00F9641D" w:rsidP="00F07DE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54F7C909"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Mg</w:t>
            </w:r>
          </w:p>
        </w:tc>
        <w:tc>
          <w:tcPr>
            <w:tcW w:w="913" w:type="pct"/>
            <w:tcBorders>
              <w:top w:val="nil"/>
              <w:left w:val="nil"/>
              <w:bottom w:val="nil"/>
              <w:right w:val="nil"/>
            </w:tcBorders>
            <w:noWrap/>
            <w:vAlign w:val="center"/>
            <w:hideMark/>
          </w:tcPr>
          <w:p w14:paraId="40E84718"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31.3 ± 1.92</w:t>
            </w:r>
          </w:p>
        </w:tc>
        <w:tc>
          <w:tcPr>
            <w:tcW w:w="913" w:type="pct"/>
            <w:tcBorders>
              <w:top w:val="nil"/>
              <w:left w:val="nil"/>
              <w:bottom w:val="nil"/>
              <w:right w:val="nil"/>
            </w:tcBorders>
            <w:noWrap/>
            <w:vAlign w:val="center"/>
            <w:hideMark/>
          </w:tcPr>
          <w:p w14:paraId="29FC41FB"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140 ± 15.0</w:t>
            </w:r>
          </w:p>
        </w:tc>
        <w:tc>
          <w:tcPr>
            <w:tcW w:w="625" w:type="pct"/>
            <w:tcBorders>
              <w:top w:val="nil"/>
              <w:left w:val="nil"/>
              <w:bottom w:val="nil"/>
              <w:right w:val="nil"/>
            </w:tcBorders>
            <w:noWrap/>
            <w:vAlign w:val="center"/>
            <w:hideMark/>
          </w:tcPr>
          <w:p w14:paraId="4D7C00FE"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b/>
                <w:sz w:val="20"/>
                <w:szCs w:val="20"/>
              </w:rPr>
              <w:t>&lt; 0.001</w:t>
            </w:r>
            <w:r w:rsidRPr="00F07DEB">
              <w:rPr>
                <w:rFonts w:ascii="Times New Roman" w:hAnsi="Times New Roman" w:cs="Times New Roman"/>
                <w:sz w:val="20"/>
                <w:szCs w:val="20"/>
                <w:vertAlign w:val="superscript"/>
              </w:rPr>
              <w:t xml:space="preserve"> b</w:t>
            </w:r>
          </w:p>
        </w:tc>
        <w:tc>
          <w:tcPr>
            <w:tcW w:w="721" w:type="pct"/>
            <w:tcBorders>
              <w:top w:val="nil"/>
              <w:left w:val="nil"/>
              <w:bottom w:val="nil"/>
              <w:right w:val="nil"/>
            </w:tcBorders>
            <w:vAlign w:val="center"/>
          </w:tcPr>
          <w:p w14:paraId="421547B6" w14:textId="3A55B099" w:rsidR="00F9641D" w:rsidRPr="00F07DEB" w:rsidRDefault="00F9641D" w:rsidP="00F07DEB">
            <w:pPr>
              <w:spacing w:after="0"/>
              <w:rPr>
                <w:rFonts w:ascii="Times New Roman" w:hAnsi="Times New Roman" w:cs="Times New Roman"/>
                <w:b/>
                <w:sz w:val="20"/>
                <w:szCs w:val="20"/>
              </w:rPr>
            </w:pPr>
            <w:r w:rsidRPr="00F07DEB">
              <w:rPr>
                <w:rFonts w:ascii="Times New Roman" w:hAnsi="Times New Roman" w:cs="Times New Roman"/>
                <w:color w:val="000000"/>
                <w:sz w:val="20"/>
                <w:szCs w:val="20"/>
              </w:rPr>
              <w:t>30-50</w:t>
            </w:r>
            <w:r w:rsidRPr="00F07DEB">
              <w:rPr>
                <w:rFonts w:ascii="Times New Roman" w:hAnsi="Times New Roman" w:cs="Times New Roman"/>
                <w:color w:val="000000"/>
                <w:sz w:val="20"/>
                <w:szCs w:val="20"/>
                <w:vertAlign w:val="superscript"/>
              </w:rPr>
              <w:t>4</w:t>
            </w:r>
          </w:p>
        </w:tc>
      </w:tr>
      <w:tr w:rsidR="00F9641D" w:rsidRPr="00F07DEB" w14:paraId="631150AA" w14:textId="456CE9C2" w:rsidTr="00A02B1F">
        <w:trPr>
          <w:trHeight w:val="300"/>
        </w:trPr>
        <w:tc>
          <w:tcPr>
            <w:tcW w:w="1147" w:type="pct"/>
            <w:vMerge/>
            <w:tcBorders>
              <w:left w:val="nil"/>
              <w:right w:val="nil"/>
            </w:tcBorders>
            <w:vAlign w:val="center"/>
            <w:hideMark/>
          </w:tcPr>
          <w:p w14:paraId="4C78BC37" w14:textId="77777777" w:rsidR="00F9641D" w:rsidRPr="00F07DEB" w:rsidRDefault="00F9641D" w:rsidP="00F07DE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4ED96205" w14:textId="77777777" w:rsidR="00F9641D" w:rsidRPr="00F07DEB" w:rsidRDefault="00F9641D" w:rsidP="00F07DEB">
            <w:pPr>
              <w:spacing w:after="0"/>
              <w:rPr>
                <w:rFonts w:ascii="Times New Roman" w:hAnsi="Times New Roman" w:cs="Times New Roman"/>
                <w:sz w:val="20"/>
                <w:szCs w:val="20"/>
              </w:rPr>
            </w:pPr>
            <w:proofErr w:type="spellStart"/>
            <w:r w:rsidRPr="00F07DEB">
              <w:rPr>
                <w:rFonts w:ascii="Times New Roman" w:hAnsi="Times New Roman" w:cs="Times New Roman"/>
                <w:sz w:val="20"/>
                <w:szCs w:val="20"/>
              </w:rPr>
              <w:t>Mn</w:t>
            </w:r>
            <w:proofErr w:type="spellEnd"/>
          </w:p>
        </w:tc>
        <w:tc>
          <w:tcPr>
            <w:tcW w:w="913" w:type="pct"/>
            <w:tcBorders>
              <w:top w:val="nil"/>
              <w:left w:val="nil"/>
              <w:bottom w:val="nil"/>
              <w:right w:val="nil"/>
            </w:tcBorders>
            <w:noWrap/>
            <w:vAlign w:val="center"/>
            <w:hideMark/>
          </w:tcPr>
          <w:p w14:paraId="04924412"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0.002 ± 0.003</w:t>
            </w:r>
          </w:p>
        </w:tc>
        <w:tc>
          <w:tcPr>
            <w:tcW w:w="913" w:type="pct"/>
            <w:tcBorders>
              <w:top w:val="nil"/>
              <w:left w:val="nil"/>
              <w:bottom w:val="nil"/>
              <w:right w:val="nil"/>
            </w:tcBorders>
            <w:noWrap/>
            <w:vAlign w:val="center"/>
            <w:hideMark/>
          </w:tcPr>
          <w:p w14:paraId="7A4A0961"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0.029 ± 0.042</w:t>
            </w:r>
          </w:p>
        </w:tc>
        <w:tc>
          <w:tcPr>
            <w:tcW w:w="625" w:type="pct"/>
            <w:tcBorders>
              <w:top w:val="nil"/>
              <w:left w:val="nil"/>
              <w:bottom w:val="nil"/>
              <w:right w:val="nil"/>
            </w:tcBorders>
            <w:noWrap/>
            <w:vAlign w:val="center"/>
            <w:hideMark/>
          </w:tcPr>
          <w:p w14:paraId="0556B9D7"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 xml:space="preserve">0.081 </w:t>
            </w:r>
            <w:r w:rsidRPr="00F07DEB">
              <w:rPr>
                <w:rFonts w:ascii="Times New Roman" w:hAnsi="Times New Roman" w:cs="Times New Roman"/>
                <w:sz w:val="20"/>
                <w:szCs w:val="20"/>
                <w:vertAlign w:val="superscript"/>
              </w:rPr>
              <w:t>c</w:t>
            </w:r>
          </w:p>
        </w:tc>
        <w:tc>
          <w:tcPr>
            <w:tcW w:w="721" w:type="pct"/>
            <w:tcBorders>
              <w:top w:val="nil"/>
              <w:left w:val="nil"/>
              <w:bottom w:val="nil"/>
              <w:right w:val="nil"/>
            </w:tcBorders>
            <w:vAlign w:val="center"/>
          </w:tcPr>
          <w:p w14:paraId="7E508CBE" w14:textId="0464B04F"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0.2</w:t>
            </w:r>
            <w:r w:rsidRPr="00F07DEB">
              <w:rPr>
                <w:rFonts w:ascii="Times New Roman" w:hAnsi="Times New Roman" w:cs="Times New Roman"/>
                <w:color w:val="000000"/>
                <w:sz w:val="20"/>
                <w:szCs w:val="20"/>
                <w:vertAlign w:val="superscript"/>
              </w:rPr>
              <w:t>1,2,3</w:t>
            </w:r>
          </w:p>
        </w:tc>
      </w:tr>
      <w:tr w:rsidR="00F9641D" w:rsidRPr="00F07DEB" w14:paraId="21BC136D" w14:textId="733449FC" w:rsidTr="00A02B1F">
        <w:trPr>
          <w:trHeight w:val="300"/>
        </w:trPr>
        <w:tc>
          <w:tcPr>
            <w:tcW w:w="1147" w:type="pct"/>
            <w:vMerge/>
            <w:tcBorders>
              <w:left w:val="nil"/>
              <w:right w:val="nil"/>
            </w:tcBorders>
            <w:vAlign w:val="center"/>
            <w:hideMark/>
          </w:tcPr>
          <w:p w14:paraId="2A506433" w14:textId="77777777" w:rsidR="00F9641D" w:rsidRPr="00F07DEB" w:rsidRDefault="00F9641D" w:rsidP="00F07DE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6920B538"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Na</w:t>
            </w:r>
          </w:p>
        </w:tc>
        <w:tc>
          <w:tcPr>
            <w:tcW w:w="913" w:type="pct"/>
            <w:tcBorders>
              <w:top w:val="nil"/>
              <w:left w:val="nil"/>
              <w:bottom w:val="nil"/>
              <w:right w:val="nil"/>
            </w:tcBorders>
            <w:noWrap/>
            <w:vAlign w:val="center"/>
            <w:hideMark/>
          </w:tcPr>
          <w:p w14:paraId="26D50421"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33.4 ± 1.38</w:t>
            </w:r>
          </w:p>
        </w:tc>
        <w:tc>
          <w:tcPr>
            <w:tcW w:w="913" w:type="pct"/>
            <w:tcBorders>
              <w:top w:val="nil"/>
              <w:left w:val="nil"/>
              <w:bottom w:val="nil"/>
              <w:right w:val="nil"/>
            </w:tcBorders>
            <w:noWrap/>
            <w:vAlign w:val="center"/>
            <w:hideMark/>
          </w:tcPr>
          <w:p w14:paraId="550C3736"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84.8 ± 5.43</w:t>
            </w:r>
          </w:p>
        </w:tc>
        <w:tc>
          <w:tcPr>
            <w:tcW w:w="625" w:type="pct"/>
            <w:tcBorders>
              <w:top w:val="nil"/>
              <w:left w:val="nil"/>
              <w:bottom w:val="nil"/>
              <w:right w:val="nil"/>
            </w:tcBorders>
            <w:noWrap/>
            <w:vAlign w:val="center"/>
            <w:hideMark/>
          </w:tcPr>
          <w:p w14:paraId="50AEE88F"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b/>
                <w:sz w:val="20"/>
                <w:szCs w:val="20"/>
              </w:rPr>
              <w:t>&lt; 0.001</w:t>
            </w:r>
            <w:r w:rsidRPr="00F07DEB">
              <w:rPr>
                <w:rFonts w:ascii="Times New Roman" w:hAnsi="Times New Roman" w:cs="Times New Roman"/>
                <w:sz w:val="20"/>
                <w:szCs w:val="20"/>
              </w:rPr>
              <w:t xml:space="preserve"> </w:t>
            </w:r>
            <w:r w:rsidRPr="00F07DEB">
              <w:rPr>
                <w:rFonts w:ascii="Times New Roman" w:hAnsi="Times New Roman" w:cs="Times New Roman"/>
                <w:sz w:val="20"/>
                <w:szCs w:val="20"/>
                <w:vertAlign w:val="superscript"/>
              </w:rPr>
              <w:t>b</w:t>
            </w:r>
          </w:p>
        </w:tc>
        <w:tc>
          <w:tcPr>
            <w:tcW w:w="721" w:type="pct"/>
            <w:tcBorders>
              <w:top w:val="nil"/>
              <w:left w:val="nil"/>
              <w:bottom w:val="nil"/>
              <w:right w:val="nil"/>
            </w:tcBorders>
            <w:vAlign w:val="center"/>
          </w:tcPr>
          <w:p w14:paraId="38073737" w14:textId="25CC6832" w:rsidR="00F9641D" w:rsidRPr="00F07DEB" w:rsidRDefault="00F9641D" w:rsidP="00F07DEB">
            <w:pPr>
              <w:spacing w:after="0"/>
              <w:rPr>
                <w:rFonts w:ascii="Times New Roman" w:hAnsi="Times New Roman" w:cs="Times New Roman"/>
                <w:b/>
                <w:sz w:val="20"/>
                <w:szCs w:val="20"/>
              </w:rPr>
            </w:pPr>
            <w:r w:rsidRPr="00F07DEB">
              <w:rPr>
                <w:rFonts w:ascii="Times New Roman" w:hAnsi="Times New Roman" w:cs="Times New Roman"/>
                <w:color w:val="000000"/>
                <w:sz w:val="20"/>
                <w:szCs w:val="20"/>
              </w:rPr>
              <w:t>See Table 4</w:t>
            </w:r>
          </w:p>
        </w:tc>
      </w:tr>
      <w:tr w:rsidR="00F9641D" w:rsidRPr="00F07DEB" w14:paraId="350EB916" w14:textId="07DE1DC3" w:rsidTr="00A02B1F">
        <w:trPr>
          <w:trHeight w:val="300"/>
        </w:trPr>
        <w:tc>
          <w:tcPr>
            <w:tcW w:w="1147" w:type="pct"/>
            <w:vMerge/>
            <w:tcBorders>
              <w:left w:val="nil"/>
              <w:right w:val="nil"/>
            </w:tcBorders>
            <w:vAlign w:val="center"/>
            <w:hideMark/>
          </w:tcPr>
          <w:p w14:paraId="4741F757" w14:textId="77777777" w:rsidR="00F9641D" w:rsidRPr="00F07DEB" w:rsidRDefault="00F9641D" w:rsidP="00F07DE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48BAAE08"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Ni</w:t>
            </w:r>
          </w:p>
        </w:tc>
        <w:tc>
          <w:tcPr>
            <w:tcW w:w="913" w:type="pct"/>
            <w:tcBorders>
              <w:top w:val="nil"/>
              <w:left w:val="nil"/>
              <w:bottom w:val="nil"/>
              <w:right w:val="nil"/>
            </w:tcBorders>
            <w:noWrap/>
            <w:vAlign w:val="center"/>
            <w:hideMark/>
          </w:tcPr>
          <w:p w14:paraId="3CB33230"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0.034 ± 0.002</w:t>
            </w:r>
          </w:p>
        </w:tc>
        <w:tc>
          <w:tcPr>
            <w:tcW w:w="913" w:type="pct"/>
            <w:tcBorders>
              <w:top w:val="nil"/>
              <w:left w:val="nil"/>
              <w:bottom w:val="nil"/>
              <w:right w:val="nil"/>
            </w:tcBorders>
            <w:noWrap/>
            <w:vAlign w:val="center"/>
            <w:hideMark/>
          </w:tcPr>
          <w:p w14:paraId="419927A4"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0.113 ± 0.042</w:t>
            </w:r>
          </w:p>
        </w:tc>
        <w:tc>
          <w:tcPr>
            <w:tcW w:w="625" w:type="pct"/>
            <w:tcBorders>
              <w:top w:val="nil"/>
              <w:left w:val="nil"/>
              <w:bottom w:val="nil"/>
              <w:right w:val="nil"/>
            </w:tcBorders>
            <w:noWrap/>
            <w:vAlign w:val="center"/>
            <w:hideMark/>
          </w:tcPr>
          <w:p w14:paraId="2B928E01"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b/>
                <w:sz w:val="20"/>
                <w:szCs w:val="20"/>
              </w:rPr>
              <w:t>0.003</w:t>
            </w:r>
            <w:r w:rsidRPr="00F07DEB">
              <w:rPr>
                <w:rFonts w:ascii="Times New Roman" w:hAnsi="Times New Roman" w:cs="Times New Roman"/>
                <w:sz w:val="20"/>
                <w:szCs w:val="20"/>
              </w:rPr>
              <w:t xml:space="preserve"> </w:t>
            </w:r>
            <w:r w:rsidRPr="00F07DEB">
              <w:rPr>
                <w:rFonts w:ascii="Times New Roman" w:hAnsi="Times New Roman" w:cs="Times New Roman"/>
                <w:sz w:val="20"/>
                <w:szCs w:val="20"/>
                <w:vertAlign w:val="superscript"/>
              </w:rPr>
              <w:t>b</w:t>
            </w:r>
          </w:p>
        </w:tc>
        <w:tc>
          <w:tcPr>
            <w:tcW w:w="721" w:type="pct"/>
            <w:tcBorders>
              <w:top w:val="nil"/>
              <w:left w:val="nil"/>
              <w:bottom w:val="nil"/>
              <w:right w:val="nil"/>
            </w:tcBorders>
            <w:vAlign w:val="center"/>
          </w:tcPr>
          <w:p w14:paraId="6F288114" w14:textId="2DC6010F" w:rsidR="00F9641D" w:rsidRPr="00F07DEB" w:rsidRDefault="00F9641D" w:rsidP="00F07DEB">
            <w:pPr>
              <w:spacing w:after="0"/>
              <w:rPr>
                <w:rFonts w:ascii="Times New Roman" w:hAnsi="Times New Roman" w:cs="Times New Roman"/>
                <w:b/>
                <w:sz w:val="20"/>
                <w:szCs w:val="20"/>
              </w:rPr>
            </w:pPr>
            <w:r w:rsidRPr="00F07DEB">
              <w:rPr>
                <w:rFonts w:ascii="Times New Roman" w:hAnsi="Times New Roman" w:cs="Times New Roman"/>
                <w:color w:val="000000"/>
                <w:sz w:val="20"/>
                <w:szCs w:val="20"/>
              </w:rPr>
              <w:t>0.2</w:t>
            </w:r>
            <w:r w:rsidRPr="00F07DEB">
              <w:rPr>
                <w:rFonts w:ascii="Times New Roman" w:hAnsi="Times New Roman" w:cs="Times New Roman"/>
                <w:color w:val="000000"/>
                <w:sz w:val="20"/>
                <w:szCs w:val="20"/>
                <w:vertAlign w:val="superscript"/>
              </w:rPr>
              <w:t>1,2,3</w:t>
            </w:r>
          </w:p>
        </w:tc>
      </w:tr>
      <w:tr w:rsidR="00F9641D" w:rsidRPr="00F07DEB" w14:paraId="36B342D7" w14:textId="7FECC1CA" w:rsidTr="00A02B1F">
        <w:trPr>
          <w:trHeight w:val="292"/>
        </w:trPr>
        <w:tc>
          <w:tcPr>
            <w:tcW w:w="1147" w:type="pct"/>
            <w:vMerge/>
            <w:tcBorders>
              <w:left w:val="nil"/>
              <w:right w:val="nil"/>
            </w:tcBorders>
            <w:vAlign w:val="center"/>
            <w:hideMark/>
          </w:tcPr>
          <w:p w14:paraId="10DF4182" w14:textId="77777777" w:rsidR="00F9641D" w:rsidRPr="00F07DEB" w:rsidRDefault="00F9641D" w:rsidP="00F07DE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5FE0DAC3" w14:textId="77777777" w:rsidR="00F9641D" w:rsidRPr="00F07DEB" w:rsidRDefault="00F9641D" w:rsidP="00F07DEB">
            <w:pPr>
              <w:spacing w:after="0"/>
              <w:rPr>
                <w:rFonts w:ascii="Times New Roman" w:hAnsi="Times New Roman" w:cs="Times New Roman"/>
                <w:sz w:val="20"/>
                <w:szCs w:val="20"/>
              </w:rPr>
            </w:pPr>
            <w:proofErr w:type="spellStart"/>
            <w:r w:rsidRPr="00F07DEB">
              <w:rPr>
                <w:rFonts w:ascii="Times New Roman" w:hAnsi="Times New Roman" w:cs="Times New Roman"/>
                <w:sz w:val="20"/>
                <w:szCs w:val="20"/>
              </w:rPr>
              <w:t>Pb</w:t>
            </w:r>
            <w:proofErr w:type="spellEnd"/>
          </w:p>
        </w:tc>
        <w:tc>
          <w:tcPr>
            <w:tcW w:w="913" w:type="pct"/>
            <w:tcBorders>
              <w:top w:val="nil"/>
              <w:left w:val="nil"/>
              <w:bottom w:val="nil"/>
              <w:right w:val="nil"/>
            </w:tcBorders>
            <w:noWrap/>
            <w:vAlign w:val="center"/>
            <w:hideMark/>
          </w:tcPr>
          <w:p w14:paraId="50355011"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0.048 ± 0.016</w:t>
            </w:r>
          </w:p>
        </w:tc>
        <w:tc>
          <w:tcPr>
            <w:tcW w:w="913" w:type="pct"/>
            <w:tcBorders>
              <w:top w:val="nil"/>
              <w:left w:val="nil"/>
              <w:bottom w:val="nil"/>
              <w:right w:val="nil"/>
            </w:tcBorders>
            <w:noWrap/>
            <w:vAlign w:val="center"/>
            <w:hideMark/>
          </w:tcPr>
          <w:p w14:paraId="284D853A"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0.172 ± 0.128</w:t>
            </w:r>
          </w:p>
        </w:tc>
        <w:tc>
          <w:tcPr>
            <w:tcW w:w="625" w:type="pct"/>
            <w:tcBorders>
              <w:top w:val="nil"/>
              <w:left w:val="nil"/>
              <w:bottom w:val="nil"/>
              <w:right w:val="nil"/>
            </w:tcBorders>
            <w:noWrap/>
            <w:vAlign w:val="center"/>
            <w:hideMark/>
          </w:tcPr>
          <w:p w14:paraId="40FCCEDF"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 xml:space="preserve">0.463 </w:t>
            </w:r>
            <w:r w:rsidRPr="00F07DEB">
              <w:rPr>
                <w:rFonts w:ascii="Times New Roman" w:hAnsi="Times New Roman" w:cs="Times New Roman"/>
                <w:sz w:val="20"/>
                <w:szCs w:val="20"/>
                <w:vertAlign w:val="superscript"/>
              </w:rPr>
              <w:t>c</w:t>
            </w:r>
          </w:p>
        </w:tc>
        <w:tc>
          <w:tcPr>
            <w:tcW w:w="721" w:type="pct"/>
            <w:tcBorders>
              <w:top w:val="nil"/>
              <w:left w:val="nil"/>
              <w:bottom w:val="nil"/>
              <w:right w:val="nil"/>
            </w:tcBorders>
            <w:vAlign w:val="center"/>
          </w:tcPr>
          <w:p w14:paraId="38D36762" w14:textId="20236D73"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5</w:t>
            </w:r>
            <w:r w:rsidRPr="00F07DEB">
              <w:rPr>
                <w:rFonts w:ascii="Times New Roman" w:hAnsi="Times New Roman" w:cs="Times New Roman"/>
                <w:color w:val="000000"/>
                <w:sz w:val="20"/>
                <w:szCs w:val="20"/>
                <w:vertAlign w:val="superscript"/>
              </w:rPr>
              <w:t>1,2,3</w:t>
            </w:r>
          </w:p>
        </w:tc>
      </w:tr>
      <w:tr w:rsidR="00F9641D" w:rsidRPr="00F07DEB" w14:paraId="6F8612CC" w14:textId="2131DDF7" w:rsidTr="00A02B1F">
        <w:trPr>
          <w:trHeight w:val="292"/>
        </w:trPr>
        <w:tc>
          <w:tcPr>
            <w:tcW w:w="1147" w:type="pct"/>
            <w:vMerge/>
            <w:tcBorders>
              <w:left w:val="nil"/>
              <w:right w:val="nil"/>
            </w:tcBorders>
            <w:vAlign w:val="center"/>
            <w:hideMark/>
          </w:tcPr>
          <w:p w14:paraId="16180BDF" w14:textId="77777777" w:rsidR="00F9641D" w:rsidRPr="00F07DEB" w:rsidRDefault="00F9641D" w:rsidP="00F07DE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338C34B7"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S</w:t>
            </w:r>
          </w:p>
        </w:tc>
        <w:tc>
          <w:tcPr>
            <w:tcW w:w="913" w:type="pct"/>
            <w:tcBorders>
              <w:top w:val="nil"/>
              <w:left w:val="nil"/>
              <w:bottom w:val="nil"/>
              <w:right w:val="nil"/>
            </w:tcBorders>
            <w:noWrap/>
            <w:vAlign w:val="center"/>
            <w:hideMark/>
          </w:tcPr>
          <w:p w14:paraId="24CF2DFE"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20.4 ± 2.45</w:t>
            </w:r>
          </w:p>
        </w:tc>
        <w:tc>
          <w:tcPr>
            <w:tcW w:w="913" w:type="pct"/>
            <w:tcBorders>
              <w:top w:val="nil"/>
              <w:left w:val="nil"/>
              <w:bottom w:val="nil"/>
              <w:right w:val="nil"/>
            </w:tcBorders>
            <w:noWrap/>
            <w:vAlign w:val="center"/>
            <w:hideMark/>
          </w:tcPr>
          <w:p w14:paraId="3B243720"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747 ± 55.2</w:t>
            </w:r>
          </w:p>
        </w:tc>
        <w:tc>
          <w:tcPr>
            <w:tcW w:w="625" w:type="pct"/>
            <w:tcBorders>
              <w:top w:val="nil"/>
              <w:left w:val="nil"/>
              <w:bottom w:val="nil"/>
              <w:right w:val="nil"/>
            </w:tcBorders>
            <w:noWrap/>
            <w:vAlign w:val="center"/>
            <w:hideMark/>
          </w:tcPr>
          <w:p w14:paraId="776395E5"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b/>
                <w:sz w:val="20"/>
                <w:szCs w:val="20"/>
              </w:rPr>
              <w:t>&lt; 0.001</w:t>
            </w:r>
            <w:r w:rsidRPr="00F07DEB">
              <w:rPr>
                <w:rFonts w:ascii="Times New Roman" w:hAnsi="Times New Roman" w:cs="Times New Roman"/>
                <w:sz w:val="20"/>
                <w:szCs w:val="20"/>
                <w:vertAlign w:val="superscript"/>
              </w:rPr>
              <w:t xml:space="preserve"> b</w:t>
            </w:r>
          </w:p>
        </w:tc>
        <w:tc>
          <w:tcPr>
            <w:tcW w:w="721" w:type="pct"/>
            <w:tcBorders>
              <w:top w:val="nil"/>
              <w:left w:val="nil"/>
              <w:bottom w:val="nil"/>
              <w:right w:val="nil"/>
            </w:tcBorders>
            <w:vAlign w:val="center"/>
          </w:tcPr>
          <w:p w14:paraId="111D0B86" w14:textId="667ED724" w:rsidR="00F9641D" w:rsidRPr="00F07DEB" w:rsidRDefault="00E720F9" w:rsidP="00F07DEB">
            <w:pPr>
              <w:spacing w:after="0"/>
              <w:rPr>
                <w:rFonts w:ascii="Times New Roman" w:hAnsi="Times New Roman" w:cs="Times New Roman"/>
                <w:b/>
                <w:sz w:val="20"/>
                <w:szCs w:val="20"/>
              </w:rPr>
            </w:pPr>
            <w:r w:rsidRPr="00F07DEB">
              <w:rPr>
                <w:rFonts w:ascii="Times New Roman" w:hAnsi="Times New Roman" w:cs="Times New Roman"/>
                <w:color w:val="000000"/>
                <w:sz w:val="20"/>
                <w:szCs w:val="20"/>
              </w:rPr>
              <w:t>&gt;</w:t>
            </w:r>
            <w:r w:rsidR="00F9641D" w:rsidRPr="00F07DEB">
              <w:rPr>
                <w:rFonts w:ascii="Times New Roman" w:hAnsi="Times New Roman" w:cs="Times New Roman"/>
                <w:color w:val="000000"/>
                <w:sz w:val="20"/>
                <w:szCs w:val="20"/>
              </w:rPr>
              <w:t>17</w:t>
            </w:r>
            <w:r w:rsidR="00F9641D" w:rsidRPr="00F07DEB">
              <w:rPr>
                <w:rFonts w:ascii="Times New Roman" w:hAnsi="Times New Roman" w:cs="Times New Roman"/>
                <w:color w:val="000000"/>
                <w:sz w:val="20"/>
                <w:szCs w:val="20"/>
                <w:vertAlign w:val="superscript"/>
              </w:rPr>
              <w:t>4</w:t>
            </w:r>
          </w:p>
        </w:tc>
      </w:tr>
      <w:tr w:rsidR="00F9641D" w:rsidRPr="00F07DEB" w14:paraId="57ADCE90" w14:textId="224FCF66" w:rsidTr="00A02B1F">
        <w:trPr>
          <w:trHeight w:val="292"/>
        </w:trPr>
        <w:tc>
          <w:tcPr>
            <w:tcW w:w="1147" w:type="pct"/>
            <w:vMerge/>
            <w:tcBorders>
              <w:left w:val="nil"/>
              <w:bottom w:val="single" w:sz="8" w:space="0" w:color="auto"/>
              <w:right w:val="nil"/>
            </w:tcBorders>
            <w:vAlign w:val="center"/>
            <w:hideMark/>
          </w:tcPr>
          <w:p w14:paraId="058C0935" w14:textId="77777777" w:rsidR="00F9641D" w:rsidRPr="00F07DEB" w:rsidRDefault="00F9641D" w:rsidP="00F07DEB">
            <w:pPr>
              <w:spacing w:after="0"/>
              <w:rPr>
                <w:rFonts w:ascii="Times New Roman" w:hAnsi="Times New Roman" w:cs="Times New Roman"/>
                <w:sz w:val="20"/>
                <w:szCs w:val="20"/>
              </w:rPr>
            </w:pPr>
          </w:p>
        </w:tc>
        <w:tc>
          <w:tcPr>
            <w:tcW w:w="681" w:type="pct"/>
            <w:tcBorders>
              <w:top w:val="nil"/>
              <w:left w:val="nil"/>
              <w:bottom w:val="single" w:sz="8" w:space="0" w:color="auto"/>
              <w:right w:val="nil"/>
            </w:tcBorders>
            <w:noWrap/>
            <w:vAlign w:val="center"/>
            <w:hideMark/>
          </w:tcPr>
          <w:p w14:paraId="6849FBB6"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Zn</w:t>
            </w:r>
          </w:p>
        </w:tc>
        <w:tc>
          <w:tcPr>
            <w:tcW w:w="913" w:type="pct"/>
            <w:tcBorders>
              <w:top w:val="nil"/>
              <w:left w:val="nil"/>
              <w:bottom w:val="single" w:sz="8" w:space="0" w:color="auto"/>
              <w:right w:val="nil"/>
            </w:tcBorders>
            <w:noWrap/>
            <w:vAlign w:val="center"/>
            <w:hideMark/>
          </w:tcPr>
          <w:p w14:paraId="794A5D90"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0.026 ± 0.022</w:t>
            </w:r>
          </w:p>
        </w:tc>
        <w:tc>
          <w:tcPr>
            <w:tcW w:w="913" w:type="pct"/>
            <w:tcBorders>
              <w:top w:val="nil"/>
              <w:left w:val="nil"/>
              <w:bottom w:val="single" w:sz="8" w:space="0" w:color="auto"/>
              <w:right w:val="nil"/>
            </w:tcBorders>
            <w:noWrap/>
            <w:vAlign w:val="center"/>
            <w:hideMark/>
          </w:tcPr>
          <w:p w14:paraId="34F46575"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0.015 ± 0.004</w:t>
            </w:r>
          </w:p>
        </w:tc>
        <w:tc>
          <w:tcPr>
            <w:tcW w:w="625" w:type="pct"/>
            <w:tcBorders>
              <w:top w:val="nil"/>
              <w:left w:val="nil"/>
              <w:bottom w:val="single" w:sz="8" w:space="0" w:color="auto"/>
              <w:right w:val="nil"/>
            </w:tcBorders>
            <w:noWrap/>
            <w:vAlign w:val="center"/>
            <w:hideMark/>
          </w:tcPr>
          <w:p w14:paraId="1EE514FE"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 xml:space="preserve">0.606 </w:t>
            </w:r>
            <w:r w:rsidRPr="00F07DEB">
              <w:rPr>
                <w:rFonts w:ascii="Times New Roman" w:hAnsi="Times New Roman" w:cs="Times New Roman"/>
                <w:sz w:val="20"/>
                <w:szCs w:val="20"/>
                <w:vertAlign w:val="superscript"/>
              </w:rPr>
              <w:t>c</w:t>
            </w:r>
          </w:p>
        </w:tc>
        <w:tc>
          <w:tcPr>
            <w:tcW w:w="721" w:type="pct"/>
            <w:tcBorders>
              <w:top w:val="nil"/>
              <w:left w:val="nil"/>
              <w:bottom w:val="single" w:sz="8" w:space="0" w:color="auto"/>
              <w:right w:val="nil"/>
            </w:tcBorders>
          </w:tcPr>
          <w:p w14:paraId="6AD44CFA" w14:textId="32259784"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2.0</w:t>
            </w:r>
            <w:r w:rsidRPr="00F07DEB">
              <w:rPr>
                <w:rFonts w:ascii="Times New Roman" w:hAnsi="Times New Roman" w:cs="Times New Roman"/>
                <w:sz w:val="20"/>
                <w:szCs w:val="20"/>
                <w:vertAlign w:val="superscript"/>
              </w:rPr>
              <w:t>1,2,3</w:t>
            </w:r>
          </w:p>
        </w:tc>
      </w:tr>
      <w:tr w:rsidR="00F9641D" w:rsidRPr="00F07DEB" w14:paraId="4B20991A" w14:textId="6D99F340" w:rsidTr="00A02B1F">
        <w:trPr>
          <w:trHeight w:val="343"/>
        </w:trPr>
        <w:tc>
          <w:tcPr>
            <w:tcW w:w="1147" w:type="pct"/>
            <w:tcBorders>
              <w:top w:val="single" w:sz="8" w:space="0" w:color="auto"/>
              <w:left w:val="nil"/>
              <w:bottom w:val="nil"/>
              <w:right w:val="nil"/>
            </w:tcBorders>
            <w:hideMark/>
          </w:tcPr>
          <w:p w14:paraId="41DA40C8"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Anions (mg/L)</w:t>
            </w:r>
          </w:p>
        </w:tc>
        <w:tc>
          <w:tcPr>
            <w:tcW w:w="681" w:type="pct"/>
            <w:tcBorders>
              <w:top w:val="single" w:sz="8" w:space="0" w:color="auto"/>
              <w:left w:val="nil"/>
              <w:bottom w:val="nil"/>
              <w:right w:val="nil"/>
            </w:tcBorders>
            <w:noWrap/>
            <w:vAlign w:val="center"/>
            <w:hideMark/>
          </w:tcPr>
          <w:p w14:paraId="6CF403A8"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NO</w:t>
            </w:r>
            <w:r w:rsidRPr="00F07DEB">
              <w:rPr>
                <w:rFonts w:ascii="Times New Roman" w:hAnsi="Times New Roman" w:cs="Times New Roman"/>
                <w:sz w:val="20"/>
                <w:szCs w:val="20"/>
                <w:vertAlign w:val="subscript"/>
              </w:rPr>
              <w:t>3</w:t>
            </w:r>
            <w:r w:rsidRPr="00F07DEB">
              <w:rPr>
                <w:rFonts w:ascii="Times New Roman" w:hAnsi="Times New Roman" w:cs="Times New Roman"/>
                <w:sz w:val="20"/>
                <w:szCs w:val="20"/>
              </w:rPr>
              <w:t>-N</w:t>
            </w:r>
          </w:p>
        </w:tc>
        <w:tc>
          <w:tcPr>
            <w:tcW w:w="913" w:type="pct"/>
            <w:tcBorders>
              <w:top w:val="single" w:sz="8" w:space="0" w:color="auto"/>
              <w:left w:val="nil"/>
              <w:bottom w:val="nil"/>
              <w:right w:val="nil"/>
            </w:tcBorders>
            <w:noWrap/>
            <w:vAlign w:val="center"/>
            <w:hideMark/>
          </w:tcPr>
          <w:p w14:paraId="683D3D6A"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6.02 ± 2.06</w:t>
            </w:r>
          </w:p>
        </w:tc>
        <w:tc>
          <w:tcPr>
            <w:tcW w:w="913" w:type="pct"/>
            <w:tcBorders>
              <w:top w:val="single" w:sz="8" w:space="0" w:color="auto"/>
              <w:left w:val="nil"/>
              <w:bottom w:val="nil"/>
              <w:right w:val="nil"/>
            </w:tcBorders>
            <w:noWrap/>
            <w:vAlign w:val="center"/>
            <w:hideMark/>
          </w:tcPr>
          <w:p w14:paraId="1069EF3E"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BDL</w:t>
            </w:r>
          </w:p>
        </w:tc>
        <w:tc>
          <w:tcPr>
            <w:tcW w:w="625" w:type="pct"/>
            <w:tcBorders>
              <w:top w:val="single" w:sz="8" w:space="0" w:color="auto"/>
              <w:left w:val="nil"/>
              <w:bottom w:val="nil"/>
              <w:right w:val="nil"/>
            </w:tcBorders>
            <w:noWrap/>
            <w:vAlign w:val="center"/>
            <w:hideMark/>
          </w:tcPr>
          <w:p w14:paraId="4B0BC7EF" w14:textId="77777777" w:rsidR="00F9641D" w:rsidRPr="00F07DEB" w:rsidRDefault="00F9641D" w:rsidP="00F07DEB">
            <w:pPr>
              <w:spacing w:after="0"/>
              <w:rPr>
                <w:rFonts w:ascii="Times New Roman" w:hAnsi="Times New Roman" w:cs="Times New Roman"/>
                <w:sz w:val="20"/>
                <w:szCs w:val="20"/>
              </w:rPr>
            </w:pPr>
          </w:p>
        </w:tc>
        <w:tc>
          <w:tcPr>
            <w:tcW w:w="721" w:type="pct"/>
            <w:tcBorders>
              <w:top w:val="single" w:sz="8" w:space="0" w:color="auto"/>
              <w:left w:val="nil"/>
              <w:bottom w:val="nil"/>
              <w:right w:val="nil"/>
            </w:tcBorders>
          </w:tcPr>
          <w:p w14:paraId="4615D5C3" w14:textId="77777777" w:rsidR="00F9641D" w:rsidRPr="00F07DEB" w:rsidRDefault="00F9641D" w:rsidP="00F07DEB">
            <w:pPr>
              <w:spacing w:after="0"/>
              <w:rPr>
                <w:rFonts w:ascii="Times New Roman" w:hAnsi="Times New Roman" w:cs="Times New Roman"/>
                <w:sz w:val="20"/>
                <w:szCs w:val="20"/>
              </w:rPr>
            </w:pPr>
          </w:p>
        </w:tc>
      </w:tr>
      <w:tr w:rsidR="00F9641D" w:rsidRPr="00F07DEB" w14:paraId="1F17D328" w14:textId="4EB668E3" w:rsidTr="00A02B1F">
        <w:trPr>
          <w:trHeight w:val="352"/>
        </w:trPr>
        <w:tc>
          <w:tcPr>
            <w:tcW w:w="1147" w:type="pct"/>
            <w:tcBorders>
              <w:top w:val="nil"/>
              <w:left w:val="nil"/>
              <w:bottom w:val="single" w:sz="8" w:space="0" w:color="auto"/>
              <w:right w:val="nil"/>
            </w:tcBorders>
            <w:vAlign w:val="center"/>
            <w:hideMark/>
          </w:tcPr>
          <w:p w14:paraId="3C9E6811" w14:textId="77777777" w:rsidR="00F9641D" w:rsidRPr="00F07DEB" w:rsidRDefault="00F9641D" w:rsidP="00F07DEB">
            <w:pPr>
              <w:spacing w:after="0"/>
              <w:rPr>
                <w:rFonts w:ascii="Times New Roman" w:hAnsi="Times New Roman" w:cs="Times New Roman"/>
                <w:sz w:val="20"/>
                <w:szCs w:val="20"/>
              </w:rPr>
            </w:pPr>
          </w:p>
        </w:tc>
        <w:tc>
          <w:tcPr>
            <w:tcW w:w="681" w:type="pct"/>
            <w:tcBorders>
              <w:top w:val="nil"/>
              <w:left w:val="nil"/>
              <w:bottom w:val="single" w:sz="8" w:space="0" w:color="auto"/>
              <w:right w:val="nil"/>
            </w:tcBorders>
            <w:noWrap/>
            <w:vAlign w:val="center"/>
            <w:hideMark/>
          </w:tcPr>
          <w:p w14:paraId="240B240D"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PO</w:t>
            </w:r>
            <w:r w:rsidRPr="00F07DEB">
              <w:rPr>
                <w:rFonts w:ascii="Times New Roman" w:hAnsi="Times New Roman" w:cs="Times New Roman"/>
                <w:sz w:val="20"/>
                <w:szCs w:val="20"/>
                <w:vertAlign w:val="subscript"/>
              </w:rPr>
              <w:t>4</w:t>
            </w:r>
            <w:r w:rsidRPr="00F07DEB">
              <w:rPr>
                <w:rFonts w:ascii="Times New Roman" w:hAnsi="Times New Roman" w:cs="Times New Roman"/>
                <w:sz w:val="20"/>
                <w:szCs w:val="20"/>
                <w:vertAlign w:val="superscript"/>
              </w:rPr>
              <w:t>3-</w:t>
            </w:r>
          </w:p>
        </w:tc>
        <w:tc>
          <w:tcPr>
            <w:tcW w:w="913" w:type="pct"/>
            <w:tcBorders>
              <w:top w:val="nil"/>
              <w:left w:val="nil"/>
              <w:bottom w:val="single" w:sz="8" w:space="0" w:color="auto"/>
              <w:right w:val="nil"/>
            </w:tcBorders>
            <w:noWrap/>
            <w:vAlign w:val="center"/>
            <w:hideMark/>
          </w:tcPr>
          <w:p w14:paraId="5A72D253"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0.394 ± 0.066</w:t>
            </w:r>
          </w:p>
        </w:tc>
        <w:tc>
          <w:tcPr>
            <w:tcW w:w="913" w:type="pct"/>
            <w:tcBorders>
              <w:top w:val="nil"/>
              <w:left w:val="nil"/>
              <w:bottom w:val="single" w:sz="8" w:space="0" w:color="auto"/>
              <w:right w:val="nil"/>
            </w:tcBorders>
            <w:noWrap/>
            <w:vAlign w:val="center"/>
            <w:hideMark/>
          </w:tcPr>
          <w:p w14:paraId="01FB9E8F"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0.602 ± 0.361</w:t>
            </w:r>
          </w:p>
        </w:tc>
        <w:tc>
          <w:tcPr>
            <w:tcW w:w="625" w:type="pct"/>
            <w:tcBorders>
              <w:top w:val="nil"/>
              <w:left w:val="nil"/>
              <w:bottom w:val="single" w:sz="8" w:space="0" w:color="auto"/>
              <w:right w:val="nil"/>
            </w:tcBorders>
            <w:noWrap/>
            <w:vAlign w:val="center"/>
            <w:hideMark/>
          </w:tcPr>
          <w:p w14:paraId="2CFE96B6"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 xml:space="preserve">0.690 </w:t>
            </w:r>
            <w:r w:rsidRPr="00F07DEB">
              <w:rPr>
                <w:rFonts w:ascii="Times New Roman" w:hAnsi="Times New Roman" w:cs="Times New Roman"/>
                <w:sz w:val="20"/>
                <w:szCs w:val="20"/>
                <w:vertAlign w:val="superscript"/>
              </w:rPr>
              <w:t>c</w:t>
            </w:r>
          </w:p>
        </w:tc>
        <w:tc>
          <w:tcPr>
            <w:tcW w:w="721" w:type="pct"/>
            <w:tcBorders>
              <w:top w:val="nil"/>
              <w:left w:val="nil"/>
              <w:bottom w:val="single" w:sz="8" w:space="0" w:color="auto"/>
              <w:right w:val="nil"/>
            </w:tcBorders>
          </w:tcPr>
          <w:p w14:paraId="46E2BE81" w14:textId="77777777" w:rsidR="00F9641D" w:rsidRPr="00F07DEB" w:rsidRDefault="00F9641D" w:rsidP="00F07DEB">
            <w:pPr>
              <w:spacing w:after="0"/>
              <w:rPr>
                <w:rFonts w:ascii="Times New Roman" w:hAnsi="Times New Roman" w:cs="Times New Roman"/>
                <w:sz w:val="20"/>
                <w:szCs w:val="20"/>
              </w:rPr>
            </w:pPr>
          </w:p>
        </w:tc>
      </w:tr>
      <w:tr w:rsidR="00A02B1F" w:rsidRPr="00F07DEB" w14:paraId="4EC9168E" w14:textId="03B3463D" w:rsidTr="00A02B1F">
        <w:trPr>
          <w:trHeight w:val="292"/>
        </w:trPr>
        <w:tc>
          <w:tcPr>
            <w:tcW w:w="1828" w:type="pct"/>
            <w:gridSpan w:val="2"/>
            <w:tcBorders>
              <w:top w:val="single" w:sz="8" w:space="0" w:color="auto"/>
              <w:left w:val="nil"/>
              <w:bottom w:val="nil"/>
              <w:right w:val="nil"/>
            </w:tcBorders>
            <w:vAlign w:val="center"/>
            <w:hideMark/>
          </w:tcPr>
          <w:p w14:paraId="700C6A63" w14:textId="77777777" w:rsidR="00A02B1F"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sz w:val="20"/>
                <w:szCs w:val="20"/>
              </w:rPr>
              <w:t>Alkalinity (mg/L as CaCO</w:t>
            </w:r>
            <w:r w:rsidRPr="00F07DEB">
              <w:rPr>
                <w:rFonts w:ascii="Times New Roman" w:hAnsi="Times New Roman" w:cs="Times New Roman"/>
                <w:sz w:val="20"/>
                <w:szCs w:val="20"/>
                <w:vertAlign w:val="subscript"/>
              </w:rPr>
              <w:t>3</w:t>
            </w:r>
            <w:r w:rsidRPr="00F07DEB">
              <w:rPr>
                <w:rFonts w:ascii="Times New Roman" w:hAnsi="Times New Roman" w:cs="Times New Roman"/>
                <w:sz w:val="20"/>
                <w:szCs w:val="20"/>
              </w:rPr>
              <w:t xml:space="preserve"> eq.)</w:t>
            </w:r>
          </w:p>
        </w:tc>
        <w:tc>
          <w:tcPr>
            <w:tcW w:w="913" w:type="pct"/>
            <w:tcBorders>
              <w:top w:val="single" w:sz="8" w:space="0" w:color="auto"/>
              <w:left w:val="nil"/>
              <w:bottom w:val="nil"/>
              <w:right w:val="nil"/>
            </w:tcBorders>
            <w:noWrap/>
            <w:vAlign w:val="center"/>
            <w:hideMark/>
          </w:tcPr>
          <w:p w14:paraId="275A5566" w14:textId="77777777" w:rsidR="00A02B1F"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sz w:val="20"/>
                <w:szCs w:val="20"/>
              </w:rPr>
              <w:t>220 ± 100</w:t>
            </w:r>
          </w:p>
        </w:tc>
        <w:tc>
          <w:tcPr>
            <w:tcW w:w="913" w:type="pct"/>
            <w:tcBorders>
              <w:top w:val="single" w:sz="8" w:space="0" w:color="auto"/>
              <w:left w:val="nil"/>
              <w:bottom w:val="nil"/>
              <w:right w:val="nil"/>
            </w:tcBorders>
            <w:noWrap/>
            <w:vAlign w:val="center"/>
            <w:hideMark/>
          </w:tcPr>
          <w:p w14:paraId="4F8AE03A" w14:textId="77777777" w:rsidR="00A02B1F"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sz w:val="20"/>
                <w:szCs w:val="20"/>
              </w:rPr>
              <w:t>83.3 ± 35.2</w:t>
            </w:r>
          </w:p>
        </w:tc>
        <w:tc>
          <w:tcPr>
            <w:tcW w:w="625" w:type="pct"/>
            <w:tcBorders>
              <w:top w:val="single" w:sz="8" w:space="0" w:color="auto"/>
              <w:left w:val="nil"/>
              <w:bottom w:val="nil"/>
              <w:right w:val="nil"/>
            </w:tcBorders>
            <w:noWrap/>
            <w:vAlign w:val="center"/>
            <w:hideMark/>
          </w:tcPr>
          <w:p w14:paraId="1DC8F76D" w14:textId="77777777" w:rsidR="00A02B1F"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b/>
                <w:sz w:val="20"/>
                <w:szCs w:val="20"/>
              </w:rPr>
              <w:t>0.001</w:t>
            </w:r>
            <w:r w:rsidRPr="00F07DEB">
              <w:rPr>
                <w:rFonts w:ascii="Times New Roman" w:hAnsi="Times New Roman" w:cs="Times New Roman"/>
                <w:sz w:val="20"/>
                <w:szCs w:val="20"/>
              </w:rPr>
              <w:t xml:space="preserve"> </w:t>
            </w:r>
            <w:r w:rsidRPr="00F07DEB">
              <w:rPr>
                <w:rFonts w:ascii="Times New Roman" w:hAnsi="Times New Roman" w:cs="Times New Roman"/>
                <w:sz w:val="20"/>
                <w:szCs w:val="20"/>
                <w:vertAlign w:val="superscript"/>
              </w:rPr>
              <w:t>c</w:t>
            </w:r>
          </w:p>
        </w:tc>
        <w:tc>
          <w:tcPr>
            <w:tcW w:w="721" w:type="pct"/>
            <w:tcBorders>
              <w:top w:val="single" w:sz="8" w:space="0" w:color="auto"/>
              <w:left w:val="nil"/>
              <w:bottom w:val="nil"/>
              <w:right w:val="nil"/>
            </w:tcBorders>
            <w:vAlign w:val="center"/>
          </w:tcPr>
          <w:p w14:paraId="0F9A50CE" w14:textId="2A344E7A" w:rsidR="00A02B1F" w:rsidRPr="00F07DEB" w:rsidRDefault="00A02B1F" w:rsidP="00F07DEB">
            <w:pPr>
              <w:spacing w:after="0"/>
              <w:rPr>
                <w:rFonts w:ascii="Times New Roman" w:hAnsi="Times New Roman" w:cs="Times New Roman"/>
                <w:b/>
                <w:sz w:val="20"/>
                <w:szCs w:val="20"/>
              </w:rPr>
            </w:pPr>
            <w:r w:rsidRPr="00F07DEB">
              <w:rPr>
                <w:rFonts w:ascii="Times New Roman" w:hAnsi="Times New Roman" w:cs="Times New Roman"/>
                <w:color w:val="000000"/>
                <w:sz w:val="20"/>
                <w:szCs w:val="20"/>
              </w:rPr>
              <w:t xml:space="preserve">200 </w:t>
            </w:r>
            <w:r w:rsidRPr="00F07DEB">
              <w:rPr>
                <w:rFonts w:ascii="Times New Roman" w:hAnsi="Times New Roman" w:cs="Times New Roman"/>
                <w:color w:val="000000"/>
                <w:sz w:val="20"/>
                <w:szCs w:val="20"/>
                <w:vertAlign w:val="superscript"/>
              </w:rPr>
              <w:t>5</w:t>
            </w:r>
          </w:p>
        </w:tc>
      </w:tr>
      <w:tr w:rsidR="00A02B1F" w:rsidRPr="00F07DEB" w14:paraId="76360132" w14:textId="2E1A9C9E" w:rsidTr="00A02B1F">
        <w:trPr>
          <w:trHeight w:val="292"/>
        </w:trPr>
        <w:tc>
          <w:tcPr>
            <w:tcW w:w="1828" w:type="pct"/>
            <w:gridSpan w:val="2"/>
            <w:tcBorders>
              <w:top w:val="nil"/>
              <w:left w:val="nil"/>
              <w:bottom w:val="nil"/>
              <w:right w:val="nil"/>
            </w:tcBorders>
            <w:noWrap/>
            <w:vAlign w:val="center"/>
            <w:hideMark/>
          </w:tcPr>
          <w:p w14:paraId="13732C04" w14:textId="746DE232" w:rsidR="00A02B1F"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sz w:val="20"/>
                <w:szCs w:val="20"/>
              </w:rPr>
              <w:t>Turbidity (NTU)</w:t>
            </w:r>
          </w:p>
        </w:tc>
        <w:tc>
          <w:tcPr>
            <w:tcW w:w="913" w:type="pct"/>
            <w:tcBorders>
              <w:top w:val="nil"/>
              <w:left w:val="nil"/>
              <w:bottom w:val="nil"/>
              <w:right w:val="nil"/>
            </w:tcBorders>
            <w:noWrap/>
            <w:vAlign w:val="center"/>
            <w:hideMark/>
          </w:tcPr>
          <w:p w14:paraId="446C548B" w14:textId="77777777" w:rsidR="00A02B1F"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sz w:val="20"/>
                <w:szCs w:val="20"/>
              </w:rPr>
              <w:t>2.04 ± 2.44</w:t>
            </w:r>
          </w:p>
        </w:tc>
        <w:tc>
          <w:tcPr>
            <w:tcW w:w="913" w:type="pct"/>
            <w:tcBorders>
              <w:top w:val="nil"/>
              <w:left w:val="nil"/>
              <w:bottom w:val="nil"/>
              <w:right w:val="nil"/>
            </w:tcBorders>
            <w:noWrap/>
            <w:vAlign w:val="center"/>
            <w:hideMark/>
          </w:tcPr>
          <w:p w14:paraId="0AF43017" w14:textId="77777777" w:rsidR="00A02B1F"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sz w:val="20"/>
                <w:szCs w:val="20"/>
              </w:rPr>
              <w:t>1.60 ± 1.23</w:t>
            </w:r>
          </w:p>
        </w:tc>
        <w:tc>
          <w:tcPr>
            <w:tcW w:w="625" w:type="pct"/>
            <w:tcBorders>
              <w:top w:val="nil"/>
              <w:left w:val="nil"/>
              <w:bottom w:val="nil"/>
              <w:right w:val="nil"/>
            </w:tcBorders>
            <w:noWrap/>
            <w:vAlign w:val="center"/>
            <w:hideMark/>
          </w:tcPr>
          <w:p w14:paraId="54E5A2CB" w14:textId="77777777" w:rsidR="00A02B1F"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sz w:val="20"/>
                <w:szCs w:val="20"/>
              </w:rPr>
              <w:t xml:space="preserve">0.799 </w:t>
            </w:r>
            <w:r w:rsidRPr="00F07DEB">
              <w:rPr>
                <w:rFonts w:ascii="Times New Roman" w:hAnsi="Times New Roman" w:cs="Times New Roman"/>
                <w:sz w:val="20"/>
                <w:szCs w:val="20"/>
                <w:vertAlign w:val="superscript"/>
              </w:rPr>
              <w:t>c</w:t>
            </w:r>
          </w:p>
        </w:tc>
        <w:tc>
          <w:tcPr>
            <w:tcW w:w="721" w:type="pct"/>
            <w:tcBorders>
              <w:top w:val="nil"/>
              <w:left w:val="nil"/>
              <w:bottom w:val="nil"/>
              <w:right w:val="nil"/>
            </w:tcBorders>
            <w:vAlign w:val="bottom"/>
          </w:tcPr>
          <w:p w14:paraId="4DF73290" w14:textId="77777777" w:rsidR="00A02B1F" w:rsidRPr="00F07DEB" w:rsidRDefault="00A02B1F" w:rsidP="00F07DEB">
            <w:pPr>
              <w:spacing w:after="0"/>
              <w:rPr>
                <w:rFonts w:ascii="Times New Roman" w:hAnsi="Times New Roman" w:cs="Times New Roman"/>
                <w:sz w:val="20"/>
                <w:szCs w:val="20"/>
              </w:rPr>
            </w:pPr>
          </w:p>
        </w:tc>
      </w:tr>
      <w:tr w:rsidR="00A02B1F" w:rsidRPr="00F07DEB" w14:paraId="684ED9C6" w14:textId="1F5B9E00" w:rsidTr="00A02B1F">
        <w:trPr>
          <w:trHeight w:val="292"/>
        </w:trPr>
        <w:tc>
          <w:tcPr>
            <w:tcW w:w="1828" w:type="pct"/>
            <w:gridSpan w:val="2"/>
            <w:tcBorders>
              <w:top w:val="nil"/>
              <w:left w:val="nil"/>
              <w:bottom w:val="nil"/>
              <w:right w:val="nil"/>
            </w:tcBorders>
            <w:noWrap/>
            <w:vAlign w:val="center"/>
            <w:hideMark/>
          </w:tcPr>
          <w:p w14:paraId="10D8C3D8" w14:textId="77777777" w:rsidR="00A02B1F"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sz w:val="20"/>
                <w:szCs w:val="20"/>
              </w:rPr>
              <w:t>pH</w:t>
            </w:r>
          </w:p>
        </w:tc>
        <w:tc>
          <w:tcPr>
            <w:tcW w:w="913" w:type="pct"/>
            <w:tcBorders>
              <w:top w:val="nil"/>
              <w:left w:val="nil"/>
              <w:bottom w:val="nil"/>
              <w:right w:val="nil"/>
            </w:tcBorders>
            <w:noWrap/>
            <w:vAlign w:val="center"/>
            <w:hideMark/>
          </w:tcPr>
          <w:p w14:paraId="66DDDF80" w14:textId="77777777" w:rsidR="00A02B1F"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sz w:val="20"/>
                <w:szCs w:val="20"/>
              </w:rPr>
              <w:t>7.92 ± 0.538</w:t>
            </w:r>
          </w:p>
        </w:tc>
        <w:tc>
          <w:tcPr>
            <w:tcW w:w="913" w:type="pct"/>
            <w:tcBorders>
              <w:top w:val="nil"/>
              <w:left w:val="nil"/>
              <w:bottom w:val="nil"/>
              <w:right w:val="nil"/>
            </w:tcBorders>
            <w:noWrap/>
            <w:vAlign w:val="center"/>
            <w:hideMark/>
          </w:tcPr>
          <w:p w14:paraId="68D42DE1" w14:textId="77777777" w:rsidR="00A02B1F"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sz w:val="20"/>
                <w:szCs w:val="20"/>
              </w:rPr>
              <w:t>7.74 ± 0.370</w:t>
            </w:r>
          </w:p>
        </w:tc>
        <w:tc>
          <w:tcPr>
            <w:tcW w:w="625" w:type="pct"/>
            <w:tcBorders>
              <w:top w:val="nil"/>
              <w:left w:val="nil"/>
              <w:bottom w:val="nil"/>
              <w:right w:val="nil"/>
            </w:tcBorders>
            <w:noWrap/>
            <w:vAlign w:val="center"/>
            <w:hideMark/>
          </w:tcPr>
          <w:p w14:paraId="2EF0FEA9" w14:textId="77777777" w:rsidR="00A02B1F"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sz w:val="20"/>
                <w:szCs w:val="20"/>
              </w:rPr>
              <w:t xml:space="preserve">0.116 </w:t>
            </w:r>
            <w:r w:rsidRPr="00F07DEB">
              <w:rPr>
                <w:rFonts w:ascii="Times New Roman" w:hAnsi="Times New Roman" w:cs="Times New Roman"/>
                <w:sz w:val="20"/>
                <w:szCs w:val="20"/>
                <w:vertAlign w:val="superscript"/>
              </w:rPr>
              <w:t>b</w:t>
            </w:r>
          </w:p>
        </w:tc>
        <w:tc>
          <w:tcPr>
            <w:tcW w:w="721" w:type="pct"/>
            <w:tcBorders>
              <w:top w:val="nil"/>
              <w:left w:val="nil"/>
              <w:bottom w:val="nil"/>
              <w:right w:val="nil"/>
            </w:tcBorders>
            <w:vAlign w:val="center"/>
          </w:tcPr>
          <w:p w14:paraId="18C917C1" w14:textId="33B366B4" w:rsidR="00A02B1F"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color w:val="000000"/>
                <w:sz w:val="20"/>
                <w:szCs w:val="20"/>
              </w:rPr>
              <w:t>6-8</w:t>
            </w:r>
            <w:r w:rsidRPr="00F07DEB">
              <w:rPr>
                <w:rFonts w:ascii="Times New Roman" w:hAnsi="Times New Roman" w:cs="Times New Roman"/>
                <w:color w:val="000000"/>
                <w:sz w:val="20"/>
                <w:szCs w:val="20"/>
                <w:vertAlign w:val="superscript"/>
              </w:rPr>
              <w:t>1</w:t>
            </w:r>
            <w:r w:rsidRPr="00F07DEB">
              <w:rPr>
                <w:rFonts w:ascii="Times New Roman" w:hAnsi="Times New Roman" w:cs="Times New Roman"/>
                <w:color w:val="000000"/>
                <w:sz w:val="20"/>
                <w:szCs w:val="20"/>
              </w:rPr>
              <w:t>, 6.5-8.4</w:t>
            </w:r>
            <w:r w:rsidRPr="00F07DEB">
              <w:rPr>
                <w:rFonts w:ascii="Times New Roman" w:hAnsi="Times New Roman" w:cs="Times New Roman"/>
                <w:color w:val="000000"/>
                <w:sz w:val="20"/>
                <w:szCs w:val="20"/>
                <w:vertAlign w:val="superscript"/>
              </w:rPr>
              <w:t>3</w:t>
            </w:r>
          </w:p>
        </w:tc>
      </w:tr>
      <w:tr w:rsidR="00F9641D" w:rsidRPr="00F07DEB" w14:paraId="7C9BBFF7" w14:textId="75A111F7" w:rsidTr="00A02B1F">
        <w:trPr>
          <w:trHeight w:val="292"/>
        </w:trPr>
        <w:tc>
          <w:tcPr>
            <w:tcW w:w="1828" w:type="pct"/>
            <w:gridSpan w:val="2"/>
            <w:tcBorders>
              <w:top w:val="nil"/>
              <w:left w:val="nil"/>
              <w:bottom w:val="nil"/>
              <w:right w:val="nil"/>
            </w:tcBorders>
            <w:noWrap/>
            <w:vAlign w:val="center"/>
            <w:hideMark/>
          </w:tcPr>
          <w:p w14:paraId="340566E8"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Specific conductance (</w:t>
            </w:r>
            <w:proofErr w:type="spellStart"/>
            <w:r w:rsidRPr="00F07DEB">
              <w:rPr>
                <w:rFonts w:ascii="Times New Roman" w:hAnsi="Times New Roman" w:cs="Times New Roman"/>
                <w:sz w:val="20"/>
                <w:szCs w:val="20"/>
              </w:rPr>
              <w:t>dS</w:t>
            </w:r>
            <w:proofErr w:type="spellEnd"/>
            <w:r w:rsidRPr="00F07DEB">
              <w:rPr>
                <w:rFonts w:ascii="Times New Roman" w:hAnsi="Times New Roman" w:cs="Times New Roman"/>
                <w:sz w:val="20"/>
                <w:szCs w:val="20"/>
              </w:rPr>
              <w:t>/m)</w:t>
            </w:r>
          </w:p>
        </w:tc>
        <w:tc>
          <w:tcPr>
            <w:tcW w:w="913" w:type="pct"/>
            <w:tcBorders>
              <w:top w:val="nil"/>
              <w:left w:val="nil"/>
              <w:bottom w:val="nil"/>
              <w:right w:val="nil"/>
            </w:tcBorders>
            <w:noWrap/>
            <w:vAlign w:val="center"/>
            <w:hideMark/>
          </w:tcPr>
          <w:p w14:paraId="4E49B449"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0.585 ± 0.122</w:t>
            </w:r>
          </w:p>
        </w:tc>
        <w:tc>
          <w:tcPr>
            <w:tcW w:w="913" w:type="pct"/>
            <w:tcBorders>
              <w:top w:val="nil"/>
              <w:left w:val="nil"/>
              <w:bottom w:val="nil"/>
              <w:right w:val="nil"/>
            </w:tcBorders>
            <w:noWrap/>
            <w:vAlign w:val="center"/>
            <w:hideMark/>
          </w:tcPr>
          <w:p w14:paraId="7C9644D5"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3.05 ± 0.154</w:t>
            </w:r>
          </w:p>
        </w:tc>
        <w:tc>
          <w:tcPr>
            <w:tcW w:w="625" w:type="pct"/>
            <w:tcBorders>
              <w:top w:val="nil"/>
              <w:left w:val="nil"/>
              <w:bottom w:val="nil"/>
              <w:right w:val="nil"/>
            </w:tcBorders>
            <w:noWrap/>
            <w:vAlign w:val="center"/>
            <w:hideMark/>
          </w:tcPr>
          <w:p w14:paraId="2BDBAA4C"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b/>
                <w:sz w:val="20"/>
                <w:szCs w:val="20"/>
              </w:rPr>
              <w:t>&lt; 0.001</w:t>
            </w:r>
            <w:r w:rsidRPr="00F07DEB">
              <w:rPr>
                <w:rFonts w:ascii="Times New Roman" w:hAnsi="Times New Roman" w:cs="Times New Roman"/>
                <w:sz w:val="20"/>
                <w:szCs w:val="20"/>
              </w:rPr>
              <w:t xml:space="preserve"> </w:t>
            </w:r>
            <w:r w:rsidRPr="00F07DEB">
              <w:rPr>
                <w:rFonts w:ascii="Times New Roman" w:hAnsi="Times New Roman" w:cs="Times New Roman"/>
                <w:sz w:val="20"/>
                <w:szCs w:val="20"/>
                <w:vertAlign w:val="superscript"/>
              </w:rPr>
              <w:t>c</w:t>
            </w:r>
          </w:p>
        </w:tc>
        <w:tc>
          <w:tcPr>
            <w:tcW w:w="721" w:type="pct"/>
            <w:tcBorders>
              <w:top w:val="nil"/>
              <w:left w:val="nil"/>
              <w:bottom w:val="nil"/>
              <w:right w:val="nil"/>
            </w:tcBorders>
          </w:tcPr>
          <w:p w14:paraId="3F3B1C2E" w14:textId="2140ED04" w:rsidR="00F9641D"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sz w:val="20"/>
                <w:szCs w:val="20"/>
              </w:rPr>
              <w:t>See Table 4</w:t>
            </w:r>
          </w:p>
        </w:tc>
      </w:tr>
      <w:tr w:rsidR="00F9641D" w:rsidRPr="00F07DEB" w14:paraId="3ECAD649" w14:textId="59B4D678" w:rsidTr="00A02B1F">
        <w:trPr>
          <w:trHeight w:val="300"/>
        </w:trPr>
        <w:tc>
          <w:tcPr>
            <w:tcW w:w="1828" w:type="pct"/>
            <w:gridSpan w:val="2"/>
            <w:tcBorders>
              <w:top w:val="nil"/>
              <w:left w:val="nil"/>
              <w:bottom w:val="single" w:sz="8" w:space="0" w:color="auto"/>
              <w:right w:val="nil"/>
            </w:tcBorders>
            <w:noWrap/>
            <w:vAlign w:val="center"/>
            <w:hideMark/>
          </w:tcPr>
          <w:p w14:paraId="3B677897" w14:textId="15F78AD2" w:rsidR="00F9641D" w:rsidRPr="00F07DEB" w:rsidRDefault="00F9641D" w:rsidP="00F07DEB">
            <w:pPr>
              <w:spacing w:after="0"/>
              <w:rPr>
                <w:rFonts w:ascii="Times New Roman" w:hAnsi="Times New Roman" w:cs="Times New Roman"/>
                <w:sz w:val="20"/>
                <w:szCs w:val="20"/>
              </w:rPr>
            </w:pPr>
            <w:proofErr w:type="spellStart"/>
            <w:r w:rsidRPr="00F07DEB">
              <w:rPr>
                <w:rFonts w:ascii="Times New Roman" w:hAnsi="Times New Roman" w:cs="Times New Roman"/>
                <w:sz w:val="20"/>
                <w:szCs w:val="20"/>
              </w:rPr>
              <w:t>adj</w:t>
            </w:r>
            <w:proofErr w:type="spellEnd"/>
            <w:r w:rsidRPr="00F07DEB">
              <w:rPr>
                <w:rFonts w:ascii="Times New Roman" w:hAnsi="Times New Roman" w:cs="Times New Roman"/>
                <w:sz w:val="20"/>
                <w:szCs w:val="20"/>
              </w:rPr>
              <w:t xml:space="preserve"> SAR</w:t>
            </w:r>
          </w:p>
        </w:tc>
        <w:tc>
          <w:tcPr>
            <w:tcW w:w="913" w:type="pct"/>
            <w:tcBorders>
              <w:top w:val="nil"/>
              <w:left w:val="nil"/>
              <w:bottom w:val="single" w:sz="8" w:space="0" w:color="auto"/>
              <w:right w:val="nil"/>
            </w:tcBorders>
            <w:noWrap/>
            <w:vAlign w:val="center"/>
            <w:hideMark/>
          </w:tcPr>
          <w:p w14:paraId="0B8A0C41"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0.946</w:t>
            </w:r>
          </w:p>
        </w:tc>
        <w:tc>
          <w:tcPr>
            <w:tcW w:w="913" w:type="pct"/>
            <w:tcBorders>
              <w:top w:val="nil"/>
              <w:left w:val="nil"/>
              <w:bottom w:val="single" w:sz="8" w:space="0" w:color="auto"/>
              <w:right w:val="nil"/>
            </w:tcBorders>
            <w:noWrap/>
            <w:vAlign w:val="center"/>
            <w:hideMark/>
          </w:tcPr>
          <w:p w14:paraId="4A04D375"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0.974</w:t>
            </w:r>
          </w:p>
        </w:tc>
        <w:tc>
          <w:tcPr>
            <w:tcW w:w="625" w:type="pct"/>
            <w:tcBorders>
              <w:top w:val="nil"/>
              <w:left w:val="nil"/>
              <w:bottom w:val="single" w:sz="8" w:space="0" w:color="auto"/>
              <w:right w:val="nil"/>
            </w:tcBorders>
            <w:noWrap/>
            <w:vAlign w:val="center"/>
            <w:hideMark/>
          </w:tcPr>
          <w:p w14:paraId="36311209" w14:textId="77777777" w:rsidR="00F9641D" w:rsidRPr="00F07DEB" w:rsidRDefault="00F9641D" w:rsidP="00F07DEB">
            <w:pPr>
              <w:spacing w:after="0"/>
              <w:rPr>
                <w:rFonts w:ascii="Times New Roman" w:hAnsi="Times New Roman" w:cs="Times New Roman"/>
                <w:sz w:val="20"/>
                <w:szCs w:val="20"/>
              </w:rPr>
            </w:pPr>
            <w:r w:rsidRPr="00F07DEB">
              <w:rPr>
                <w:rFonts w:ascii="Times New Roman" w:hAnsi="Times New Roman" w:cs="Times New Roman"/>
                <w:sz w:val="20"/>
                <w:szCs w:val="20"/>
              </w:rPr>
              <w:t> </w:t>
            </w:r>
          </w:p>
        </w:tc>
        <w:tc>
          <w:tcPr>
            <w:tcW w:w="721" w:type="pct"/>
            <w:tcBorders>
              <w:top w:val="nil"/>
              <w:left w:val="nil"/>
              <w:bottom w:val="single" w:sz="8" w:space="0" w:color="auto"/>
              <w:right w:val="nil"/>
            </w:tcBorders>
          </w:tcPr>
          <w:p w14:paraId="0994978F" w14:textId="52D18672" w:rsidR="00F9641D" w:rsidRPr="00F07DEB" w:rsidRDefault="00A02B1F" w:rsidP="00F07DEB">
            <w:pPr>
              <w:spacing w:after="0"/>
              <w:rPr>
                <w:rFonts w:ascii="Times New Roman" w:hAnsi="Times New Roman" w:cs="Times New Roman"/>
                <w:sz w:val="20"/>
                <w:szCs w:val="20"/>
              </w:rPr>
            </w:pPr>
            <w:r w:rsidRPr="00F07DEB">
              <w:rPr>
                <w:rFonts w:ascii="Times New Roman" w:hAnsi="Times New Roman" w:cs="Times New Roman"/>
                <w:sz w:val="20"/>
                <w:szCs w:val="20"/>
              </w:rPr>
              <w:t>See Table 4</w:t>
            </w:r>
          </w:p>
        </w:tc>
      </w:tr>
    </w:tbl>
    <w:p w14:paraId="738A66F2" w14:textId="70443B67" w:rsidR="00DA4F86" w:rsidRDefault="0042622B" w:rsidP="00E32F87">
      <w:pPr>
        <w:spacing w:line="240" w:lineRule="auto"/>
        <w:rPr>
          <w:rFonts w:ascii="Times New Roman" w:hAnsi="Times New Roman" w:cs="Times New Roman"/>
          <w:sz w:val="20"/>
          <w:szCs w:val="20"/>
        </w:rPr>
      </w:pPr>
      <w:r w:rsidRPr="00F07DEB">
        <w:rPr>
          <w:rFonts w:ascii="Times New Roman" w:hAnsi="Times New Roman" w:cs="Times New Roman"/>
          <w:sz w:val="20"/>
          <w:szCs w:val="20"/>
        </w:rPr>
        <w:t xml:space="preserve">The type of two-tailed hypothesis test used to compare independent samples is indicated by the superscript: </w:t>
      </w:r>
      <w:proofErr w:type="spellStart"/>
      <w:r w:rsidRPr="00F07DEB">
        <w:rPr>
          <w:rFonts w:ascii="Times New Roman" w:hAnsi="Times New Roman" w:cs="Times New Roman"/>
          <w:sz w:val="20"/>
          <w:szCs w:val="20"/>
          <w:vertAlign w:val="superscript"/>
        </w:rPr>
        <w:t>a</w:t>
      </w:r>
      <w:r w:rsidRPr="00F07DEB">
        <w:rPr>
          <w:rFonts w:ascii="Times New Roman" w:hAnsi="Times New Roman" w:cs="Times New Roman"/>
          <w:sz w:val="20"/>
          <w:szCs w:val="20"/>
        </w:rPr>
        <w:t>Student's</w:t>
      </w:r>
      <w:proofErr w:type="spellEnd"/>
      <w:r w:rsidRPr="00F07DEB">
        <w:rPr>
          <w:rFonts w:ascii="Times New Roman" w:hAnsi="Times New Roman" w:cs="Times New Roman"/>
          <w:sz w:val="20"/>
          <w:szCs w:val="20"/>
        </w:rPr>
        <w:t xml:space="preserve"> t-test</w:t>
      </w:r>
      <w:r w:rsidR="00BA3E72" w:rsidRPr="00F07DEB">
        <w:rPr>
          <w:rFonts w:ascii="Times New Roman" w:hAnsi="Times New Roman" w:cs="Times New Roman"/>
          <w:sz w:val="20"/>
          <w:szCs w:val="20"/>
        </w:rPr>
        <w:t>;</w:t>
      </w:r>
      <w:r w:rsidRPr="00F07DEB">
        <w:rPr>
          <w:rFonts w:ascii="Times New Roman" w:hAnsi="Times New Roman" w:cs="Times New Roman"/>
          <w:sz w:val="20"/>
          <w:szCs w:val="20"/>
        </w:rPr>
        <w:t xml:space="preserve"> </w:t>
      </w:r>
      <w:proofErr w:type="spellStart"/>
      <w:r w:rsidRPr="00F07DEB">
        <w:rPr>
          <w:rFonts w:ascii="Times New Roman" w:hAnsi="Times New Roman" w:cs="Times New Roman"/>
          <w:sz w:val="20"/>
          <w:szCs w:val="20"/>
          <w:vertAlign w:val="superscript"/>
        </w:rPr>
        <w:t>b</w:t>
      </w:r>
      <w:r w:rsidRPr="00F07DEB">
        <w:rPr>
          <w:rFonts w:ascii="Times New Roman" w:hAnsi="Times New Roman" w:cs="Times New Roman"/>
          <w:sz w:val="20"/>
          <w:szCs w:val="20"/>
        </w:rPr>
        <w:t>Welch's</w:t>
      </w:r>
      <w:proofErr w:type="spellEnd"/>
      <w:r w:rsidRPr="00F07DEB">
        <w:rPr>
          <w:rFonts w:ascii="Times New Roman" w:hAnsi="Times New Roman" w:cs="Times New Roman"/>
          <w:sz w:val="20"/>
          <w:szCs w:val="20"/>
        </w:rPr>
        <w:t xml:space="preserve"> t-test (unequal variances)</w:t>
      </w:r>
      <w:r w:rsidR="00BA3E72" w:rsidRPr="00F07DEB">
        <w:rPr>
          <w:rFonts w:ascii="Times New Roman" w:hAnsi="Times New Roman" w:cs="Times New Roman"/>
          <w:sz w:val="20"/>
          <w:szCs w:val="20"/>
        </w:rPr>
        <w:t>;</w:t>
      </w:r>
      <w:r w:rsidRPr="00F07DEB">
        <w:rPr>
          <w:rFonts w:ascii="Times New Roman" w:hAnsi="Times New Roman" w:cs="Times New Roman"/>
          <w:sz w:val="20"/>
          <w:szCs w:val="20"/>
        </w:rPr>
        <w:t xml:space="preserve"> </w:t>
      </w:r>
      <w:proofErr w:type="spellStart"/>
      <w:r w:rsidRPr="00F07DEB">
        <w:rPr>
          <w:rFonts w:ascii="Times New Roman" w:hAnsi="Times New Roman" w:cs="Times New Roman"/>
          <w:sz w:val="20"/>
          <w:szCs w:val="20"/>
          <w:vertAlign w:val="superscript"/>
        </w:rPr>
        <w:t>c</w:t>
      </w:r>
      <w:r w:rsidRPr="00F07DEB">
        <w:rPr>
          <w:rFonts w:ascii="Times New Roman" w:hAnsi="Times New Roman" w:cs="Times New Roman"/>
          <w:sz w:val="20"/>
          <w:szCs w:val="20"/>
        </w:rPr>
        <w:t>Mann</w:t>
      </w:r>
      <w:proofErr w:type="spellEnd"/>
      <w:r w:rsidRPr="00F07DEB">
        <w:rPr>
          <w:rFonts w:ascii="Times New Roman" w:hAnsi="Times New Roman" w:cs="Times New Roman"/>
          <w:sz w:val="20"/>
          <w:szCs w:val="20"/>
        </w:rPr>
        <w:t>-Whitney U test</w:t>
      </w:r>
      <w:r w:rsidR="00DC04E4" w:rsidRPr="00F07DEB">
        <w:rPr>
          <w:rFonts w:ascii="Times New Roman" w:hAnsi="Times New Roman" w:cs="Times New Roman"/>
          <w:sz w:val="20"/>
          <w:szCs w:val="20"/>
        </w:rPr>
        <w:t xml:space="preserve">. </w:t>
      </w:r>
      <w:r w:rsidR="00E720F9" w:rsidRPr="00F07DEB">
        <w:rPr>
          <w:rFonts w:ascii="Times New Roman" w:hAnsi="Times New Roman" w:cs="Times New Roman"/>
          <w:sz w:val="20"/>
          <w:szCs w:val="20"/>
        </w:rPr>
        <w:t xml:space="preserve">Significant </w:t>
      </w:r>
      <w:r w:rsidR="00E720F9" w:rsidRPr="007B5610">
        <w:rPr>
          <w:rFonts w:ascii="Times New Roman" w:hAnsi="Times New Roman" w:cs="Times New Roman"/>
          <w:i/>
          <w:sz w:val="20"/>
          <w:szCs w:val="20"/>
        </w:rPr>
        <w:t>p</w:t>
      </w:r>
      <w:r w:rsidR="00E720F9" w:rsidRPr="00F07DEB">
        <w:rPr>
          <w:rFonts w:ascii="Times New Roman" w:hAnsi="Times New Roman" w:cs="Times New Roman"/>
          <w:sz w:val="20"/>
          <w:szCs w:val="20"/>
        </w:rPr>
        <w:t xml:space="preserve">-values at alpha = 0.05 are bolded. </w:t>
      </w:r>
      <w:r w:rsidR="00AB309B" w:rsidRPr="00F07DEB">
        <w:rPr>
          <w:rFonts w:ascii="Times New Roman" w:hAnsi="Times New Roman" w:cs="Times New Roman"/>
          <w:szCs w:val="24"/>
          <w:vertAlign w:val="superscript"/>
        </w:rPr>
        <w:t>1</w:t>
      </w:r>
      <w:r w:rsidR="00AB309B" w:rsidRPr="00F07DEB">
        <w:rPr>
          <w:rFonts w:ascii="Times New Roman" w:hAnsi="Times New Roman" w:cs="Times New Roman"/>
          <w:sz w:val="20"/>
          <w:szCs w:val="24"/>
        </w:rPr>
        <w:fldChar w:fldCharType="begin"/>
      </w:r>
      <w:r w:rsidR="00A4793B" w:rsidRPr="00F07DEB">
        <w:rPr>
          <w:rFonts w:ascii="Times New Roman" w:hAnsi="Times New Roman" w:cs="Times New Roman"/>
          <w:sz w:val="20"/>
          <w:szCs w:val="24"/>
        </w:rPr>
        <w:instrText xml:space="preserve"> ADDIN ZOTERO_ITEM CSL_CITATION {"citationID":"tpAXIRQJ","properties":{"formattedCitation":"(USEPA, 2012)","plainCitation":"(USEPA, 2012)","noteIndex":0},"citationItems":[{"id":410,"uris":["http://zotero.org/users/5446453/items/6AD5KZJC"],"uri":["http://zotero.org/users/5446453/items/6AD5KZJC"],"itemData":{"id":410,"type":"report","event-place":"Washington, D.C.","language":"en","number":"EPA/600/R-12/618","page":"643","publisher":"U.S. Environmental Protection Agency Office of Wastewater Management","publisher-place":"Washington, D.C.","source":"Zotero","title":"2012 Guidelines for Water Reuse","URL":"https://www3.epa.gov/region1/npdes/merrimackstation/pdfs/ar/AR-1530.pdf","author":[{"literal":"USEPA"}],"issued":{"date-parts":[["2012",9]]}}}],"schema":"https://github.com/citation-style-language/schema/raw/master/csl-citation.json"} </w:instrText>
      </w:r>
      <w:r w:rsidR="00AB309B" w:rsidRPr="00F07DEB">
        <w:rPr>
          <w:rFonts w:ascii="Times New Roman" w:hAnsi="Times New Roman" w:cs="Times New Roman"/>
          <w:sz w:val="20"/>
          <w:szCs w:val="24"/>
        </w:rPr>
        <w:fldChar w:fldCharType="separate"/>
      </w:r>
      <w:r w:rsidR="00234033" w:rsidRPr="00234033">
        <w:rPr>
          <w:rFonts w:ascii="Times New Roman" w:hAnsi="Times New Roman" w:cs="Times New Roman"/>
          <w:sz w:val="20"/>
        </w:rPr>
        <w:t>(USEPA, 2012)</w:t>
      </w:r>
      <w:r w:rsidR="00AB309B" w:rsidRPr="00F07DEB">
        <w:rPr>
          <w:rFonts w:ascii="Times New Roman" w:hAnsi="Times New Roman" w:cs="Times New Roman"/>
          <w:sz w:val="20"/>
          <w:szCs w:val="24"/>
        </w:rPr>
        <w:fldChar w:fldCharType="end"/>
      </w:r>
      <w:r w:rsidR="00AB309B" w:rsidRPr="00F07DEB">
        <w:rPr>
          <w:rFonts w:ascii="Times New Roman" w:hAnsi="Times New Roman" w:cs="Times New Roman"/>
          <w:sz w:val="20"/>
          <w:szCs w:val="24"/>
        </w:rPr>
        <w:t xml:space="preserve"> </w:t>
      </w:r>
      <w:r w:rsidR="00AB309B" w:rsidRPr="00F07DEB">
        <w:rPr>
          <w:rFonts w:ascii="Times New Roman" w:hAnsi="Times New Roman" w:cs="Times New Roman"/>
          <w:sz w:val="20"/>
          <w:szCs w:val="24"/>
          <w:vertAlign w:val="superscript"/>
        </w:rPr>
        <w:t>2</w:t>
      </w:r>
      <w:r w:rsidR="00AB309B" w:rsidRPr="00F07DEB">
        <w:rPr>
          <w:rFonts w:ascii="Times New Roman" w:hAnsi="Times New Roman" w:cs="Times New Roman"/>
          <w:sz w:val="20"/>
          <w:szCs w:val="24"/>
        </w:rPr>
        <w:fldChar w:fldCharType="begin"/>
      </w:r>
      <w:r w:rsidR="00C2564D">
        <w:rPr>
          <w:rFonts w:ascii="Times New Roman" w:hAnsi="Times New Roman" w:cs="Times New Roman"/>
          <w:sz w:val="20"/>
          <w:szCs w:val="24"/>
        </w:rPr>
        <w:instrText xml:space="preserve"> ADDIN ZOTERO_ITEM CSL_CITATION {"citationID":"6lUOHbKK","properties":{"formattedCitation":"(Chang et al., 2001)","plainCitation":"(Chang et al., 2001)","noteIndex":0},"citationItems":[{"id":412,"uris":["http://zotero.org/users/5446453/items/QM4Z8T66"],"uri":["http://zotero.org/users/5446453/items/QM4Z8T66"],"itemData":{"id":412,"type":"report","number":"No. WHO/EOS/95.20","page":"13","publisher":"World Health Organization European Environmental Bureau","source":"ResearchGate","title":"Developing human health-related chemical guidelines for reclaimed water and sewage sludge applications in agriculture","author":[{"family":"Chang","given":"Andrew"},{"family":"Pan","given":"Genxing"},{"family":"Page","given":"Albert"},{"family":"Asano","given":"Takashi"}],"issued":{"date-parts":[["2001",1,1]]}}}],"schema":"https://github.com/citation-style-language/schema/raw/master/csl-citation.json"} </w:instrText>
      </w:r>
      <w:r w:rsidR="00AB309B" w:rsidRPr="00F07DEB">
        <w:rPr>
          <w:rFonts w:ascii="Times New Roman" w:hAnsi="Times New Roman" w:cs="Times New Roman"/>
          <w:sz w:val="20"/>
          <w:szCs w:val="24"/>
        </w:rPr>
        <w:fldChar w:fldCharType="separate"/>
      </w:r>
      <w:r w:rsidR="00234033" w:rsidRPr="00234033">
        <w:rPr>
          <w:rFonts w:ascii="Times New Roman" w:hAnsi="Times New Roman" w:cs="Times New Roman"/>
          <w:sz w:val="20"/>
        </w:rPr>
        <w:t>(Chang et al., 2001)</w:t>
      </w:r>
      <w:r w:rsidR="00AB309B" w:rsidRPr="00F07DEB">
        <w:rPr>
          <w:rFonts w:ascii="Times New Roman" w:hAnsi="Times New Roman" w:cs="Times New Roman"/>
          <w:sz w:val="20"/>
          <w:szCs w:val="24"/>
        </w:rPr>
        <w:fldChar w:fldCharType="end"/>
      </w:r>
      <w:r w:rsidR="00AB309B" w:rsidRPr="00F07DEB">
        <w:rPr>
          <w:rFonts w:ascii="Times New Roman" w:hAnsi="Times New Roman" w:cs="Times New Roman"/>
          <w:sz w:val="20"/>
          <w:szCs w:val="24"/>
        </w:rPr>
        <w:t xml:space="preserve"> </w:t>
      </w:r>
      <w:r w:rsidR="00AB309B" w:rsidRPr="00F07DEB">
        <w:rPr>
          <w:rFonts w:ascii="Times New Roman" w:hAnsi="Times New Roman" w:cs="Times New Roman"/>
          <w:sz w:val="20"/>
          <w:szCs w:val="24"/>
          <w:vertAlign w:val="superscript"/>
        </w:rPr>
        <w:t>3</w:t>
      </w:r>
      <w:r w:rsidR="00AB309B" w:rsidRPr="00F07DEB">
        <w:rPr>
          <w:rFonts w:ascii="Times New Roman" w:hAnsi="Times New Roman" w:cs="Times New Roman"/>
          <w:sz w:val="20"/>
          <w:szCs w:val="24"/>
        </w:rPr>
        <w:fldChar w:fldCharType="begin"/>
      </w:r>
      <w:r w:rsidR="00A4793B" w:rsidRPr="00F07DEB">
        <w:rPr>
          <w:rFonts w:ascii="Times New Roman" w:hAnsi="Times New Roman" w:cs="Times New Roman"/>
          <w:sz w:val="20"/>
          <w:szCs w:val="24"/>
        </w:rPr>
        <w:instrText xml:space="preserve"> ADDIN ZOTERO_ITEM CSL_CITATION {"citationID":"ItvxdWbd","properties":{"formattedCitation":"(Pescod, 1992)","plainCitation":"(Pescod, 1992)","noteIndex":0},"citationItems":[{"id":315,"uris":["http://zotero.org/users/5446453/items/NEYTNK6R"],"uri":["http://zotero.org/users/5446453/items/NEYTNK6R"],"itemData":{"id":315,"type":"webpage","container-title":"Food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schema":"https://github.com/citation-style-language/schema/raw/master/csl-citation.json"} </w:instrText>
      </w:r>
      <w:r w:rsidR="00AB309B" w:rsidRPr="00F07DEB">
        <w:rPr>
          <w:rFonts w:ascii="Times New Roman" w:hAnsi="Times New Roman" w:cs="Times New Roman"/>
          <w:sz w:val="20"/>
          <w:szCs w:val="24"/>
        </w:rPr>
        <w:fldChar w:fldCharType="separate"/>
      </w:r>
      <w:r w:rsidR="00234033" w:rsidRPr="00234033">
        <w:rPr>
          <w:rFonts w:ascii="Times New Roman" w:hAnsi="Times New Roman" w:cs="Times New Roman"/>
          <w:sz w:val="20"/>
        </w:rPr>
        <w:t>(</w:t>
      </w:r>
      <w:proofErr w:type="spellStart"/>
      <w:r w:rsidR="00234033" w:rsidRPr="00234033">
        <w:rPr>
          <w:rFonts w:ascii="Times New Roman" w:hAnsi="Times New Roman" w:cs="Times New Roman"/>
          <w:sz w:val="20"/>
        </w:rPr>
        <w:t>Pescod</w:t>
      </w:r>
      <w:proofErr w:type="spellEnd"/>
      <w:r w:rsidR="00234033" w:rsidRPr="00234033">
        <w:rPr>
          <w:rFonts w:ascii="Times New Roman" w:hAnsi="Times New Roman" w:cs="Times New Roman"/>
          <w:sz w:val="20"/>
        </w:rPr>
        <w:t>, 1992)</w:t>
      </w:r>
      <w:r w:rsidR="00AB309B" w:rsidRPr="00F07DEB">
        <w:rPr>
          <w:rFonts w:ascii="Times New Roman" w:hAnsi="Times New Roman" w:cs="Times New Roman"/>
          <w:sz w:val="20"/>
          <w:szCs w:val="24"/>
        </w:rPr>
        <w:fldChar w:fldCharType="end"/>
      </w:r>
      <w:r w:rsidR="00AB309B" w:rsidRPr="00F07DEB">
        <w:rPr>
          <w:rFonts w:ascii="Times New Roman" w:hAnsi="Times New Roman" w:cs="Times New Roman"/>
          <w:sz w:val="20"/>
          <w:szCs w:val="24"/>
        </w:rPr>
        <w:t xml:space="preserve"> </w:t>
      </w:r>
      <w:r w:rsidR="00AB309B" w:rsidRPr="00F07DEB">
        <w:rPr>
          <w:rFonts w:ascii="Times New Roman" w:hAnsi="Times New Roman" w:cs="Times New Roman"/>
          <w:sz w:val="20"/>
          <w:szCs w:val="24"/>
          <w:vertAlign w:val="superscript"/>
        </w:rPr>
        <w:t>4</w:t>
      </w:r>
      <w:r w:rsidR="00AB309B" w:rsidRPr="00F07DEB">
        <w:rPr>
          <w:rFonts w:ascii="Times New Roman" w:hAnsi="Times New Roman" w:cs="Times New Roman"/>
          <w:sz w:val="20"/>
          <w:szCs w:val="24"/>
        </w:rPr>
        <w:fldChar w:fldCharType="begin"/>
      </w:r>
      <w:r w:rsidR="00A4793B" w:rsidRPr="00F07DEB">
        <w:rPr>
          <w:rFonts w:ascii="Times New Roman" w:hAnsi="Times New Roman" w:cs="Times New Roman"/>
          <w:sz w:val="20"/>
          <w:szCs w:val="24"/>
        </w:rPr>
        <w:instrText xml:space="preserve"> ADDIN ZOTERO_ITEM CSL_CITATION {"citationID":"lnKruXJO","properties":{"formattedCitation":"(UMass Extension, 2015)","plainCitation":"(UMass Extension, 2015)","noteIndex":0},"citationItems":[{"id":465,"uris":["http://zotero.org/users/5446453/items/4SWD98GG"],"uri":["http://zotero.org/users/5446453/items/4SWD98GG"],"itemData":{"id":465,"type":"webpage","abstract":"Water Quality for Crop Production Irrigation water quality is a critical aspect of greenhouse crop production. There are many factors which determine water quality. Among the most important are alkalinity, pH and soluble salts. But there are several other factors to consider, such as whether hard water salts such as calcium and magnesium or heavy metals that can clog irrigation systems or individual toxic ions are present. In order to determine this, water must be tested at a laboratory that is equipped to test water for agricultural irrigation purposes.","container-title":"Center for Agriculture, Food and the Environment","genre":"Text","language":"en","note":"source: ag.umass.edu","title":"Water Quality for Crop Production","URL":"https://ag.umass.edu/greenhouse-floriculture/greenhouse-best-management-practices-bmp-manual/water-quality-for-crop","author":[{"literal":"UMass Extension"}],"accessed":{"date-parts":[["2020",5,1]]},"issued":{"date-parts":[["2015",4,13]]}}}],"schema":"https://github.com/citation-style-language/schema/raw/master/csl-citation.json"} </w:instrText>
      </w:r>
      <w:r w:rsidR="00AB309B" w:rsidRPr="00F07DEB">
        <w:rPr>
          <w:rFonts w:ascii="Times New Roman" w:hAnsi="Times New Roman" w:cs="Times New Roman"/>
          <w:sz w:val="20"/>
          <w:szCs w:val="24"/>
        </w:rPr>
        <w:fldChar w:fldCharType="separate"/>
      </w:r>
      <w:r w:rsidR="00234033" w:rsidRPr="00234033">
        <w:rPr>
          <w:rFonts w:ascii="Times New Roman" w:hAnsi="Times New Roman" w:cs="Times New Roman"/>
          <w:sz w:val="20"/>
        </w:rPr>
        <w:t>(UMass Extension, 2015)</w:t>
      </w:r>
      <w:r w:rsidR="00AB309B" w:rsidRPr="00F07DEB">
        <w:rPr>
          <w:rFonts w:ascii="Times New Roman" w:hAnsi="Times New Roman" w:cs="Times New Roman"/>
          <w:sz w:val="20"/>
          <w:szCs w:val="24"/>
        </w:rPr>
        <w:fldChar w:fldCharType="end"/>
      </w:r>
      <w:r w:rsidR="00AB309B" w:rsidRPr="00F07DEB">
        <w:rPr>
          <w:rFonts w:ascii="Times New Roman" w:hAnsi="Times New Roman" w:cs="Times New Roman"/>
          <w:sz w:val="20"/>
          <w:szCs w:val="24"/>
        </w:rPr>
        <w:t xml:space="preserve"> </w:t>
      </w:r>
      <w:r w:rsidR="00AB309B" w:rsidRPr="00F07DEB">
        <w:rPr>
          <w:rFonts w:ascii="Times New Roman" w:hAnsi="Times New Roman" w:cs="Times New Roman"/>
          <w:sz w:val="20"/>
          <w:szCs w:val="24"/>
          <w:vertAlign w:val="superscript"/>
        </w:rPr>
        <w:t>5</w:t>
      </w:r>
      <w:r w:rsidR="00AB309B" w:rsidRPr="00F07DEB">
        <w:rPr>
          <w:rFonts w:ascii="Times New Roman" w:hAnsi="Times New Roman" w:cs="Times New Roman"/>
          <w:sz w:val="20"/>
          <w:szCs w:val="24"/>
        </w:rPr>
        <w:fldChar w:fldCharType="begin"/>
      </w:r>
      <w:r w:rsidR="004B13BE">
        <w:rPr>
          <w:rFonts w:ascii="Times New Roman" w:hAnsi="Times New Roman" w:cs="Times New Roman"/>
          <w:sz w:val="20"/>
          <w:szCs w:val="24"/>
        </w:rPr>
        <w:instrText xml:space="preserve"> ADDIN ZOTERO_ITEM CSL_CITATION {"citationID":"PHT3AHjh","properties":{"formattedCitation":"(Ayers &amp; Westcot, 1985a)","plainCitation":"(Ayers &amp; Westcot, 1985a)","dontUpdate":true,"noteIndex":0},"citationItems":[{"id":415,"uris":["http://zotero.org/users/5446453/items/5W5EXXQA"],"uri":["http://zotero.org/users/5446453/items/5W5EXXQA"],"itemData":{"id":415,"type":"webpage","container-title":"Food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schema":"https://github.com/citation-style-language/schema/raw/master/csl-citation.json"} </w:instrText>
      </w:r>
      <w:r w:rsidR="00AB309B" w:rsidRPr="00F07DEB">
        <w:rPr>
          <w:rFonts w:ascii="Times New Roman" w:hAnsi="Times New Roman" w:cs="Times New Roman"/>
          <w:sz w:val="20"/>
          <w:szCs w:val="24"/>
        </w:rPr>
        <w:fldChar w:fldCharType="separate"/>
      </w:r>
      <w:r w:rsidR="00AB309B" w:rsidRPr="00F07DEB">
        <w:rPr>
          <w:rFonts w:ascii="Times New Roman" w:hAnsi="Times New Roman" w:cs="Times New Roman"/>
          <w:sz w:val="20"/>
        </w:rPr>
        <w:t xml:space="preserve">(Ayers </w:t>
      </w:r>
      <w:r w:rsidR="002A6AB5">
        <w:rPr>
          <w:rFonts w:ascii="Times New Roman" w:hAnsi="Times New Roman" w:cs="Times New Roman"/>
          <w:sz w:val="20"/>
        </w:rPr>
        <w:t>and</w:t>
      </w:r>
      <w:r w:rsidR="00AB309B" w:rsidRPr="00F07DEB">
        <w:rPr>
          <w:rFonts w:ascii="Times New Roman" w:hAnsi="Times New Roman" w:cs="Times New Roman"/>
          <w:sz w:val="20"/>
        </w:rPr>
        <w:t xml:space="preserve"> Westcot, 1985a)</w:t>
      </w:r>
      <w:r w:rsidR="00AB309B" w:rsidRPr="00F07DEB">
        <w:rPr>
          <w:rFonts w:ascii="Times New Roman" w:hAnsi="Times New Roman" w:cs="Times New Roman"/>
          <w:sz w:val="20"/>
          <w:szCs w:val="24"/>
        </w:rPr>
        <w:fldChar w:fldCharType="end"/>
      </w:r>
    </w:p>
    <w:p w14:paraId="0733726A" w14:textId="77777777" w:rsidR="00E32F87" w:rsidRPr="00E32F87" w:rsidRDefault="00E32F87" w:rsidP="00E32F87">
      <w:pPr>
        <w:spacing w:line="240" w:lineRule="auto"/>
        <w:rPr>
          <w:rFonts w:ascii="Times New Roman" w:hAnsi="Times New Roman" w:cs="Times New Roman"/>
          <w:sz w:val="20"/>
          <w:szCs w:val="20"/>
        </w:rPr>
      </w:pPr>
    </w:p>
    <w:p w14:paraId="30FA1485" w14:textId="109D413A" w:rsidR="0074759F" w:rsidRPr="008834FB" w:rsidRDefault="00DA4F86" w:rsidP="00D76F3F">
      <w:pPr>
        <w:spacing w:line="480" w:lineRule="auto"/>
        <w:rPr>
          <w:rFonts w:ascii="Times New Roman" w:hAnsi="Times New Roman" w:cs="Times New Roman"/>
          <w:sz w:val="24"/>
          <w:szCs w:val="24"/>
        </w:rPr>
      </w:pPr>
      <w:r w:rsidRPr="00F07DEB">
        <w:rPr>
          <w:rFonts w:ascii="Times New Roman" w:hAnsi="Times New Roman" w:cs="Times New Roman"/>
          <w:sz w:val="24"/>
          <w:szCs w:val="24"/>
        </w:rPr>
        <w:tab/>
      </w:r>
      <w:r w:rsidR="00462F9B" w:rsidRPr="00F07DEB">
        <w:rPr>
          <w:rFonts w:ascii="Times New Roman" w:hAnsi="Times New Roman" w:cs="Times New Roman"/>
          <w:sz w:val="24"/>
          <w:szCs w:val="24"/>
        </w:rPr>
        <w:t xml:space="preserve">Adjusted </w:t>
      </w:r>
      <w:r w:rsidR="009678A2">
        <w:rPr>
          <w:rFonts w:ascii="Times New Roman" w:hAnsi="Times New Roman" w:cs="Times New Roman"/>
          <w:sz w:val="24"/>
          <w:szCs w:val="24"/>
        </w:rPr>
        <w:t>sodium</w:t>
      </w:r>
      <w:r w:rsidR="00462F9B" w:rsidRPr="00F07DEB">
        <w:rPr>
          <w:rFonts w:ascii="Times New Roman" w:hAnsi="Times New Roman" w:cs="Times New Roman"/>
          <w:sz w:val="24"/>
          <w:szCs w:val="24"/>
        </w:rPr>
        <w:t xml:space="preserve"> adsorption ratio</w:t>
      </w:r>
      <w:r w:rsidR="006811C1" w:rsidRPr="00F07DEB">
        <w:rPr>
          <w:rFonts w:ascii="Times New Roman" w:hAnsi="Times New Roman" w:cs="Times New Roman"/>
          <w:sz w:val="24"/>
          <w:szCs w:val="24"/>
        </w:rPr>
        <w:t xml:space="preserve">s were </w:t>
      </w:r>
      <w:r w:rsidR="00462F9B" w:rsidRPr="00F07DEB">
        <w:rPr>
          <w:rFonts w:ascii="Times New Roman" w:hAnsi="Times New Roman" w:cs="Times New Roman"/>
          <w:sz w:val="24"/>
          <w:szCs w:val="24"/>
        </w:rPr>
        <w:t>used to predict irrigation infiltration rates</w:t>
      </w:r>
      <w:r w:rsidR="005E1E68">
        <w:rPr>
          <w:rFonts w:ascii="Times New Roman" w:hAnsi="Times New Roman" w:cs="Times New Roman"/>
          <w:sz w:val="24"/>
          <w:szCs w:val="24"/>
        </w:rPr>
        <w:t xml:space="preserve"> per</w:t>
      </w:r>
      <w:r w:rsidR="005E1E68" w:rsidRPr="008834FB">
        <w:rPr>
          <w:rFonts w:ascii="Times New Roman" w:hAnsi="Times New Roman" w:cs="Times New Roman"/>
          <w:sz w:val="24"/>
          <w:szCs w:val="24"/>
        </w:rPr>
        <w:t xml:space="preserve"> </w:t>
      </w:r>
      <w:r w:rsidR="00462F9B" w:rsidRPr="008834FB">
        <w:rPr>
          <w:rFonts w:ascii="Times New Roman" w:hAnsi="Times New Roman" w:cs="Times New Roman"/>
          <w:sz w:val="24"/>
          <w:szCs w:val="24"/>
        </w:rPr>
        <w:fldChar w:fldCharType="begin"/>
      </w:r>
      <w:r w:rsidR="00462F9B" w:rsidRPr="008834FB">
        <w:rPr>
          <w:rFonts w:ascii="Times New Roman" w:hAnsi="Times New Roman" w:cs="Times New Roman"/>
          <w:sz w:val="24"/>
          <w:szCs w:val="24"/>
        </w:rPr>
        <w:instrText xml:space="preserve"> REF _Ref55915669 \h  \* MERGEFORMAT </w:instrText>
      </w:r>
      <w:r w:rsidR="00462F9B" w:rsidRPr="008834FB">
        <w:rPr>
          <w:rFonts w:ascii="Times New Roman" w:hAnsi="Times New Roman" w:cs="Times New Roman"/>
          <w:sz w:val="24"/>
          <w:szCs w:val="24"/>
        </w:rPr>
      </w:r>
      <w:r w:rsidR="00462F9B" w:rsidRPr="008834FB">
        <w:rPr>
          <w:rFonts w:ascii="Times New Roman" w:hAnsi="Times New Roman" w:cs="Times New Roman"/>
          <w:sz w:val="24"/>
          <w:szCs w:val="24"/>
        </w:rPr>
        <w:fldChar w:fldCharType="separate"/>
      </w:r>
      <w:r w:rsidR="00E179CA" w:rsidRPr="008834FB">
        <w:rPr>
          <w:rFonts w:ascii="Times New Roman" w:hAnsi="Times New Roman" w:cs="Times New Roman"/>
          <w:sz w:val="24"/>
          <w:szCs w:val="24"/>
        </w:rPr>
        <w:t>Table</w:t>
      </w:r>
      <w:r w:rsidR="00E179CA" w:rsidRPr="008834FB">
        <w:rPr>
          <w:rFonts w:ascii="Times New Roman" w:hAnsi="Times New Roman" w:cs="Times New Roman"/>
          <w:noProof/>
          <w:sz w:val="24"/>
          <w:szCs w:val="24"/>
        </w:rPr>
        <w:t xml:space="preserve"> 4</w:t>
      </w:r>
      <w:r w:rsidR="00462F9B" w:rsidRPr="008834FB">
        <w:rPr>
          <w:rFonts w:ascii="Times New Roman" w:hAnsi="Times New Roman" w:cs="Times New Roman"/>
          <w:sz w:val="24"/>
          <w:szCs w:val="24"/>
        </w:rPr>
        <w:fldChar w:fldCharType="end"/>
      </w:r>
      <w:r w:rsidR="00462F9B" w:rsidRPr="00204C13">
        <w:rPr>
          <w:rFonts w:ascii="Times New Roman" w:hAnsi="Times New Roman" w:cs="Times New Roman"/>
          <w:sz w:val="24"/>
          <w:szCs w:val="24"/>
        </w:rPr>
        <w:t>.</w:t>
      </w:r>
      <w:r w:rsidR="002C713E" w:rsidRPr="00204C13">
        <w:rPr>
          <w:rFonts w:ascii="Times New Roman" w:hAnsi="Times New Roman" w:cs="Times New Roman"/>
          <w:sz w:val="24"/>
          <w:szCs w:val="24"/>
        </w:rPr>
        <w:t xml:space="preserve"> </w:t>
      </w:r>
      <w:proofErr w:type="spellStart"/>
      <w:r w:rsidR="002C713E" w:rsidRPr="00204C13">
        <w:rPr>
          <w:rFonts w:ascii="Times New Roman" w:hAnsi="Times New Roman" w:cs="Times New Roman"/>
          <w:sz w:val="24"/>
          <w:szCs w:val="24"/>
        </w:rPr>
        <w:t>C</w:t>
      </w:r>
      <w:r w:rsidR="002C713E" w:rsidRPr="00F07DEB">
        <w:rPr>
          <w:rFonts w:ascii="Times New Roman" w:hAnsi="Times New Roman" w:cs="Times New Roman"/>
          <w:sz w:val="24"/>
          <w:szCs w:val="24"/>
        </w:rPr>
        <w:t>a</w:t>
      </w:r>
      <w:r w:rsidR="002C713E" w:rsidRPr="00F07DEB">
        <w:rPr>
          <w:rFonts w:ascii="Times New Roman" w:hAnsi="Times New Roman" w:cs="Times New Roman"/>
          <w:sz w:val="24"/>
          <w:szCs w:val="24"/>
          <w:vertAlign w:val="subscript"/>
        </w:rPr>
        <w:t>x</w:t>
      </w:r>
      <w:proofErr w:type="spellEnd"/>
      <w:r w:rsidR="002C713E" w:rsidRPr="00F07DEB">
        <w:rPr>
          <w:rFonts w:ascii="Times New Roman" w:hAnsi="Times New Roman" w:cs="Times New Roman"/>
          <w:sz w:val="24"/>
          <w:szCs w:val="24"/>
        </w:rPr>
        <w:t xml:space="preserve"> valu</w:t>
      </w:r>
      <w:r w:rsidR="006811C1" w:rsidRPr="00F07DEB">
        <w:rPr>
          <w:rFonts w:ascii="Times New Roman" w:hAnsi="Times New Roman" w:cs="Times New Roman"/>
          <w:sz w:val="24"/>
          <w:szCs w:val="24"/>
        </w:rPr>
        <w:t xml:space="preserve">es were </w:t>
      </w:r>
      <w:r w:rsidR="001E5546" w:rsidRPr="00F07DEB">
        <w:rPr>
          <w:rFonts w:ascii="Times New Roman" w:hAnsi="Times New Roman" w:cs="Times New Roman"/>
          <w:sz w:val="24"/>
          <w:szCs w:val="24"/>
        </w:rPr>
        <w:t xml:space="preserve">estimated using the “Estimation of expected soil water </w:t>
      </w:r>
      <w:r w:rsidR="009678A2">
        <w:rPr>
          <w:rFonts w:ascii="Times New Roman" w:hAnsi="Times New Roman" w:cs="Times New Roman"/>
          <w:sz w:val="24"/>
          <w:szCs w:val="24"/>
        </w:rPr>
        <w:t>Ca</w:t>
      </w:r>
      <w:r w:rsidR="001E5546" w:rsidRPr="00F07DEB">
        <w:rPr>
          <w:rFonts w:ascii="Times New Roman" w:hAnsi="Times New Roman" w:cs="Times New Roman"/>
          <w:sz w:val="24"/>
          <w:szCs w:val="24"/>
        </w:rPr>
        <w:t xml:space="preserve"> (</w:t>
      </w:r>
      <w:proofErr w:type="spellStart"/>
      <w:r w:rsidR="001E5546" w:rsidRPr="00F07DEB">
        <w:rPr>
          <w:rFonts w:ascii="Times New Roman" w:hAnsi="Times New Roman" w:cs="Times New Roman"/>
          <w:sz w:val="24"/>
          <w:szCs w:val="24"/>
        </w:rPr>
        <w:t>Ca</w:t>
      </w:r>
      <w:r w:rsidR="001E5546" w:rsidRPr="00F07DEB">
        <w:rPr>
          <w:rFonts w:ascii="Times New Roman" w:hAnsi="Times New Roman" w:cs="Times New Roman"/>
          <w:sz w:val="24"/>
          <w:szCs w:val="24"/>
          <w:vertAlign w:val="subscript"/>
        </w:rPr>
        <w:t>x</w:t>
      </w:r>
      <w:proofErr w:type="spellEnd"/>
      <w:r w:rsidR="001E5546" w:rsidRPr="00F07DEB">
        <w:rPr>
          <w:rFonts w:ascii="Times New Roman" w:hAnsi="Times New Roman" w:cs="Times New Roman"/>
          <w:sz w:val="24"/>
          <w:szCs w:val="24"/>
        </w:rPr>
        <w:t xml:space="preserve">) concentrations for </w:t>
      </w:r>
      <w:proofErr w:type="spellStart"/>
      <w:r w:rsidR="001E5546" w:rsidRPr="00F07DEB">
        <w:rPr>
          <w:rFonts w:ascii="Times New Roman" w:hAnsi="Times New Roman" w:cs="Times New Roman"/>
          <w:sz w:val="24"/>
          <w:szCs w:val="24"/>
        </w:rPr>
        <w:t>adj</w:t>
      </w:r>
      <w:proofErr w:type="spellEnd"/>
      <w:r w:rsidR="001E5546" w:rsidRPr="00F07DEB">
        <w:rPr>
          <w:rFonts w:ascii="Times New Roman" w:hAnsi="Times New Roman" w:cs="Times New Roman"/>
          <w:sz w:val="24"/>
          <w:szCs w:val="24"/>
        </w:rPr>
        <w:t xml:space="preserve"> SAR calculation” table provided in </w:t>
      </w:r>
      <w:r w:rsidR="00CE3D29">
        <w:rPr>
          <w:rFonts w:ascii="Times New Roman" w:hAnsi="Times New Roman" w:cs="Times New Roman"/>
          <w:sz w:val="24"/>
          <w:szCs w:val="24"/>
        </w:rPr>
        <w:t xml:space="preserve">Appendix </w:t>
      </w:r>
      <w:r w:rsidR="00375B31">
        <w:rPr>
          <w:rFonts w:ascii="Times New Roman" w:hAnsi="Times New Roman" w:cs="Times New Roman"/>
          <w:sz w:val="24"/>
          <w:szCs w:val="24"/>
        </w:rPr>
        <w:t>D</w:t>
      </w:r>
      <w:r w:rsidR="002C713E" w:rsidRPr="00F07DEB">
        <w:rPr>
          <w:rFonts w:ascii="Times New Roman" w:hAnsi="Times New Roman" w:cs="Times New Roman"/>
          <w:sz w:val="24"/>
          <w:szCs w:val="24"/>
        </w:rPr>
        <w:t xml:space="preserve">. </w:t>
      </w:r>
      <w:r w:rsidR="00462F9B" w:rsidRPr="00F07DEB">
        <w:rPr>
          <w:rFonts w:ascii="Times New Roman" w:hAnsi="Times New Roman" w:cs="Times New Roman"/>
          <w:sz w:val="24"/>
          <w:szCs w:val="24"/>
        </w:rPr>
        <w:t xml:space="preserve"> Despite their significantly different alk</w:t>
      </w:r>
      <w:r w:rsidR="008F6F85" w:rsidRPr="00F07DEB">
        <w:rPr>
          <w:rFonts w:ascii="Times New Roman" w:hAnsi="Times New Roman" w:cs="Times New Roman"/>
          <w:sz w:val="24"/>
          <w:szCs w:val="24"/>
        </w:rPr>
        <w:t>alinities and</w:t>
      </w:r>
      <w:r w:rsidR="00462F9B" w:rsidRPr="00F07DEB">
        <w:rPr>
          <w:rFonts w:ascii="Times New Roman" w:hAnsi="Times New Roman" w:cs="Times New Roman"/>
          <w:sz w:val="24"/>
          <w:szCs w:val="24"/>
        </w:rPr>
        <w:t xml:space="preserve"> Na, Mg, and Ca concentrations, mine water and groundwater produced remarkably similar </w:t>
      </w:r>
      <w:r w:rsidR="008F6F85" w:rsidRPr="00F07DEB">
        <w:rPr>
          <w:rFonts w:ascii="Times New Roman" w:hAnsi="Times New Roman" w:cs="Times New Roman"/>
          <w:sz w:val="24"/>
          <w:szCs w:val="24"/>
        </w:rPr>
        <w:t>adj</w:t>
      </w:r>
      <w:r w:rsidR="002C713E" w:rsidRPr="00F07DEB">
        <w:rPr>
          <w:rFonts w:ascii="Times New Roman" w:hAnsi="Times New Roman" w:cs="Times New Roman"/>
          <w:sz w:val="24"/>
          <w:szCs w:val="24"/>
        </w:rPr>
        <w:t>usted</w:t>
      </w:r>
      <w:r w:rsidR="008F6F85" w:rsidRPr="00F07DEB">
        <w:rPr>
          <w:rFonts w:ascii="Times New Roman" w:hAnsi="Times New Roman" w:cs="Times New Roman"/>
          <w:sz w:val="24"/>
          <w:szCs w:val="24"/>
        </w:rPr>
        <w:t xml:space="preserve"> </w:t>
      </w:r>
      <w:r w:rsidR="00462F9B" w:rsidRPr="00F07DEB">
        <w:rPr>
          <w:rFonts w:ascii="Times New Roman" w:hAnsi="Times New Roman" w:cs="Times New Roman"/>
          <w:sz w:val="24"/>
          <w:szCs w:val="24"/>
        </w:rPr>
        <w:t xml:space="preserve">SARs: 0.946 and 0.974. </w:t>
      </w:r>
      <w:r w:rsidR="008F6F85" w:rsidRPr="00F07DEB">
        <w:rPr>
          <w:rFonts w:ascii="Times New Roman" w:hAnsi="Times New Roman" w:cs="Times New Roman"/>
          <w:sz w:val="24"/>
          <w:szCs w:val="24"/>
        </w:rPr>
        <w:t>However, when the adj</w:t>
      </w:r>
      <w:r w:rsidR="005A76AD">
        <w:rPr>
          <w:rFonts w:ascii="Times New Roman" w:hAnsi="Times New Roman" w:cs="Times New Roman"/>
          <w:sz w:val="24"/>
          <w:szCs w:val="24"/>
        </w:rPr>
        <w:t>usted</w:t>
      </w:r>
      <w:r w:rsidR="008F6F85" w:rsidRPr="00F07DEB">
        <w:rPr>
          <w:rFonts w:ascii="Times New Roman" w:hAnsi="Times New Roman" w:cs="Times New Roman"/>
          <w:sz w:val="24"/>
          <w:szCs w:val="24"/>
        </w:rPr>
        <w:t xml:space="preserve"> SARs are viewed in the context of the irrigation waters’ specific conductance values (</w:t>
      </w:r>
      <w:proofErr w:type="spellStart"/>
      <w:r w:rsidR="008F6F85" w:rsidRPr="00F07DEB">
        <w:rPr>
          <w:rFonts w:ascii="Times New Roman" w:hAnsi="Times New Roman" w:cs="Times New Roman"/>
          <w:sz w:val="24"/>
          <w:szCs w:val="24"/>
        </w:rPr>
        <w:t>EC</w:t>
      </w:r>
      <w:r w:rsidR="008F6F85" w:rsidRPr="00F07DEB">
        <w:rPr>
          <w:rFonts w:ascii="Times New Roman" w:hAnsi="Times New Roman" w:cs="Times New Roman"/>
          <w:sz w:val="24"/>
          <w:szCs w:val="24"/>
          <w:vertAlign w:val="subscript"/>
        </w:rPr>
        <w:t>w</w:t>
      </w:r>
      <w:proofErr w:type="spellEnd"/>
      <w:r w:rsidR="008F6F85" w:rsidRPr="00F07DEB">
        <w:rPr>
          <w:rFonts w:ascii="Times New Roman" w:hAnsi="Times New Roman" w:cs="Times New Roman"/>
          <w:sz w:val="24"/>
          <w:szCs w:val="24"/>
        </w:rPr>
        <w:t xml:space="preserve">), Ayers </w:t>
      </w:r>
      <w:r w:rsidR="002A6AB5">
        <w:rPr>
          <w:rFonts w:ascii="Times New Roman" w:hAnsi="Times New Roman" w:cs="Times New Roman"/>
          <w:sz w:val="24"/>
          <w:szCs w:val="24"/>
        </w:rPr>
        <w:t>and</w:t>
      </w:r>
      <w:r w:rsidR="008F6F85" w:rsidRPr="00F07DEB">
        <w:rPr>
          <w:rFonts w:ascii="Times New Roman" w:hAnsi="Times New Roman" w:cs="Times New Roman"/>
          <w:sz w:val="24"/>
          <w:szCs w:val="24"/>
        </w:rPr>
        <w:t xml:space="preserve"> </w:t>
      </w:r>
      <w:proofErr w:type="spellStart"/>
      <w:r w:rsidR="008F6F85" w:rsidRPr="00F07DEB">
        <w:rPr>
          <w:rFonts w:ascii="Times New Roman" w:hAnsi="Times New Roman" w:cs="Times New Roman"/>
          <w:sz w:val="24"/>
          <w:szCs w:val="24"/>
        </w:rPr>
        <w:t>Westcot</w:t>
      </w:r>
      <w:proofErr w:type="spellEnd"/>
      <w:r w:rsidR="008F6F85" w:rsidRPr="00F07DEB">
        <w:rPr>
          <w:rFonts w:ascii="Times New Roman" w:hAnsi="Times New Roman" w:cs="Times New Roman"/>
          <w:sz w:val="24"/>
          <w:szCs w:val="24"/>
        </w:rPr>
        <w:t xml:space="preserve"> recommend </w:t>
      </w:r>
      <w:r w:rsidR="002C713E" w:rsidRPr="00F07DEB">
        <w:rPr>
          <w:rFonts w:ascii="Times New Roman" w:hAnsi="Times New Roman" w:cs="Times New Roman"/>
          <w:sz w:val="24"/>
          <w:szCs w:val="24"/>
        </w:rPr>
        <w:t>different</w:t>
      </w:r>
      <w:r w:rsidR="008F6F85" w:rsidRPr="00F07DEB">
        <w:rPr>
          <w:rFonts w:ascii="Times New Roman" w:hAnsi="Times New Roman" w:cs="Times New Roman"/>
          <w:sz w:val="24"/>
          <w:szCs w:val="24"/>
        </w:rPr>
        <w:t xml:space="preserve"> degrees of irrigation restriction for the waters (1985a). </w:t>
      </w:r>
      <w:r w:rsidR="0074759F" w:rsidRPr="00F07DEB">
        <w:rPr>
          <w:rFonts w:ascii="Times New Roman" w:hAnsi="Times New Roman" w:cs="Times New Roman"/>
          <w:sz w:val="24"/>
          <w:szCs w:val="24"/>
        </w:rPr>
        <w:t xml:space="preserve">Slight to moderate restrictions on irrigation could be considered for ARF groundwater over concerns about low water infiltration, whereas MRPTS mine water salinity could be cause </w:t>
      </w:r>
      <w:r w:rsidR="0074759F" w:rsidRPr="00F07DEB">
        <w:rPr>
          <w:rFonts w:ascii="Times New Roman" w:hAnsi="Times New Roman" w:cs="Times New Roman"/>
          <w:sz w:val="24"/>
          <w:szCs w:val="24"/>
        </w:rPr>
        <w:lastRenderedPageBreak/>
        <w:t>for moderate to</w:t>
      </w:r>
      <w:r w:rsidR="009C5529" w:rsidRPr="00F07DEB">
        <w:rPr>
          <w:rFonts w:ascii="Times New Roman" w:hAnsi="Times New Roman" w:cs="Times New Roman"/>
          <w:sz w:val="24"/>
          <w:szCs w:val="24"/>
        </w:rPr>
        <w:t xml:space="preserve"> severe irrigation restriction. </w:t>
      </w:r>
      <w:r w:rsidR="009678A2">
        <w:rPr>
          <w:rFonts w:ascii="Times New Roman" w:hAnsi="Times New Roman" w:cs="Times New Roman"/>
          <w:sz w:val="24"/>
          <w:szCs w:val="24"/>
        </w:rPr>
        <w:t>Ca</w:t>
      </w:r>
      <w:r w:rsidR="005D3119" w:rsidRPr="00F07DEB">
        <w:rPr>
          <w:rFonts w:ascii="Times New Roman" w:hAnsi="Times New Roman" w:cs="Times New Roman"/>
          <w:sz w:val="24"/>
          <w:szCs w:val="24"/>
        </w:rPr>
        <w:t xml:space="preserve"> and </w:t>
      </w:r>
      <w:r w:rsidR="009678A2">
        <w:rPr>
          <w:rFonts w:ascii="Times New Roman" w:hAnsi="Times New Roman" w:cs="Times New Roman"/>
          <w:sz w:val="24"/>
          <w:szCs w:val="24"/>
        </w:rPr>
        <w:t>Mg</w:t>
      </w:r>
      <w:r w:rsidR="00E32D95" w:rsidRPr="00F07DEB">
        <w:rPr>
          <w:rFonts w:ascii="Times New Roman" w:hAnsi="Times New Roman" w:cs="Times New Roman"/>
          <w:sz w:val="24"/>
          <w:szCs w:val="24"/>
        </w:rPr>
        <w:t xml:space="preserve"> salts substantially contribute to salinity in groundwater and mine water</w:t>
      </w:r>
      <w:r w:rsidR="005D3119" w:rsidRPr="00F07DEB">
        <w:rPr>
          <w:rFonts w:ascii="Times New Roman" w:hAnsi="Times New Roman" w:cs="Times New Roman"/>
          <w:sz w:val="24"/>
          <w:szCs w:val="24"/>
        </w:rPr>
        <w:t xml:space="preserve"> </w:t>
      </w:r>
      <w:r w:rsidR="00E32D95" w:rsidRPr="00F07DEB">
        <w:rPr>
          <w:rFonts w:ascii="Times New Roman" w:hAnsi="Times New Roman" w:cs="Times New Roman"/>
          <w:sz w:val="24"/>
          <w:szCs w:val="24"/>
        </w:rPr>
        <w:t xml:space="preserve">and help maintain infiltration rates and soil porosity through the aggregation of clay particles </w:t>
      </w:r>
      <w:r w:rsidR="00E32D95"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{"citationID":"ZLU0oJ9p","properties":{"formattedCitation":"(Ayers &amp; Westcot, 1985a; Pearson, 2003)","plainCitation":"(Ayers &amp; Westcot, 1985a; Pearson, 2003)","dontUpdate":true,"noteIndex":0},"citationItems":[{"id":415,"uris":["http://zotero.org/users/5446453/items/5W5EXXQA"],"uri":["http://zotero.org/users/5446453/items/5W5EXXQA"],"itemData":{"id":415,"type":"webpage","container-title":"Food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id":826,"uris":["http://zotero.org/users/5446453/items/VQJM4BFV"],"uri":["http://zotero.org/users/5446453/items/VQJM4BFV"],"itemData":{"id":826,"type":"webpage","container-title":"Montana State University Extension","title":"Basics of Salinity and Sodicity Effects on Soil Physical Properties","URL":"https://waterquality.montana.edu/energy/cbm/background/soil-prop.html","author":[{"family":"Pearson","given":"Krista E."}],"accessed":{"date-parts":[["2020",11,12]]},"issued":{"date-parts":[["2003"]]}}}],"schema":"https://github.com/citation-style-language/schema/raw/master/csl-citation.json"} </w:instrText>
      </w:r>
      <w:r w:rsidR="00E32D95" w:rsidRPr="00F07DEB">
        <w:rPr>
          <w:rFonts w:ascii="Times New Roman" w:hAnsi="Times New Roman" w:cs="Times New Roman"/>
          <w:sz w:val="24"/>
          <w:szCs w:val="24"/>
        </w:rPr>
        <w:fldChar w:fldCharType="separate"/>
      </w:r>
      <w:r w:rsidR="00E32D95" w:rsidRPr="00F07DEB">
        <w:rPr>
          <w:rFonts w:ascii="Times New Roman" w:hAnsi="Times New Roman" w:cs="Times New Roman"/>
          <w:sz w:val="24"/>
        </w:rPr>
        <w:t xml:space="preserve">(Ayers </w:t>
      </w:r>
      <w:r w:rsidR="002A6AB5">
        <w:rPr>
          <w:rFonts w:ascii="Times New Roman" w:hAnsi="Times New Roman" w:cs="Times New Roman"/>
          <w:sz w:val="24"/>
        </w:rPr>
        <w:t>and</w:t>
      </w:r>
      <w:r w:rsidR="00E32D95" w:rsidRPr="00F07DEB">
        <w:rPr>
          <w:rFonts w:ascii="Times New Roman" w:hAnsi="Times New Roman" w:cs="Times New Roman"/>
          <w:sz w:val="24"/>
        </w:rPr>
        <w:t xml:space="preserve"> Westcot, 1985a; Pearson, 2003)</w:t>
      </w:r>
      <w:r w:rsidR="00E32D95" w:rsidRPr="00F07DEB">
        <w:rPr>
          <w:rFonts w:ascii="Times New Roman" w:hAnsi="Times New Roman" w:cs="Times New Roman"/>
          <w:sz w:val="24"/>
          <w:szCs w:val="24"/>
        </w:rPr>
        <w:fldChar w:fldCharType="end"/>
      </w:r>
      <w:r w:rsidR="00E32D95" w:rsidRPr="00F07DEB">
        <w:rPr>
          <w:rFonts w:ascii="Times New Roman" w:hAnsi="Times New Roman" w:cs="Times New Roman"/>
          <w:sz w:val="24"/>
          <w:szCs w:val="24"/>
        </w:rPr>
        <w:t xml:space="preserve">. </w:t>
      </w:r>
      <w:r w:rsidR="009678A2">
        <w:rPr>
          <w:rFonts w:ascii="Times New Roman" w:hAnsi="Times New Roman" w:cs="Times New Roman"/>
          <w:sz w:val="24"/>
          <w:szCs w:val="24"/>
        </w:rPr>
        <w:t>Na</w:t>
      </w:r>
      <w:r w:rsidR="00E32D95" w:rsidRPr="00F07DEB">
        <w:rPr>
          <w:rFonts w:ascii="Times New Roman" w:hAnsi="Times New Roman" w:cs="Times New Roman"/>
          <w:sz w:val="24"/>
          <w:szCs w:val="24"/>
        </w:rPr>
        <w:t xml:space="preserve">, also a prominent salinity component, has an opposite, destabilizing effect </w:t>
      </w:r>
      <w:r w:rsidR="00FD50C4" w:rsidRPr="00F07DEB">
        <w:rPr>
          <w:rFonts w:ascii="Times New Roman" w:hAnsi="Times New Roman" w:cs="Times New Roman"/>
          <w:sz w:val="24"/>
          <w:szCs w:val="24"/>
        </w:rPr>
        <w:t>when it binds to the clay fraction in soil; el</w:t>
      </w:r>
      <w:r w:rsidR="00E32D95" w:rsidRPr="00F07DEB">
        <w:rPr>
          <w:rFonts w:ascii="Times New Roman" w:hAnsi="Times New Roman" w:cs="Times New Roman"/>
          <w:sz w:val="24"/>
          <w:szCs w:val="24"/>
        </w:rPr>
        <w:t xml:space="preserve">evated </w:t>
      </w:r>
      <w:r w:rsidR="009678A2">
        <w:rPr>
          <w:rFonts w:ascii="Times New Roman" w:hAnsi="Times New Roman" w:cs="Times New Roman"/>
          <w:sz w:val="24"/>
          <w:szCs w:val="24"/>
        </w:rPr>
        <w:t>Na</w:t>
      </w:r>
      <w:r w:rsidR="00E32D95" w:rsidRPr="00F07DEB">
        <w:rPr>
          <w:rFonts w:ascii="Times New Roman" w:hAnsi="Times New Roman" w:cs="Times New Roman"/>
          <w:sz w:val="24"/>
          <w:szCs w:val="24"/>
        </w:rPr>
        <w:t xml:space="preserve"> concentrations in irrigation water will </w:t>
      </w:r>
      <w:r w:rsidR="00FD50C4" w:rsidRPr="00F07DEB">
        <w:rPr>
          <w:rFonts w:ascii="Times New Roman" w:hAnsi="Times New Roman" w:cs="Times New Roman"/>
          <w:sz w:val="24"/>
          <w:szCs w:val="24"/>
        </w:rPr>
        <w:t>break up</w:t>
      </w:r>
      <w:r w:rsidR="005D3119" w:rsidRPr="00F07DEB">
        <w:rPr>
          <w:rFonts w:ascii="Times New Roman" w:hAnsi="Times New Roman" w:cs="Times New Roman"/>
          <w:sz w:val="24"/>
          <w:szCs w:val="24"/>
        </w:rPr>
        <w:t xml:space="preserve"> </w:t>
      </w:r>
      <w:r w:rsidR="00E32D95" w:rsidRPr="00F07DEB">
        <w:rPr>
          <w:rFonts w:ascii="Times New Roman" w:hAnsi="Times New Roman" w:cs="Times New Roman"/>
          <w:sz w:val="24"/>
          <w:szCs w:val="24"/>
        </w:rPr>
        <w:t>c</w:t>
      </w:r>
      <w:r w:rsidR="00FD50C4" w:rsidRPr="00F07DEB">
        <w:rPr>
          <w:rFonts w:ascii="Times New Roman" w:hAnsi="Times New Roman" w:cs="Times New Roman"/>
          <w:sz w:val="24"/>
          <w:szCs w:val="24"/>
        </w:rPr>
        <w:t xml:space="preserve">lay flocs and clog pore spaces when </w:t>
      </w:r>
      <w:r w:rsidR="009678A2">
        <w:rPr>
          <w:rFonts w:ascii="Times New Roman" w:hAnsi="Times New Roman" w:cs="Times New Roman"/>
          <w:sz w:val="24"/>
          <w:szCs w:val="24"/>
        </w:rPr>
        <w:t>Ca</w:t>
      </w:r>
      <w:r w:rsidR="00FD50C4" w:rsidRPr="00F07DEB">
        <w:rPr>
          <w:rFonts w:ascii="Times New Roman" w:hAnsi="Times New Roman" w:cs="Times New Roman"/>
          <w:sz w:val="24"/>
          <w:szCs w:val="24"/>
        </w:rPr>
        <w:t xml:space="preserve"> and </w:t>
      </w:r>
      <w:r w:rsidR="009678A2">
        <w:rPr>
          <w:rFonts w:ascii="Times New Roman" w:hAnsi="Times New Roman" w:cs="Times New Roman"/>
          <w:sz w:val="24"/>
          <w:szCs w:val="24"/>
        </w:rPr>
        <w:t>Mg</w:t>
      </w:r>
      <w:r w:rsidR="00FD50C4" w:rsidRPr="00F07DEB">
        <w:rPr>
          <w:rFonts w:ascii="Times New Roman" w:hAnsi="Times New Roman" w:cs="Times New Roman"/>
          <w:sz w:val="24"/>
          <w:szCs w:val="24"/>
        </w:rPr>
        <w:t xml:space="preserve"> ions are not present in sufficient quantities to compete for clay binding sites </w:t>
      </w:r>
      <w:r w:rsidR="00FD50C4"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{"citationID":"FEMU1Lho","properties":{"formattedCitation":"(Ayers &amp; Westcot, 1985a; Pearson, 2003)","plainCitation":"(Ayers &amp; Westcot, 1985a; Pearson, 2003)","dontUpdate":true,"noteIndex":0},"citationItems":[{"id":415,"uris":["http://zotero.org/users/5446453/items/5W5EXXQA"],"uri":["http://zotero.org/users/5446453/items/5W5EXXQA"],"itemData":{"id":415,"type":"webpage","container-title":"Food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id":826,"uris":["http://zotero.org/users/5446453/items/VQJM4BFV"],"uri":["http://zotero.org/users/5446453/items/VQJM4BFV"],"itemData":{"id":826,"type":"webpage","container-title":"Montana State University Extension","title":"Basics of Salinity and Sodicity Effects on Soil Physical Properties","URL":"https://waterquality.montana.edu/energy/cbm/background/soil-prop.html","author":[{"family":"Pearson","given":"Krista E."}],"accessed":{"date-parts":[["2020",11,12]]},"issued":{"date-parts":[["2003"]]}}}],"schema":"https://github.com/citation-style-language/schema/raw/master/csl-citation.json"} </w:instrText>
      </w:r>
      <w:r w:rsidR="00FD50C4" w:rsidRPr="00F07DEB">
        <w:rPr>
          <w:rFonts w:ascii="Times New Roman" w:hAnsi="Times New Roman" w:cs="Times New Roman"/>
          <w:sz w:val="24"/>
          <w:szCs w:val="24"/>
        </w:rPr>
        <w:fldChar w:fldCharType="separate"/>
      </w:r>
      <w:r w:rsidR="00FD50C4" w:rsidRPr="00F07DEB">
        <w:rPr>
          <w:rFonts w:ascii="Times New Roman" w:hAnsi="Times New Roman" w:cs="Times New Roman"/>
          <w:sz w:val="24"/>
        </w:rPr>
        <w:t xml:space="preserve">(Ayers </w:t>
      </w:r>
      <w:r w:rsidR="002A6AB5">
        <w:rPr>
          <w:rFonts w:ascii="Times New Roman" w:hAnsi="Times New Roman" w:cs="Times New Roman"/>
          <w:sz w:val="24"/>
        </w:rPr>
        <w:t>and</w:t>
      </w:r>
      <w:r w:rsidR="00FD50C4" w:rsidRPr="00F07DEB">
        <w:rPr>
          <w:rFonts w:ascii="Times New Roman" w:hAnsi="Times New Roman" w:cs="Times New Roman"/>
          <w:sz w:val="24"/>
        </w:rPr>
        <w:t xml:space="preserve"> Westcot, 1985a; Pearson, 2003)</w:t>
      </w:r>
      <w:r w:rsidR="00FD50C4" w:rsidRPr="00F07DEB">
        <w:rPr>
          <w:rFonts w:ascii="Times New Roman" w:hAnsi="Times New Roman" w:cs="Times New Roman"/>
          <w:sz w:val="24"/>
          <w:szCs w:val="24"/>
        </w:rPr>
        <w:fldChar w:fldCharType="end"/>
      </w:r>
      <w:r w:rsidR="00FD50C4" w:rsidRPr="00F07DEB">
        <w:rPr>
          <w:rFonts w:ascii="Times New Roman" w:hAnsi="Times New Roman" w:cs="Times New Roman"/>
          <w:sz w:val="24"/>
          <w:szCs w:val="24"/>
        </w:rPr>
        <w:t>.</w:t>
      </w:r>
      <w:r w:rsidR="002219EA" w:rsidRPr="00F07DEB">
        <w:rPr>
          <w:rFonts w:ascii="Times New Roman" w:hAnsi="Times New Roman" w:cs="Times New Roman"/>
          <w:sz w:val="24"/>
          <w:szCs w:val="24"/>
        </w:rPr>
        <w:t xml:space="preserve"> </w:t>
      </w:r>
      <w:r w:rsidR="00043CC8" w:rsidRPr="00F07DEB">
        <w:rPr>
          <w:rFonts w:ascii="Times New Roman" w:hAnsi="Times New Roman" w:cs="Times New Roman"/>
          <w:sz w:val="24"/>
          <w:szCs w:val="24"/>
        </w:rPr>
        <w:t xml:space="preserve">The groundwater’s </w:t>
      </w:r>
      <w:r w:rsidR="007B463F">
        <w:rPr>
          <w:rFonts w:ascii="Times New Roman" w:hAnsi="Times New Roman" w:cs="Times New Roman"/>
          <w:sz w:val="24"/>
          <w:szCs w:val="24"/>
        </w:rPr>
        <w:t>predominance</w:t>
      </w:r>
      <w:r w:rsidR="00043CC8" w:rsidRPr="00F07DEB">
        <w:rPr>
          <w:rFonts w:ascii="Times New Roman" w:hAnsi="Times New Roman" w:cs="Times New Roman"/>
          <w:sz w:val="24"/>
          <w:szCs w:val="24"/>
        </w:rPr>
        <w:t xml:space="preserve"> o</w:t>
      </w:r>
      <w:r w:rsidR="007B463F">
        <w:rPr>
          <w:rFonts w:ascii="Times New Roman" w:hAnsi="Times New Roman" w:cs="Times New Roman"/>
          <w:sz w:val="24"/>
          <w:szCs w:val="24"/>
        </w:rPr>
        <w:t xml:space="preserve">f </w:t>
      </w:r>
      <w:r w:rsidR="009678A2">
        <w:rPr>
          <w:rFonts w:ascii="Times New Roman" w:hAnsi="Times New Roman" w:cs="Times New Roman"/>
          <w:sz w:val="24"/>
          <w:szCs w:val="24"/>
        </w:rPr>
        <w:t>Na</w:t>
      </w:r>
      <w:r w:rsidR="007B463F">
        <w:rPr>
          <w:rFonts w:ascii="Times New Roman" w:hAnsi="Times New Roman" w:cs="Times New Roman"/>
          <w:sz w:val="24"/>
          <w:szCs w:val="24"/>
        </w:rPr>
        <w:t xml:space="preserve"> over</w:t>
      </w:r>
      <w:r w:rsidR="00043CC8" w:rsidRPr="00F07DEB">
        <w:rPr>
          <w:rFonts w:ascii="Times New Roman" w:hAnsi="Times New Roman" w:cs="Times New Roman"/>
          <w:sz w:val="24"/>
          <w:szCs w:val="24"/>
        </w:rPr>
        <w:t xml:space="preserve"> expected </w:t>
      </w:r>
      <w:r w:rsidR="009678A2">
        <w:rPr>
          <w:rFonts w:ascii="Times New Roman" w:hAnsi="Times New Roman" w:cs="Times New Roman"/>
          <w:sz w:val="24"/>
          <w:szCs w:val="24"/>
        </w:rPr>
        <w:t>Ca</w:t>
      </w:r>
      <w:r w:rsidR="00043CC8" w:rsidRPr="00F07DEB">
        <w:rPr>
          <w:rFonts w:ascii="Times New Roman" w:hAnsi="Times New Roman" w:cs="Times New Roman"/>
          <w:sz w:val="24"/>
          <w:szCs w:val="24"/>
        </w:rPr>
        <w:t xml:space="preserve"> and </w:t>
      </w:r>
      <w:r w:rsidR="009678A2">
        <w:rPr>
          <w:rFonts w:ascii="Times New Roman" w:hAnsi="Times New Roman" w:cs="Times New Roman"/>
          <w:sz w:val="24"/>
          <w:szCs w:val="24"/>
        </w:rPr>
        <w:t>Mg</w:t>
      </w:r>
      <w:r w:rsidR="00043CC8" w:rsidRPr="00F07DEB">
        <w:rPr>
          <w:rFonts w:ascii="Times New Roman" w:hAnsi="Times New Roman" w:cs="Times New Roman"/>
          <w:sz w:val="24"/>
          <w:szCs w:val="24"/>
        </w:rPr>
        <w:t xml:space="preserve"> concentrations in post-irrigation soil water could cause infiltration and hydraulic conductivity problems, whereas the treated mine water contains enough of the latter two ions to counteract </w:t>
      </w:r>
      <w:r w:rsidR="009678A2">
        <w:rPr>
          <w:rFonts w:ascii="Times New Roman" w:hAnsi="Times New Roman" w:cs="Times New Roman"/>
          <w:sz w:val="24"/>
          <w:szCs w:val="24"/>
        </w:rPr>
        <w:t>Na</w:t>
      </w:r>
      <w:r w:rsidR="00027A15" w:rsidRPr="00F07DEB">
        <w:rPr>
          <w:rFonts w:ascii="Times New Roman" w:hAnsi="Times New Roman" w:cs="Times New Roman"/>
          <w:sz w:val="24"/>
          <w:szCs w:val="24"/>
        </w:rPr>
        <w:t xml:space="preserve">-induced soil </w:t>
      </w:r>
      <w:r w:rsidR="00043CC8" w:rsidRPr="00F07DEB">
        <w:rPr>
          <w:rFonts w:ascii="Times New Roman" w:hAnsi="Times New Roman" w:cs="Times New Roman"/>
          <w:sz w:val="24"/>
          <w:szCs w:val="24"/>
        </w:rPr>
        <w:t>dispersion. However, even if soil irrigated with treated mine water</w:t>
      </w:r>
      <w:r w:rsidR="002219EA" w:rsidRPr="00F07DEB">
        <w:rPr>
          <w:rFonts w:ascii="Times New Roman" w:hAnsi="Times New Roman" w:cs="Times New Roman"/>
          <w:sz w:val="24"/>
          <w:szCs w:val="24"/>
        </w:rPr>
        <w:t xml:space="preserve"> </w:t>
      </w:r>
      <w:r w:rsidR="00043CC8" w:rsidRPr="00F07DEB">
        <w:rPr>
          <w:rFonts w:ascii="Times New Roman" w:hAnsi="Times New Roman" w:cs="Times New Roman"/>
          <w:sz w:val="24"/>
          <w:szCs w:val="24"/>
        </w:rPr>
        <w:t>facilitates movement of water, oxygen, and roots, elev</w:t>
      </w:r>
      <w:r w:rsidR="00027A15" w:rsidRPr="00F07DEB">
        <w:rPr>
          <w:rFonts w:ascii="Times New Roman" w:hAnsi="Times New Roman" w:cs="Times New Roman"/>
          <w:sz w:val="24"/>
          <w:szCs w:val="24"/>
        </w:rPr>
        <w:t xml:space="preserve">ated </w:t>
      </w:r>
      <w:r w:rsidR="00B67369" w:rsidRPr="00F07DEB">
        <w:rPr>
          <w:rFonts w:ascii="Times New Roman" w:hAnsi="Times New Roman" w:cs="Times New Roman"/>
          <w:sz w:val="24"/>
          <w:szCs w:val="24"/>
        </w:rPr>
        <w:t>salinity</w:t>
      </w:r>
      <w:r w:rsidR="00027A15" w:rsidRPr="00F07DEB">
        <w:rPr>
          <w:rFonts w:ascii="Times New Roman" w:hAnsi="Times New Roman" w:cs="Times New Roman"/>
          <w:sz w:val="24"/>
          <w:szCs w:val="24"/>
        </w:rPr>
        <w:t xml:space="preserve"> </w:t>
      </w:r>
      <w:r w:rsidR="00AF10DC" w:rsidRPr="00F07DEB">
        <w:rPr>
          <w:rFonts w:ascii="Times New Roman" w:hAnsi="Times New Roman" w:cs="Times New Roman"/>
          <w:sz w:val="24"/>
          <w:szCs w:val="24"/>
        </w:rPr>
        <w:t>will increase</w:t>
      </w:r>
      <w:r w:rsidR="00B67369" w:rsidRPr="00F07DEB">
        <w:rPr>
          <w:rFonts w:ascii="Times New Roman" w:hAnsi="Times New Roman" w:cs="Times New Roman"/>
          <w:sz w:val="24"/>
          <w:szCs w:val="24"/>
        </w:rPr>
        <w:t xml:space="preserve"> the osmotic stress on plant roots and redu</w:t>
      </w:r>
      <w:r w:rsidR="00AF10DC" w:rsidRPr="00F07DEB">
        <w:rPr>
          <w:rFonts w:ascii="Times New Roman" w:hAnsi="Times New Roman" w:cs="Times New Roman"/>
          <w:sz w:val="24"/>
          <w:szCs w:val="24"/>
        </w:rPr>
        <w:t>ce</w:t>
      </w:r>
      <w:r w:rsidR="00B67369" w:rsidRPr="00F07DEB">
        <w:rPr>
          <w:rFonts w:ascii="Times New Roman" w:hAnsi="Times New Roman" w:cs="Times New Roman"/>
          <w:sz w:val="24"/>
          <w:szCs w:val="24"/>
        </w:rPr>
        <w:t xml:space="preserve"> availability</w:t>
      </w:r>
      <w:r w:rsidR="00AF10DC" w:rsidRPr="00F07DEB">
        <w:rPr>
          <w:rFonts w:ascii="Times New Roman" w:hAnsi="Times New Roman" w:cs="Times New Roman"/>
          <w:sz w:val="24"/>
          <w:szCs w:val="24"/>
        </w:rPr>
        <w:t xml:space="preserve"> of water that filters into the root zone</w:t>
      </w:r>
      <w:r w:rsidR="00B67369" w:rsidRPr="00F07DEB">
        <w:rPr>
          <w:rFonts w:ascii="Times New Roman" w:hAnsi="Times New Roman" w:cs="Times New Roman"/>
          <w:sz w:val="24"/>
          <w:szCs w:val="24"/>
        </w:rPr>
        <w:t xml:space="preserve"> </w:t>
      </w:r>
      <w:r w:rsidR="00B67369"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{"citationID":"0DYed5R3","properties":{"formattedCitation":"(Ayers &amp; Westcot, 1985a; Gao et al., 2016; Pearson, 2003; Richards, 1954)","plainCitation":"(Ayers &amp; Westcot, 1985a; Gao et al., 2016; Pearson, 2003; Richards, 1954)","dontUpdate":true,"noteIndex":0},"citationItems":[{"id":415,"uris":["http://zotero.org/users/5446453/items/5W5EXXQA"],"uri":["http://zotero.org/users/5446453/items/5W5EXXQA"],"itemData":{"id":415,"type":"webpage","container-title":"Food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id":695,"uris":["http://zotero.org/users/5446453/items/HMBDQ5TZ"],"uri":["http://zotero.org/users/5446453/items/HMBDQ5TZ"],"itemData":{"id":695,"type":"article-journal","abstract":"Maize is moderately sensitive to salt stress; therefore, soil salinity is a serious threat to its production worldwide. Here, excellent salt-tolerant maize inbred line TL1317 and extremely salt-sensitive maize inbred line SL1303 were screened to understand the maize response to salt stress and its tolerance mechanisms. Relative water content, membrane stability index, stomatal conductance, chlorophyll content, maximum photochemical efficiency, photochemical efficiency, shoot and root fresh/dry weight, and proline and water soluble sugar content analyses were used to identify that the physiological effects of osmotic stress of salt stress were obvious and manifested at about 3 days after salt stress in maize. Moreover, the ion concentration of two maize inbred lines revealed that the salt-tolerant maize inbred line could maintain low Na+ concentration by accumulating Na+ in old leaves and gradually shedding them to exclude excessive Na+. Furthermore, the K+ uptake and retention abilities of roots were important in maintaining K+ homeostasis for salt tolerance in maize. RNA-seq and qPCR results revealed some Na+/H+ antiporter genes and Ca2+ transport genes were up-regulated faster and higher in TL1317 than those in SL1303. Some K+ transport genes were down-regulated in SL1303 but up-regulated in TL1317. RNA-seq results, along with the phenotype and physiological results, suggested that the salt-tolerant maize inbred line TL1317 possesses more rapidly and effectively responses to remove toxic Na+ ions and maintain K+ under salt stress than the salt-sensitive maize inbred line SL1303. This response should facilitate cell homoeostasis under salt stress and result in salt tolerance in TL1317.","container-title":"Frontiers in Plant Science","DOI":"10.3389/fpls.2016.01716","ISSN":"1664-462X","issue":"1716","journalAbbreviation":"Front. Plant Sci.","language":"English","note":"publisher: Frontiers","page":"1-15","source":"Frontiers","title":"Ability to Remove Na+ and Retain K+ Correlates with Salt Tolerance in Two Maize Inbred Lines Seedlings","volume":"7","author":[{"family":"Gao","given":"Yong"},{"family":"Lu","given":"Yi"},{"family":"Wu","given":"Meiqin"},{"family":"Liang","given":"Enxing"},{"family":"Li","given":"Yan"},{"family":"Zhang","given":"Dongping"},{"family":"Yin","given":"Zhitong"},{"family":"Ren","given":"Xiaoyun"},{"family":"Dai","given":"Yi"},{"family":"Deng","given":"Dexiang"},{"family":"Chen","given":"Jianmin"}],"issued":{"date-parts":[["2016",11,16]]}}},{"id":826,"uris":["http://zotero.org/users/5446453/items/VQJM4BFV"],"uri":["http://zotero.org/users/5446453/items/VQJM4BFV"],"itemData":{"id":826,"type":"webpage","container-title":"Montana State University Extension","title":"Basics of Salinity and Sodicity Effects on Soil Physical Properties","URL":"https://waterquality.montana.edu/energy/cbm/background/soil-prop.html","author":[{"family":"Pearson","given":"Krista E."}],"accessed":{"date-parts":[["2020",11,12]]},"issued":{"date-parts":[["2003"]]}}},{"id":828,"uris":["http://zotero.org/users/5446453/items/92W5UACN"],"uri":["http://zotero.org/users/5446453/items/92W5UACN"],"itemData":{"id":828,"type":"article-journal","container-title":"Soil Science","ISSN":"0038-075X","issue":"2","language":"en-US","page":"154","source":"journals.lww.com","title":"Diagnosis and Improvement of Saline and Alkali Soils","volume":"78","author":[{"family":"Richards","given":"L. A."}],"issued":{"date-parts":[["1954",8]]}}}],"schema":"https://github.com/citation-style-language/schema/raw/master/csl-citation.json"} </w:instrText>
      </w:r>
      <w:r w:rsidR="00B67369" w:rsidRPr="00F07DEB">
        <w:rPr>
          <w:rFonts w:ascii="Times New Roman" w:hAnsi="Times New Roman" w:cs="Times New Roman"/>
          <w:sz w:val="24"/>
          <w:szCs w:val="24"/>
        </w:rPr>
        <w:fldChar w:fldCharType="separate"/>
      </w:r>
      <w:r w:rsidR="00AF10DC" w:rsidRPr="00F07DEB">
        <w:rPr>
          <w:rFonts w:ascii="Times New Roman" w:hAnsi="Times New Roman" w:cs="Times New Roman"/>
          <w:sz w:val="24"/>
        </w:rPr>
        <w:t xml:space="preserve">(Ayers </w:t>
      </w:r>
      <w:r w:rsidR="002A6AB5">
        <w:rPr>
          <w:rFonts w:ascii="Times New Roman" w:hAnsi="Times New Roman" w:cs="Times New Roman"/>
          <w:sz w:val="24"/>
        </w:rPr>
        <w:t>and</w:t>
      </w:r>
      <w:r w:rsidR="00AF10DC" w:rsidRPr="00F07DEB">
        <w:rPr>
          <w:rFonts w:ascii="Times New Roman" w:hAnsi="Times New Roman" w:cs="Times New Roman"/>
          <w:sz w:val="24"/>
        </w:rPr>
        <w:t xml:space="preserve"> Westcot, 1985a; Gao et al., 2016; Pearson, 2003; Richards, 1954)</w:t>
      </w:r>
      <w:r w:rsidR="00B67369" w:rsidRPr="00F07DEB">
        <w:rPr>
          <w:rFonts w:ascii="Times New Roman" w:hAnsi="Times New Roman" w:cs="Times New Roman"/>
          <w:sz w:val="24"/>
          <w:szCs w:val="24"/>
        </w:rPr>
        <w:fldChar w:fldCharType="end"/>
      </w:r>
      <w:r w:rsidR="00B67369" w:rsidRPr="00F07DEB">
        <w:rPr>
          <w:rFonts w:ascii="Times New Roman" w:hAnsi="Times New Roman" w:cs="Times New Roman"/>
          <w:sz w:val="24"/>
          <w:szCs w:val="24"/>
        </w:rPr>
        <w:t xml:space="preserve">. </w:t>
      </w:r>
      <w:r w:rsidR="009C5529" w:rsidRPr="00F07DEB">
        <w:rPr>
          <w:rFonts w:ascii="Times New Roman" w:hAnsi="Times New Roman" w:cs="Times New Roman"/>
          <w:sz w:val="24"/>
          <w:szCs w:val="24"/>
        </w:rPr>
        <w:t xml:space="preserve">This </w:t>
      </w:r>
      <w:r w:rsidR="001F31BB" w:rsidRPr="00F07DEB">
        <w:rPr>
          <w:rFonts w:ascii="Times New Roman" w:hAnsi="Times New Roman" w:cs="Times New Roman"/>
          <w:sz w:val="24"/>
          <w:szCs w:val="24"/>
        </w:rPr>
        <w:t>study</w:t>
      </w:r>
      <w:r w:rsidR="009C5529" w:rsidRPr="00F07DEB">
        <w:rPr>
          <w:rFonts w:ascii="Times New Roman" w:hAnsi="Times New Roman" w:cs="Times New Roman"/>
          <w:sz w:val="24"/>
          <w:szCs w:val="24"/>
        </w:rPr>
        <w:t xml:space="preserve"> was not designed to assess mine water irrigation’s short- or long-term impacts on soil structure</w:t>
      </w:r>
      <w:r w:rsidR="001F31BB" w:rsidRPr="00F07DEB">
        <w:rPr>
          <w:rFonts w:ascii="Times New Roman" w:hAnsi="Times New Roman" w:cs="Times New Roman"/>
          <w:sz w:val="24"/>
          <w:szCs w:val="24"/>
        </w:rPr>
        <w:t xml:space="preserve"> – p</w:t>
      </w:r>
      <w:r w:rsidR="009C5529" w:rsidRPr="00F07DEB">
        <w:rPr>
          <w:rFonts w:ascii="Times New Roman" w:hAnsi="Times New Roman" w:cs="Times New Roman"/>
          <w:sz w:val="24"/>
          <w:szCs w:val="24"/>
        </w:rPr>
        <w:t xml:space="preserve">otting mix is </w:t>
      </w:r>
      <w:r w:rsidR="001F31BB" w:rsidRPr="00F07DEB">
        <w:rPr>
          <w:rFonts w:ascii="Times New Roman" w:hAnsi="Times New Roman" w:cs="Times New Roman"/>
          <w:sz w:val="24"/>
          <w:szCs w:val="24"/>
        </w:rPr>
        <w:t xml:space="preserve">technically soilless. There were few clay particles for </w:t>
      </w:r>
      <w:r w:rsidR="009678A2">
        <w:rPr>
          <w:rFonts w:ascii="Times New Roman" w:hAnsi="Times New Roman" w:cs="Times New Roman"/>
          <w:sz w:val="24"/>
          <w:szCs w:val="24"/>
        </w:rPr>
        <w:t>Na</w:t>
      </w:r>
      <w:r w:rsidR="001F31BB" w:rsidRPr="00F07DEB">
        <w:rPr>
          <w:rFonts w:ascii="Times New Roman" w:hAnsi="Times New Roman" w:cs="Times New Roman"/>
          <w:sz w:val="24"/>
          <w:szCs w:val="24"/>
        </w:rPr>
        <w:t xml:space="preserve"> ions to destabilize and disperse, and the substrate was formulated to prioritize water infiltration and drainage</w:t>
      </w:r>
      <w:r w:rsidR="00B67369" w:rsidRPr="00F07DEB">
        <w:rPr>
          <w:rFonts w:ascii="Times New Roman" w:hAnsi="Times New Roman" w:cs="Times New Roman"/>
          <w:sz w:val="24"/>
          <w:szCs w:val="24"/>
        </w:rPr>
        <w:t xml:space="preserve">; all of these factors mitigated salinity and </w:t>
      </w:r>
      <w:r w:rsidR="009678A2">
        <w:rPr>
          <w:rFonts w:ascii="Times New Roman" w:hAnsi="Times New Roman" w:cs="Times New Roman"/>
          <w:sz w:val="24"/>
          <w:szCs w:val="24"/>
        </w:rPr>
        <w:t>Na</w:t>
      </w:r>
      <w:r w:rsidR="00B67369" w:rsidRPr="00F07DEB">
        <w:rPr>
          <w:rFonts w:ascii="Times New Roman" w:hAnsi="Times New Roman" w:cs="Times New Roman"/>
          <w:sz w:val="24"/>
          <w:szCs w:val="24"/>
        </w:rPr>
        <w:t xml:space="preserve"> hazards</w:t>
      </w:r>
      <w:r w:rsidR="00AF10DC" w:rsidRPr="00F07DEB">
        <w:rPr>
          <w:rFonts w:ascii="Times New Roman" w:hAnsi="Times New Roman" w:cs="Times New Roman"/>
          <w:sz w:val="24"/>
          <w:szCs w:val="24"/>
        </w:rPr>
        <w:t xml:space="preserve"> </w:t>
      </w:r>
      <w:r w:rsidR="00AF10DC" w:rsidRPr="00F07DEB">
        <w:rPr>
          <w:rFonts w:ascii="Times New Roman" w:hAnsi="Times New Roman" w:cs="Times New Roman"/>
          <w:sz w:val="24"/>
          <w:szCs w:val="24"/>
        </w:rPr>
        <w:fldChar w:fldCharType="begin"/>
      </w:r>
      <w:r w:rsidR="009F20B2" w:rsidRPr="00F07DEB">
        <w:rPr>
          <w:rFonts w:ascii="Times New Roman" w:hAnsi="Times New Roman" w:cs="Times New Roman"/>
          <w:sz w:val="24"/>
          <w:szCs w:val="24"/>
        </w:rPr>
        <w:instrText xml:space="preserve"> ADDIN ZOTERO_ITEM CSL_CITATION {"citationID":"bOHQQVV4","properties":{"formattedCitation":"(Richards, 1954)","plainCitation":"(Richards, 1954)","noteIndex":0},"citationItems":[{"id":828,"uris":["http://zotero.org/users/5446453/items/92W5UACN"],"uri":["http://zotero.org/users/5446453/items/92W5UACN"],"itemData":{"id":828,"type":"article-journal","container-title":"Soil Science","ISSN":"0038-075X","issue":"2","language":"en-US","page":"154","source":"journals.lww.com","title":"Diagnosis and Improvement of Saline and Alkali Soils","volume":"78","author":[{"family":"Richards","given":"L. A."}],"issued":{"date-parts":[["1954",8]]}}}],"schema":"https://github.com/citation-style-language/schema/raw/master/csl-citation.json"} </w:instrText>
      </w:r>
      <w:r w:rsidR="00AF10DC"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(Richards, 1954)</w:t>
      </w:r>
      <w:r w:rsidR="00AF10DC" w:rsidRPr="00F07DEB">
        <w:rPr>
          <w:rFonts w:ascii="Times New Roman" w:hAnsi="Times New Roman" w:cs="Times New Roman"/>
          <w:sz w:val="24"/>
          <w:szCs w:val="24"/>
        </w:rPr>
        <w:fldChar w:fldCharType="end"/>
      </w:r>
      <w:r w:rsidR="00B67369" w:rsidRPr="00F07DEB">
        <w:rPr>
          <w:rFonts w:ascii="Times New Roman" w:hAnsi="Times New Roman" w:cs="Times New Roman"/>
          <w:sz w:val="24"/>
          <w:szCs w:val="24"/>
        </w:rPr>
        <w:t>.</w:t>
      </w:r>
    </w:p>
    <w:p w14:paraId="5F7F31ED" w14:textId="753960A0" w:rsidR="0074759F" w:rsidRPr="00F07DEB" w:rsidRDefault="00437290" w:rsidP="0074759F">
      <w:pPr>
        <w:pStyle w:val="Heading3"/>
        <w:spacing w:line="480" w:lineRule="auto"/>
        <w:ind w:left="990"/>
      </w:pPr>
      <w:bookmarkStart w:id="86" w:name="_Toc58975173"/>
      <w:r w:rsidRPr="00F07DEB">
        <w:t xml:space="preserve">Seedling </w:t>
      </w:r>
      <w:r w:rsidR="0074759F" w:rsidRPr="00F07DEB">
        <w:t>Emergence</w:t>
      </w:r>
      <w:bookmarkEnd w:id="86"/>
    </w:p>
    <w:p w14:paraId="5964B9ED" w14:textId="53002189" w:rsidR="008A478E" w:rsidRPr="00F07DEB" w:rsidRDefault="008A478E" w:rsidP="008A478E">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Sorghum and corn exhibited similar overall seedling emergence rates</w:t>
      </w:r>
      <w:r w:rsidR="00133537" w:rsidRPr="00F07DEB">
        <w:rPr>
          <w:rFonts w:ascii="Times New Roman" w:hAnsi="Times New Roman" w:cs="Times New Roman"/>
          <w:sz w:val="24"/>
          <w:szCs w:val="24"/>
        </w:rPr>
        <w:t xml:space="preserve"> during the full-scale experiment; emergence curves for both plants are presented</w:t>
      </w:r>
      <w:r w:rsidRPr="00F07DEB">
        <w:rPr>
          <w:rFonts w:ascii="Times New Roman" w:hAnsi="Times New Roman" w:cs="Times New Roman"/>
          <w:sz w:val="24"/>
          <w:szCs w:val="24"/>
        </w:rPr>
        <w:t xml:space="preserve"> in</w:t>
      </w:r>
      <w:r w:rsidR="00133537" w:rsidRPr="00F07DEB">
        <w:rPr>
          <w:rFonts w:ascii="Times New Roman" w:hAnsi="Times New Roman" w:cs="Times New Roman"/>
          <w:sz w:val="24"/>
          <w:szCs w:val="24"/>
        </w:rPr>
        <w:t xml:space="preserve"> </w:t>
      </w:r>
      <w:r w:rsidR="00133537" w:rsidRPr="00F07DEB">
        <w:rPr>
          <w:rFonts w:ascii="Times New Roman" w:hAnsi="Times New Roman" w:cs="Times New Roman"/>
          <w:sz w:val="24"/>
          <w:szCs w:val="24"/>
        </w:rPr>
        <w:fldChar w:fldCharType="begin"/>
      </w:r>
      <w:r w:rsidR="00133537" w:rsidRPr="00F07DEB">
        <w:rPr>
          <w:rFonts w:ascii="Times New Roman" w:hAnsi="Times New Roman" w:cs="Times New Roman"/>
          <w:sz w:val="24"/>
          <w:szCs w:val="24"/>
        </w:rPr>
        <w:instrText xml:space="preserve"> REF _Ref55922128 \h  \* MERGEFORMAT </w:instrText>
      </w:r>
      <w:r w:rsidR="00133537" w:rsidRPr="00F07DEB">
        <w:rPr>
          <w:rFonts w:ascii="Times New Roman" w:hAnsi="Times New Roman" w:cs="Times New Roman"/>
          <w:sz w:val="24"/>
          <w:szCs w:val="24"/>
        </w:rPr>
      </w:r>
      <w:r w:rsidR="00133537"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18</w:t>
      </w:r>
      <w:r w:rsidR="00133537"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w:t>
      </w:r>
      <w:r w:rsidR="00133537" w:rsidRPr="00F07DEB">
        <w:rPr>
          <w:rFonts w:ascii="Times New Roman" w:hAnsi="Times New Roman" w:cs="Times New Roman"/>
          <w:sz w:val="24"/>
          <w:szCs w:val="24"/>
        </w:rPr>
        <w:t>Corn</w:t>
      </w:r>
      <w:r w:rsidRPr="00F07DEB">
        <w:rPr>
          <w:rFonts w:ascii="Times New Roman" w:hAnsi="Times New Roman" w:cs="Times New Roman"/>
          <w:sz w:val="24"/>
          <w:szCs w:val="24"/>
        </w:rPr>
        <w:t xml:space="preserve"> emergence</w:t>
      </w:r>
      <w:r w:rsidR="00133537" w:rsidRPr="00F07DEB">
        <w:rPr>
          <w:rFonts w:ascii="Times New Roman" w:hAnsi="Times New Roman" w:cs="Times New Roman"/>
          <w:sz w:val="24"/>
          <w:szCs w:val="24"/>
        </w:rPr>
        <w:t xml:space="preserve"> began one day after sorghum, but matched and surpassed cumulative sorghum emergence by day seven.</w:t>
      </w:r>
      <w:r w:rsidRPr="00F07DEB">
        <w:rPr>
          <w:rFonts w:ascii="Times New Roman" w:hAnsi="Times New Roman" w:cs="Times New Roman"/>
          <w:sz w:val="24"/>
          <w:szCs w:val="24"/>
        </w:rPr>
        <w:t xml:space="preserve"> </w:t>
      </w:r>
      <w:r w:rsidR="00133537" w:rsidRPr="00F07DEB">
        <w:rPr>
          <w:rFonts w:ascii="Times New Roman" w:hAnsi="Times New Roman" w:cs="Times New Roman"/>
          <w:sz w:val="24"/>
          <w:szCs w:val="24"/>
        </w:rPr>
        <w:t>The final</w:t>
      </w:r>
      <w:r w:rsidRPr="00F07DEB">
        <w:rPr>
          <w:rFonts w:ascii="Times New Roman" w:hAnsi="Times New Roman" w:cs="Times New Roman"/>
          <w:sz w:val="24"/>
          <w:szCs w:val="24"/>
        </w:rPr>
        <w:t xml:space="preserve"> sorghum emergence </w:t>
      </w:r>
      <w:r w:rsidR="00133537" w:rsidRPr="00F07DEB">
        <w:rPr>
          <w:rFonts w:ascii="Times New Roman" w:hAnsi="Times New Roman" w:cs="Times New Roman"/>
          <w:sz w:val="24"/>
          <w:szCs w:val="24"/>
        </w:rPr>
        <w:t>percentage,</w:t>
      </w:r>
      <w:r w:rsidRPr="00F07DEB">
        <w:rPr>
          <w:rFonts w:ascii="Times New Roman" w:hAnsi="Times New Roman" w:cs="Times New Roman"/>
          <w:sz w:val="24"/>
          <w:szCs w:val="24"/>
        </w:rPr>
        <w:t xml:space="preserve"> 92%</w:t>
      </w:r>
      <w:r w:rsidR="00133537" w:rsidRPr="00F07DEB">
        <w:rPr>
          <w:rFonts w:ascii="Times New Roman" w:hAnsi="Times New Roman" w:cs="Times New Roman"/>
          <w:sz w:val="24"/>
          <w:szCs w:val="24"/>
        </w:rPr>
        <w:t xml:space="preserve">, was identical to the rate achieved by sorghum plants during the proof-of-concept experiment, but </w:t>
      </w:r>
      <w:r w:rsidR="00FF1A31" w:rsidRPr="00F07DEB">
        <w:rPr>
          <w:rFonts w:ascii="Times New Roman" w:hAnsi="Times New Roman" w:cs="Times New Roman"/>
          <w:sz w:val="24"/>
          <w:szCs w:val="24"/>
        </w:rPr>
        <w:t xml:space="preserve">the crop required an additional three </w:t>
      </w:r>
      <w:r w:rsidR="00FF1A31" w:rsidRPr="00F07DEB">
        <w:rPr>
          <w:rFonts w:ascii="Times New Roman" w:hAnsi="Times New Roman" w:cs="Times New Roman"/>
          <w:sz w:val="24"/>
          <w:szCs w:val="24"/>
        </w:rPr>
        <w:lastRenderedPageBreak/>
        <w:t>days to reach 92% emergence during the full scale study.</w:t>
      </w:r>
      <w:r w:rsidRPr="00F07DEB">
        <w:rPr>
          <w:rFonts w:ascii="Times New Roman" w:hAnsi="Times New Roman" w:cs="Times New Roman"/>
          <w:sz w:val="24"/>
          <w:szCs w:val="24"/>
        </w:rPr>
        <w:t xml:space="preserve"> </w:t>
      </w:r>
      <w:r w:rsidR="00FF1A31" w:rsidRPr="00F07DEB">
        <w:rPr>
          <w:rFonts w:ascii="Times New Roman" w:hAnsi="Times New Roman" w:cs="Times New Roman"/>
          <w:sz w:val="24"/>
          <w:szCs w:val="24"/>
        </w:rPr>
        <w:t>Corn emergence peaked 11 days after planting in both studies</w:t>
      </w:r>
      <w:r w:rsidR="005A76AD">
        <w:rPr>
          <w:rFonts w:ascii="Times New Roman" w:hAnsi="Times New Roman" w:cs="Times New Roman"/>
          <w:sz w:val="24"/>
          <w:szCs w:val="24"/>
        </w:rPr>
        <w:t>;</w:t>
      </w:r>
      <w:r w:rsidR="005A76AD" w:rsidRPr="00F07DEB">
        <w:rPr>
          <w:rFonts w:ascii="Times New Roman" w:hAnsi="Times New Roman" w:cs="Times New Roman"/>
          <w:sz w:val="24"/>
          <w:szCs w:val="24"/>
        </w:rPr>
        <w:t xml:space="preserve"> </w:t>
      </w:r>
      <w:r w:rsidR="00FF1A31" w:rsidRPr="00F07DEB">
        <w:rPr>
          <w:rFonts w:ascii="Times New Roman" w:hAnsi="Times New Roman" w:cs="Times New Roman"/>
          <w:sz w:val="24"/>
          <w:szCs w:val="24"/>
        </w:rPr>
        <w:t>the total corn emergence percentage substantially increased from the proof-of-concept study to the full scale iteration:</w:t>
      </w:r>
      <w:r w:rsidRPr="00F07DEB">
        <w:rPr>
          <w:rFonts w:ascii="Times New Roman" w:hAnsi="Times New Roman" w:cs="Times New Roman"/>
          <w:sz w:val="24"/>
          <w:szCs w:val="24"/>
        </w:rPr>
        <w:t xml:space="preserve"> </w:t>
      </w:r>
      <w:r w:rsidR="00FF1A31" w:rsidRPr="00F07DEB">
        <w:rPr>
          <w:rFonts w:ascii="Times New Roman" w:hAnsi="Times New Roman" w:cs="Times New Roman"/>
          <w:sz w:val="24"/>
          <w:szCs w:val="24"/>
        </w:rPr>
        <w:t>from 81% to 97</w:t>
      </w:r>
      <w:r w:rsidRPr="00F07DEB">
        <w:rPr>
          <w:rFonts w:ascii="Times New Roman" w:hAnsi="Times New Roman" w:cs="Times New Roman"/>
          <w:sz w:val="24"/>
          <w:szCs w:val="24"/>
        </w:rPr>
        <w:t>%</w:t>
      </w:r>
      <w:r w:rsidR="00FF1A31" w:rsidRPr="00F07DEB">
        <w:rPr>
          <w:rFonts w:ascii="Times New Roman" w:hAnsi="Times New Roman" w:cs="Times New Roman"/>
          <w:sz w:val="24"/>
          <w:szCs w:val="24"/>
        </w:rPr>
        <w:t>.</w:t>
      </w:r>
      <w:r w:rsidRPr="00F07DEB">
        <w:rPr>
          <w:rFonts w:ascii="Times New Roman" w:hAnsi="Times New Roman" w:cs="Times New Roman"/>
          <w:sz w:val="24"/>
          <w:szCs w:val="24"/>
        </w:rPr>
        <w:t xml:space="preserve"> Photos </w:t>
      </w:r>
      <w:r w:rsidR="00FF1A31" w:rsidRPr="00F07DEB">
        <w:rPr>
          <w:rFonts w:ascii="Times New Roman" w:hAnsi="Times New Roman" w:cs="Times New Roman"/>
          <w:sz w:val="24"/>
          <w:szCs w:val="24"/>
        </w:rPr>
        <w:t xml:space="preserve">from the </w:t>
      </w:r>
      <w:r w:rsidR="00E32F87">
        <w:rPr>
          <w:rFonts w:ascii="Times New Roman" w:hAnsi="Times New Roman" w:cs="Times New Roman"/>
          <w:sz w:val="24"/>
          <w:szCs w:val="24"/>
        </w:rPr>
        <w:t>first two weeks</w:t>
      </w:r>
      <w:r w:rsidR="00B323D9">
        <w:rPr>
          <w:rFonts w:ascii="Times New Roman" w:hAnsi="Times New Roman" w:cs="Times New Roman"/>
          <w:sz w:val="24"/>
          <w:szCs w:val="24"/>
        </w:rPr>
        <w:t xml:space="preserve"> of the full-</w:t>
      </w:r>
      <w:r w:rsidR="00FF1A31" w:rsidRPr="00F07DEB">
        <w:rPr>
          <w:rFonts w:ascii="Times New Roman" w:hAnsi="Times New Roman" w:cs="Times New Roman"/>
          <w:sz w:val="24"/>
          <w:szCs w:val="24"/>
        </w:rPr>
        <w:t>scale experiment are included</w:t>
      </w:r>
      <w:r w:rsidRPr="00F07DEB">
        <w:rPr>
          <w:rFonts w:ascii="Times New Roman" w:hAnsi="Times New Roman" w:cs="Times New Roman"/>
          <w:sz w:val="24"/>
          <w:szCs w:val="24"/>
        </w:rPr>
        <w:t xml:space="preserve"> in </w:t>
      </w:r>
      <w:r w:rsidR="00FF1A31" w:rsidRPr="00F07DEB">
        <w:rPr>
          <w:rFonts w:ascii="Times New Roman" w:hAnsi="Times New Roman" w:cs="Times New Roman"/>
          <w:sz w:val="24"/>
          <w:szCs w:val="24"/>
        </w:rPr>
        <w:fldChar w:fldCharType="begin"/>
      </w:r>
      <w:r w:rsidR="00FF1A31" w:rsidRPr="00F07DEB">
        <w:rPr>
          <w:rFonts w:ascii="Times New Roman" w:hAnsi="Times New Roman" w:cs="Times New Roman"/>
          <w:sz w:val="24"/>
          <w:szCs w:val="24"/>
        </w:rPr>
        <w:instrText xml:space="preserve"> REF _Ref55923126 \h  \* MERGEFORMAT </w:instrText>
      </w:r>
      <w:r w:rsidR="00FF1A31" w:rsidRPr="00F07DEB">
        <w:rPr>
          <w:rFonts w:ascii="Times New Roman" w:hAnsi="Times New Roman" w:cs="Times New Roman"/>
          <w:sz w:val="24"/>
          <w:szCs w:val="24"/>
        </w:rPr>
      </w:r>
      <w:r w:rsidR="00FF1A31"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19</w:t>
      </w:r>
      <w:r w:rsidR="00FF1A31" w:rsidRPr="00F07DEB">
        <w:rPr>
          <w:rFonts w:ascii="Times New Roman" w:hAnsi="Times New Roman" w:cs="Times New Roman"/>
          <w:sz w:val="24"/>
          <w:szCs w:val="24"/>
        </w:rPr>
        <w:fldChar w:fldCharType="end"/>
      </w:r>
      <w:r w:rsidRPr="00F07DEB">
        <w:rPr>
          <w:rFonts w:ascii="Times New Roman" w:hAnsi="Times New Roman" w:cs="Times New Roman"/>
          <w:sz w:val="24"/>
          <w:szCs w:val="24"/>
        </w:rPr>
        <w:t>.</w:t>
      </w:r>
      <w:r w:rsidR="00FF1A31" w:rsidRPr="00F07DEB">
        <w:rPr>
          <w:rFonts w:ascii="Times New Roman" w:hAnsi="Times New Roman" w:cs="Times New Roman"/>
          <w:sz w:val="24"/>
          <w:szCs w:val="24"/>
        </w:rPr>
        <w:t xml:space="preserve"> </w:t>
      </w:r>
    </w:p>
    <w:p w14:paraId="083DA333" w14:textId="1628885E" w:rsidR="008A478E" w:rsidRPr="00F07DEB" w:rsidRDefault="008342B0" w:rsidP="0028662F">
      <w:pPr>
        <w:jc w:val="center"/>
        <w:rPr>
          <w:rFonts w:ascii="Times New Roman" w:hAnsi="Times New Roman" w:cs="Times New Roman"/>
        </w:rPr>
      </w:pPr>
      <w:r w:rsidRPr="00F07DEB">
        <w:rPr>
          <w:rFonts w:ascii="Times New Roman" w:hAnsi="Times New Roman" w:cs="Times New Roman"/>
          <w:noProof/>
          <w:lang w:eastAsia="en-US"/>
        </w:rPr>
        <w:drawing>
          <wp:inline distT="0" distB="0" distL="0" distR="0" wp14:anchorId="2C043718" wp14:editId="4BE9F6D5">
            <wp:extent cx="5612753" cy="2725674"/>
            <wp:effectExtent l="0" t="0" r="7620" b="1778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FAA96CC" w14:textId="4F190F88" w:rsidR="008A478E" w:rsidRDefault="008A478E" w:rsidP="00204C13">
      <w:pPr>
        <w:pStyle w:val="Caption"/>
      </w:pPr>
      <w:bookmarkStart w:id="87" w:name="_Ref55922128"/>
      <w:bookmarkStart w:id="88" w:name="_Toc58975228"/>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18</w:t>
      </w:r>
      <w:r w:rsidR="00DE3B90" w:rsidRPr="00F07DEB">
        <w:rPr>
          <w:noProof/>
        </w:rPr>
        <w:fldChar w:fldCharType="end"/>
      </w:r>
      <w:bookmarkEnd w:id="87"/>
      <w:r w:rsidRPr="00F07DEB">
        <w:t xml:space="preserve">: </w:t>
      </w:r>
      <w:r w:rsidR="008342B0" w:rsidRPr="00F07DEB">
        <w:t xml:space="preserve">Full-scale </w:t>
      </w:r>
      <w:r w:rsidR="00CD47B5" w:rsidRPr="00F07DEB">
        <w:t xml:space="preserve">field </w:t>
      </w:r>
      <w:r w:rsidR="008342B0" w:rsidRPr="00F07DEB">
        <w:t>experiment</w:t>
      </w:r>
      <w:r w:rsidRPr="00F07DEB">
        <w:t xml:space="preserve"> seedling emergence by species</w:t>
      </w:r>
      <w:bookmarkEnd w:id="88"/>
    </w:p>
    <w:p w14:paraId="28682960" w14:textId="77777777" w:rsidR="00E32F87" w:rsidRDefault="00E32F87" w:rsidP="00E32F87"/>
    <w:p w14:paraId="3F080B50" w14:textId="77777777" w:rsidR="00E32F87" w:rsidRPr="00E32F87" w:rsidRDefault="00E32F87" w:rsidP="00E32F87"/>
    <w:p w14:paraId="0E67DD97" w14:textId="3191CB7E" w:rsidR="008A478E" w:rsidRPr="00F07DEB" w:rsidRDefault="005C1153" w:rsidP="00466E4C">
      <w:pPr>
        <w:keepNext/>
        <w:spacing w:line="240" w:lineRule="auto"/>
        <w:jc w:val="center"/>
        <w:rPr>
          <w:rFonts w:ascii="Times New Roman" w:hAnsi="Times New Roman" w:cs="Times New Roman"/>
        </w:rPr>
      </w:pPr>
      <w:r w:rsidRPr="00F07DEB">
        <w:rPr>
          <w:rFonts w:ascii="Times New Roman" w:hAnsi="Times New Roman" w:cs="Times New Roman"/>
          <w:noProof/>
          <w:lang w:eastAsia="en-US"/>
        </w:rPr>
        <mc:AlternateContent>
          <mc:Choice Requires="wps">
            <w:drawing>
              <wp:anchor distT="0" distB="0" distL="114300" distR="114300" simplePos="0" relativeHeight="251660288" behindDoc="0" locked="0" layoutInCell="1" allowOverlap="1" wp14:anchorId="746F883D" wp14:editId="7F9E0F01">
                <wp:simplePos x="0" y="0"/>
                <wp:positionH relativeFrom="column">
                  <wp:posOffset>624840</wp:posOffset>
                </wp:positionH>
                <wp:positionV relativeFrom="paragraph">
                  <wp:posOffset>109855</wp:posOffset>
                </wp:positionV>
                <wp:extent cx="283210" cy="310515"/>
                <wp:effectExtent l="0" t="0" r="2540" b="0"/>
                <wp:wrapNone/>
                <wp:docPr id="89" name="Text Box 89"/>
                <wp:cNvGraphicFramePr/>
                <a:graphic xmlns:a="http://schemas.openxmlformats.org/drawingml/2006/main">
                  <a:graphicData uri="http://schemas.microsoft.com/office/word/2010/wordprocessingShape">
                    <wps:wsp>
                      <wps:cNvSpPr txBox="1"/>
                      <wps:spPr>
                        <a:xfrm>
                          <a:off x="0" y="0"/>
                          <a:ext cx="283210" cy="310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6352ED" w14:textId="561F32E4" w:rsidR="00757A39" w:rsidRPr="005C1153" w:rsidRDefault="00757A39">
                            <w:pPr>
                              <w:rPr>
                                <w:rFonts w:ascii="Times New Roman" w:hAnsi="Times New Roman" w:cs="Times New Roman"/>
                                <w:sz w:val="28"/>
                              </w:rPr>
                            </w:pPr>
                            <w:proofErr w:type="gramStart"/>
                            <w:r w:rsidRPr="005C1153">
                              <w:rPr>
                                <w:rFonts w:ascii="Times New Roman" w:hAnsi="Times New Roman" w:cs="Times New Roman"/>
                                <w:sz w:val="28"/>
                              </w:rPr>
                              <w:t>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F883D" id="Text Box 89" o:spid="_x0000_s1033" type="#_x0000_t202" style="position:absolute;left:0;text-align:left;margin-left:49.2pt;margin-top:8.65pt;width:22.3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" fillcolor="white [3201]" stroked="f" strokeweight=".5pt">
                <v:textbox>
                  <w:txbxContent>
                    <w:p w14:paraId="776352ED" w14:textId="561F32E4" w:rsidR="00757A39" w:rsidRPr="005C1153" w:rsidRDefault="00757A39">
                      <w:pPr>
                        <w:rPr>
                          <w:rFonts w:ascii="Times New Roman" w:hAnsi="Times New Roman" w:cs="Times New Roman"/>
                          <w:sz w:val="28"/>
                        </w:rPr>
                      </w:pPr>
                      <w:r w:rsidRPr="005C1153">
                        <w:rPr>
                          <w:rFonts w:ascii="Times New Roman" w:hAnsi="Times New Roman" w:cs="Times New Roman"/>
                          <w:sz w:val="28"/>
                        </w:rPr>
                        <w:t>a</w:t>
                      </w:r>
                    </w:p>
                  </w:txbxContent>
                </v:textbox>
              </v:shape>
            </w:pict>
          </mc:Fallback>
        </mc:AlternateContent>
      </w:r>
      <w:r w:rsidRPr="00F07DEB">
        <w:rPr>
          <w:rFonts w:ascii="Times New Roman" w:hAnsi="Times New Roman" w:cs="Times New Roman"/>
          <w:noProof/>
          <w:lang w:eastAsia="en-US"/>
        </w:rPr>
        <mc:AlternateContent>
          <mc:Choice Requires="wps">
            <w:drawing>
              <wp:anchor distT="0" distB="0" distL="114300" distR="114300" simplePos="0" relativeHeight="251662336" behindDoc="0" locked="0" layoutInCell="1" allowOverlap="1" wp14:anchorId="7F62320D" wp14:editId="41386209">
                <wp:simplePos x="0" y="0"/>
                <wp:positionH relativeFrom="column">
                  <wp:posOffset>3071148</wp:posOffset>
                </wp:positionH>
                <wp:positionV relativeFrom="paragraph">
                  <wp:posOffset>109105</wp:posOffset>
                </wp:positionV>
                <wp:extent cx="283779" cy="310806"/>
                <wp:effectExtent l="0" t="0" r="2540" b="0"/>
                <wp:wrapNone/>
                <wp:docPr id="90" name="Text Box 90"/>
                <wp:cNvGraphicFramePr/>
                <a:graphic xmlns:a="http://schemas.openxmlformats.org/drawingml/2006/main">
                  <a:graphicData uri="http://schemas.microsoft.com/office/word/2010/wordprocessingShape">
                    <wps:wsp>
                      <wps:cNvSpPr txBox="1"/>
                      <wps:spPr>
                        <a:xfrm>
                          <a:off x="0" y="0"/>
                          <a:ext cx="283779" cy="31080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9D629E" w14:textId="56C58B8F" w:rsidR="00757A39" w:rsidRPr="005C1153" w:rsidRDefault="00757A39" w:rsidP="005C1153">
                            <w:pPr>
                              <w:rPr>
                                <w:rFonts w:ascii="Times New Roman" w:hAnsi="Times New Roman" w:cs="Times New Roman"/>
                                <w:sz w:val="28"/>
                              </w:rPr>
                            </w:pPr>
                            <w:proofErr w:type="gramStart"/>
                            <w:r>
                              <w:rPr>
                                <w:rFonts w:ascii="Times New Roman" w:hAnsi="Times New Roman" w:cs="Times New Roman"/>
                                <w:sz w:val="28"/>
                              </w:rP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2320D" id="Text Box 90" o:spid="_x0000_s1034" type="#_x0000_t202" style="position:absolute;left:0;text-align:left;margin-left:241.8pt;margin-top:8.6pt;width:22.35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" fillcolor="white [3201]" stroked="f" strokeweight=".5pt">
                <v:textbox>
                  <w:txbxContent>
                    <w:p w14:paraId="499D629E" w14:textId="56C58B8F" w:rsidR="00757A39" w:rsidRPr="005C1153" w:rsidRDefault="00757A39" w:rsidP="005C1153">
                      <w:pPr>
                        <w:rPr>
                          <w:rFonts w:ascii="Times New Roman" w:hAnsi="Times New Roman" w:cs="Times New Roman"/>
                          <w:sz w:val="28"/>
                        </w:rPr>
                      </w:pPr>
                      <w:r>
                        <w:rPr>
                          <w:rFonts w:ascii="Times New Roman" w:hAnsi="Times New Roman" w:cs="Times New Roman"/>
                          <w:sz w:val="28"/>
                        </w:rPr>
                        <w:t>b</w:t>
                      </w:r>
                    </w:p>
                  </w:txbxContent>
                </v:textbox>
              </v:shape>
            </w:pict>
          </mc:Fallback>
        </mc:AlternateContent>
      </w:r>
      <w:r w:rsidRPr="00F07DEB">
        <w:rPr>
          <w:rFonts w:ascii="Times New Roman" w:hAnsi="Times New Roman" w:cs="Times New Roman"/>
          <w:noProof/>
          <w:lang w:eastAsia="en-US"/>
        </w:rPr>
        <w:drawing>
          <wp:inline distT="0" distB="0" distL="0" distR="0" wp14:anchorId="36D0752A" wp14:editId="216C013A">
            <wp:extent cx="2437755" cy="1828800"/>
            <wp:effectExtent l="0" t="0" r="1270" b="0"/>
            <wp:docPr id="88" name="Picture 88" descr="C:\Users\harper3663\Documents\School\_CREW\Irrigation Project\Pics\iCloud Photos\IMG_2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arper3663\Documents\School\_CREW\Irrigation Project\Pics\iCloud Photos\IMG_244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37755" cy="1828800"/>
                    </a:xfrm>
                    <a:prstGeom prst="rect">
                      <a:avLst/>
                    </a:prstGeom>
                    <a:noFill/>
                    <a:ln>
                      <a:noFill/>
                    </a:ln>
                  </pic:spPr>
                </pic:pic>
              </a:graphicData>
            </a:graphic>
          </wp:inline>
        </w:drawing>
      </w:r>
      <w:r w:rsidRPr="00F07DEB">
        <w:rPr>
          <w:rFonts w:ascii="Times New Roman" w:hAnsi="Times New Roman" w:cs="Times New Roman"/>
        </w:rPr>
        <w:t xml:space="preserve"> </w:t>
      </w:r>
      <w:r w:rsidRPr="00F07DEB">
        <w:rPr>
          <w:rFonts w:ascii="Times New Roman" w:hAnsi="Times New Roman" w:cs="Times New Roman"/>
          <w:noProof/>
          <w:lang w:eastAsia="en-US"/>
        </w:rPr>
        <w:drawing>
          <wp:inline distT="0" distB="0" distL="0" distR="0" wp14:anchorId="115E5D69" wp14:editId="586C5363">
            <wp:extent cx="2438400" cy="1828800"/>
            <wp:effectExtent l="0" t="0" r="0" b="0"/>
            <wp:docPr id="87" name="Picture 87" descr="C:\Users\harper3663\Documents\School\_CREW\Irrigation Project\Pics\iCloud Photos\IMG_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arper3663\Documents\School\_CREW\Irrigation Project\Pics\iCloud Photos\IMG_2520.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38400" cy="1828800"/>
                    </a:xfrm>
                    <a:prstGeom prst="rect">
                      <a:avLst/>
                    </a:prstGeom>
                    <a:noFill/>
                    <a:ln>
                      <a:noFill/>
                    </a:ln>
                  </pic:spPr>
                </pic:pic>
              </a:graphicData>
            </a:graphic>
          </wp:inline>
        </w:drawing>
      </w:r>
    </w:p>
    <w:p w14:paraId="41AC964A" w14:textId="03F47523" w:rsidR="008A478E" w:rsidRDefault="008A478E" w:rsidP="00204C13">
      <w:pPr>
        <w:pStyle w:val="Caption"/>
      </w:pPr>
      <w:bookmarkStart w:id="89" w:name="_Ref55923126"/>
      <w:bookmarkStart w:id="90" w:name="_Toc58975229"/>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19</w:t>
      </w:r>
      <w:r w:rsidR="00DE3B90" w:rsidRPr="00F07DEB">
        <w:rPr>
          <w:noProof/>
        </w:rPr>
        <w:fldChar w:fldCharType="end"/>
      </w:r>
      <w:bookmarkEnd w:id="89"/>
      <w:r w:rsidRPr="00F07DEB">
        <w:t xml:space="preserve">: The </w:t>
      </w:r>
      <w:r w:rsidR="0062000A" w:rsidRPr="00F07DEB">
        <w:t>full-scale</w:t>
      </w:r>
      <w:r w:rsidR="00CD47B5" w:rsidRPr="00F07DEB">
        <w:t xml:space="preserve"> field</w:t>
      </w:r>
      <w:r w:rsidR="005C1153" w:rsidRPr="00F07DEB">
        <w:t xml:space="preserve"> experiment on (a) day 0 and (b) day 12</w:t>
      </w:r>
      <w:bookmarkEnd w:id="90"/>
    </w:p>
    <w:p w14:paraId="32A6C1D2" w14:textId="77777777" w:rsidR="00E32F87" w:rsidRPr="00E32F87" w:rsidRDefault="00E32F87" w:rsidP="00E32F87"/>
    <w:p w14:paraId="5037DB0D" w14:textId="14901BDA" w:rsidR="005A76AD" w:rsidRDefault="008A478E" w:rsidP="008834FB">
      <w:pPr>
        <w:spacing w:line="480" w:lineRule="auto"/>
        <w:ind w:firstLine="720"/>
        <w:rPr>
          <w:rFonts w:ascii="Times New Roman" w:hAnsi="Times New Roman" w:cs="Times New Roman"/>
          <w:noProof/>
          <w:sz w:val="24"/>
          <w:szCs w:val="24"/>
        </w:rPr>
      </w:pPr>
      <w:r w:rsidRPr="00F07DEB">
        <w:rPr>
          <w:rFonts w:ascii="Times New Roman" w:hAnsi="Times New Roman" w:cs="Times New Roman"/>
          <w:sz w:val="24"/>
          <w:szCs w:val="24"/>
        </w:rPr>
        <w:lastRenderedPageBreak/>
        <w:t xml:space="preserve">The cumulative emergence curves for groundwater-irrigated corn (CG) and mine water-irrigated corn (CM) are plotted </w:t>
      </w:r>
      <w:r w:rsidRPr="008834FB">
        <w:rPr>
          <w:rFonts w:ascii="Times New Roman" w:hAnsi="Times New Roman" w:cs="Times New Roman"/>
          <w:sz w:val="24"/>
          <w:szCs w:val="24"/>
        </w:rPr>
        <w:t>together in</w:t>
      </w:r>
      <w:r w:rsidR="00455150" w:rsidRPr="008834FB">
        <w:rPr>
          <w:rFonts w:ascii="Times New Roman" w:hAnsi="Times New Roman" w:cs="Times New Roman"/>
          <w:sz w:val="24"/>
          <w:szCs w:val="24"/>
        </w:rPr>
        <w:t xml:space="preserve"> </w:t>
      </w:r>
      <w:r w:rsidR="00455150" w:rsidRPr="008834FB">
        <w:rPr>
          <w:rFonts w:ascii="Times New Roman" w:hAnsi="Times New Roman" w:cs="Times New Roman"/>
          <w:sz w:val="24"/>
          <w:szCs w:val="24"/>
        </w:rPr>
        <w:fldChar w:fldCharType="begin"/>
      </w:r>
      <w:r w:rsidR="00455150" w:rsidRPr="008834FB">
        <w:rPr>
          <w:rFonts w:ascii="Times New Roman" w:hAnsi="Times New Roman" w:cs="Times New Roman"/>
          <w:sz w:val="24"/>
          <w:szCs w:val="24"/>
        </w:rPr>
        <w:instrText xml:space="preserve"> REF _Ref55927535 \h  \* MERGEFORMAT </w:instrText>
      </w:r>
      <w:r w:rsidR="00455150" w:rsidRPr="008834FB">
        <w:rPr>
          <w:rFonts w:ascii="Times New Roman" w:hAnsi="Times New Roman" w:cs="Times New Roman"/>
          <w:sz w:val="24"/>
          <w:szCs w:val="24"/>
        </w:rPr>
      </w:r>
      <w:r w:rsidR="00455150" w:rsidRPr="008834FB">
        <w:rPr>
          <w:rFonts w:ascii="Times New Roman" w:hAnsi="Times New Roman" w:cs="Times New Roman"/>
          <w:sz w:val="24"/>
          <w:szCs w:val="24"/>
        </w:rPr>
        <w:fldChar w:fldCharType="separate"/>
      </w:r>
      <w:r w:rsidR="00E179CA" w:rsidRPr="008834FB">
        <w:rPr>
          <w:rFonts w:ascii="Times New Roman" w:hAnsi="Times New Roman" w:cs="Times New Roman"/>
          <w:noProof/>
          <w:sz w:val="24"/>
          <w:szCs w:val="24"/>
        </w:rPr>
        <w:t>Figure 20</w:t>
      </w:r>
      <w:r w:rsidR="00455150" w:rsidRPr="008834FB">
        <w:rPr>
          <w:rFonts w:ascii="Times New Roman" w:hAnsi="Times New Roman" w:cs="Times New Roman"/>
          <w:sz w:val="24"/>
          <w:szCs w:val="24"/>
        </w:rPr>
        <w:fldChar w:fldCharType="end"/>
      </w:r>
      <w:r w:rsidRPr="008834FB">
        <w:rPr>
          <w:rFonts w:ascii="Times New Roman" w:hAnsi="Times New Roman" w:cs="Times New Roman"/>
          <w:sz w:val="24"/>
          <w:szCs w:val="24"/>
        </w:rPr>
        <w:t>. Th</w:t>
      </w:r>
      <w:r w:rsidRPr="00641A81">
        <w:rPr>
          <w:rFonts w:ascii="Times New Roman" w:hAnsi="Times New Roman" w:cs="Times New Roman"/>
          <w:sz w:val="24"/>
          <w:szCs w:val="24"/>
        </w:rPr>
        <w:t>e</w:t>
      </w:r>
      <w:r w:rsidRPr="00CE3D29">
        <w:rPr>
          <w:rFonts w:ascii="Times New Roman" w:hAnsi="Times New Roman" w:cs="Times New Roman"/>
          <w:sz w:val="24"/>
          <w:szCs w:val="24"/>
        </w:rPr>
        <w:t xml:space="preserve"> first</w:t>
      </w:r>
      <w:r w:rsidRPr="00F07DEB">
        <w:rPr>
          <w:rFonts w:ascii="Times New Roman" w:hAnsi="Times New Roman" w:cs="Times New Roman"/>
          <w:sz w:val="24"/>
          <w:szCs w:val="24"/>
        </w:rPr>
        <w:t xml:space="preserve"> CG and CM sprouts appeared </w:t>
      </w:r>
      <w:r w:rsidR="00455150" w:rsidRPr="00F07DEB">
        <w:rPr>
          <w:rFonts w:ascii="Times New Roman" w:hAnsi="Times New Roman" w:cs="Times New Roman"/>
          <w:sz w:val="24"/>
          <w:szCs w:val="24"/>
        </w:rPr>
        <w:t>five</w:t>
      </w:r>
      <w:r w:rsidRPr="00F07DEB">
        <w:rPr>
          <w:rFonts w:ascii="Times New Roman" w:hAnsi="Times New Roman" w:cs="Times New Roman"/>
          <w:sz w:val="24"/>
          <w:szCs w:val="24"/>
        </w:rPr>
        <w:t xml:space="preserve"> days after planting. CG and CM </w:t>
      </w:r>
      <w:r w:rsidR="00455150" w:rsidRPr="00F07DEB">
        <w:rPr>
          <w:rFonts w:ascii="Times New Roman" w:hAnsi="Times New Roman" w:cs="Times New Roman"/>
          <w:sz w:val="24"/>
          <w:szCs w:val="24"/>
        </w:rPr>
        <w:t>exhibited similar gains between days four and five, but groundwater-irrigated plants emerged at a slower pace than the mine water-irrigated seedlings in the following days</w:t>
      </w:r>
      <w:r w:rsidRPr="00F07DEB">
        <w:rPr>
          <w:rFonts w:ascii="Times New Roman" w:hAnsi="Times New Roman" w:cs="Times New Roman"/>
          <w:sz w:val="24"/>
          <w:szCs w:val="24"/>
        </w:rPr>
        <w:t xml:space="preserve">. </w:t>
      </w:r>
      <w:r w:rsidR="00455150" w:rsidRPr="00F07DEB">
        <w:rPr>
          <w:rFonts w:ascii="Times New Roman" w:hAnsi="Times New Roman" w:cs="Times New Roman"/>
          <w:sz w:val="24"/>
          <w:szCs w:val="24"/>
        </w:rPr>
        <w:t>Every CM plant sprouted by day seven, whereas CG seedlings continued to emerge incrementally until day eleven. 94% of CG seeds and 100</w:t>
      </w:r>
      <w:r w:rsidRPr="00F07DEB">
        <w:rPr>
          <w:rFonts w:ascii="Times New Roman" w:hAnsi="Times New Roman" w:cs="Times New Roman"/>
          <w:sz w:val="24"/>
          <w:szCs w:val="24"/>
        </w:rPr>
        <w:t xml:space="preserve">% of CM seeds sprouted over the course of the experiment, and at least one seed sprouted in every CG and CM pot. </w:t>
      </w:r>
    </w:p>
    <w:p w14:paraId="0559A3C3" w14:textId="26653299" w:rsidR="00466E4C" w:rsidRPr="00F07DEB" w:rsidRDefault="008A478E" w:rsidP="00CE3D29">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The cumulative emergence curves for groundwater-irrigated sorghum (SG) and mine water-irrigated sorghum (SM) are plotted together in </w:t>
      </w:r>
      <w:r w:rsidR="00466E4C" w:rsidRPr="00F07DEB">
        <w:rPr>
          <w:rFonts w:ascii="Times New Roman" w:hAnsi="Times New Roman" w:cs="Times New Roman"/>
          <w:sz w:val="24"/>
          <w:szCs w:val="24"/>
        </w:rPr>
        <w:fldChar w:fldCharType="begin"/>
      </w:r>
      <w:r w:rsidR="00466E4C" w:rsidRPr="00F07DEB">
        <w:rPr>
          <w:rFonts w:ascii="Times New Roman" w:hAnsi="Times New Roman" w:cs="Times New Roman"/>
          <w:sz w:val="24"/>
          <w:szCs w:val="24"/>
        </w:rPr>
        <w:instrText xml:space="preserve"> REF _Ref55928370 \h  \* MERGEFORMAT </w:instrText>
      </w:r>
      <w:r w:rsidR="00466E4C" w:rsidRPr="00F07DEB">
        <w:rPr>
          <w:rFonts w:ascii="Times New Roman" w:hAnsi="Times New Roman" w:cs="Times New Roman"/>
          <w:sz w:val="24"/>
          <w:szCs w:val="24"/>
        </w:rPr>
      </w:r>
      <w:r w:rsidR="00466E4C"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21</w:t>
      </w:r>
      <w:r w:rsidR="00466E4C" w:rsidRPr="00F07DEB">
        <w:rPr>
          <w:rFonts w:ascii="Times New Roman" w:hAnsi="Times New Roman" w:cs="Times New Roman"/>
          <w:sz w:val="24"/>
          <w:szCs w:val="24"/>
        </w:rPr>
        <w:fldChar w:fldCharType="end"/>
      </w:r>
      <w:r w:rsidRPr="00F07DEB">
        <w:rPr>
          <w:rFonts w:ascii="Times New Roman" w:hAnsi="Times New Roman" w:cs="Times New Roman"/>
          <w:sz w:val="24"/>
          <w:szCs w:val="24"/>
        </w:rPr>
        <w:t>. The first SG</w:t>
      </w:r>
      <w:r w:rsidR="00466E4C" w:rsidRPr="00F07DEB">
        <w:rPr>
          <w:rFonts w:ascii="Times New Roman" w:hAnsi="Times New Roman" w:cs="Times New Roman"/>
          <w:sz w:val="24"/>
          <w:szCs w:val="24"/>
        </w:rPr>
        <w:t xml:space="preserve"> and SM</w:t>
      </w:r>
      <w:r w:rsidRPr="00F07DEB">
        <w:rPr>
          <w:rFonts w:ascii="Times New Roman" w:hAnsi="Times New Roman" w:cs="Times New Roman"/>
          <w:sz w:val="24"/>
          <w:szCs w:val="24"/>
        </w:rPr>
        <w:t xml:space="preserve"> sprout</w:t>
      </w:r>
      <w:r w:rsidR="00466E4C" w:rsidRPr="00F07DEB">
        <w:rPr>
          <w:rFonts w:ascii="Times New Roman" w:hAnsi="Times New Roman" w:cs="Times New Roman"/>
          <w:sz w:val="24"/>
          <w:szCs w:val="24"/>
        </w:rPr>
        <w:t>s</w:t>
      </w:r>
      <w:r w:rsidRPr="00F07DEB">
        <w:rPr>
          <w:rFonts w:ascii="Times New Roman" w:hAnsi="Times New Roman" w:cs="Times New Roman"/>
          <w:sz w:val="24"/>
          <w:szCs w:val="24"/>
        </w:rPr>
        <w:t xml:space="preserve"> appeared four days after planting</w:t>
      </w:r>
      <w:r w:rsidR="00466E4C" w:rsidRPr="00F07DEB">
        <w:rPr>
          <w:rFonts w:ascii="Times New Roman" w:hAnsi="Times New Roman" w:cs="Times New Roman"/>
          <w:sz w:val="24"/>
          <w:szCs w:val="24"/>
        </w:rPr>
        <w:t>, and</w:t>
      </w:r>
      <w:r w:rsidRPr="00F07DEB">
        <w:rPr>
          <w:rFonts w:ascii="Times New Roman" w:hAnsi="Times New Roman" w:cs="Times New Roman"/>
          <w:sz w:val="24"/>
          <w:szCs w:val="24"/>
        </w:rPr>
        <w:t xml:space="preserve"> SG and SM emergence rates</w:t>
      </w:r>
      <w:r w:rsidR="00466E4C" w:rsidRPr="00F07DEB">
        <w:rPr>
          <w:rFonts w:ascii="Times New Roman" w:hAnsi="Times New Roman" w:cs="Times New Roman"/>
          <w:sz w:val="24"/>
          <w:szCs w:val="24"/>
        </w:rPr>
        <w:t xml:space="preserve"> were identical</w:t>
      </w:r>
      <w:r w:rsidRPr="00F07DEB">
        <w:rPr>
          <w:rFonts w:ascii="Times New Roman" w:hAnsi="Times New Roman" w:cs="Times New Roman"/>
          <w:sz w:val="24"/>
          <w:szCs w:val="24"/>
        </w:rPr>
        <w:t xml:space="preserve"> </w:t>
      </w:r>
      <w:r w:rsidR="00466E4C" w:rsidRPr="00F07DEB">
        <w:rPr>
          <w:rFonts w:ascii="Times New Roman" w:hAnsi="Times New Roman" w:cs="Times New Roman"/>
          <w:sz w:val="24"/>
          <w:szCs w:val="24"/>
        </w:rPr>
        <w:t xml:space="preserve">between days five and eleven. </w:t>
      </w:r>
      <w:r w:rsidR="005A76AD">
        <w:rPr>
          <w:rFonts w:ascii="Times New Roman" w:hAnsi="Times New Roman" w:cs="Times New Roman"/>
          <w:sz w:val="24"/>
          <w:szCs w:val="24"/>
        </w:rPr>
        <w:t>Although</w:t>
      </w:r>
      <w:r w:rsidRPr="00F07DEB">
        <w:rPr>
          <w:rFonts w:ascii="Times New Roman" w:hAnsi="Times New Roman" w:cs="Times New Roman"/>
          <w:sz w:val="24"/>
          <w:szCs w:val="24"/>
        </w:rPr>
        <w:t xml:space="preserve"> </w:t>
      </w:r>
      <w:r w:rsidR="00466E4C" w:rsidRPr="00F07DEB">
        <w:rPr>
          <w:rFonts w:ascii="Times New Roman" w:hAnsi="Times New Roman" w:cs="Times New Roman"/>
          <w:sz w:val="24"/>
          <w:szCs w:val="24"/>
        </w:rPr>
        <w:t xml:space="preserve">during the proof-of-concept study initial </w:t>
      </w:r>
      <w:r w:rsidRPr="00F07DEB">
        <w:rPr>
          <w:rFonts w:ascii="Times New Roman" w:hAnsi="Times New Roman" w:cs="Times New Roman"/>
          <w:sz w:val="24"/>
          <w:szCs w:val="24"/>
        </w:rPr>
        <w:t>SM emergence</w:t>
      </w:r>
      <w:r w:rsidR="00466E4C" w:rsidRPr="00F07DEB">
        <w:rPr>
          <w:rFonts w:ascii="Times New Roman" w:hAnsi="Times New Roman" w:cs="Times New Roman"/>
          <w:sz w:val="24"/>
          <w:szCs w:val="24"/>
        </w:rPr>
        <w:t xml:space="preserve"> rates appeared to lag behind SG, the opposite was true during this experiment</w:t>
      </w:r>
      <w:r w:rsidRPr="00F07DEB">
        <w:rPr>
          <w:rFonts w:ascii="Times New Roman" w:hAnsi="Times New Roman" w:cs="Times New Roman"/>
          <w:sz w:val="24"/>
          <w:szCs w:val="24"/>
        </w:rPr>
        <w:t>. Similar to corn, every SG and SM pot contained</w:t>
      </w:r>
      <w:r w:rsidR="00466E4C" w:rsidRPr="00F07DEB">
        <w:rPr>
          <w:rFonts w:ascii="Times New Roman" w:hAnsi="Times New Roman" w:cs="Times New Roman"/>
          <w:sz w:val="24"/>
          <w:szCs w:val="24"/>
        </w:rPr>
        <w:t xml:space="preserve"> at least one seedling by day 11</w:t>
      </w:r>
      <w:r w:rsidRPr="00F07DEB">
        <w:rPr>
          <w:rFonts w:ascii="Times New Roman" w:hAnsi="Times New Roman" w:cs="Times New Roman"/>
          <w:sz w:val="24"/>
          <w:szCs w:val="24"/>
        </w:rPr>
        <w:t xml:space="preserve">. </w:t>
      </w:r>
    </w:p>
    <w:p w14:paraId="23718FE4" w14:textId="5AEC106F" w:rsidR="00466E4C" w:rsidRPr="00F07DEB" w:rsidRDefault="00FF1A31" w:rsidP="00466E4C">
      <w:pPr>
        <w:spacing w:line="240" w:lineRule="auto"/>
        <w:rPr>
          <w:rFonts w:ascii="Times New Roman" w:hAnsi="Times New Roman" w:cs="Times New Roman"/>
          <w:sz w:val="24"/>
          <w:szCs w:val="24"/>
        </w:rPr>
      </w:pPr>
      <w:r w:rsidRPr="00F07DEB">
        <w:rPr>
          <w:rFonts w:ascii="Times New Roman" w:hAnsi="Times New Roman" w:cs="Times New Roman"/>
          <w:noProof/>
          <w:lang w:eastAsia="en-US"/>
        </w:rPr>
        <w:drawing>
          <wp:inline distT="0" distB="0" distL="0" distR="0" wp14:anchorId="50F91901" wp14:editId="64812DF2">
            <wp:extent cx="5486400" cy="27432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bookmarkStart w:id="91" w:name="_Ref55927535"/>
    </w:p>
    <w:p w14:paraId="48606C82" w14:textId="0895ECD3" w:rsidR="00466E4C" w:rsidRPr="00F07DEB" w:rsidRDefault="00FF1A31" w:rsidP="00466E4C">
      <w:pPr>
        <w:spacing w:line="240" w:lineRule="auto"/>
        <w:ind w:firstLine="720"/>
        <w:rPr>
          <w:rFonts w:ascii="Times New Roman" w:hAnsi="Times New Roman" w:cs="Times New Roman"/>
          <w:b/>
          <w:noProof/>
          <w:sz w:val="20"/>
          <w:szCs w:val="20"/>
        </w:rPr>
      </w:pPr>
      <w:bookmarkStart w:id="92" w:name="_Toc58975230"/>
      <w:r w:rsidRPr="00F07DEB">
        <w:rPr>
          <w:rFonts w:ascii="Times New Roman" w:hAnsi="Times New Roman" w:cs="Times New Roman"/>
          <w:b/>
          <w:sz w:val="20"/>
          <w:szCs w:val="20"/>
        </w:rPr>
        <w:t xml:space="preserve">Figure </w:t>
      </w:r>
      <w:r w:rsidRPr="00F07DEB">
        <w:rPr>
          <w:rFonts w:ascii="Times New Roman" w:hAnsi="Times New Roman" w:cs="Times New Roman"/>
          <w:b/>
          <w:sz w:val="20"/>
          <w:szCs w:val="20"/>
        </w:rPr>
        <w:fldChar w:fldCharType="begin"/>
      </w:r>
      <w:r w:rsidRPr="00F07DEB">
        <w:rPr>
          <w:rFonts w:ascii="Times New Roman" w:hAnsi="Times New Roman" w:cs="Times New Roman"/>
          <w:b/>
          <w:sz w:val="20"/>
          <w:szCs w:val="20"/>
        </w:rPr>
        <w:instrText xml:space="preserve"> SEQ Figure \* ARABIC </w:instrText>
      </w:r>
      <w:r w:rsidRPr="00F07DEB">
        <w:rPr>
          <w:rFonts w:ascii="Times New Roman" w:hAnsi="Times New Roman" w:cs="Times New Roman"/>
          <w:b/>
          <w:sz w:val="20"/>
          <w:szCs w:val="20"/>
        </w:rPr>
        <w:fldChar w:fldCharType="separate"/>
      </w:r>
      <w:r w:rsidR="00E179CA">
        <w:rPr>
          <w:rFonts w:ascii="Times New Roman" w:hAnsi="Times New Roman" w:cs="Times New Roman"/>
          <w:b/>
          <w:noProof/>
          <w:sz w:val="20"/>
          <w:szCs w:val="20"/>
        </w:rPr>
        <w:t>20</w:t>
      </w:r>
      <w:r w:rsidRPr="00F07DEB">
        <w:rPr>
          <w:rFonts w:ascii="Times New Roman" w:hAnsi="Times New Roman" w:cs="Times New Roman"/>
          <w:b/>
          <w:sz w:val="20"/>
          <w:szCs w:val="20"/>
        </w:rPr>
        <w:fldChar w:fldCharType="end"/>
      </w:r>
      <w:bookmarkEnd w:id="91"/>
      <w:r w:rsidRPr="00F07DEB">
        <w:rPr>
          <w:rFonts w:ascii="Times New Roman" w:hAnsi="Times New Roman" w:cs="Times New Roman"/>
          <w:b/>
          <w:noProof/>
          <w:sz w:val="20"/>
          <w:szCs w:val="20"/>
        </w:rPr>
        <w:t>: Cumulative corn emergence during groundwater and mine water irrigation</w:t>
      </w:r>
      <w:bookmarkEnd w:id="92"/>
    </w:p>
    <w:p w14:paraId="6FC1AB87" w14:textId="362F9317" w:rsidR="00FF1A31" w:rsidRPr="00F07DEB" w:rsidRDefault="00FF1A31" w:rsidP="00466E4C">
      <w:pPr>
        <w:spacing w:line="240" w:lineRule="auto"/>
        <w:rPr>
          <w:rFonts w:ascii="Times New Roman" w:hAnsi="Times New Roman" w:cs="Times New Roman"/>
        </w:rPr>
      </w:pPr>
      <w:r w:rsidRPr="00F07DEB">
        <w:rPr>
          <w:rFonts w:ascii="Times New Roman" w:hAnsi="Times New Roman" w:cs="Times New Roman"/>
          <w:noProof/>
          <w:lang w:eastAsia="en-US"/>
        </w:rPr>
        <w:lastRenderedPageBreak/>
        <w:drawing>
          <wp:inline distT="0" distB="0" distL="0" distR="0" wp14:anchorId="0BCD96E6" wp14:editId="35973272">
            <wp:extent cx="5486400" cy="27432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F67B51D" w14:textId="06621796" w:rsidR="00FF1A31" w:rsidRDefault="00FF1A31" w:rsidP="00204C13">
      <w:pPr>
        <w:pStyle w:val="Caption"/>
        <w:rPr>
          <w:noProof/>
        </w:rPr>
      </w:pPr>
      <w:bookmarkStart w:id="93" w:name="_Ref55928370"/>
      <w:bookmarkStart w:id="94" w:name="_Toc58975231"/>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21</w:t>
      </w:r>
      <w:r w:rsidR="00DE3B90" w:rsidRPr="00F07DEB">
        <w:rPr>
          <w:noProof/>
        </w:rPr>
        <w:fldChar w:fldCharType="end"/>
      </w:r>
      <w:bookmarkEnd w:id="93"/>
      <w:r w:rsidRPr="00F07DEB">
        <w:rPr>
          <w:noProof/>
        </w:rPr>
        <w:t>: Cumulative sorghum emergence during groundwater and mine water irrigation</w:t>
      </w:r>
      <w:bookmarkEnd w:id="94"/>
    </w:p>
    <w:p w14:paraId="25360572" w14:textId="77777777" w:rsidR="00E32F87" w:rsidRPr="00E32F87" w:rsidRDefault="00E32F87" w:rsidP="00E32F87"/>
    <w:p w14:paraId="29F455A3" w14:textId="38515A4F" w:rsidR="007639C3" w:rsidRPr="00F07DEB" w:rsidRDefault="008A478E" w:rsidP="007639C3">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The survival curves for CG and CM plotted in </w:t>
      </w:r>
      <w:r w:rsidR="00646FE5" w:rsidRPr="00F07DEB">
        <w:rPr>
          <w:rFonts w:ascii="Times New Roman" w:hAnsi="Times New Roman" w:cs="Times New Roman"/>
          <w:sz w:val="24"/>
          <w:szCs w:val="24"/>
        </w:rPr>
        <w:fldChar w:fldCharType="begin"/>
      </w:r>
      <w:r w:rsidR="00646FE5" w:rsidRPr="00F07DEB">
        <w:rPr>
          <w:rFonts w:ascii="Times New Roman" w:hAnsi="Times New Roman" w:cs="Times New Roman"/>
          <w:sz w:val="24"/>
          <w:szCs w:val="24"/>
        </w:rPr>
        <w:instrText xml:space="preserve"> REF _Ref55929717 \h  \* MERGEFORMAT </w:instrText>
      </w:r>
      <w:r w:rsidR="00646FE5" w:rsidRPr="00F07DEB">
        <w:rPr>
          <w:rFonts w:ascii="Times New Roman" w:hAnsi="Times New Roman" w:cs="Times New Roman"/>
          <w:sz w:val="24"/>
          <w:szCs w:val="24"/>
        </w:rPr>
      </w:r>
      <w:r w:rsidR="00646FE5"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22</w:t>
      </w:r>
      <w:r w:rsidR="00646FE5" w:rsidRPr="00F07DEB">
        <w:rPr>
          <w:rFonts w:ascii="Times New Roman" w:hAnsi="Times New Roman" w:cs="Times New Roman"/>
          <w:sz w:val="24"/>
          <w:szCs w:val="24"/>
        </w:rPr>
        <w:fldChar w:fldCharType="end"/>
      </w:r>
      <w:r w:rsidR="00646FE5" w:rsidRPr="00F07DEB">
        <w:rPr>
          <w:rFonts w:ascii="Times New Roman" w:hAnsi="Times New Roman" w:cs="Times New Roman"/>
          <w:sz w:val="24"/>
          <w:szCs w:val="24"/>
        </w:rPr>
        <w:t xml:space="preserve"> </w:t>
      </w:r>
      <w:r w:rsidRPr="00F07DEB">
        <w:rPr>
          <w:rFonts w:ascii="Times New Roman" w:hAnsi="Times New Roman" w:cs="Times New Roman"/>
          <w:sz w:val="24"/>
          <w:szCs w:val="24"/>
        </w:rPr>
        <w:t>are not significantly different at an alpha level of 0.05 (</w:t>
      </w:r>
      <w:r w:rsidRPr="00F07DEB">
        <w:rPr>
          <w:rFonts w:ascii="Times New Roman" w:hAnsi="Times New Roman" w:cs="Times New Roman"/>
          <w:i/>
          <w:sz w:val="24"/>
          <w:szCs w:val="24"/>
        </w:rPr>
        <w:t xml:space="preserve">p </w:t>
      </w:r>
      <w:r w:rsidR="00646FE5" w:rsidRPr="00F07DEB">
        <w:rPr>
          <w:rFonts w:ascii="Times New Roman" w:hAnsi="Times New Roman" w:cs="Times New Roman"/>
          <w:sz w:val="24"/>
          <w:szCs w:val="24"/>
        </w:rPr>
        <w:t>= 0.478</w:t>
      </w:r>
      <w:r w:rsidRPr="00F07DEB">
        <w:rPr>
          <w:rFonts w:ascii="Times New Roman" w:hAnsi="Times New Roman" w:cs="Times New Roman"/>
          <w:sz w:val="24"/>
          <w:szCs w:val="24"/>
        </w:rPr>
        <w:t xml:space="preserve">). The survival curves for SG and SM plotted in </w:t>
      </w:r>
      <w:r w:rsidR="00646FE5" w:rsidRPr="00F07DEB">
        <w:rPr>
          <w:rFonts w:ascii="Times New Roman" w:hAnsi="Times New Roman" w:cs="Times New Roman"/>
          <w:sz w:val="24"/>
          <w:szCs w:val="24"/>
        </w:rPr>
        <w:fldChar w:fldCharType="begin"/>
      </w:r>
      <w:r w:rsidR="00646FE5" w:rsidRPr="00F07DEB">
        <w:rPr>
          <w:rFonts w:ascii="Times New Roman" w:hAnsi="Times New Roman" w:cs="Times New Roman"/>
          <w:sz w:val="24"/>
          <w:szCs w:val="24"/>
        </w:rPr>
        <w:instrText xml:space="preserve"> REF _Ref55929741 \h  \* MERGEFORMAT </w:instrText>
      </w:r>
      <w:r w:rsidR="00646FE5" w:rsidRPr="00F07DEB">
        <w:rPr>
          <w:rFonts w:ascii="Times New Roman" w:hAnsi="Times New Roman" w:cs="Times New Roman"/>
          <w:sz w:val="24"/>
          <w:szCs w:val="24"/>
        </w:rPr>
      </w:r>
      <w:r w:rsidR="00646FE5"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23</w:t>
      </w:r>
      <w:r w:rsidR="00646FE5" w:rsidRPr="00F07DEB">
        <w:rPr>
          <w:rFonts w:ascii="Times New Roman" w:hAnsi="Times New Roman" w:cs="Times New Roman"/>
          <w:sz w:val="24"/>
          <w:szCs w:val="24"/>
        </w:rPr>
        <w:fldChar w:fldCharType="end"/>
      </w:r>
      <w:r w:rsidR="00646FE5" w:rsidRPr="00F07DEB">
        <w:rPr>
          <w:rFonts w:ascii="Times New Roman" w:hAnsi="Times New Roman" w:cs="Times New Roman"/>
          <w:sz w:val="24"/>
          <w:szCs w:val="24"/>
        </w:rPr>
        <w:t xml:space="preserve"> </w:t>
      </w:r>
      <w:r w:rsidRPr="00F07DEB">
        <w:rPr>
          <w:rFonts w:ascii="Times New Roman" w:hAnsi="Times New Roman" w:cs="Times New Roman"/>
          <w:sz w:val="24"/>
          <w:szCs w:val="24"/>
        </w:rPr>
        <w:t>are not significantly different at an alpha level of 0.05 (</w:t>
      </w:r>
      <w:r w:rsidRPr="00F07DEB">
        <w:rPr>
          <w:rFonts w:ascii="Times New Roman" w:hAnsi="Times New Roman" w:cs="Times New Roman"/>
          <w:i/>
          <w:sz w:val="24"/>
          <w:szCs w:val="24"/>
        </w:rPr>
        <w:t>p</w:t>
      </w:r>
      <w:r w:rsidRPr="00F07DEB">
        <w:rPr>
          <w:rFonts w:ascii="Times New Roman" w:hAnsi="Times New Roman" w:cs="Times New Roman"/>
          <w:sz w:val="24"/>
          <w:szCs w:val="24"/>
        </w:rPr>
        <w:t xml:space="preserve"> = 0.</w:t>
      </w:r>
      <w:r w:rsidR="00646FE5" w:rsidRPr="00F07DEB">
        <w:rPr>
          <w:rFonts w:ascii="Times New Roman" w:hAnsi="Times New Roman" w:cs="Times New Roman"/>
          <w:sz w:val="24"/>
          <w:szCs w:val="24"/>
        </w:rPr>
        <w:t>455</w:t>
      </w:r>
      <w:r w:rsidRPr="00F07DEB">
        <w:rPr>
          <w:rFonts w:ascii="Times New Roman" w:hAnsi="Times New Roman" w:cs="Times New Roman"/>
          <w:sz w:val="24"/>
          <w:szCs w:val="24"/>
        </w:rPr>
        <w:t xml:space="preserve">). </w:t>
      </w:r>
    </w:p>
    <w:p w14:paraId="5CC5C4DA" w14:textId="2971D93B" w:rsidR="007639C3" w:rsidRPr="00F07DEB" w:rsidRDefault="0069614F" w:rsidP="007639C3">
      <w:pPr>
        <w:spacing w:line="240" w:lineRule="auto"/>
        <w:jc w:val="center"/>
        <w:rPr>
          <w:rFonts w:ascii="Times New Roman" w:hAnsi="Times New Roman" w:cs="Times New Roman"/>
          <w:sz w:val="24"/>
          <w:szCs w:val="24"/>
        </w:rPr>
      </w:pPr>
      <w:r w:rsidRPr="00F07DEB">
        <w:rPr>
          <w:rFonts w:ascii="Times New Roman" w:hAnsi="Times New Roman" w:cs="Times New Roman"/>
          <w:noProof/>
          <w:lang w:eastAsia="en-US"/>
        </w:rPr>
        <w:drawing>
          <wp:inline distT="0" distB="0" distL="0" distR="0" wp14:anchorId="0FA77BC9" wp14:editId="751FEB40">
            <wp:extent cx="4588388" cy="2801095"/>
            <wp:effectExtent l="0" t="0" r="3175" b="18415"/>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FB1FBE7" w14:textId="23A28922" w:rsidR="007639C3" w:rsidRPr="00F07DEB" w:rsidRDefault="007639C3" w:rsidP="00204C13">
      <w:pPr>
        <w:pStyle w:val="Caption"/>
      </w:pPr>
      <w:bookmarkStart w:id="95" w:name="_Ref55929717"/>
      <w:bookmarkStart w:id="96" w:name="_Toc58975232"/>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22</w:t>
      </w:r>
      <w:r w:rsidR="00DE3B90" w:rsidRPr="00F07DEB">
        <w:rPr>
          <w:noProof/>
        </w:rPr>
        <w:fldChar w:fldCharType="end"/>
      </w:r>
      <w:bookmarkEnd w:id="95"/>
      <w:r w:rsidRPr="00F07DEB">
        <w:t>: Corn survival curves during groundwater and mine water irrigation</w:t>
      </w:r>
      <w:bookmarkEnd w:id="96"/>
    </w:p>
    <w:p w14:paraId="38175CD5" w14:textId="77777777" w:rsidR="007639C3" w:rsidRPr="00F07DEB" w:rsidRDefault="007639C3" w:rsidP="007639C3">
      <w:pPr>
        <w:spacing w:line="480" w:lineRule="auto"/>
        <w:rPr>
          <w:rFonts w:ascii="Times New Roman" w:hAnsi="Times New Roman" w:cs="Times New Roman"/>
          <w:sz w:val="24"/>
          <w:szCs w:val="24"/>
        </w:rPr>
      </w:pPr>
    </w:p>
    <w:p w14:paraId="52C03751" w14:textId="65BF2290" w:rsidR="007639C3" w:rsidRPr="00F07DEB" w:rsidRDefault="0069614F" w:rsidP="007639C3">
      <w:pPr>
        <w:keepNext/>
        <w:spacing w:line="240" w:lineRule="auto"/>
        <w:jc w:val="center"/>
        <w:rPr>
          <w:rFonts w:ascii="Times New Roman" w:hAnsi="Times New Roman" w:cs="Times New Roman"/>
        </w:rPr>
      </w:pPr>
      <w:r w:rsidRPr="00F07DEB">
        <w:rPr>
          <w:rFonts w:ascii="Times New Roman" w:hAnsi="Times New Roman" w:cs="Times New Roman"/>
          <w:noProof/>
          <w:lang w:eastAsia="en-US"/>
        </w:rPr>
        <w:lastRenderedPageBreak/>
        <w:drawing>
          <wp:inline distT="0" distB="0" distL="0" distR="0" wp14:anchorId="709DD2CA" wp14:editId="43FA7823">
            <wp:extent cx="4588387" cy="2775155"/>
            <wp:effectExtent l="0" t="0" r="3175" b="635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316FD10" w14:textId="6D7DCB01" w:rsidR="007639C3" w:rsidRDefault="007639C3" w:rsidP="00204C13">
      <w:pPr>
        <w:pStyle w:val="Caption"/>
      </w:pPr>
      <w:bookmarkStart w:id="97" w:name="_Ref55929741"/>
      <w:bookmarkStart w:id="98" w:name="_Toc58975233"/>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23</w:t>
      </w:r>
      <w:r w:rsidR="00DE3B90" w:rsidRPr="00F07DEB">
        <w:rPr>
          <w:noProof/>
        </w:rPr>
        <w:fldChar w:fldCharType="end"/>
      </w:r>
      <w:bookmarkEnd w:id="97"/>
      <w:r w:rsidRPr="00F07DEB">
        <w:t xml:space="preserve">: </w:t>
      </w:r>
      <w:r w:rsidR="00EB5085" w:rsidRPr="00F07DEB">
        <w:t>Sorghum</w:t>
      </w:r>
      <w:r w:rsidRPr="00F07DEB">
        <w:t xml:space="preserve"> survival curves during groundwater and mine water irrigation</w:t>
      </w:r>
      <w:bookmarkEnd w:id="98"/>
    </w:p>
    <w:p w14:paraId="247BA9C7" w14:textId="77777777" w:rsidR="00E32F87" w:rsidRPr="00E32F87" w:rsidRDefault="00E32F87" w:rsidP="00E32F87"/>
    <w:p w14:paraId="166F32EE" w14:textId="2D332986" w:rsidR="00646FE5" w:rsidRPr="00F07DEB" w:rsidRDefault="00646FE5" w:rsidP="00646FE5">
      <w:pPr>
        <w:pStyle w:val="Heading3"/>
        <w:spacing w:line="480" w:lineRule="auto"/>
        <w:ind w:left="900"/>
      </w:pPr>
      <w:bookmarkStart w:id="99" w:name="_Toc58975174"/>
      <w:r w:rsidRPr="00F07DEB">
        <w:t>Plant Growth</w:t>
      </w:r>
      <w:bookmarkEnd w:id="99"/>
    </w:p>
    <w:p w14:paraId="0C68C9AA" w14:textId="49C30419" w:rsidR="00E52F59" w:rsidRPr="00F07DEB" w:rsidRDefault="00745DEE" w:rsidP="00745DEE">
      <w:pPr>
        <w:spacing w:line="480" w:lineRule="auto"/>
        <w:ind w:firstLine="713"/>
        <w:rPr>
          <w:rFonts w:ascii="Times New Roman" w:hAnsi="Times New Roman" w:cs="Times New Roman"/>
          <w:sz w:val="24"/>
          <w:szCs w:val="24"/>
        </w:rPr>
      </w:pPr>
      <w:r w:rsidRPr="00F07DEB">
        <w:rPr>
          <w:rFonts w:ascii="Times New Roman" w:hAnsi="Times New Roman" w:cs="Times New Roman"/>
          <w:sz w:val="24"/>
          <w:szCs w:val="24"/>
        </w:rPr>
        <w:t xml:space="preserve">The effects of irrigation treatment on height or </w:t>
      </w:r>
      <w:r w:rsidR="009E15F2" w:rsidRPr="00F07DEB">
        <w:rPr>
          <w:rFonts w:ascii="Times New Roman" w:hAnsi="Times New Roman" w:cs="Times New Roman"/>
          <w:sz w:val="24"/>
          <w:szCs w:val="24"/>
        </w:rPr>
        <w:t>percent coverage were evaluated with</w:t>
      </w:r>
      <w:r w:rsidRPr="00F07DEB">
        <w:rPr>
          <w:rFonts w:ascii="Times New Roman" w:hAnsi="Times New Roman" w:cs="Times New Roman"/>
          <w:sz w:val="24"/>
          <w:szCs w:val="24"/>
        </w:rPr>
        <w:t xml:space="preserve"> a two-way mixed ANOVA. The between-subjects factor was irrigation treatment, the within-subjects factor was measuring event</w:t>
      </w:r>
      <w:r w:rsidR="00B32C58" w:rsidRPr="00F07DEB">
        <w:rPr>
          <w:rFonts w:ascii="Times New Roman" w:hAnsi="Times New Roman" w:cs="Times New Roman"/>
          <w:sz w:val="24"/>
          <w:szCs w:val="24"/>
        </w:rPr>
        <w:t>, and t</w:t>
      </w:r>
      <w:r w:rsidRPr="00F07DEB">
        <w:rPr>
          <w:rFonts w:ascii="Times New Roman" w:hAnsi="Times New Roman" w:cs="Times New Roman"/>
          <w:sz w:val="24"/>
          <w:szCs w:val="24"/>
        </w:rPr>
        <w:t xml:space="preserve">he </w:t>
      </w:r>
      <w:r w:rsidR="00687CB6" w:rsidRPr="00F07DEB">
        <w:rPr>
          <w:rFonts w:ascii="Times New Roman" w:hAnsi="Times New Roman" w:cs="Times New Roman"/>
          <w:sz w:val="24"/>
          <w:szCs w:val="24"/>
        </w:rPr>
        <w:t xml:space="preserve">continuous </w:t>
      </w:r>
      <w:r w:rsidRPr="00F07DEB">
        <w:rPr>
          <w:rFonts w:ascii="Times New Roman" w:hAnsi="Times New Roman" w:cs="Times New Roman"/>
          <w:sz w:val="24"/>
          <w:szCs w:val="24"/>
        </w:rPr>
        <w:t>dependent variable</w:t>
      </w:r>
      <w:r w:rsidR="00687CB6" w:rsidRPr="00F07DEB">
        <w:rPr>
          <w:rFonts w:ascii="Times New Roman" w:hAnsi="Times New Roman" w:cs="Times New Roman"/>
          <w:sz w:val="24"/>
          <w:szCs w:val="24"/>
        </w:rPr>
        <w:t>s</w:t>
      </w:r>
      <w:r w:rsidR="00B32C58" w:rsidRPr="00F07DEB">
        <w:rPr>
          <w:rFonts w:ascii="Times New Roman" w:hAnsi="Times New Roman" w:cs="Times New Roman"/>
          <w:sz w:val="24"/>
          <w:szCs w:val="24"/>
        </w:rPr>
        <w:t xml:space="preserve"> </w:t>
      </w:r>
      <w:r w:rsidR="00687CB6" w:rsidRPr="00F07DEB">
        <w:rPr>
          <w:rFonts w:ascii="Times New Roman" w:hAnsi="Times New Roman" w:cs="Times New Roman"/>
          <w:sz w:val="24"/>
          <w:szCs w:val="24"/>
        </w:rPr>
        <w:t>were</w:t>
      </w:r>
      <w:r w:rsidR="00B32C58" w:rsidRPr="00F07DEB">
        <w:rPr>
          <w:rFonts w:ascii="Times New Roman" w:hAnsi="Times New Roman" w:cs="Times New Roman"/>
          <w:sz w:val="24"/>
          <w:szCs w:val="24"/>
        </w:rPr>
        <w:t xml:space="preserve"> plant height f</w:t>
      </w:r>
      <w:r w:rsidRPr="00F07DEB">
        <w:rPr>
          <w:rFonts w:ascii="Times New Roman" w:hAnsi="Times New Roman" w:cs="Times New Roman"/>
          <w:sz w:val="24"/>
          <w:szCs w:val="24"/>
        </w:rPr>
        <w:t>or corn and sorghum</w:t>
      </w:r>
      <w:r w:rsidR="009C412D">
        <w:rPr>
          <w:rFonts w:ascii="Times New Roman" w:hAnsi="Times New Roman" w:cs="Times New Roman"/>
          <w:sz w:val="24"/>
          <w:szCs w:val="24"/>
        </w:rPr>
        <w:t>,</w:t>
      </w:r>
      <w:r w:rsidRPr="00F07DEB">
        <w:rPr>
          <w:rFonts w:ascii="Times New Roman" w:hAnsi="Times New Roman" w:cs="Times New Roman"/>
          <w:sz w:val="24"/>
          <w:szCs w:val="24"/>
        </w:rPr>
        <w:t xml:space="preserve"> </w:t>
      </w:r>
      <w:r w:rsidR="00B32C58" w:rsidRPr="00F07DEB">
        <w:rPr>
          <w:rFonts w:ascii="Times New Roman" w:hAnsi="Times New Roman" w:cs="Times New Roman"/>
          <w:sz w:val="24"/>
          <w:szCs w:val="24"/>
        </w:rPr>
        <w:t>and percent coverage for Bermuda grass</w:t>
      </w:r>
      <w:r w:rsidRPr="00F07DEB">
        <w:rPr>
          <w:rFonts w:ascii="Times New Roman" w:hAnsi="Times New Roman" w:cs="Times New Roman"/>
          <w:sz w:val="24"/>
          <w:szCs w:val="24"/>
        </w:rPr>
        <w:t>.</w:t>
      </w:r>
      <w:r w:rsidR="00B32C58" w:rsidRPr="00F07DEB">
        <w:rPr>
          <w:rFonts w:ascii="Times New Roman" w:hAnsi="Times New Roman" w:cs="Times New Roman"/>
          <w:sz w:val="24"/>
          <w:szCs w:val="24"/>
        </w:rPr>
        <w:t xml:space="preserve"> Conditions for running the two-way mixed ANOVA were evaluated separately for the between- and within-subjects groups. Normality of the data was established with</w:t>
      </w:r>
      <w:r w:rsidR="00641A81">
        <w:rPr>
          <w:rFonts w:ascii="Times New Roman" w:hAnsi="Times New Roman" w:cs="Times New Roman"/>
          <w:sz w:val="24"/>
          <w:szCs w:val="24"/>
        </w:rPr>
        <w:t xml:space="preserve"> b</w:t>
      </w:r>
      <w:r w:rsidR="00687CB6" w:rsidRPr="00F07DEB">
        <w:rPr>
          <w:rFonts w:ascii="Times New Roman" w:hAnsi="Times New Roman" w:cs="Times New Roman"/>
          <w:sz w:val="24"/>
          <w:szCs w:val="24"/>
        </w:rPr>
        <w:t xml:space="preserve">oxplots and Q-Q plots of the </w:t>
      </w:r>
      <w:proofErr w:type="spellStart"/>
      <w:r w:rsidR="00687CB6" w:rsidRPr="00F07DEB">
        <w:rPr>
          <w:rFonts w:ascii="Times New Roman" w:hAnsi="Times New Roman" w:cs="Times New Roman"/>
          <w:sz w:val="24"/>
          <w:szCs w:val="24"/>
        </w:rPr>
        <w:t>S</w:t>
      </w:r>
      <w:r w:rsidR="00B32C58" w:rsidRPr="00F07DEB">
        <w:rPr>
          <w:rFonts w:ascii="Times New Roman" w:hAnsi="Times New Roman" w:cs="Times New Roman"/>
          <w:sz w:val="24"/>
          <w:szCs w:val="24"/>
        </w:rPr>
        <w:t>tudentized</w:t>
      </w:r>
      <w:proofErr w:type="spellEnd"/>
      <w:r w:rsidR="00B32C58" w:rsidRPr="00F07DEB">
        <w:rPr>
          <w:rFonts w:ascii="Times New Roman" w:hAnsi="Times New Roman" w:cs="Times New Roman"/>
          <w:sz w:val="24"/>
          <w:szCs w:val="24"/>
        </w:rPr>
        <w:t xml:space="preserve"> residuals, although mixed ANOVAs are robust to violations of this assumption</w:t>
      </w:r>
      <w:r w:rsidR="00EA2119" w:rsidRPr="00F07DEB">
        <w:rPr>
          <w:rFonts w:ascii="Times New Roman" w:hAnsi="Times New Roman" w:cs="Times New Roman"/>
          <w:sz w:val="24"/>
          <w:szCs w:val="24"/>
        </w:rPr>
        <w:t xml:space="preserve"> </w:t>
      </w:r>
      <w:r w:rsidR="00EA2119" w:rsidRPr="00F07DEB">
        <w:rPr>
          <w:rFonts w:ascii="Times New Roman" w:hAnsi="Times New Roman" w:cs="Times New Roman"/>
          <w:sz w:val="24"/>
          <w:szCs w:val="24"/>
        </w:rPr>
        <w:fldChar w:fldCharType="begin"/>
      </w:r>
      <w:r w:rsidR="00EA2119" w:rsidRPr="00F07DEB">
        <w:rPr>
          <w:rFonts w:ascii="Times New Roman" w:hAnsi="Times New Roman" w:cs="Times New Roman"/>
          <w:sz w:val="24"/>
          <w:szCs w:val="24"/>
        </w:rPr>
        <w:instrText xml:space="preserve"> ADDIN ZOTERO_ITEM CSL_CITATION {"citationID":"Lb797pUD","properties":{"formattedCitation":"(Laerd Statistics, 2018)","plainCitation":"(Laerd Statistics, 2018)","noteIndex":0},"citationItems":[{"id":836,"uris":["http://zotero.org/users/5446453/items/8I29X2VJ"],"uri":["http://zotero.org/users/5446453/items/8I29X2VJ"],"itemData":{"id":836,"type":"webpage","container-title":"Laerd Statistics","title":"How to perform a Mixed ANOVA in SPSS Statistics","URL":"https://statistics.laerd.com/spss-tutorials/mixed-anova-using-spss-statistics.php","author":[{"literal":"Laerd Statistics"}],"accessed":{"date-parts":[["2020",11,12]]},"issued":{"date-parts":[["2018"]]}}}],"schema":"https://github.com/citation-style-language/schema/raw/master/csl-citation.json"} </w:instrText>
      </w:r>
      <w:r w:rsidR="00EA2119"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(Laerd Statistics, 2018)</w:t>
      </w:r>
      <w:r w:rsidR="00EA2119" w:rsidRPr="00F07DEB">
        <w:rPr>
          <w:rFonts w:ascii="Times New Roman" w:hAnsi="Times New Roman" w:cs="Times New Roman"/>
          <w:sz w:val="24"/>
          <w:szCs w:val="24"/>
        </w:rPr>
        <w:fldChar w:fldCharType="end"/>
      </w:r>
      <w:r w:rsidR="00B32C58" w:rsidRPr="00F07DEB">
        <w:rPr>
          <w:rFonts w:ascii="Times New Roman" w:hAnsi="Times New Roman" w:cs="Times New Roman"/>
          <w:sz w:val="24"/>
          <w:szCs w:val="24"/>
        </w:rPr>
        <w:t xml:space="preserve">. </w:t>
      </w:r>
      <w:r w:rsidR="00A10FFB" w:rsidRPr="00F07DEB">
        <w:rPr>
          <w:rFonts w:ascii="Times New Roman" w:hAnsi="Times New Roman" w:cs="Times New Roman"/>
          <w:sz w:val="24"/>
          <w:szCs w:val="24"/>
        </w:rPr>
        <w:t>Homoscedasticity</w:t>
      </w:r>
      <w:r w:rsidR="006A0705">
        <w:rPr>
          <w:rFonts w:ascii="Times New Roman" w:hAnsi="Times New Roman" w:cs="Times New Roman"/>
          <w:sz w:val="24"/>
          <w:szCs w:val="24"/>
        </w:rPr>
        <w:t>, the equality of error variances,</w:t>
      </w:r>
      <w:r w:rsidR="00A10FFB" w:rsidRPr="00F07DEB">
        <w:rPr>
          <w:rFonts w:ascii="Times New Roman" w:hAnsi="Times New Roman" w:cs="Times New Roman"/>
          <w:sz w:val="24"/>
          <w:szCs w:val="24"/>
        </w:rPr>
        <w:t xml:space="preserve"> was</w:t>
      </w:r>
      <w:r w:rsidR="00B32C58" w:rsidRPr="00F07DEB">
        <w:rPr>
          <w:rFonts w:ascii="Times New Roman" w:hAnsi="Times New Roman" w:cs="Times New Roman"/>
          <w:sz w:val="24"/>
          <w:szCs w:val="24"/>
        </w:rPr>
        <w:t xml:space="preserve"> established with a non-significant (</w:t>
      </w:r>
      <w:r w:rsidR="007B463F" w:rsidRPr="00204C13">
        <w:rPr>
          <w:rFonts w:ascii="Times New Roman" w:hAnsi="Times New Roman" w:cs="Times New Roman"/>
          <w:i/>
          <w:sz w:val="24"/>
          <w:szCs w:val="24"/>
        </w:rPr>
        <w:t>p</w:t>
      </w:r>
      <w:r w:rsidR="00B32C58" w:rsidRPr="00F07DEB">
        <w:rPr>
          <w:rFonts w:ascii="Times New Roman" w:hAnsi="Times New Roman" w:cs="Times New Roman"/>
          <w:sz w:val="24"/>
          <w:szCs w:val="24"/>
        </w:rPr>
        <w:t xml:space="preserve"> </w:t>
      </w:r>
      <w:r w:rsidR="000C2713">
        <w:rPr>
          <w:rFonts w:ascii="Times New Roman" w:hAnsi="Times New Roman" w:cs="Times New Roman"/>
          <w:sz w:val="24"/>
          <w:szCs w:val="24"/>
        </w:rPr>
        <w:t>≤</w:t>
      </w:r>
      <w:r w:rsidR="00B32C58" w:rsidRPr="00F07DEB">
        <w:rPr>
          <w:rFonts w:ascii="Times New Roman" w:hAnsi="Times New Roman" w:cs="Times New Roman"/>
          <w:sz w:val="24"/>
          <w:szCs w:val="24"/>
        </w:rPr>
        <w:t xml:space="preserve">0.05) result from </w:t>
      </w:r>
      <w:proofErr w:type="spellStart"/>
      <w:r w:rsidR="00B32C58" w:rsidRPr="00F07DEB">
        <w:rPr>
          <w:rFonts w:ascii="Times New Roman" w:hAnsi="Times New Roman" w:cs="Times New Roman"/>
          <w:sz w:val="24"/>
          <w:szCs w:val="24"/>
        </w:rPr>
        <w:t>Levene’s</w:t>
      </w:r>
      <w:proofErr w:type="spellEnd"/>
      <w:r w:rsidR="00B32C58" w:rsidRPr="00F07DEB">
        <w:rPr>
          <w:rFonts w:ascii="Times New Roman" w:hAnsi="Times New Roman" w:cs="Times New Roman"/>
          <w:sz w:val="24"/>
          <w:szCs w:val="24"/>
        </w:rPr>
        <w:t xml:space="preserve"> test for homogeneity of </w:t>
      </w:r>
      <w:r w:rsidR="00A10FFB" w:rsidRPr="00F07DEB">
        <w:rPr>
          <w:rFonts w:ascii="Times New Roman" w:hAnsi="Times New Roman" w:cs="Times New Roman"/>
          <w:sz w:val="24"/>
          <w:szCs w:val="24"/>
        </w:rPr>
        <w:t>error variances</w:t>
      </w:r>
      <w:r w:rsidR="00B32C58" w:rsidRPr="00F07DEB">
        <w:rPr>
          <w:rFonts w:ascii="Times New Roman" w:hAnsi="Times New Roman" w:cs="Times New Roman"/>
          <w:sz w:val="24"/>
          <w:szCs w:val="24"/>
        </w:rPr>
        <w:t xml:space="preserve"> </w:t>
      </w:r>
      <w:r w:rsidR="00A10FFB" w:rsidRPr="00F07DEB">
        <w:rPr>
          <w:rFonts w:ascii="Times New Roman" w:hAnsi="Times New Roman" w:cs="Times New Roman"/>
          <w:sz w:val="24"/>
          <w:szCs w:val="24"/>
        </w:rPr>
        <w:t xml:space="preserve">for each group of between-subjects and within-subjects </w:t>
      </w:r>
      <w:r w:rsidR="00B32C58" w:rsidRPr="00F07DEB">
        <w:rPr>
          <w:rFonts w:ascii="Times New Roman" w:hAnsi="Times New Roman" w:cs="Times New Roman"/>
          <w:sz w:val="24"/>
          <w:szCs w:val="24"/>
        </w:rPr>
        <w:t>factors (e.g.</w:t>
      </w:r>
      <w:r w:rsidR="00974736" w:rsidRPr="00F07DEB">
        <w:rPr>
          <w:rFonts w:ascii="Times New Roman" w:hAnsi="Times New Roman" w:cs="Times New Roman"/>
          <w:sz w:val="24"/>
          <w:szCs w:val="24"/>
        </w:rPr>
        <w:t>,</w:t>
      </w:r>
      <w:r w:rsidR="00A10FFB" w:rsidRPr="00F07DEB">
        <w:rPr>
          <w:rFonts w:ascii="Times New Roman" w:hAnsi="Times New Roman" w:cs="Times New Roman"/>
          <w:sz w:val="24"/>
          <w:szCs w:val="24"/>
        </w:rPr>
        <w:t xml:space="preserve"> mine water-irrigated plants, all plants during the seventh measuring event). </w:t>
      </w:r>
      <w:proofErr w:type="spellStart"/>
      <w:r w:rsidR="00A10FFB" w:rsidRPr="00F07DEB">
        <w:rPr>
          <w:rFonts w:ascii="Times New Roman" w:hAnsi="Times New Roman" w:cs="Times New Roman"/>
          <w:sz w:val="24"/>
          <w:szCs w:val="24"/>
        </w:rPr>
        <w:t>Sphericity</w:t>
      </w:r>
      <w:proofErr w:type="spellEnd"/>
      <w:r w:rsidR="00A10FFB" w:rsidRPr="00F07DEB">
        <w:rPr>
          <w:rFonts w:ascii="Times New Roman" w:hAnsi="Times New Roman" w:cs="Times New Roman"/>
          <w:sz w:val="24"/>
          <w:szCs w:val="24"/>
        </w:rPr>
        <w:t xml:space="preserve">, or </w:t>
      </w:r>
      <w:r w:rsidR="00687CB6" w:rsidRPr="00F07DEB">
        <w:rPr>
          <w:rFonts w:ascii="Times New Roman" w:hAnsi="Times New Roman" w:cs="Times New Roman"/>
          <w:sz w:val="24"/>
          <w:szCs w:val="24"/>
        </w:rPr>
        <w:t xml:space="preserve">homogeneity of variances of the differences between within-subjects groups, was assessed with </w:t>
      </w:r>
      <w:proofErr w:type="spellStart"/>
      <w:r w:rsidR="00687CB6" w:rsidRPr="00F07DEB">
        <w:rPr>
          <w:rFonts w:ascii="Times New Roman" w:hAnsi="Times New Roman" w:cs="Times New Roman"/>
          <w:sz w:val="24"/>
          <w:szCs w:val="24"/>
        </w:rPr>
        <w:t>Mauchly’s</w:t>
      </w:r>
      <w:proofErr w:type="spellEnd"/>
      <w:r w:rsidR="00687CB6" w:rsidRPr="00F07DEB">
        <w:rPr>
          <w:rFonts w:ascii="Times New Roman" w:hAnsi="Times New Roman" w:cs="Times New Roman"/>
          <w:sz w:val="24"/>
          <w:szCs w:val="24"/>
        </w:rPr>
        <w:t xml:space="preserve"> test of </w:t>
      </w:r>
      <w:proofErr w:type="spellStart"/>
      <w:r w:rsidR="00687CB6" w:rsidRPr="00F07DEB">
        <w:rPr>
          <w:rFonts w:ascii="Times New Roman" w:hAnsi="Times New Roman" w:cs="Times New Roman"/>
          <w:sz w:val="24"/>
          <w:szCs w:val="24"/>
        </w:rPr>
        <w:t>sphericity</w:t>
      </w:r>
      <w:proofErr w:type="spellEnd"/>
      <w:r w:rsidR="00687CB6" w:rsidRPr="00F07DEB">
        <w:rPr>
          <w:rFonts w:ascii="Times New Roman" w:hAnsi="Times New Roman" w:cs="Times New Roman"/>
          <w:sz w:val="24"/>
          <w:szCs w:val="24"/>
        </w:rPr>
        <w:t xml:space="preserve"> and the Greenhouse-</w:t>
      </w:r>
      <w:proofErr w:type="spellStart"/>
      <w:r w:rsidR="00687CB6" w:rsidRPr="00F07DEB">
        <w:rPr>
          <w:rFonts w:ascii="Times New Roman" w:hAnsi="Times New Roman" w:cs="Times New Roman"/>
          <w:sz w:val="24"/>
          <w:szCs w:val="24"/>
        </w:rPr>
        <w:lastRenderedPageBreak/>
        <w:t>Geisser</w:t>
      </w:r>
      <w:proofErr w:type="spellEnd"/>
      <w:r w:rsidR="00687CB6" w:rsidRPr="00F07DEB">
        <w:rPr>
          <w:rFonts w:ascii="Times New Roman" w:hAnsi="Times New Roman" w:cs="Times New Roman"/>
          <w:sz w:val="24"/>
          <w:szCs w:val="24"/>
        </w:rPr>
        <w:t xml:space="preserve"> (GG) epsilon. In the event of a significant result </w:t>
      </w:r>
      <w:r w:rsidR="007B463F">
        <w:rPr>
          <w:rFonts w:ascii="Times New Roman" w:hAnsi="Times New Roman" w:cs="Times New Roman"/>
          <w:sz w:val="24"/>
          <w:szCs w:val="24"/>
        </w:rPr>
        <w:t>(</w:t>
      </w:r>
      <w:r w:rsidR="007B463F" w:rsidRPr="00204C13">
        <w:rPr>
          <w:rFonts w:ascii="Times New Roman" w:hAnsi="Times New Roman" w:cs="Times New Roman"/>
          <w:i/>
          <w:sz w:val="24"/>
          <w:szCs w:val="24"/>
        </w:rPr>
        <w:t>p</w:t>
      </w:r>
      <w:r w:rsidR="007B463F">
        <w:rPr>
          <w:rFonts w:ascii="Times New Roman" w:hAnsi="Times New Roman" w:cs="Times New Roman"/>
          <w:sz w:val="24"/>
          <w:szCs w:val="24"/>
        </w:rPr>
        <w:t xml:space="preserve"> ≤ 0.0</w:t>
      </w:r>
      <w:r w:rsidR="007B463F" w:rsidRPr="00F07DEB">
        <w:rPr>
          <w:rFonts w:ascii="Times New Roman" w:hAnsi="Times New Roman" w:cs="Times New Roman"/>
          <w:sz w:val="24"/>
          <w:szCs w:val="24"/>
        </w:rPr>
        <w:t>5)</w:t>
      </w:r>
      <w:r w:rsidR="00687CB6" w:rsidRPr="00F07DEB">
        <w:rPr>
          <w:rFonts w:ascii="Times New Roman" w:hAnsi="Times New Roman" w:cs="Times New Roman"/>
          <w:sz w:val="24"/>
          <w:szCs w:val="24"/>
        </w:rPr>
        <w:t xml:space="preserve"> or a non-significant result but a GG epsilon below 0.75, the GG correction was applied to the within-subjects and interaction main effects to reduce their degrees of freedom and conservatively compensate for potential violations of </w:t>
      </w:r>
      <w:proofErr w:type="spellStart"/>
      <w:r w:rsidR="00687CB6" w:rsidRPr="00F07DEB">
        <w:rPr>
          <w:rFonts w:ascii="Times New Roman" w:hAnsi="Times New Roman" w:cs="Times New Roman"/>
          <w:sz w:val="24"/>
          <w:szCs w:val="24"/>
        </w:rPr>
        <w:t>sphericity</w:t>
      </w:r>
      <w:proofErr w:type="spellEnd"/>
      <w:r w:rsidR="00687CB6" w:rsidRPr="00F07DEB">
        <w:rPr>
          <w:rFonts w:ascii="Times New Roman" w:hAnsi="Times New Roman" w:cs="Times New Roman"/>
          <w:sz w:val="24"/>
          <w:szCs w:val="24"/>
        </w:rPr>
        <w:t xml:space="preserve"> </w:t>
      </w:r>
      <w:r w:rsidR="00EA2119" w:rsidRPr="00F07DEB">
        <w:rPr>
          <w:rFonts w:ascii="Times New Roman" w:hAnsi="Times New Roman" w:cs="Times New Roman"/>
          <w:sz w:val="24"/>
          <w:szCs w:val="24"/>
        </w:rPr>
        <w:fldChar w:fldCharType="begin"/>
      </w:r>
      <w:r w:rsidR="00EA2119" w:rsidRPr="00F07DEB">
        <w:rPr>
          <w:rFonts w:ascii="Times New Roman" w:hAnsi="Times New Roman" w:cs="Times New Roman"/>
          <w:sz w:val="24"/>
          <w:szCs w:val="24"/>
        </w:rPr>
        <w:instrText xml:space="preserve"> ADDIN ZOTERO_ITEM CSL_CITATION {"citationID":"GAylLrUo","properties":{"formattedCitation":"(Frey et al., 2018; NAU, 2012)","plainCitation":"(Frey et al., 2018; NAU, 2012)","noteIndex":0},"citationItems":[{"id":835,"uris":["http://zotero.org/users/5446453/items/WRAJ73UJ"],"uri":["http://zotero.org/users/5446453/items/WRAJ73UJ"],"itemData":{"id":835,"type":"chapter","container-title":"The SAGE Encyclopedia of Educational Research, Measurement, and Evaluation","event-place":"2455 Teller Road, Thousand Oaks, California 91320","ISBN":"978-1-5063-2615-3","language":"en","note":"DOI: 10.4135/9781506326139","page":"1075-1078","publisher":"SAGE Publications, Inc.","publisher-place":"2455 Teller Road, Thousand Oaks, California 91320","source":"DOI.org (Crossref)","title":"Mixed Model Analysis of Variance","URL":"https://methods.sagepub.com/reference/the-sage-encyclopedia-of-educational-research-measurement-and-evaluation","author":[{"family":"Frey","given":"Bruce B."},{"family":"Murrar","given":"Sohad"},{"family":"Brauer","given":"Markus"}],"accessed":{"date-parts":[["2020",11,12]]},"issued":{"date-parts":[["2018"]]}}},{"id":831,"uris":["http://zotero.org/users/5446453/items/KN5DMG42"],"uri":["http://zotero.org/users/5446453/items/KN5DMG42"],"itemData":{"id":831,"type":"webpage","container-title":"Northern Arizona University Oak","title":"Sphericity in repeated measures analysis of variance","URL":"http://oak.ucc.nau.edu/rh232/courses/EPS625/Handouts/RM-ANOVA/Sphericity.pdf","author":[{"literal":"NAU"}],"issued":{"date-parts":[["2012"]]}}}],"schema":"https://github.com/citation-style-language/schema/raw/master/csl-citation.json"} </w:instrText>
      </w:r>
      <w:r w:rsidR="00EA2119"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(Frey et al., 2018; NAU, 2012)</w:t>
      </w:r>
      <w:r w:rsidR="00EA2119" w:rsidRPr="00F07DEB">
        <w:rPr>
          <w:rFonts w:ascii="Times New Roman" w:hAnsi="Times New Roman" w:cs="Times New Roman"/>
          <w:sz w:val="24"/>
          <w:szCs w:val="24"/>
        </w:rPr>
        <w:fldChar w:fldCharType="end"/>
      </w:r>
      <w:r w:rsidR="00687CB6" w:rsidRPr="00F07DEB">
        <w:rPr>
          <w:rFonts w:ascii="Times New Roman" w:hAnsi="Times New Roman" w:cs="Times New Roman"/>
          <w:sz w:val="24"/>
          <w:szCs w:val="24"/>
        </w:rPr>
        <w:t>.</w:t>
      </w:r>
      <w:r w:rsidR="00B32C58" w:rsidRPr="00F07DEB">
        <w:rPr>
          <w:rFonts w:ascii="Times New Roman" w:hAnsi="Times New Roman" w:cs="Times New Roman"/>
          <w:sz w:val="24"/>
          <w:szCs w:val="24"/>
        </w:rPr>
        <w:t xml:space="preserve"> </w:t>
      </w:r>
    </w:p>
    <w:p w14:paraId="292E7F7D" w14:textId="39D5D4C1" w:rsidR="00E52F59" w:rsidRPr="00F07DEB" w:rsidRDefault="00EA2119" w:rsidP="00745DEE">
      <w:pPr>
        <w:spacing w:line="480" w:lineRule="auto"/>
        <w:ind w:firstLine="713"/>
        <w:rPr>
          <w:rFonts w:ascii="Times New Roman" w:hAnsi="Times New Roman" w:cs="Times New Roman"/>
          <w:sz w:val="24"/>
          <w:szCs w:val="24"/>
        </w:rPr>
      </w:pPr>
      <w:r w:rsidRPr="00F07DEB">
        <w:rPr>
          <w:rFonts w:ascii="Times New Roman" w:hAnsi="Times New Roman" w:cs="Times New Roman"/>
          <w:sz w:val="24"/>
          <w:szCs w:val="24"/>
        </w:rPr>
        <w:t xml:space="preserve">After assumptions were verified, the mixed ANOVA tested the between-subjects (BS) main effect, the within-subjects (WS) main effect, and the interaction effect. </w:t>
      </w:r>
      <w:r w:rsidRPr="00DA1138">
        <w:rPr>
          <w:rFonts w:ascii="Times New Roman" w:hAnsi="Times New Roman" w:cs="Times New Roman"/>
          <w:sz w:val="24"/>
          <w:szCs w:val="24"/>
        </w:rPr>
        <w:t xml:space="preserve">In the context of plant height, these main effects can be restated </w:t>
      </w:r>
      <w:r w:rsidR="000C2713" w:rsidRPr="000C2713">
        <w:rPr>
          <w:rFonts w:ascii="Times New Roman" w:hAnsi="Times New Roman" w:cs="Times New Roman"/>
          <w:sz w:val="24"/>
          <w:szCs w:val="24"/>
        </w:rPr>
        <w:t xml:space="preserve">as (BS) the difference in </w:t>
      </w:r>
      <w:r w:rsidR="000C2713">
        <w:rPr>
          <w:rFonts w:ascii="Times New Roman" w:hAnsi="Times New Roman" w:cs="Times New Roman"/>
          <w:sz w:val="24"/>
          <w:szCs w:val="24"/>
        </w:rPr>
        <w:t>plant height</w:t>
      </w:r>
      <w:r w:rsidR="000C2713" w:rsidRPr="000C2713">
        <w:rPr>
          <w:rFonts w:ascii="Times New Roman" w:hAnsi="Times New Roman" w:cs="Times New Roman"/>
          <w:sz w:val="24"/>
          <w:szCs w:val="24"/>
        </w:rPr>
        <w:t xml:space="preserve"> across all </w:t>
      </w:r>
      <w:r w:rsidR="000C2713">
        <w:rPr>
          <w:rFonts w:ascii="Times New Roman" w:hAnsi="Times New Roman" w:cs="Times New Roman"/>
          <w:sz w:val="24"/>
          <w:szCs w:val="24"/>
        </w:rPr>
        <w:t>measurement events</w:t>
      </w:r>
      <w:r w:rsidR="000C2713" w:rsidRPr="000C2713">
        <w:rPr>
          <w:rFonts w:ascii="Times New Roman" w:hAnsi="Times New Roman" w:cs="Times New Roman"/>
          <w:sz w:val="24"/>
          <w:szCs w:val="24"/>
        </w:rPr>
        <w:t xml:space="preserve">, (WS) the difference in </w:t>
      </w:r>
      <w:r w:rsidR="000C2713">
        <w:rPr>
          <w:rFonts w:ascii="Times New Roman" w:hAnsi="Times New Roman" w:cs="Times New Roman"/>
          <w:sz w:val="24"/>
          <w:szCs w:val="24"/>
        </w:rPr>
        <w:t>plant height</w:t>
      </w:r>
      <w:r w:rsidR="000C2713" w:rsidRPr="000C2713">
        <w:rPr>
          <w:rFonts w:ascii="Times New Roman" w:hAnsi="Times New Roman" w:cs="Times New Roman"/>
          <w:sz w:val="24"/>
          <w:szCs w:val="24"/>
        </w:rPr>
        <w:t xml:space="preserve"> between </w:t>
      </w:r>
      <w:r w:rsidR="000C2713">
        <w:rPr>
          <w:rFonts w:ascii="Times New Roman" w:hAnsi="Times New Roman" w:cs="Times New Roman"/>
          <w:sz w:val="24"/>
          <w:szCs w:val="24"/>
        </w:rPr>
        <w:t>measurement events irrespective</w:t>
      </w:r>
      <w:r w:rsidR="000C2713" w:rsidRPr="000C2713">
        <w:rPr>
          <w:rFonts w:ascii="Times New Roman" w:hAnsi="Times New Roman" w:cs="Times New Roman"/>
          <w:sz w:val="24"/>
          <w:szCs w:val="24"/>
        </w:rPr>
        <w:t xml:space="preserve"> of irrigation treatment, and the differences in </w:t>
      </w:r>
      <w:r w:rsidR="000C2713">
        <w:rPr>
          <w:rFonts w:ascii="Times New Roman" w:hAnsi="Times New Roman" w:cs="Times New Roman"/>
          <w:sz w:val="24"/>
          <w:szCs w:val="24"/>
        </w:rPr>
        <w:t>plant height</w:t>
      </w:r>
      <w:r w:rsidR="000C2713" w:rsidRPr="000C2713">
        <w:rPr>
          <w:rFonts w:ascii="Times New Roman" w:hAnsi="Times New Roman" w:cs="Times New Roman"/>
          <w:sz w:val="24"/>
          <w:szCs w:val="24"/>
        </w:rPr>
        <w:t xml:space="preserve"> by treatment </w:t>
      </w:r>
      <w:r w:rsidR="000C2713">
        <w:rPr>
          <w:rFonts w:ascii="Times New Roman" w:hAnsi="Times New Roman" w:cs="Times New Roman"/>
          <w:sz w:val="24"/>
          <w:szCs w:val="24"/>
        </w:rPr>
        <w:t>during each measuring event</w:t>
      </w:r>
      <w:r w:rsidRPr="00F07DEB">
        <w:rPr>
          <w:rFonts w:ascii="Times New Roman" w:hAnsi="Times New Roman" w:cs="Times New Roman"/>
          <w:sz w:val="24"/>
          <w:szCs w:val="24"/>
        </w:rPr>
        <w:t xml:space="preserve">. When a significant interaction effect was detected </w:t>
      </w:r>
      <w:r w:rsidR="007B463F">
        <w:rPr>
          <w:rFonts w:ascii="Times New Roman" w:hAnsi="Times New Roman" w:cs="Times New Roman"/>
          <w:sz w:val="24"/>
          <w:szCs w:val="24"/>
        </w:rPr>
        <w:t>(</w:t>
      </w:r>
      <w:r w:rsidR="007B463F" w:rsidRPr="00204C13">
        <w:rPr>
          <w:rFonts w:ascii="Times New Roman" w:hAnsi="Times New Roman" w:cs="Times New Roman"/>
          <w:i/>
          <w:sz w:val="24"/>
          <w:szCs w:val="24"/>
        </w:rPr>
        <w:t>p</w:t>
      </w:r>
      <w:r w:rsidR="007B463F">
        <w:rPr>
          <w:rFonts w:ascii="Times New Roman" w:hAnsi="Times New Roman" w:cs="Times New Roman"/>
          <w:sz w:val="24"/>
          <w:szCs w:val="24"/>
        </w:rPr>
        <w:t xml:space="preserve"> ≤ 0.0</w:t>
      </w:r>
      <w:r w:rsidR="007B463F" w:rsidRPr="00F07DEB">
        <w:rPr>
          <w:rFonts w:ascii="Times New Roman" w:hAnsi="Times New Roman" w:cs="Times New Roman"/>
          <w:sz w:val="24"/>
          <w:szCs w:val="24"/>
        </w:rPr>
        <w:t>5)</w:t>
      </w:r>
      <w:r w:rsidRPr="00F07DEB">
        <w:rPr>
          <w:rFonts w:ascii="Times New Roman" w:hAnsi="Times New Roman" w:cs="Times New Roman"/>
          <w:sz w:val="24"/>
          <w:szCs w:val="24"/>
        </w:rPr>
        <w:t>, the simple main effects of both factors were computed</w:t>
      </w:r>
      <w:r w:rsidR="00974736" w:rsidRPr="00F07DEB">
        <w:rPr>
          <w:rFonts w:ascii="Times New Roman" w:hAnsi="Times New Roman" w:cs="Times New Roman"/>
          <w:sz w:val="24"/>
          <w:szCs w:val="24"/>
        </w:rPr>
        <w:t>, reported, and interpreted</w:t>
      </w:r>
      <w:r w:rsidR="00826C9C" w:rsidRPr="00F07DEB">
        <w:rPr>
          <w:rFonts w:ascii="Times New Roman" w:hAnsi="Times New Roman" w:cs="Times New Roman"/>
          <w:sz w:val="24"/>
          <w:szCs w:val="24"/>
        </w:rPr>
        <w:t>. Simple main effect</w:t>
      </w:r>
      <w:r w:rsidRPr="00F07DEB">
        <w:rPr>
          <w:rFonts w:ascii="Times New Roman" w:hAnsi="Times New Roman" w:cs="Times New Roman"/>
          <w:sz w:val="24"/>
          <w:szCs w:val="24"/>
        </w:rPr>
        <w:t xml:space="preserve"> </w:t>
      </w:r>
      <w:r w:rsidR="00974736" w:rsidRPr="00F07DEB">
        <w:rPr>
          <w:rFonts w:ascii="Times New Roman" w:hAnsi="Times New Roman" w:cs="Times New Roman"/>
          <w:sz w:val="24"/>
          <w:szCs w:val="24"/>
        </w:rPr>
        <w:t xml:space="preserve">tests </w:t>
      </w:r>
      <w:r w:rsidRPr="00F07DEB">
        <w:rPr>
          <w:rFonts w:ascii="Times New Roman" w:hAnsi="Times New Roman" w:cs="Times New Roman"/>
          <w:sz w:val="24"/>
          <w:szCs w:val="24"/>
        </w:rPr>
        <w:t xml:space="preserve">used pairwise comparisons based on estimated marginal means to compare plant heights by irrigation treatment (BS) at each measuring event </w:t>
      </w:r>
      <w:r w:rsidR="00974736" w:rsidRPr="00F07DEB">
        <w:rPr>
          <w:rFonts w:ascii="Times New Roman" w:hAnsi="Times New Roman" w:cs="Times New Roman"/>
          <w:sz w:val="24"/>
          <w:szCs w:val="24"/>
        </w:rPr>
        <w:t xml:space="preserve">(e.g., mine water-irrigated corn heights vs. groundwater-irrigated corn heights during the third measuring event) </w:t>
      </w:r>
      <w:r w:rsidRPr="00F07DEB">
        <w:rPr>
          <w:rFonts w:ascii="Times New Roman" w:hAnsi="Times New Roman" w:cs="Times New Roman"/>
          <w:sz w:val="24"/>
          <w:szCs w:val="24"/>
        </w:rPr>
        <w:t>and to compare plant heights by measuring event (WS) separately for each irrigation treatment</w:t>
      </w:r>
      <w:r w:rsidR="00974736" w:rsidRPr="00F07DEB">
        <w:rPr>
          <w:rFonts w:ascii="Times New Roman" w:hAnsi="Times New Roman" w:cs="Times New Roman"/>
          <w:sz w:val="24"/>
          <w:szCs w:val="24"/>
        </w:rPr>
        <w:t xml:space="preserve"> (e.g., groundwater-irrigated corn heights on the first measuring event vs. groundwater-irrigated corn heights from every other measuring event)</w:t>
      </w:r>
      <w:r w:rsidRPr="00F07DEB">
        <w:rPr>
          <w:rFonts w:ascii="Times New Roman" w:hAnsi="Times New Roman" w:cs="Times New Roman"/>
          <w:sz w:val="24"/>
          <w:szCs w:val="24"/>
        </w:rPr>
        <w:t xml:space="preserve">. </w:t>
      </w:r>
      <w:r w:rsidR="00974736" w:rsidRPr="00F07DEB">
        <w:rPr>
          <w:rFonts w:ascii="Times New Roman" w:hAnsi="Times New Roman" w:cs="Times New Roman"/>
          <w:sz w:val="24"/>
          <w:szCs w:val="24"/>
        </w:rPr>
        <w:t xml:space="preserve">When the interaction effect was not significant, the main effects were reported and interpreted instead of the interaction effect. In the event of a significant main effect, pairwise comparisons for each level of the associated factor were conducted, reported, and interpreted. </w:t>
      </w:r>
      <w:r w:rsidR="004617CB" w:rsidRPr="00F07DEB">
        <w:rPr>
          <w:rFonts w:ascii="Times New Roman" w:hAnsi="Times New Roman" w:cs="Times New Roman"/>
          <w:sz w:val="24"/>
          <w:szCs w:val="24"/>
        </w:rPr>
        <w:t xml:space="preserve">The </w:t>
      </w:r>
      <w:proofErr w:type="spellStart"/>
      <w:r w:rsidR="004617CB" w:rsidRPr="00F07DEB">
        <w:rPr>
          <w:rFonts w:ascii="Times New Roman" w:hAnsi="Times New Roman" w:cs="Times New Roman"/>
          <w:sz w:val="24"/>
          <w:szCs w:val="24"/>
        </w:rPr>
        <w:t>Sidak</w:t>
      </w:r>
      <w:proofErr w:type="spellEnd"/>
      <w:r w:rsidR="004617CB" w:rsidRPr="00F07DEB">
        <w:rPr>
          <w:rFonts w:ascii="Times New Roman" w:hAnsi="Times New Roman" w:cs="Times New Roman"/>
          <w:sz w:val="24"/>
          <w:szCs w:val="24"/>
        </w:rPr>
        <w:t xml:space="preserve"> correction</w:t>
      </w:r>
      <w:r w:rsidR="00204BE0" w:rsidRPr="00F07DEB">
        <w:rPr>
          <w:rFonts w:ascii="Times New Roman" w:hAnsi="Times New Roman" w:cs="Times New Roman"/>
          <w:sz w:val="24"/>
          <w:szCs w:val="24"/>
        </w:rPr>
        <w:t xml:space="preserve"> for multiple comparisons w</w:t>
      </w:r>
      <w:r w:rsidR="00AD5E73">
        <w:rPr>
          <w:rFonts w:ascii="Times New Roman" w:hAnsi="Times New Roman" w:cs="Times New Roman"/>
          <w:sz w:val="24"/>
          <w:szCs w:val="24"/>
        </w:rPr>
        <w:t>as</w:t>
      </w:r>
      <w:r w:rsidR="00204BE0" w:rsidRPr="00F07DEB">
        <w:rPr>
          <w:rFonts w:ascii="Times New Roman" w:hAnsi="Times New Roman" w:cs="Times New Roman"/>
          <w:sz w:val="24"/>
          <w:szCs w:val="24"/>
        </w:rPr>
        <w:t xml:space="preserve"> applied for every pairwise comparison of the main effects and simple main effects</w:t>
      </w:r>
      <w:r w:rsidR="0034484D" w:rsidRPr="00F07DEB">
        <w:rPr>
          <w:rFonts w:ascii="Times New Roman" w:hAnsi="Times New Roman" w:cs="Times New Roman"/>
          <w:sz w:val="24"/>
          <w:szCs w:val="24"/>
        </w:rPr>
        <w:t>; t</w:t>
      </w:r>
      <w:r w:rsidR="00204BE0" w:rsidRPr="00F07DEB">
        <w:rPr>
          <w:rFonts w:ascii="Times New Roman" w:hAnsi="Times New Roman" w:cs="Times New Roman"/>
          <w:sz w:val="24"/>
          <w:szCs w:val="24"/>
        </w:rPr>
        <w:t>he Bonferroni correction was deemed too conservative for the number of comparisons made during these mixed ANOVAs</w:t>
      </w:r>
      <w:r w:rsidR="0034484D" w:rsidRPr="00F07DEB">
        <w:rPr>
          <w:rFonts w:ascii="Times New Roman" w:hAnsi="Times New Roman" w:cs="Times New Roman"/>
          <w:sz w:val="24"/>
          <w:szCs w:val="24"/>
        </w:rPr>
        <w:t xml:space="preserve"> but some protection against the inflation of Type I error through multiple comparisons was desired</w:t>
      </w:r>
      <w:r w:rsidR="006A0705">
        <w:rPr>
          <w:rFonts w:ascii="Times New Roman" w:hAnsi="Times New Roman" w:cs="Times New Roman"/>
          <w:sz w:val="24"/>
          <w:szCs w:val="24"/>
        </w:rPr>
        <w:t xml:space="preserve"> </w:t>
      </w:r>
      <w:r w:rsidR="006A0705">
        <w:rPr>
          <w:rFonts w:ascii="Times New Roman" w:hAnsi="Times New Roman" w:cs="Times New Roman"/>
          <w:sz w:val="24"/>
          <w:szCs w:val="24"/>
        </w:rPr>
        <w:fldChar w:fldCharType="begin"/>
      </w:r>
      <w:r w:rsidR="00CF2322">
        <w:rPr>
          <w:rFonts w:ascii="Times New Roman" w:hAnsi="Times New Roman" w:cs="Times New Roman"/>
          <w:sz w:val="24"/>
          <w:szCs w:val="24"/>
        </w:rPr>
        <w:instrText xml:space="preserve"> ADDIN ZOTERO_ITEM CSL_CITATION {"citationID":"a249eco24tc","properties":{"formattedCitation":"\\uldash{(Lee &amp; Lee, 2018)}","plainCitation":"(Lee &amp; Lee, 2018)","dontUpdate":true,"noteIndex":0},"citationItems":[{"id":945,"uris":["http://zotero.org/users/5446453/items/DJYHZAUI"],"uri":["http://zotero.org/users/5446453/items/DJYHZAUI"],"itemData":{"id":945,"type":"article-journal","abstract":"Multiple comparisons tests (MCTs) are performed several times on the mean of experimental conditions. When the null hypothesis is rejected in a validation, MCTs are performed when certain experimental conditions have a statistically significant mean difference or there is a specific aspect between the group means. A problem occurs if the error rate increases while multiple hypothesis tests are performed simultaneously. Consequently, in an MCT, it is necessary to control the error rate to an appropriate level. In this paper, we discuss how to test multiple hypotheses simultaneously while limiting type I error rate, which is caused by α inflation. To choose the appropriate test, we must maintain the balance between statistical power and type I error rate. If the test is too conservative, a type I error is not likely to occur. However, concurrently, the test may have insufficient power resulted in increased probability of type II error occurrence. Most researchers may hope to find the best way of adjusting the type I error rate to discriminate the real differences between observed data without wasting too much statistical power. It is expected that this paper will help researchers understand the differences between MCTs and apply them appropriately.","container-title":"Korean Journal of Anesthesiology","DOI":"10.4097/kja.d.18.00242","ISSN":"2005-6419","issue":"5","journalAbbreviation":"Korean J Anesthesiol","note":"PMID: 30157585\nPMCID: PMC6193594","page":"353-360","source":"PubMed Central","title":"What is the proper way to apply the multiple comparison test?","volume":"71","author":[{"family":"Lee","given":"Sangseok"},{"family":"Lee","given":"Dong Kyu"}],"issued":{"date-parts":[["2018",10]]}}}],"schema":"https://github.com/citation-style-language/schema/raw/master/csl-citation.json"} </w:instrText>
      </w:r>
      <w:r w:rsidR="006A0705">
        <w:rPr>
          <w:rFonts w:ascii="Times New Roman" w:hAnsi="Times New Roman" w:cs="Times New Roman"/>
          <w:sz w:val="24"/>
          <w:szCs w:val="24"/>
        </w:rPr>
        <w:fldChar w:fldCharType="separate"/>
      </w:r>
      <w:r w:rsidR="006A0705" w:rsidRPr="006A0705">
        <w:rPr>
          <w:rFonts w:ascii="Times New Roman" w:hAnsi="Times New Roman" w:cs="Times New Roman"/>
          <w:sz w:val="24"/>
          <w:szCs w:val="24"/>
          <w:u w:val="dash"/>
        </w:rPr>
        <w:t xml:space="preserve">(Lee </w:t>
      </w:r>
      <w:r w:rsidR="006A0705">
        <w:rPr>
          <w:rFonts w:ascii="Times New Roman" w:hAnsi="Times New Roman" w:cs="Times New Roman"/>
          <w:sz w:val="24"/>
          <w:szCs w:val="24"/>
          <w:u w:val="dash"/>
        </w:rPr>
        <w:t>and</w:t>
      </w:r>
      <w:r w:rsidR="006A0705" w:rsidRPr="006A0705">
        <w:rPr>
          <w:rFonts w:ascii="Times New Roman" w:hAnsi="Times New Roman" w:cs="Times New Roman"/>
          <w:sz w:val="24"/>
          <w:szCs w:val="24"/>
          <w:u w:val="dash"/>
        </w:rPr>
        <w:t xml:space="preserve"> Lee, 2018)</w:t>
      </w:r>
      <w:r w:rsidR="006A0705">
        <w:rPr>
          <w:rFonts w:ascii="Times New Roman" w:hAnsi="Times New Roman" w:cs="Times New Roman"/>
          <w:sz w:val="24"/>
          <w:szCs w:val="24"/>
        </w:rPr>
        <w:fldChar w:fldCharType="end"/>
      </w:r>
      <w:r w:rsidR="0034484D" w:rsidRPr="00F07DEB">
        <w:rPr>
          <w:rFonts w:ascii="Times New Roman" w:hAnsi="Times New Roman" w:cs="Times New Roman"/>
          <w:sz w:val="24"/>
          <w:szCs w:val="24"/>
        </w:rPr>
        <w:t xml:space="preserve">. </w:t>
      </w:r>
      <w:r w:rsidR="00265438" w:rsidRPr="00F07DEB">
        <w:rPr>
          <w:rFonts w:ascii="Times New Roman" w:hAnsi="Times New Roman" w:cs="Times New Roman"/>
          <w:sz w:val="24"/>
          <w:szCs w:val="24"/>
        </w:rPr>
        <w:t xml:space="preserve">Main </w:t>
      </w:r>
      <w:r w:rsidR="00265438" w:rsidRPr="00F07DEB">
        <w:rPr>
          <w:rFonts w:ascii="Times New Roman" w:hAnsi="Times New Roman" w:cs="Times New Roman"/>
          <w:sz w:val="24"/>
          <w:szCs w:val="24"/>
        </w:rPr>
        <w:lastRenderedPageBreak/>
        <w:t xml:space="preserve">and interaction effects reported in-text are formatted as follows: </w:t>
      </w:r>
      <w:proofErr w:type="gramStart"/>
      <w:r w:rsidR="00265438" w:rsidRPr="007B5610">
        <w:rPr>
          <w:rFonts w:ascii="Times New Roman" w:hAnsi="Times New Roman" w:cs="Times New Roman"/>
          <w:i/>
          <w:sz w:val="24"/>
          <w:szCs w:val="24"/>
        </w:rPr>
        <w:t>F</w:t>
      </w:r>
      <w:r w:rsidR="00265438" w:rsidRPr="00F07DEB">
        <w:rPr>
          <w:rFonts w:ascii="Times New Roman" w:hAnsi="Times New Roman" w:cs="Times New Roman"/>
          <w:sz w:val="24"/>
          <w:szCs w:val="24"/>
        </w:rPr>
        <w:t>(</w:t>
      </w:r>
      <w:proofErr w:type="spellStart"/>
      <w:proofErr w:type="gramEnd"/>
      <w:r w:rsidR="00265438" w:rsidRPr="007B5610">
        <w:rPr>
          <w:rFonts w:ascii="Times New Roman" w:hAnsi="Times New Roman" w:cs="Times New Roman"/>
          <w:i/>
          <w:sz w:val="24"/>
          <w:szCs w:val="24"/>
        </w:rPr>
        <w:t>df</w:t>
      </w:r>
      <w:proofErr w:type="spellEnd"/>
      <w:r w:rsidR="00265438" w:rsidRPr="00F07DEB">
        <w:rPr>
          <w:rFonts w:ascii="Times New Roman" w:hAnsi="Times New Roman" w:cs="Times New Roman"/>
          <w:sz w:val="24"/>
          <w:szCs w:val="24"/>
        </w:rPr>
        <w:t>[effect],</w:t>
      </w:r>
      <w:proofErr w:type="spellStart"/>
      <w:r w:rsidR="00265438" w:rsidRPr="007B5610">
        <w:rPr>
          <w:rFonts w:ascii="Times New Roman" w:hAnsi="Times New Roman" w:cs="Times New Roman"/>
          <w:i/>
          <w:sz w:val="24"/>
          <w:szCs w:val="24"/>
        </w:rPr>
        <w:t>df</w:t>
      </w:r>
      <w:proofErr w:type="spellEnd"/>
      <w:r w:rsidR="00265438" w:rsidRPr="00F07DEB">
        <w:rPr>
          <w:rFonts w:ascii="Times New Roman" w:hAnsi="Times New Roman" w:cs="Times New Roman"/>
          <w:sz w:val="24"/>
          <w:szCs w:val="24"/>
        </w:rPr>
        <w:t xml:space="preserve">[error]) = </w:t>
      </w:r>
      <w:r w:rsidR="00265438" w:rsidRPr="007B5610">
        <w:rPr>
          <w:rFonts w:ascii="Times New Roman" w:hAnsi="Times New Roman" w:cs="Times New Roman"/>
          <w:i/>
          <w:sz w:val="24"/>
          <w:szCs w:val="24"/>
        </w:rPr>
        <w:t>F</w:t>
      </w:r>
      <w:r w:rsidR="00265438" w:rsidRPr="00F07DEB">
        <w:rPr>
          <w:rFonts w:ascii="Times New Roman" w:hAnsi="Times New Roman" w:cs="Times New Roman"/>
          <w:sz w:val="24"/>
          <w:szCs w:val="24"/>
        </w:rPr>
        <w:t xml:space="preserve"> statistic, </w:t>
      </w:r>
      <w:r w:rsidR="00265438" w:rsidRPr="007B5610">
        <w:rPr>
          <w:rFonts w:ascii="Times New Roman" w:hAnsi="Times New Roman" w:cs="Times New Roman"/>
          <w:i/>
          <w:sz w:val="24"/>
          <w:szCs w:val="24"/>
        </w:rPr>
        <w:t>p</w:t>
      </w:r>
      <w:r w:rsidR="00265438" w:rsidRPr="00F07DEB">
        <w:rPr>
          <w:rFonts w:ascii="Times New Roman" w:hAnsi="Times New Roman" w:cs="Times New Roman"/>
          <w:sz w:val="24"/>
          <w:szCs w:val="24"/>
        </w:rPr>
        <w:t>-value.</w:t>
      </w:r>
    </w:p>
    <w:p w14:paraId="793F6395" w14:textId="6A3F785D" w:rsidR="00E52F59" w:rsidRPr="00F07DEB" w:rsidRDefault="00E52F59" w:rsidP="00204C13">
      <w:pPr>
        <w:spacing w:line="480" w:lineRule="auto"/>
        <w:ind w:firstLine="713"/>
        <w:rPr>
          <w:rFonts w:ascii="Times New Roman" w:hAnsi="Times New Roman" w:cs="Times New Roman"/>
          <w:sz w:val="24"/>
          <w:szCs w:val="24"/>
        </w:rPr>
      </w:pPr>
      <w:r w:rsidRPr="00F07DEB">
        <w:rPr>
          <w:rFonts w:ascii="Times New Roman" w:hAnsi="Times New Roman" w:cs="Times New Roman"/>
          <w:sz w:val="24"/>
          <w:szCs w:val="24"/>
        </w:rPr>
        <w:t xml:space="preserve">Mean corn heights </w:t>
      </w:r>
      <w:r w:rsidR="00265438" w:rsidRPr="00F07DEB">
        <w:rPr>
          <w:rFonts w:ascii="Times New Roman" w:hAnsi="Times New Roman" w:cs="Times New Roman"/>
          <w:sz w:val="24"/>
          <w:szCs w:val="24"/>
        </w:rPr>
        <w:t xml:space="preserve">and standard deviations </w:t>
      </w:r>
      <w:r w:rsidRPr="00F07DEB">
        <w:rPr>
          <w:rFonts w:ascii="Times New Roman" w:hAnsi="Times New Roman" w:cs="Times New Roman"/>
          <w:sz w:val="24"/>
          <w:szCs w:val="24"/>
        </w:rPr>
        <w:t>from each treatment</w:t>
      </w:r>
      <w:r w:rsidR="00745DEE" w:rsidRPr="00F07DEB">
        <w:rPr>
          <w:rFonts w:ascii="Times New Roman" w:hAnsi="Times New Roman" w:cs="Times New Roman"/>
          <w:sz w:val="24"/>
          <w:szCs w:val="24"/>
        </w:rPr>
        <w:t xml:space="preserve"> over the duration of the growing season </w:t>
      </w:r>
      <w:r w:rsidRPr="00F07DEB">
        <w:rPr>
          <w:rFonts w:ascii="Times New Roman" w:hAnsi="Times New Roman" w:cs="Times New Roman"/>
          <w:sz w:val="24"/>
          <w:szCs w:val="24"/>
        </w:rPr>
        <w:t>are</w:t>
      </w:r>
      <w:r w:rsidR="00745DEE" w:rsidRPr="00F07DEB">
        <w:rPr>
          <w:rFonts w:ascii="Times New Roman" w:hAnsi="Times New Roman" w:cs="Times New Roman"/>
          <w:sz w:val="24"/>
          <w:szCs w:val="24"/>
        </w:rPr>
        <w:t xml:space="preserve"> plotted in</w:t>
      </w:r>
      <w:r w:rsidR="00204C13">
        <w:rPr>
          <w:rFonts w:ascii="Times New Roman" w:hAnsi="Times New Roman" w:cs="Times New Roman"/>
          <w:sz w:val="24"/>
          <w:szCs w:val="24"/>
        </w:rPr>
        <w:t xml:space="preserve"> </w:t>
      </w:r>
      <w:r w:rsidR="00204C13" w:rsidRPr="00204C13">
        <w:rPr>
          <w:rFonts w:ascii="Times New Roman" w:hAnsi="Times New Roman" w:cs="Times New Roman"/>
          <w:sz w:val="24"/>
          <w:szCs w:val="24"/>
        </w:rPr>
        <w:fldChar w:fldCharType="begin"/>
      </w:r>
      <w:r w:rsidR="00204C13" w:rsidRPr="00204C13">
        <w:rPr>
          <w:rFonts w:ascii="Times New Roman" w:hAnsi="Times New Roman" w:cs="Times New Roman"/>
          <w:sz w:val="24"/>
          <w:szCs w:val="24"/>
        </w:rPr>
        <w:instrText xml:space="preserve"> REF _Ref58959089 \h  \* MERGEFORMAT </w:instrText>
      </w:r>
      <w:r w:rsidR="00204C13" w:rsidRPr="00204C13">
        <w:rPr>
          <w:rFonts w:ascii="Times New Roman" w:hAnsi="Times New Roman" w:cs="Times New Roman"/>
          <w:sz w:val="24"/>
          <w:szCs w:val="24"/>
        </w:rPr>
      </w:r>
      <w:r w:rsidR="00204C13" w:rsidRPr="00204C13">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24</w:t>
      </w:r>
      <w:r w:rsidR="00204C13" w:rsidRPr="00204C13">
        <w:rPr>
          <w:rFonts w:ascii="Times New Roman" w:hAnsi="Times New Roman" w:cs="Times New Roman"/>
          <w:sz w:val="24"/>
          <w:szCs w:val="24"/>
        </w:rPr>
        <w:fldChar w:fldCharType="end"/>
      </w:r>
      <w:r w:rsidR="00204C13">
        <w:rPr>
          <w:rFonts w:ascii="Times New Roman" w:hAnsi="Times New Roman" w:cs="Times New Roman"/>
          <w:sz w:val="24"/>
          <w:szCs w:val="24"/>
        </w:rPr>
        <w:t xml:space="preserve">. </w:t>
      </w:r>
      <w:r w:rsidR="00265438" w:rsidRPr="00E32F87">
        <w:rPr>
          <w:rFonts w:ascii="Times New Roman" w:hAnsi="Times New Roman" w:cs="Times New Roman"/>
          <w:sz w:val="24"/>
          <w:szCs w:val="24"/>
        </w:rPr>
        <w:t>T</w:t>
      </w:r>
      <w:r w:rsidR="00265438" w:rsidRPr="00F07DEB">
        <w:rPr>
          <w:rFonts w:ascii="Times New Roman" w:hAnsi="Times New Roman" w:cs="Times New Roman"/>
          <w:sz w:val="24"/>
          <w:szCs w:val="24"/>
        </w:rPr>
        <w:t>here was not a significant main effect of irrigation treatment (</w:t>
      </w:r>
      <w:proofErr w:type="gramStart"/>
      <w:r w:rsidR="00265438" w:rsidRPr="00204C13">
        <w:rPr>
          <w:rFonts w:ascii="Times New Roman" w:hAnsi="Times New Roman" w:cs="Times New Roman"/>
          <w:i/>
          <w:sz w:val="24"/>
          <w:szCs w:val="24"/>
        </w:rPr>
        <w:t>F</w:t>
      </w:r>
      <w:r w:rsidR="00265438" w:rsidRPr="00F07DEB">
        <w:rPr>
          <w:rFonts w:ascii="Times New Roman" w:hAnsi="Times New Roman" w:cs="Times New Roman"/>
          <w:sz w:val="24"/>
          <w:szCs w:val="24"/>
        </w:rPr>
        <w:t>(</w:t>
      </w:r>
      <w:proofErr w:type="gramEnd"/>
      <w:r w:rsidR="00265438" w:rsidRPr="00F07DEB">
        <w:rPr>
          <w:rFonts w:ascii="Times New Roman" w:hAnsi="Times New Roman" w:cs="Times New Roman"/>
          <w:sz w:val="24"/>
          <w:szCs w:val="24"/>
        </w:rPr>
        <w:t xml:space="preserve">1,10) = 0.004, </w:t>
      </w:r>
      <w:r w:rsidR="00265438" w:rsidRPr="00385CDA">
        <w:rPr>
          <w:rFonts w:ascii="Times New Roman" w:hAnsi="Times New Roman" w:cs="Times New Roman"/>
          <w:i/>
          <w:sz w:val="24"/>
          <w:szCs w:val="24"/>
        </w:rPr>
        <w:t>p</w:t>
      </w:r>
      <w:r w:rsidR="00265438" w:rsidRPr="00F07DEB">
        <w:rPr>
          <w:rFonts w:ascii="Times New Roman" w:hAnsi="Times New Roman" w:cs="Times New Roman"/>
          <w:sz w:val="24"/>
          <w:szCs w:val="24"/>
        </w:rPr>
        <w:t xml:space="preserve"> = 0.951) on corn height. There was a significant main effect of measuring event (</w:t>
      </w:r>
      <w:r w:rsidR="00265438" w:rsidRPr="00204C13">
        <w:rPr>
          <w:rFonts w:ascii="Times New Roman" w:hAnsi="Times New Roman" w:cs="Times New Roman"/>
          <w:i/>
          <w:sz w:val="24"/>
          <w:szCs w:val="24"/>
        </w:rPr>
        <w:t>F</w:t>
      </w:r>
      <w:r w:rsidR="00265438" w:rsidRPr="00F07DEB">
        <w:rPr>
          <w:rFonts w:ascii="Times New Roman" w:hAnsi="Times New Roman" w:cs="Times New Roman"/>
          <w:sz w:val="24"/>
          <w:szCs w:val="24"/>
        </w:rPr>
        <w:t>(2.97,29.74) =</w:t>
      </w:r>
      <w:r w:rsidR="007A6D40" w:rsidRPr="00F07DEB">
        <w:rPr>
          <w:rFonts w:ascii="Times New Roman" w:hAnsi="Times New Roman" w:cs="Times New Roman"/>
          <w:sz w:val="24"/>
          <w:szCs w:val="24"/>
        </w:rPr>
        <w:t xml:space="preserve"> 470, </w:t>
      </w:r>
      <w:r w:rsidR="007A6D40" w:rsidRPr="00385CDA">
        <w:rPr>
          <w:rFonts w:ascii="Times New Roman" w:hAnsi="Times New Roman" w:cs="Times New Roman"/>
          <w:i/>
          <w:sz w:val="24"/>
          <w:szCs w:val="24"/>
        </w:rPr>
        <w:t>p</w:t>
      </w:r>
      <w:r w:rsidR="007A6D40" w:rsidRPr="00F07DEB">
        <w:rPr>
          <w:rFonts w:ascii="Times New Roman" w:hAnsi="Times New Roman" w:cs="Times New Roman"/>
          <w:sz w:val="24"/>
          <w:szCs w:val="24"/>
        </w:rPr>
        <w:t xml:space="preserve"> &lt; 0.001) on corn height</w:t>
      </w:r>
      <w:r w:rsidR="00265438" w:rsidRPr="00F07DEB">
        <w:rPr>
          <w:rFonts w:ascii="Times New Roman" w:hAnsi="Times New Roman" w:cs="Times New Roman"/>
          <w:sz w:val="24"/>
          <w:szCs w:val="24"/>
        </w:rPr>
        <w:t xml:space="preserve"> </w:t>
      </w:r>
      <w:r w:rsidR="007A6D40" w:rsidRPr="00F07DEB">
        <w:rPr>
          <w:rFonts w:ascii="Times New Roman" w:hAnsi="Times New Roman" w:cs="Times New Roman"/>
          <w:sz w:val="24"/>
          <w:szCs w:val="24"/>
        </w:rPr>
        <w:t xml:space="preserve">such that corn heights increased as time passed, </w:t>
      </w:r>
      <w:r w:rsidR="00265438" w:rsidRPr="00F07DEB">
        <w:rPr>
          <w:rFonts w:ascii="Times New Roman" w:hAnsi="Times New Roman" w:cs="Times New Roman"/>
          <w:sz w:val="24"/>
          <w:szCs w:val="24"/>
        </w:rPr>
        <w:t>which is to be expected in a plant-growth experiment. The interaction effect between irrigation treatment and measuring event was not significant (</w:t>
      </w:r>
      <w:proofErr w:type="gramStart"/>
      <w:r w:rsidR="00265438" w:rsidRPr="00204C13">
        <w:rPr>
          <w:rFonts w:ascii="Times New Roman" w:hAnsi="Times New Roman" w:cs="Times New Roman"/>
          <w:i/>
          <w:sz w:val="24"/>
          <w:szCs w:val="24"/>
        </w:rPr>
        <w:t>F</w:t>
      </w:r>
      <w:r w:rsidR="00265438" w:rsidRPr="00F07DEB">
        <w:rPr>
          <w:rFonts w:ascii="Times New Roman" w:hAnsi="Times New Roman" w:cs="Times New Roman"/>
          <w:sz w:val="24"/>
          <w:szCs w:val="24"/>
        </w:rPr>
        <w:t>(</w:t>
      </w:r>
      <w:proofErr w:type="gramEnd"/>
      <w:r w:rsidR="00265438" w:rsidRPr="00F07DEB">
        <w:rPr>
          <w:rFonts w:ascii="Times New Roman" w:hAnsi="Times New Roman" w:cs="Times New Roman"/>
          <w:sz w:val="24"/>
          <w:szCs w:val="24"/>
        </w:rPr>
        <w:t xml:space="preserve">2.97,29.74) = 1.54, </w:t>
      </w:r>
      <w:r w:rsidR="00265438" w:rsidRPr="00385CDA">
        <w:rPr>
          <w:rFonts w:ascii="Times New Roman" w:hAnsi="Times New Roman" w:cs="Times New Roman"/>
          <w:i/>
          <w:sz w:val="24"/>
          <w:szCs w:val="24"/>
        </w:rPr>
        <w:t>p</w:t>
      </w:r>
      <w:r w:rsidR="00265438" w:rsidRPr="00F07DEB">
        <w:rPr>
          <w:rFonts w:ascii="Times New Roman" w:hAnsi="Times New Roman" w:cs="Times New Roman"/>
          <w:sz w:val="24"/>
          <w:szCs w:val="24"/>
        </w:rPr>
        <w:t xml:space="preserve"> = 0.225). </w:t>
      </w:r>
      <w:r w:rsidR="00FD6734" w:rsidRPr="00F07DEB">
        <w:rPr>
          <w:rFonts w:ascii="Times New Roman" w:hAnsi="Times New Roman" w:cs="Times New Roman"/>
          <w:sz w:val="24"/>
          <w:szCs w:val="24"/>
        </w:rPr>
        <w:t xml:space="preserve">While </w:t>
      </w:r>
      <w:r w:rsidR="00EF11A0" w:rsidRPr="00F07DEB">
        <w:rPr>
          <w:rFonts w:ascii="Times New Roman" w:hAnsi="Times New Roman" w:cs="Times New Roman"/>
          <w:sz w:val="24"/>
          <w:szCs w:val="24"/>
        </w:rPr>
        <w:t>irrigation</w:t>
      </w:r>
      <w:r w:rsidR="00FD6734" w:rsidRPr="00F07DEB">
        <w:rPr>
          <w:rFonts w:ascii="Times New Roman" w:hAnsi="Times New Roman" w:cs="Times New Roman"/>
          <w:sz w:val="24"/>
          <w:szCs w:val="24"/>
        </w:rPr>
        <w:t xml:space="preserve"> </w:t>
      </w:r>
      <w:r w:rsidR="00EF11A0">
        <w:rPr>
          <w:rFonts w:ascii="Times New Roman" w:hAnsi="Times New Roman" w:cs="Times New Roman"/>
          <w:sz w:val="24"/>
          <w:szCs w:val="24"/>
        </w:rPr>
        <w:t xml:space="preserve">with </w:t>
      </w:r>
      <w:r w:rsidR="00EF11A0" w:rsidRPr="00F07DEB">
        <w:rPr>
          <w:rFonts w:ascii="Times New Roman" w:hAnsi="Times New Roman" w:cs="Times New Roman"/>
          <w:sz w:val="24"/>
          <w:szCs w:val="24"/>
        </w:rPr>
        <w:t xml:space="preserve">mine water </w:t>
      </w:r>
      <w:r w:rsidR="00EF11A0">
        <w:rPr>
          <w:rFonts w:ascii="Times New Roman" w:hAnsi="Times New Roman" w:cs="Times New Roman"/>
          <w:sz w:val="24"/>
          <w:szCs w:val="24"/>
        </w:rPr>
        <w:t>or</w:t>
      </w:r>
      <w:r w:rsidR="00EF11A0" w:rsidRPr="00F07DEB">
        <w:rPr>
          <w:rFonts w:ascii="Times New Roman" w:hAnsi="Times New Roman" w:cs="Times New Roman"/>
          <w:sz w:val="24"/>
          <w:szCs w:val="24"/>
        </w:rPr>
        <w:t xml:space="preserve"> groundwater </w:t>
      </w:r>
      <w:r w:rsidR="00FD6734" w:rsidRPr="00F07DEB">
        <w:rPr>
          <w:rFonts w:ascii="Times New Roman" w:hAnsi="Times New Roman" w:cs="Times New Roman"/>
          <w:sz w:val="24"/>
          <w:szCs w:val="24"/>
        </w:rPr>
        <w:t xml:space="preserve">did not result in significantly different mean plant heights, average plant height irrespective of treatment did change with time. </w:t>
      </w:r>
    </w:p>
    <w:p w14:paraId="108765D6" w14:textId="7809000F" w:rsidR="00FC4D2D" w:rsidRPr="00F07DEB" w:rsidRDefault="006A0705" w:rsidP="00FC4D2D">
      <w:pPr>
        <w:spacing w:line="240" w:lineRule="auto"/>
        <w:jc w:val="center"/>
        <w:rPr>
          <w:rFonts w:ascii="Times New Roman" w:hAnsi="Times New Roman" w:cs="Times New Roman"/>
          <w:b/>
          <w:sz w:val="20"/>
          <w:szCs w:val="20"/>
        </w:rPr>
      </w:pPr>
      <w:bookmarkStart w:id="100" w:name="_Ref56074026"/>
      <w:r w:rsidRPr="006A0705">
        <w:rPr>
          <w:noProof/>
          <w:lang w:eastAsia="en-US"/>
        </w:rPr>
        <w:t xml:space="preserve"> </w:t>
      </w:r>
      <w:r>
        <w:rPr>
          <w:noProof/>
          <w:lang w:eastAsia="en-US"/>
        </w:rPr>
        <w:drawing>
          <wp:inline distT="0" distB="0" distL="0" distR="0" wp14:anchorId="691D13C4" wp14:editId="0B7EC1D2">
            <wp:extent cx="5943600" cy="3535045"/>
            <wp:effectExtent l="0" t="0" r="0" b="825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037F771" w14:textId="2A8BECCD" w:rsidR="00FD6734" w:rsidRDefault="00646FE5" w:rsidP="00FC4D2D">
      <w:pPr>
        <w:spacing w:line="240" w:lineRule="auto"/>
        <w:jc w:val="center"/>
        <w:rPr>
          <w:rFonts w:ascii="Times New Roman" w:hAnsi="Times New Roman" w:cs="Times New Roman"/>
          <w:b/>
          <w:sz w:val="20"/>
          <w:szCs w:val="20"/>
        </w:rPr>
      </w:pPr>
      <w:bookmarkStart w:id="101" w:name="_Ref58959089"/>
      <w:bookmarkStart w:id="102" w:name="_Toc58975234"/>
      <w:r w:rsidRPr="00F07DEB">
        <w:rPr>
          <w:rFonts w:ascii="Times New Roman" w:hAnsi="Times New Roman" w:cs="Times New Roman"/>
          <w:b/>
          <w:sz w:val="20"/>
          <w:szCs w:val="20"/>
        </w:rPr>
        <w:t xml:space="preserve">Figure </w:t>
      </w:r>
      <w:r w:rsidRPr="00F07DEB">
        <w:rPr>
          <w:rFonts w:ascii="Times New Roman" w:hAnsi="Times New Roman" w:cs="Times New Roman"/>
          <w:b/>
          <w:sz w:val="20"/>
          <w:szCs w:val="20"/>
        </w:rPr>
        <w:fldChar w:fldCharType="begin"/>
      </w:r>
      <w:r w:rsidRPr="00F07DEB">
        <w:rPr>
          <w:rFonts w:ascii="Times New Roman" w:hAnsi="Times New Roman" w:cs="Times New Roman"/>
          <w:b/>
          <w:sz w:val="20"/>
          <w:szCs w:val="20"/>
        </w:rPr>
        <w:instrText xml:space="preserve"> SEQ Figure \* ARABIC </w:instrText>
      </w:r>
      <w:r w:rsidRPr="00F07DEB">
        <w:rPr>
          <w:rFonts w:ascii="Times New Roman" w:hAnsi="Times New Roman" w:cs="Times New Roman"/>
          <w:b/>
          <w:sz w:val="20"/>
          <w:szCs w:val="20"/>
        </w:rPr>
        <w:fldChar w:fldCharType="separate"/>
      </w:r>
      <w:r w:rsidR="00E179CA">
        <w:rPr>
          <w:rFonts w:ascii="Times New Roman" w:hAnsi="Times New Roman" w:cs="Times New Roman"/>
          <w:b/>
          <w:noProof/>
          <w:sz w:val="20"/>
          <w:szCs w:val="20"/>
        </w:rPr>
        <w:t>24</w:t>
      </w:r>
      <w:r w:rsidRPr="00F07DEB">
        <w:rPr>
          <w:rFonts w:ascii="Times New Roman" w:hAnsi="Times New Roman" w:cs="Times New Roman"/>
          <w:b/>
          <w:sz w:val="20"/>
          <w:szCs w:val="20"/>
        </w:rPr>
        <w:fldChar w:fldCharType="end"/>
      </w:r>
      <w:bookmarkEnd w:id="100"/>
      <w:bookmarkEnd w:id="101"/>
      <w:r w:rsidRPr="00F07DEB">
        <w:rPr>
          <w:rFonts w:ascii="Times New Roman" w:hAnsi="Times New Roman" w:cs="Times New Roman"/>
          <w:b/>
          <w:sz w:val="20"/>
          <w:szCs w:val="20"/>
        </w:rPr>
        <w:t xml:space="preserve">: Mean </w:t>
      </w:r>
      <w:r w:rsidR="00EE546D" w:rsidRPr="00F07DEB">
        <w:rPr>
          <w:rFonts w:ascii="Times New Roman" w:hAnsi="Times New Roman" w:cs="Times New Roman"/>
          <w:b/>
          <w:sz w:val="20"/>
          <w:szCs w:val="20"/>
        </w:rPr>
        <w:t xml:space="preserve">apex leaf </w:t>
      </w:r>
      <w:r w:rsidRPr="00F07DEB">
        <w:rPr>
          <w:rFonts w:ascii="Times New Roman" w:hAnsi="Times New Roman" w:cs="Times New Roman"/>
          <w:b/>
          <w:sz w:val="20"/>
          <w:szCs w:val="20"/>
        </w:rPr>
        <w:t>height</w:t>
      </w:r>
      <w:r w:rsidR="00EE546D" w:rsidRPr="00F07DEB">
        <w:rPr>
          <w:rFonts w:ascii="Times New Roman" w:hAnsi="Times New Roman" w:cs="Times New Roman"/>
          <w:b/>
          <w:sz w:val="20"/>
          <w:szCs w:val="20"/>
        </w:rPr>
        <w:t xml:space="preserve"> of corn plants during groundwater and mine water irrigation</w:t>
      </w:r>
      <w:r w:rsidR="00FC4D2D" w:rsidRPr="00F07DEB">
        <w:rPr>
          <w:rFonts w:ascii="Times New Roman" w:hAnsi="Times New Roman" w:cs="Times New Roman"/>
          <w:b/>
          <w:sz w:val="20"/>
          <w:szCs w:val="20"/>
        </w:rPr>
        <w:t xml:space="preserve"> (bars represent standard deviation</w:t>
      </w:r>
      <w:r w:rsidR="0090411C">
        <w:rPr>
          <w:rFonts w:ascii="Times New Roman" w:hAnsi="Times New Roman" w:cs="Times New Roman"/>
          <w:b/>
          <w:sz w:val="20"/>
          <w:szCs w:val="20"/>
        </w:rPr>
        <w:t>; each point represents n=6</w:t>
      </w:r>
      <w:r w:rsidR="00FC4D2D" w:rsidRPr="00F07DEB">
        <w:rPr>
          <w:rFonts w:ascii="Times New Roman" w:hAnsi="Times New Roman" w:cs="Times New Roman"/>
          <w:b/>
          <w:sz w:val="20"/>
          <w:szCs w:val="20"/>
        </w:rPr>
        <w:t>)</w:t>
      </w:r>
      <w:bookmarkEnd w:id="102"/>
    </w:p>
    <w:p w14:paraId="4C1CF4FD" w14:textId="77777777" w:rsidR="00E32F87" w:rsidRPr="00F07DEB" w:rsidRDefault="00E32F87" w:rsidP="00FC4D2D">
      <w:pPr>
        <w:spacing w:line="240" w:lineRule="auto"/>
        <w:jc w:val="center"/>
        <w:rPr>
          <w:rFonts w:ascii="Times New Roman" w:hAnsi="Times New Roman" w:cs="Times New Roman"/>
          <w:b/>
          <w:sz w:val="20"/>
          <w:szCs w:val="20"/>
        </w:rPr>
      </w:pPr>
    </w:p>
    <w:p w14:paraId="01E142CF" w14:textId="6D444D5A" w:rsidR="00674FF6" w:rsidRPr="00F07DEB" w:rsidRDefault="00FD6734" w:rsidP="00E32F87">
      <w:pPr>
        <w:spacing w:line="480" w:lineRule="auto"/>
        <w:ind w:firstLine="713"/>
        <w:rPr>
          <w:rFonts w:ascii="Times New Roman" w:hAnsi="Times New Roman" w:cs="Times New Roman"/>
          <w:sz w:val="24"/>
          <w:szCs w:val="24"/>
        </w:rPr>
      </w:pPr>
      <w:r w:rsidRPr="00F07DEB">
        <w:rPr>
          <w:rFonts w:ascii="Times New Roman" w:hAnsi="Times New Roman" w:cs="Times New Roman"/>
          <w:sz w:val="24"/>
          <w:szCs w:val="24"/>
        </w:rPr>
        <w:lastRenderedPageBreak/>
        <w:t xml:space="preserve">Mean sorghum heights and standard deviations from each treatment over the duration of the growing season are displayed in </w:t>
      </w:r>
      <w:r w:rsidR="00E32F87" w:rsidRPr="00E32F87">
        <w:rPr>
          <w:rFonts w:ascii="Times New Roman" w:hAnsi="Times New Roman" w:cs="Times New Roman"/>
          <w:sz w:val="24"/>
          <w:szCs w:val="24"/>
        </w:rPr>
        <w:fldChar w:fldCharType="begin"/>
      </w:r>
      <w:r w:rsidR="00E32F87" w:rsidRPr="00E32F87">
        <w:rPr>
          <w:rFonts w:ascii="Times New Roman" w:hAnsi="Times New Roman" w:cs="Times New Roman"/>
          <w:sz w:val="24"/>
          <w:szCs w:val="24"/>
        </w:rPr>
        <w:instrText xml:space="preserve"> REF _Ref56687761 \h  \* MERGEFORMAT </w:instrText>
      </w:r>
      <w:r w:rsidR="00E32F87" w:rsidRPr="00E32F87">
        <w:rPr>
          <w:rFonts w:ascii="Times New Roman" w:hAnsi="Times New Roman" w:cs="Times New Roman"/>
          <w:sz w:val="24"/>
          <w:szCs w:val="24"/>
        </w:rPr>
      </w:r>
      <w:r w:rsidR="00E32F87" w:rsidRPr="00E32F87">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25</w:t>
      </w:r>
      <w:r w:rsidR="00E32F87" w:rsidRPr="00E32F87">
        <w:rPr>
          <w:rFonts w:ascii="Times New Roman" w:hAnsi="Times New Roman" w:cs="Times New Roman"/>
          <w:sz w:val="24"/>
          <w:szCs w:val="24"/>
        </w:rPr>
        <w:fldChar w:fldCharType="end"/>
      </w:r>
      <w:r w:rsidR="00E32F87">
        <w:rPr>
          <w:rFonts w:ascii="Times New Roman" w:hAnsi="Times New Roman" w:cs="Times New Roman"/>
          <w:sz w:val="24"/>
          <w:szCs w:val="24"/>
        </w:rPr>
        <w:t xml:space="preserve">. </w:t>
      </w:r>
      <w:r w:rsidRPr="00E32F87">
        <w:rPr>
          <w:rFonts w:ascii="Times New Roman" w:hAnsi="Times New Roman" w:cs="Times New Roman"/>
          <w:sz w:val="24"/>
          <w:szCs w:val="24"/>
        </w:rPr>
        <w:t>There</w:t>
      </w:r>
      <w:r w:rsidRPr="00F07DEB">
        <w:rPr>
          <w:rFonts w:ascii="Times New Roman" w:hAnsi="Times New Roman" w:cs="Times New Roman"/>
          <w:sz w:val="24"/>
          <w:szCs w:val="24"/>
        </w:rPr>
        <w:t xml:space="preserve"> was not a significant main effect of irrigation treatment (</w:t>
      </w:r>
      <w:proofErr w:type="gramStart"/>
      <w:r w:rsidRPr="00204C13">
        <w:rPr>
          <w:rFonts w:ascii="Times New Roman" w:hAnsi="Times New Roman" w:cs="Times New Roman"/>
          <w:i/>
          <w:sz w:val="24"/>
          <w:szCs w:val="24"/>
        </w:rPr>
        <w:t>F</w:t>
      </w:r>
      <w:r w:rsidRPr="00F07DEB">
        <w:rPr>
          <w:rFonts w:ascii="Times New Roman" w:hAnsi="Times New Roman" w:cs="Times New Roman"/>
          <w:sz w:val="24"/>
          <w:szCs w:val="24"/>
        </w:rPr>
        <w:t>(</w:t>
      </w:r>
      <w:proofErr w:type="gramEnd"/>
      <w:r w:rsidRPr="00F07DEB">
        <w:rPr>
          <w:rFonts w:ascii="Times New Roman" w:hAnsi="Times New Roman" w:cs="Times New Roman"/>
          <w:sz w:val="24"/>
          <w:szCs w:val="24"/>
        </w:rPr>
        <w:t xml:space="preserve">1,10) = </w:t>
      </w:r>
      <w:r w:rsidR="00A21355" w:rsidRPr="00F07DEB">
        <w:rPr>
          <w:rFonts w:ascii="Times New Roman" w:hAnsi="Times New Roman" w:cs="Times New Roman"/>
          <w:sz w:val="24"/>
          <w:szCs w:val="24"/>
        </w:rPr>
        <w:t xml:space="preserve">0.660, </w:t>
      </w:r>
      <w:r w:rsidR="00A21355" w:rsidRPr="00385CDA">
        <w:rPr>
          <w:rFonts w:ascii="Times New Roman" w:hAnsi="Times New Roman" w:cs="Times New Roman"/>
          <w:i/>
          <w:sz w:val="24"/>
          <w:szCs w:val="24"/>
        </w:rPr>
        <w:t>p</w:t>
      </w:r>
      <w:r w:rsidR="00A21355" w:rsidRPr="00F07DEB">
        <w:rPr>
          <w:rFonts w:ascii="Times New Roman" w:hAnsi="Times New Roman" w:cs="Times New Roman"/>
          <w:sz w:val="24"/>
          <w:szCs w:val="24"/>
        </w:rPr>
        <w:t xml:space="preserve"> = 0.436</w:t>
      </w:r>
      <w:r w:rsidRPr="00F07DEB">
        <w:rPr>
          <w:rFonts w:ascii="Times New Roman" w:hAnsi="Times New Roman" w:cs="Times New Roman"/>
          <w:sz w:val="24"/>
          <w:szCs w:val="24"/>
        </w:rPr>
        <w:t xml:space="preserve">) on </w:t>
      </w:r>
      <w:r w:rsidR="00D81441" w:rsidRPr="00F07DEB">
        <w:rPr>
          <w:rFonts w:ascii="Times New Roman" w:hAnsi="Times New Roman" w:cs="Times New Roman"/>
          <w:sz w:val="24"/>
          <w:szCs w:val="24"/>
        </w:rPr>
        <w:t>sorghum</w:t>
      </w:r>
      <w:r w:rsidRPr="00F07DEB">
        <w:rPr>
          <w:rFonts w:ascii="Times New Roman" w:hAnsi="Times New Roman" w:cs="Times New Roman"/>
          <w:sz w:val="24"/>
          <w:szCs w:val="24"/>
        </w:rPr>
        <w:t xml:space="preserve"> height. There was a significant main effect of measuring event (</w:t>
      </w:r>
      <w:proofErr w:type="gramStart"/>
      <w:r w:rsidRPr="00204C13">
        <w:rPr>
          <w:rFonts w:ascii="Times New Roman" w:hAnsi="Times New Roman" w:cs="Times New Roman"/>
          <w:i/>
          <w:sz w:val="24"/>
          <w:szCs w:val="24"/>
        </w:rPr>
        <w:t>F</w:t>
      </w:r>
      <w:r w:rsidRPr="00F07DEB">
        <w:rPr>
          <w:rFonts w:ascii="Times New Roman" w:hAnsi="Times New Roman" w:cs="Times New Roman"/>
          <w:sz w:val="24"/>
          <w:szCs w:val="24"/>
        </w:rPr>
        <w:t>(</w:t>
      </w:r>
      <w:proofErr w:type="gramEnd"/>
      <w:r w:rsidR="00A21355" w:rsidRPr="00F07DEB">
        <w:rPr>
          <w:rFonts w:ascii="Times New Roman" w:hAnsi="Times New Roman" w:cs="Times New Roman"/>
          <w:sz w:val="24"/>
          <w:szCs w:val="24"/>
        </w:rPr>
        <w:t>2.78</w:t>
      </w:r>
      <w:r w:rsidRPr="00F07DEB">
        <w:rPr>
          <w:rFonts w:ascii="Times New Roman" w:hAnsi="Times New Roman" w:cs="Times New Roman"/>
          <w:sz w:val="24"/>
          <w:szCs w:val="24"/>
        </w:rPr>
        <w:t>,</w:t>
      </w:r>
      <w:r w:rsidR="00A21355" w:rsidRPr="00F07DEB">
        <w:rPr>
          <w:rFonts w:ascii="Times New Roman" w:hAnsi="Times New Roman" w:cs="Times New Roman"/>
          <w:sz w:val="24"/>
          <w:szCs w:val="24"/>
        </w:rPr>
        <w:t>27.78</w:t>
      </w:r>
      <w:r w:rsidRPr="00F07DEB">
        <w:rPr>
          <w:rFonts w:ascii="Times New Roman" w:hAnsi="Times New Roman" w:cs="Times New Roman"/>
          <w:sz w:val="24"/>
          <w:szCs w:val="24"/>
        </w:rPr>
        <w:t xml:space="preserve">) = </w:t>
      </w:r>
      <w:r w:rsidR="00A21355" w:rsidRPr="00F07DEB">
        <w:rPr>
          <w:rFonts w:ascii="Times New Roman" w:hAnsi="Times New Roman" w:cs="Times New Roman"/>
          <w:sz w:val="24"/>
          <w:szCs w:val="24"/>
        </w:rPr>
        <w:t>392</w:t>
      </w:r>
      <w:r w:rsidRPr="00F07DEB">
        <w:rPr>
          <w:rFonts w:ascii="Times New Roman" w:hAnsi="Times New Roman" w:cs="Times New Roman"/>
          <w:sz w:val="24"/>
          <w:szCs w:val="24"/>
        </w:rPr>
        <w:t xml:space="preserve">, </w:t>
      </w:r>
      <w:r w:rsidRPr="00385CDA">
        <w:rPr>
          <w:rFonts w:ascii="Times New Roman" w:hAnsi="Times New Roman" w:cs="Times New Roman"/>
          <w:i/>
          <w:sz w:val="24"/>
          <w:szCs w:val="24"/>
        </w:rPr>
        <w:t>p</w:t>
      </w:r>
      <w:r w:rsidRPr="00F07DEB">
        <w:rPr>
          <w:rFonts w:ascii="Times New Roman" w:hAnsi="Times New Roman" w:cs="Times New Roman"/>
          <w:sz w:val="24"/>
          <w:szCs w:val="24"/>
        </w:rPr>
        <w:t xml:space="preserve"> &lt; 0.001) on </w:t>
      </w:r>
      <w:r w:rsidR="00A21355" w:rsidRPr="00F07DEB">
        <w:rPr>
          <w:rFonts w:ascii="Times New Roman" w:hAnsi="Times New Roman" w:cs="Times New Roman"/>
          <w:sz w:val="24"/>
          <w:szCs w:val="24"/>
        </w:rPr>
        <w:t>sorghum</w:t>
      </w:r>
      <w:r w:rsidRPr="00F07DEB">
        <w:rPr>
          <w:rFonts w:ascii="Times New Roman" w:hAnsi="Times New Roman" w:cs="Times New Roman"/>
          <w:sz w:val="24"/>
          <w:szCs w:val="24"/>
        </w:rPr>
        <w:t xml:space="preserve"> height, which</w:t>
      </w:r>
      <w:r w:rsidR="00EF11A0">
        <w:rPr>
          <w:rFonts w:ascii="Times New Roman" w:hAnsi="Times New Roman" w:cs="Times New Roman"/>
          <w:sz w:val="24"/>
          <w:szCs w:val="24"/>
        </w:rPr>
        <w:t>, again,</w:t>
      </w:r>
      <w:r w:rsidRPr="00F07DEB">
        <w:rPr>
          <w:rFonts w:ascii="Times New Roman" w:hAnsi="Times New Roman" w:cs="Times New Roman"/>
          <w:sz w:val="24"/>
          <w:szCs w:val="24"/>
        </w:rPr>
        <w:t xml:space="preserve"> is to be expected in a plant-growth experiment. </w:t>
      </w:r>
      <w:r w:rsidR="00A21355" w:rsidRPr="00F07DEB">
        <w:rPr>
          <w:rFonts w:ascii="Times New Roman" w:hAnsi="Times New Roman" w:cs="Times New Roman"/>
          <w:sz w:val="24"/>
          <w:szCs w:val="24"/>
        </w:rPr>
        <w:t>Additionally, there was a significant</w:t>
      </w:r>
      <w:r w:rsidRPr="00F07DEB">
        <w:rPr>
          <w:rFonts w:ascii="Times New Roman" w:hAnsi="Times New Roman" w:cs="Times New Roman"/>
          <w:sz w:val="24"/>
          <w:szCs w:val="24"/>
        </w:rPr>
        <w:t xml:space="preserve"> interaction effect between irrigation treatment and measuring event (</w:t>
      </w:r>
      <w:proofErr w:type="gramStart"/>
      <w:r w:rsidRPr="00204C13">
        <w:rPr>
          <w:rFonts w:ascii="Times New Roman" w:hAnsi="Times New Roman" w:cs="Times New Roman"/>
          <w:i/>
          <w:sz w:val="24"/>
          <w:szCs w:val="24"/>
        </w:rPr>
        <w:t>F</w:t>
      </w:r>
      <w:r w:rsidRPr="00F07DEB">
        <w:rPr>
          <w:rFonts w:ascii="Times New Roman" w:hAnsi="Times New Roman" w:cs="Times New Roman"/>
          <w:sz w:val="24"/>
          <w:szCs w:val="24"/>
        </w:rPr>
        <w:t>(</w:t>
      </w:r>
      <w:proofErr w:type="gramEnd"/>
      <w:r w:rsidR="00A21355" w:rsidRPr="00F07DEB">
        <w:rPr>
          <w:rFonts w:ascii="Times New Roman" w:hAnsi="Times New Roman" w:cs="Times New Roman"/>
          <w:sz w:val="24"/>
          <w:szCs w:val="24"/>
        </w:rPr>
        <w:t>2.78,27.78</w:t>
      </w:r>
      <w:r w:rsidRPr="00F07DEB">
        <w:rPr>
          <w:rFonts w:ascii="Times New Roman" w:hAnsi="Times New Roman" w:cs="Times New Roman"/>
          <w:sz w:val="24"/>
          <w:szCs w:val="24"/>
        </w:rPr>
        <w:t xml:space="preserve">) = </w:t>
      </w:r>
      <w:r w:rsidR="00A21355" w:rsidRPr="00F07DEB">
        <w:rPr>
          <w:rFonts w:ascii="Times New Roman" w:hAnsi="Times New Roman" w:cs="Times New Roman"/>
          <w:sz w:val="24"/>
          <w:szCs w:val="24"/>
        </w:rPr>
        <w:t>3.86</w:t>
      </w:r>
      <w:r w:rsidRPr="00F07DEB">
        <w:rPr>
          <w:rFonts w:ascii="Times New Roman" w:hAnsi="Times New Roman" w:cs="Times New Roman"/>
          <w:sz w:val="24"/>
          <w:szCs w:val="24"/>
        </w:rPr>
        <w:t xml:space="preserve">, </w:t>
      </w:r>
      <w:r w:rsidRPr="00385CDA">
        <w:rPr>
          <w:rFonts w:ascii="Times New Roman" w:hAnsi="Times New Roman" w:cs="Times New Roman"/>
          <w:i/>
          <w:sz w:val="24"/>
          <w:szCs w:val="24"/>
        </w:rPr>
        <w:t>p</w:t>
      </w:r>
      <w:r w:rsidRPr="00F07DEB">
        <w:rPr>
          <w:rFonts w:ascii="Times New Roman" w:hAnsi="Times New Roman" w:cs="Times New Roman"/>
          <w:sz w:val="24"/>
          <w:szCs w:val="24"/>
        </w:rPr>
        <w:t xml:space="preserve"> = 0.</w:t>
      </w:r>
      <w:r w:rsidR="00A21355" w:rsidRPr="00F07DEB">
        <w:rPr>
          <w:rFonts w:ascii="Times New Roman" w:hAnsi="Times New Roman" w:cs="Times New Roman"/>
          <w:sz w:val="24"/>
          <w:szCs w:val="24"/>
        </w:rPr>
        <w:t>022</w:t>
      </w:r>
      <w:r w:rsidRPr="00F07DEB">
        <w:rPr>
          <w:rFonts w:ascii="Times New Roman" w:hAnsi="Times New Roman" w:cs="Times New Roman"/>
          <w:sz w:val="24"/>
          <w:szCs w:val="24"/>
        </w:rPr>
        <w:t xml:space="preserve">). </w:t>
      </w:r>
      <w:r w:rsidR="00A21355" w:rsidRPr="00F07DEB">
        <w:rPr>
          <w:rFonts w:ascii="Times New Roman" w:hAnsi="Times New Roman" w:cs="Times New Roman"/>
          <w:sz w:val="24"/>
          <w:szCs w:val="24"/>
        </w:rPr>
        <w:t>Pairwise comparisons of mean sorghum height under both irrigation treatments c</w:t>
      </w:r>
      <w:r w:rsidR="00D81441" w:rsidRPr="00F07DEB">
        <w:rPr>
          <w:rFonts w:ascii="Times New Roman" w:hAnsi="Times New Roman" w:cs="Times New Roman"/>
          <w:sz w:val="24"/>
          <w:szCs w:val="24"/>
        </w:rPr>
        <w:t xml:space="preserve">onfirmed that </w:t>
      </w:r>
      <w:r w:rsidR="00A21355" w:rsidRPr="00F07DEB">
        <w:rPr>
          <w:rFonts w:ascii="Times New Roman" w:hAnsi="Times New Roman" w:cs="Times New Roman"/>
          <w:sz w:val="24"/>
          <w:szCs w:val="24"/>
        </w:rPr>
        <w:t xml:space="preserve">groundwater- and mine water-irrigated plant heights changed with time; </w:t>
      </w:r>
      <w:bookmarkStart w:id="103" w:name="_Ref56098370"/>
      <w:r w:rsidR="00826C9C" w:rsidRPr="00F07DEB">
        <w:rPr>
          <w:rFonts w:ascii="Times New Roman" w:hAnsi="Times New Roman" w:cs="Times New Roman"/>
          <w:sz w:val="24"/>
          <w:szCs w:val="24"/>
        </w:rPr>
        <w:t>in fewer words, the plants grew</w:t>
      </w:r>
      <w:r w:rsidR="00EF11A0">
        <w:rPr>
          <w:rFonts w:ascii="Times New Roman" w:hAnsi="Times New Roman" w:cs="Times New Roman"/>
          <w:sz w:val="24"/>
          <w:szCs w:val="24"/>
        </w:rPr>
        <w:t xml:space="preserve"> with time as they were irrigated</w:t>
      </w:r>
      <w:r w:rsidR="00826C9C" w:rsidRPr="00F07DEB">
        <w:rPr>
          <w:rFonts w:ascii="Times New Roman" w:hAnsi="Times New Roman" w:cs="Times New Roman"/>
          <w:sz w:val="24"/>
          <w:szCs w:val="24"/>
        </w:rPr>
        <w:t xml:space="preserve">. Testing the </w:t>
      </w:r>
      <w:r w:rsidR="00D81441" w:rsidRPr="00F07DEB">
        <w:rPr>
          <w:rFonts w:ascii="Times New Roman" w:hAnsi="Times New Roman" w:cs="Times New Roman"/>
          <w:sz w:val="24"/>
          <w:szCs w:val="24"/>
        </w:rPr>
        <w:t xml:space="preserve">simple main effect of treatment revealed that irrigation treatment had a significant effect on sorghum height during the </w:t>
      </w:r>
      <w:r w:rsidR="00D81441" w:rsidRPr="00DA1138">
        <w:rPr>
          <w:rFonts w:ascii="Times New Roman" w:hAnsi="Times New Roman"/>
          <w:sz w:val="24"/>
        </w:rPr>
        <w:t>July 30 s</w:t>
      </w:r>
      <w:r w:rsidR="00D81441" w:rsidRPr="00DA1138">
        <w:rPr>
          <w:rFonts w:ascii="Times New Roman" w:hAnsi="Times New Roman" w:cs="Times New Roman"/>
          <w:sz w:val="24"/>
          <w:szCs w:val="24"/>
        </w:rPr>
        <w:t>ampling event</w:t>
      </w:r>
      <w:r w:rsidR="007A6D40" w:rsidRPr="00DA1138">
        <w:rPr>
          <w:rFonts w:ascii="Times New Roman" w:hAnsi="Times New Roman" w:cs="Times New Roman"/>
          <w:sz w:val="24"/>
          <w:szCs w:val="24"/>
        </w:rPr>
        <w:t xml:space="preserve"> (</w:t>
      </w:r>
      <w:proofErr w:type="gramStart"/>
      <w:r w:rsidR="007A6D40" w:rsidRPr="00204C13">
        <w:rPr>
          <w:rFonts w:ascii="Times New Roman" w:hAnsi="Times New Roman" w:cs="Times New Roman"/>
          <w:i/>
          <w:sz w:val="24"/>
          <w:szCs w:val="24"/>
        </w:rPr>
        <w:t>F</w:t>
      </w:r>
      <w:r w:rsidR="007A6D40" w:rsidRPr="00DA1138">
        <w:rPr>
          <w:rFonts w:ascii="Times New Roman" w:hAnsi="Times New Roman" w:cs="Times New Roman"/>
          <w:sz w:val="24"/>
          <w:szCs w:val="24"/>
        </w:rPr>
        <w:t>(</w:t>
      </w:r>
      <w:proofErr w:type="gramEnd"/>
      <w:r w:rsidR="007A6D40" w:rsidRPr="00DA1138">
        <w:rPr>
          <w:rFonts w:ascii="Times New Roman" w:hAnsi="Times New Roman" w:cs="Times New Roman"/>
          <w:sz w:val="24"/>
          <w:szCs w:val="24"/>
        </w:rPr>
        <w:t xml:space="preserve">1,10) = 6.50, </w:t>
      </w:r>
      <w:r w:rsidR="007A6D40" w:rsidRPr="00385CDA">
        <w:rPr>
          <w:rFonts w:ascii="Times New Roman" w:hAnsi="Times New Roman" w:cs="Times New Roman"/>
          <w:i/>
          <w:sz w:val="24"/>
          <w:szCs w:val="24"/>
        </w:rPr>
        <w:t>p</w:t>
      </w:r>
      <w:r w:rsidR="007A6D40" w:rsidRPr="00DA1138">
        <w:rPr>
          <w:rFonts w:ascii="Times New Roman" w:hAnsi="Times New Roman" w:cs="Times New Roman"/>
          <w:sz w:val="24"/>
          <w:szCs w:val="24"/>
        </w:rPr>
        <w:t xml:space="preserve"> = 0.029)</w:t>
      </w:r>
      <w:r w:rsidR="00D81441" w:rsidRPr="00DA1138">
        <w:rPr>
          <w:rFonts w:ascii="Times New Roman" w:hAnsi="Times New Roman" w:cs="Times New Roman"/>
          <w:sz w:val="24"/>
          <w:szCs w:val="24"/>
        </w:rPr>
        <w:t xml:space="preserve">. At this point in time, roughly </w:t>
      </w:r>
      <w:r w:rsidR="00D81441" w:rsidRPr="00DA1138">
        <w:rPr>
          <w:rFonts w:ascii="Times New Roman" w:hAnsi="Times New Roman"/>
          <w:sz w:val="24"/>
        </w:rPr>
        <w:t>1.5 months</w:t>
      </w:r>
      <w:r w:rsidR="00D81441" w:rsidRPr="00DA1138">
        <w:rPr>
          <w:rFonts w:ascii="Times New Roman" w:hAnsi="Times New Roman" w:cs="Times New Roman"/>
          <w:sz w:val="24"/>
          <w:szCs w:val="24"/>
        </w:rPr>
        <w:t xml:space="preserve"> int</w:t>
      </w:r>
      <w:r w:rsidR="001D3F65" w:rsidRPr="00DA1138">
        <w:rPr>
          <w:rFonts w:ascii="Times New Roman" w:hAnsi="Times New Roman" w:cs="Times New Roman"/>
          <w:sz w:val="24"/>
          <w:szCs w:val="24"/>
        </w:rPr>
        <w:t xml:space="preserve">o the growing season, groundwater-irrigated sorghum plants reached maximum height separation from their mine water-irrigated counterparts: 0.173 m. </w:t>
      </w:r>
      <w:r w:rsidR="001D3F65" w:rsidRPr="00DA1138">
        <w:rPr>
          <w:rFonts w:ascii="Times New Roman" w:hAnsi="Times New Roman"/>
          <w:sz w:val="24"/>
        </w:rPr>
        <w:t>Height peaked and then declined in the groundwater pots shortly thereafter, and the mine water-irrigated sorghum caught up with and surpassed groundwater-irrigated height by early September.</w:t>
      </w:r>
      <w:r w:rsidR="006A0705">
        <w:rPr>
          <w:rFonts w:ascii="Times New Roman" w:hAnsi="Times New Roman"/>
          <w:sz w:val="24"/>
        </w:rPr>
        <w:t xml:space="preserve"> </w:t>
      </w:r>
      <w:r w:rsidR="00A16051">
        <w:rPr>
          <w:rFonts w:ascii="Times New Roman" w:hAnsi="Times New Roman"/>
          <w:sz w:val="24"/>
        </w:rPr>
        <w:t>Mine water salinity could have</w:t>
      </w:r>
      <w:r w:rsidR="006A0705">
        <w:rPr>
          <w:rFonts w:ascii="Times New Roman" w:hAnsi="Times New Roman"/>
          <w:sz w:val="24"/>
        </w:rPr>
        <w:t xml:space="preserve"> delayed</w:t>
      </w:r>
      <w:r w:rsidR="00A16051">
        <w:rPr>
          <w:rFonts w:ascii="Times New Roman" w:hAnsi="Times New Roman"/>
          <w:sz w:val="24"/>
        </w:rPr>
        <w:t xml:space="preserve"> the</w:t>
      </w:r>
      <w:r w:rsidR="006A0705">
        <w:rPr>
          <w:rFonts w:ascii="Times New Roman" w:hAnsi="Times New Roman"/>
          <w:sz w:val="24"/>
        </w:rPr>
        <w:t xml:space="preserve"> mat</w:t>
      </w:r>
      <w:r w:rsidR="00A16051">
        <w:rPr>
          <w:rFonts w:ascii="Times New Roman" w:hAnsi="Times New Roman"/>
          <w:sz w:val="24"/>
        </w:rPr>
        <w:t>uration of</w:t>
      </w:r>
      <w:r w:rsidR="006A0705">
        <w:rPr>
          <w:rFonts w:ascii="Times New Roman" w:hAnsi="Times New Roman"/>
          <w:sz w:val="24"/>
        </w:rPr>
        <w:t xml:space="preserve"> mine water-irrigated sorghum</w:t>
      </w:r>
      <w:r w:rsidR="00A16051">
        <w:rPr>
          <w:rFonts w:ascii="Times New Roman" w:hAnsi="Times New Roman"/>
          <w:sz w:val="24"/>
        </w:rPr>
        <w:t xml:space="preserve">, but plant height decreased under both irrigation treatments towards the end of the experiment </w:t>
      </w:r>
      <w:r w:rsidR="00A16051">
        <w:rPr>
          <w:rFonts w:ascii="Times New Roman" w:hAnsi="Times New Roman"/>
          <w:sz w:val="24"/>
        </w:rPr>
        <w:fldChar w:fldCharType="begin"/>
      </w:r>
      <w:r w:rsidR="00CF2322">
        <w:rPr>
          <w:rFonts w:ascii="Times New Roman" w:hAnsi="Times New Roman"/>
          <w:sz w:val="24"/>
        </w:rPr>
        <w:instrText xml:space="preserve"> ADDIN ZOTERO_ITEM CSL_CITATION {"citationID":"a2enur6td61","properties":{"formattedCitation":"(Maas et al., 1986)","plainCitation":"(Maas et al., 1986)","noteIndex":0},"citationItems":[{"id":878,"uris":["http://zotero.org/users/5446453/items/6UQR8UM8"],"uri":["http://zotero.org/users/5446453/items/6UQR8UM8"],"itemData":{"id":878,"type":"article-journal","abstract":"The relative salt tolerance o f two sorghum cultivars [Sorghum bicolor (L.) Moench., cvs. Northrup King 265 and Asgrow Double TX] at three different stages of growth was determined in a greenhouse experiment. Plants were grown in sand cultures irrigated four times daily with modified Hoagland's solution. A nonsaline solution and six solutions salinized with NaC1 and CaC12 (2 : 1 molar ratio) provided treatments with osmotic potentials 0Ps) ranging from -0.05 to -1.05 MPa. The saline treatments were imposed for 30 days beginning at either Stage 1, 4, or 7 as defined by Vanderlip and Reeves (Agron J. 64:13, 1972). The 30-day stages are referred to here as the vegetative, reproductive and maturation stages although the first stage may have included initial panicle differentiation. Both cultivars were most sensitive to salinity during the vegetative stage and least sensitive during maturation. Based on a nonlinear leastsquares analysis, grain yield reductions of 50% were predicted at ~ps=-0.68, -1.02, and -1.14MPa for NK265 and at -0.62, -1.00, and -1.10MPa for Double TX when salinized during the vegetative, reproductive, and maturation stages, respectively. Although salinity had no significant effect on mean kernel weights, significant growth stage effects and interaction indicated that kernels were heaviest for plants salinized during the vegetative stage. Stover yields were significantly reduced by salination during the vegetative stage but were unaffected when plants were salinized during the maturation stage. Salination during the reproductive stage also decreased stover yield of Double TX but the effect was smaller than that during the first stage. Stover yield of NK265 was unaffected by salinity at this stage.","container-title":"Irrigation Science","DOI":"10.1007/BF00255690","ISSN":"0342-7188, 1432-1319","issue":"1","journalAbbreviation":"Irrig Sci","language":"en","source":"DOI.org (Crossref)","title":"Salinity sensitivity of sorghum at three growth stages","URL":"http://link.springer.com/10.1007/BF00255690","volume":"7","author":[{"family":"Maas","given":"E.V."},{"family":"Poss","given":"J.A."},{"family":"Hoffman","given":"G.J."}],"accessed":{"date-parts":[["2020",11,14]]},"issued":{"date-parts":[["1986",4]]}}}],"schema":"https://github.com/citation-style-language/schema/raw/master/csl-citation.json"} </w:instrText>
      </w:r>
      <w:r w:rsidR="00A16051">
        <w:rPr>
          <w:rFonts w:ascii="Times New Roman" w:hAnsi="Times New Roman"/>
          <w:sz w:val="24"/>
        </w:rPr>
        <w:fldChar w:fldCharType="separate"/>
      </w:r>
      <w:r w:rsidR="00234033" w:rsidRPr="00234033">
        <w:rPr>
          <w:rFonts w:ascii="Times New Roman" w:hAnsi="Times New Roman" w:cs="Times New Roman"/>
          <w:sz w:val="24"/>
        </w:rPr>
        <w:t>(Maas et al., 1986)</w:t>
      </w:r>
      <w:r w:rsidR="00A16051">
        <w:rPr>
          <w:rFonts w:ascii="Times New Roman" w:hAnsi="Times New Roman"/>
          <w:sz w:val="24"/>
        </w:rPr>
        <w:fldChar w:fldCharType="end"/>
      </w:r>
      <w:r w:rsidR="00A16051">
        <w:rPr>
          <w:rFonts w:ascii="Times New Roman" w:hAnsi="Times New Roman"/>
          <w:sz w:val="24"/>
        </w:rPr>
        <w:t>.</w:t>
      </w:r>
      <w:r w:rsidR="001D3F65" w:rsidRPr="00F07DEB">
        <w:rPr>
          <w:rFonts w:ascii="Times New Roman" w:hAnsi="Times New Roman" w:cs="Times New Roman"/>
          <w:sz w:val="24"/>
          <w:szCs w:val="24"/>
        </w:rPr>
        <w:t xml:space="preserve"> The decreases in average plant height under both treatments could be explained by continued leaf biomass accumulation and salinity- or stress-induced fluctuations in leaf turgor pressure</w:t>
      </w:r>
      <w:r w:rsidR="00F32197" w:rsidRPr="00F07DEB">
        <w:rPr>
          <w:rFonts w:ascii="Times New Roman" w:hAnsi="Times New Roman" w:cs="Times New Roman"/>
          <w:sz w:val="24"/>
          <w:szCs w:val="24"/>
        </w:rPr>
        <w:t xml:space="preserve"> </w:t>
      </w:r>
      <w:r w:rsidR="00F32197" w:rsidRPr="00F07DEB">
        <w:rPr>
          <w:rFonts w:ascii="Times New Roman" w:hAnsi="Times New Roman" w:cs="Times New Roman"/>
          <w:sz w:val="24"/>
          <w:szCs w:val="24"/>
        </w:rPr>
        <w:fldChar w:fldCharType="begin"/>
      </w:r>
      <w:r w:rsidR="00F32197" w:rsidRPr="00F07DEB">
        <w:rPr>
          <w:rFonts w:ascii="Times New Roman" w:hAnsi="Times New Roman" w:cs="Times New Roman"/>
          <w:sz w:val="24"/>
          <w:szCs w:val="24"/>
        </w:rPr>
        <w:instrText xml:space="preserve"> ADDIN ZOTERO_ITEM CSL_CITATION {"citationID":"RvVFPMB4","properties":{"formattedCitation":"(Beauzamy et al., 2014)","plainCitation":"(Beauzamy et al., 2014)","noteIndex":0},"citationItems":[{"id":838,"uris":["http://zotero.org/users/5446453/items/H7K847NM"],"uri":["http://zotero.org/users/5446453/items/H7K847NM"],"itemData":{"id":838,"type":"article-journal","abstract":"Background\nTurgor pressure is an essential feature of plants; however, whereas its physiological importance is unequivocally recognized, its relevance to development is often reduced to a role in cell elongation.\n\nScope\nThis review surveys the roles of turgor in development, the molecular mechanisms of turgor regulation and the methods used to measure turgor and related quantities, while also covering the basic concepts associated with water potential and water flow in plants. Three key processes in flower development are then considered more specifically: flower opening, anther dehiscence and pollen tube growth.\n\nConclusions\nMany molecular determinants of turgor and its regulation have been characterized, while a number of methods are now available to quantify water potential, turgor and hydraulic conductivity. Data on flower opening, anther dehiscence and lateral root emergence suggest that turgor needs to be finely tuned during development, both spatially and temporally. It is anticipated that a combination of biological experiments and physical measurements will reinforce the existing data and reveal unexpected roles of turgor in development.","container-title":"Annals of Botany","DOI":"10.1093/aob/mcu187","ISSN":"0305-7364","issue":"7","journalAbbreviation":"Ann Bot","note":"PMID: 25288632\nPMCID: PMC4204789","page":"1517-1533","source":"PubMed Central","title":"Flowers under pressure: ins and outs of turgor regulation in development","title-short":"Flowers under pressure","volume":"114","author":[{"family":"Beauzamy","given":"Léna"},{"family":"Nakayama","given":"Naomi"},{"family":"Boudaoud","given":"Arezki"}],"issued":{"date-parts":[["2014",11]]}}}],"schema":"https://github.com/citation-style-language/schema/raw/master/csl-citation.json"} </w:instrText>
      </w:r>
      <w:r w:rsidR="00F32197"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(Beauzamy et al., 2014)</w:t>
      </w:r>
      <w:r w:rsidR="00F32197" w:rsidRPr="00F07DEB">
        <w:rPr>
          <w:rFonts w:ascii="Times New Roman" w:hAnsi="Times New Roman" w:cs="Times New Roman"/>
          <w:sz w:val="24"/>
          <w:szCs w:val="24"/>
        </w:rPr>
        <w:fldChar w:fldCharType="end"/>
      </w:r>
      <w:r w:rsidR="001D3F65" w:rsidRPr="00F07DEB">
        <w:rPr>
          <w:rFonts w:ascii="Times New Roman" w:hAnsi="Times New Roman" w:cs="Times New Roman"/>
          <w:sz w:val="24"/>
          <w:szCs w:val="24"/>
        </w:rPr>
        <w:t xml:space="preserve">. As the </w:t>
      </w:r>
      <w:r w:rsidR="008F2EF2" w:rsidRPr="00F07DEB">
        <w:rPr>
          <w:rFonts w:ascii="Times New Roman" w:hAnsi="Times New Roman" w:cs="Times New Roman"/>
          <w:sz w:val="24"/>
          <w:szCs w:val="24"/>
        </w:rPr>
        <w:t>uppermost</w:t>
      </w:r>
      <w:r w:rsidR="001D3F65" w:rsidRPr="00F07DEB">
        <w:rPr>
          <w:rFonts w:ascii="Times New Roman" w:hAnsi="Times New Roman" w:cs="Times New Roman"/>
          <w:sz w:val="24"/>
          <w:szCs w:val="24"/>
        </w:rPr>
        <w:t xml:space="preserve"> leaves gain</w:t>
      </w:r>
      <w:r w:rsidR="00E32F87">
        <w:rPr>
          <w:rFonts w:ascii="Times New Roman" w:hAnsi="Times New Roman" w:cs="Times New Roman"/>
          <w:sz w:val="24"/>
          <w:szCs w:val="24"/>
        </w:rPr>
        <w:t>ed</w:t>
      </w:r>
      <w:r w:rsidR="001D3F65" w:rsidRPr="00F07DEB">
        <w:rPr>
          <w:rFonts w:ascii="Times New Roman" w:hAnsi="Times New Roman" w:cs="Times New Roman"/>
          <w:sz w:val="24"/>
          <w:szCs w:val="24"/>
        </w:rPr>
        <w:t xml:space="preserve"> mas</w:t>
      </w:r>
      <w:r w:rsidR="008F2EF2" w:rsidRPr="00F07DEB">
        <w:rPr>
          <w:rFonts w:ascii="Times New Roman" w:hAnsi="Times New Roman" w:cs="Times New Roman"/>
          <w:sz w:val="24"/>
          <w:szCs w:val="24"/>
        </w:rPr>
        <w:t>s and los</w:t>
      </w:r>
      <w:r w:rsidR="00E32F87">
        <w:rPr>
          <w:rFonts w:ascii="Times New Roman" w:hAnsi="Times New Roman" w:cs="Times New Roman"/>
          <w:sz w:val="24"/>
          <w:szCs w:val="24"/>
        </w:rPr>
        <w:t>t</w:t>
      </w:r>
      <w:r w:rsidR="008F2EF2" w:rsidRPr="00F07DEB">
        <w:rPr>
          <w:rFonts w:ascii="Times New Roman" w:hAnsi="Times New Roman" w:cs="Times New Roman"/>
          <w:sz w:val="24"/>
          <w:szCs w:val="24"/>
        </w:rPr>
        <w:t xml:space="preserve"> rigidity, their apex points </w:t>
      </w:r>
      <w:r w:rsidR="00EF11A0">
        <w:rPr>
          <w:rFonts w:ascii="Times New Roman" w:hAnsi="Times New Roman" w:cs="Times New Roman"/>
          <w:sz w:val="24"/>
          <w:szCs w:val="24"/>
        </w:rPr>
        <w:t xml:space="preserve">may </w:t>
      </w:r>
      <w:r w:rsidR="00E32F87">
        <w:rPr>
          <w:rFonts w:ascii="Times New Roman" w:hAnsi="Times New Roman" w:cs="Times New Roman"/>
          <w:sz w:val="24"/>
          <w:szCs w:val="24"/>
        </w:rPr>
        <w:t>have</w:t>
      </w:r>
      <w:r w:rsidR="001D3F65" w:rsidRPr="00F07DEB">
        <w:rPr>
          <w:rFonts w:ascii="Times New Roman" w:hAnsi="Times New Roman" w:cs="Times New Roman"/>
          <w:sz w:val="24"/>
          <w:szCs w:val="24"/>
        </w:rPr>
        <w:t xml:space="preserve"> </w:t>
      </w:r>
      <w:r w:rsidR="008F2EF2" w:rsidRPr="00F07DEB">
        <w:rPr>
          <w:rFonts w:ascii="Times New Roman" w:hAnsi="Times New Roman" w:cs="Times New Roman"/>
          <w:sz w:val="24"/>
          <w:szCs w:val="24"/>
        </w:rPr>
        <w:t>decrease</w:t>
      </w:r>
      <w:r w:rsidR="00E32F87">
        <w:rPr>
          <w:rFonts w:ascii="Times New Roman" w:hAnsi="Times New Roman" w:cs="Times New Roman"/>
          <w:sz w:val="24"/>
          <w:szCs w:val="24"/>
        </w:rPr>
        <w:t>d</w:t>
      </w:r>
      <w:r w:rsidR="008F2EF2" w:rsidRPr="00F07DEB">
        <w:rPr>
          <w:rFonts w:ascii="Times New Roman" w:hAnsi="Times New Roman" w:cs="Times New Roman"/>
          <w:sz w:val="24"/>
          <w:szCs w:val="24"/>
        </w:rPr>
        <w:t xml:space="preserve"> in height.</w:t>
      </w:r>
      <w:r w:rsidR="001D3F65" w:rsidRPr="00F07DEB">
        <w:rPr>
          <w:rFonts w:ascii="Times New Roman" w:hAnsi="Times New Roman" w:cs="Times New Roman"/>
          <w:sz w:val="24"/>
          <w:szCs w:val="24"/>
        </w:rPr>
        <w:t xml:space="preserve"> </w:t>
      </w:r>
    </w:p>
    <w:p w14:paraId="49D81DC6" w14:textId="17717E5A" w:rsidR="00E32F87" w:rsidRDefault="00E32F87" w:rsidP="00E32F87">
      <w:pPr>
        <w:keepNext/>
        <w:spacing w:line="240" w:lineRule="auto"/>
        <w:jc w:val="center"/>
      </w:pPr>
      <w:bookmarkStart w:id="104" w:name="_Ref56098493"/>
      <w:bookmarkEnd w:id="103"/>
    </w:p>
    <w:p w14:paraId="509E7284" w14:textId="5278F02D" w:rsidR="00A16051" w:rsidRDefault="00A16051" w:rsidP="00E32F87">
      <w:pPr>
        <w:keepNext/>
        <w:spacing w:line="240" w:lineRule="auto"/>
        <w:jc w:val="center"/>
      </w:pPr>
      <w:r>
        <w:rPr>
          <w:noProof/>
          <w:lang w:eastAsia="en-US"/>
        </w:rPr>
        <w:drawing>
          <wp:inline distT="0" distB="0" distL="0" distR="0" wp14:anchorId="04A2DAC3" wp14:editId="2D13C5A5">
            <wp:extent cx="5943600" cy="3528060"/>
            <wp:effectExtent l="0" t="0" r="0" b="1524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F5BDB14" w14:textId="09CD5987" w:rsidR="00FC4D2D" w:rsidRPr="00F07DEB" w:rsidRDefault="00E32F87" w:rsidP="00204C13">
      <w:pPr>
        <w:pStyle w:val="Caption"/>
      </w:pPr>
      <w:bookmarkStart w:id="105" w:name="_Ref56687761"/>
      <w:bookmarkStart w:id="106" w:name="_Toc58975235"/>
      <w:r>
        <w:t xml:space="preserve">Figure </w:t>
      </w:r>
      <w:r w:rsidR="0033797C">
        <w:rPr>
          <w:noProof/>
        </w:rPr>
        <w:fldChar w:fldCharType="begin"/>
      </w:r>
      <w:r w:rsidR="0033797C">
        <w:rPr>
          <w:noProof/>
        </w:rPr>
        <w:instrText xml:space="preserve"> SEQ Figure \* ARABIC </w:instrText>
      </w:r>
      <w:r w:rsidR="0033797C">
        <w:rPr>
          <w:noProof/>
        </w:rPr>
        <w:fldChar w:fldCharType="separate"/>
      </w:r>
      <w:r w:rsidR="00E179CA">
        <w:rPr>
          <w:noProof/>
        </w:rPr>
        <w:t>25</w:t>
      </w:r>
      <w:r w:rsidR="0033797C">
        <w:rPr>
          <w:noProof/>
        </w:rPr>
        <w:fldChar w:fldCharType="end"/>
      </w:r>
      <w:bookmarkEnd w:id="105"/>
      <w:r>
        <w:rPr>
          <w:noProof/>
        </w:rPr>
        <w:t xml:space="preserve">: </w:t>
      </w:r>
      <w:r w:rsidRPr="0071619C">
        <w:rPr>
          <w:noProof/>
        </w:rPr>
        <w:t>Mean apex leaf height of sorghum plants during groundwater and mine water irrigation (bars represent standard deviation</w:t>
      </w:r>
      <w:r w:rsidR="0090411C">
        <w:rPr>
          <w:noProof/>
        </w:rPr>
        <w:t>; each point represents n=6</w:t>
      </w:r>
      <w:r w:rsidRPr="0071619C">
        <w:rPr>
          <w:noProof/>
        </w:rPr>
        <w:t>)</w:t>
      </w:r>
      <w:bookmarkEnd w:id="106"/>
    </w:p>
    <w:bookmarkEnd w:id="104"/>
    <w:p w14:paraId="39917042" w14:textId="77777777" w:rsidR="00E32F87" w:rsidRPr="00F07DEB" w:rsidRDefault="00E32F87" w:rsidP="00E32F87">
      <w:pPr>
        <w:spacing w:line="240" w:lineRule="auto"/>
        <w:rPr>
          <w:rFonts w:ascii="Times New Roman" w:hAnsi="Times New Roman" w:cs="Times New Roman"/>
          <w:b/>
          <w:noProof/>
          <w:sz w:val="20"/>
          <w:szCs w:val="20"/>
        </w:rPr>
      </w:pPr>
    </w:p>
    <w:p w14:paraId="39D3CFB5" w14:textId="6DAFFBE7" w:rsidR="008F2EF2" w:rsidRPr="00F07DEB" w:rsidRDefault="008F2EF2" w:rsidP="008F2EF2">
      <w:pPr>
        <w:spacing w:line="480" w:lineRule="auto"/>
        <w:ind w:firstLine="713"/>
        <w:rPr>
          <w:rFonts w:ascii="Times New Roman" w:hAnsi="Times New Roman" w:cs="Times New Roman"/>
          <w:sz w:val="24"/>
          <w:szCs w:val="24"/>
        </w:rPr>
      </w:pPr>
      <w:r w:rsidRPr="00F07DEB">
        <w:rPr>
          <w:rFonts w:ascii="Times New Roman" w:hAnsi="Times New Roman" w:cs="Times New Roman"/>
          <w:sz w:val="24"/>
          <w:szCs w:val="24"/>
        </w:rPr>
        <w:t xml:space="preserve">The mean percentages of pot area covered by </w:t>
      </w:r>
      <w:r w:rsidR="00EF11A0">
        <w:rPr>
          <w:rFonts w:ascii="Times New Roman" w:hAnsi="Times New Roman" w:cs="Times New Roman"/>
          <w:sz w:val="24"/>
          <w:szCs w:val="24"/>
        </w:rPr>
        <w:t xml:space="preserve">Bermuda </w:t>
      </w:r>
      <w:r w:rsidRPr="00F07DEB">
        <w:rPr>
          <w:rFonts w:ascii="Times New Roman" w:hAnsi="Times New Roman" w:cs="Times New Roman"/>
          <w:sz w:val="24"/>
          <w:szCs w:val="24"/>
        </w:rPr>
        <w:t xml:space="preserve">grass under each irrigation treatment are plotted in </w:t>
      </w:r>
      <w:r w:rsidR="00464937" w:rsidRPr="00F07DEB">
        <w:rPr>
          <w:rFonts w:ascii="Times New Roman" w:hAnsi="Times New Roman" w:cs="Times New Roman"/>
          <w:sz w:val="24"/>
          <w:szCs w:val="24"/>
        </w:rPr>
        <w:fldChar w:fldCharType="begin"/>
      </w:r>
      <w:r w:rsidR="00464937" w:rsidRPr="00F07DEB">
        <w:rPr>
          <w:rFonts w:ascii="Times New Roman" w:hAnsi="Times New Roman" w:cs="Times New Roman"/>
          <w:sz w:val="24"/>
          <w:szCs w:val="24"/>
        </w:rPr>
        <w:instrText xml:space="preserve"> REF _Ref56108461 \h  \* MERGEFORMAT </w:instrText>
      </w:r>
      <w:r w:rsidR="00464937" w:rsidRPr="00F07DEB">
        <w:rPr>
          <w:rFonts w:ascii="Times New Roman" w:hAnsi="Times New Roman" w:cs="Times New Roman"/>
          <w:sz w:val="24"/>
          <w:szCs w:val="24"/>
        </w:rPr>
      </w:r>
      <w:r w:rsidR="00464937"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26</w:t>
      </w:r>
      <w:r w:rsidR="00464937" w:rsidRPr="00F07DEB">
        <w:rPr>
          <w:rFonts w:ascii="Times New Roman" w:hAnsi="Times New Roman" w:cs="Times New Roman"/>
          <w:sz w:val="24"/>
          <w:szCs w:val="24"/>
        </w:rPr>
        <w:fldChar w:fldCharType="end"/>
      </w:r>
      <w:r w:rsidRPr="00F07DEB">
        <w:rPr>
          <w:rFonts w:ascii="Times New Roman" w:hAnsi="Times New Roman" w:cs="Times New Roman"/>
          <w:sz w:val="24"/>
          <w:szCs w:val="24"/>
        </w:rPr>
        <w:t>.</w:t>
      </w:r>
      <w:r w:rsidR="00A81BEF" w:rsidRPr="00F07DEB">
        <w:rPr>
          <w:rFonts w:ascii="Times New Roman" w:hAnsi="Times New Roman" w:cs="Times New Roman"/>
          <w:sz w:val="24"/>
          <w:szCs w:val="24"/>
        </w:rPr>
        <w:t xml:space="preserve"> </w:t>
      </w:r>
      <w:r w:rsidRPr="00F07DEB">
        <w:rPr>
          <w:rFonts w:ascii="Times New Roman" w:hAnsi="Times New Roman" w:cs="Times New Roman"/>
          <w:sz w:val="24"/>
          <w:szCs w:val="24"/>
        </w:rPr>
        <w:t>There was not a significant main effect of irrigation treatment (</w:t>
      </w:r>
      <w:proofErr w:type="gramStart"/>
      <w:r w:rsidRPr="00204C13">
        <w:rPr>
          <w:rFonts w:ascii="Times New Roman" w:hAnsi="Times New Roman" w:cs="Times New Roman"/>
          <w:i/>
          <w:sz w:val="24"/>
          <w:szCs w:val="24"/>
        </w:rPr>
        <w:t>F</w:t>
      </w:r>
      <w:r w:rsidRPr="00F07DEB">
        <w:rPr>
          <w:rFonts w:ascii="Times New Roman" w:hAnsi="Times New Roman" w:cs="Times New Roman"/>
          <w:sz w:val="24"/>
          <w:szCs w:val="24"/>
        </w:rPr>
        <w:t>(</w:t>
      </w:r>
      <w:proofErr w:type="gramEnd"/>
      <w:r w:rsidRPr="00F07DEB">
        <w:rPr>
          <w:rFonts w:ascii="Times New Roman" w:hAnsi="Times New Roman" w:cs="Times New Roman"/>
          <w:sz w:val="24"/>
          <w:szCs w:val="24"/>
        </w:rPr>
        <w:t xml:space="preserve">1,10) = 0.1.48, </w:t>
      </w:r>
      <w:r w:rsidRPr="00385CDA">
        <w:rPr>
          <w:rFonts w:ascii="Times New Roman" w:hAnsi="Times New Roman" w:cs="Times New Roman"/>
          <w:i/>
          <w:sz w:val="24"/>
          <w:szCs w:val="24"/>
        </w:rPr>
        <w:t>p</w:t>
      </w:r>
      <w:r w:rsidRPr="00F07DEB">
        <w:rPr>
          <w:rFonts w:ascii="Times New Roman" w:hAnsi="Times New Roman" w:cs="Times New Roman"/>
          <w:sz w:val="24"/>
          <w:szCs w:val="24"/>
        </w:rPr>
        <w:t xml:space="preserve"> = 0.251) on percent coverage. There was a significant main effect of measuring event (</w:t>
      </w:r>
      <w:proofErr w:type="gramStart"/>
      <w:r w:rsidRPr="00204C13">
        <w:rPr>
          <w:rFonts w:ascii="Times New Roman" w:hAnsi="Times New Roman" w:cs="Times New Roman"/>
          <w:i/>
          <w:sz w:val="24"/>
          <w:szCs w:val="24"/>
        </w:rPr>
        <w:t>F</w:t>
      </w:r>
      <w:r w:rsidRPr="00F07DEB">
        <w:rPr>
          <w:rFonts w:ascii="Times New Roman" w:hAnsi="Times New Roman" w:cs="Times New Roman"/>
          <w:sz w:val="24"/>
          <w:szCs w:val="24"/>
        </w:rPr>
        <w:t>(</w:t>
      </w:r>
      <w:proofErr w:type="gramEnd"/>
      <w:r w:rsidRPr="00F07DEB">
        <w:rPr>
          <w:rFonts w:ascii="Times New Roman" w:hAnsi="Times New Roman" w:cs="Times New Roman"/>
          <w:sz w:val="24"/>
          <w:szCs w:val="24"/>
        </w:rPr>
        <w:t xml:space="preserve">2.29,22.92) = 15.4, </w:t>
      </w:r>
      <w:r w:rsidRPr="00385CDA">
        <w:rPr>
          <w:rFonts w:ascii="Times New Roman" w:hAnsi="Times New Roman" w:cs="Times New Roman"/>
          <w:i/>
          <w:sz w:val="24"/>
          <w:szCs w:val="24"/>
        </w:rPr>
        <w:t>p</w:t>
      </w:r>
      <w:r w:rsidRPr="00F07DEB">
        <w:rPr>
          <w:rFonts w:ascii="Times New Roman" w:hAnsi="Times New Roman" w:cs="Times New Roman"/>
          <w:sz w:val="24"/>
          <w:szCs w:val="24"/>
        </w:rPr>
        <w:t xml:space="preserve"> &lt; 0.001) on percent coverage, indicating that Bermuda grass coverage differed between at least two measuring events. The interaction effect between irrigation treatment and measuring event was not significant (</w:t>
      </w:r>
      <w:proofErr w:type="gramStart"/>
      <w:r w:rsidRPr="00204C13">
        <w:rPr>
          <w:rFonts w:ascii="Times New Roman" w:hAnsi="Times New Roman" w:cs="Times New Roman"/>
          <w:i/>
          <w:sz w:val="24"/>
          <w:szCs w:val="24"/>
        </w:rPr>
        <w:t>F</w:t>
      </w:r>
      <w:r w:rsidRPr="00F07DEB">
        <w:rPr>
          <w:rFonts w:ascii="Times New Roman" w:hAnsi="Times New Roman" w:cs="Times New Roman"/>
          <w:sz w:val="24"/>
          <w:szCs w:val="24"/>
        </w:rPr>
        <w:t>(</w:t>
      </w:r>
      <w:proofErr w:type="gramEnd"/>
      <w:r w:rsidRPr="00F07DEB">
        <w:rPr>
          <w:rFonts w:ascii="Times New Roman" w:hAnsi="Times New Roman" w:cs="Times New Roman"/>
          <w:sz w:val="24"/>
          <w:szCs w:val="24"/>
        </w:rPr>
        <w:t xml:space="preserve">2.29,22.92) = 0.610, </w:t>
      </w:r>
      <w:r w:rsidRPr="00385CDA">
        <w:rPr>
          <w:rFonts w:ascii="Times New Roman" w:hAnsi="Times New Roman" w:cs="Times New Roman"/>
          <w:i/>
          <w:sz w:val="24"/>
          <w:szCs w:val="24"/>
        </w:rPr>
        <w:t>p</w:t>
      </w:r>
      <w:r w:rsidRPr="00F07DEB">
        <w:rPr>
          <w:rFonts w:ascii="Times New Roman" w:hAnsi="Times New Roman" w:cs="Times New Roman"/>
          <w:sz w:val="24"/>
          <w:szCs w:val="24"/>
        </w:rPr>
        <w:t xml:space="preserve"> = 0.573). </w:t>
      </w:r>
      <w:r w:rsidR="00464937" w:rsidRPr="00F07DEB">
        <w:rPr>
          <w:rFonts w:ascii="Times New Roman" w:hAnsi="Times New Roman" w:cs="Times New Roman"/>
          <w:sz w:val="24"/>
          <w:szCs w:val="24"/>
        </w:rPr>
        <w:t xml:space="preserve">Percent coverage decreased on August 20 when Bermuda grass was harvested for the first </w:t>
      </w:r>
      <w:r w:rsidR="00A16051">
        <w:rPr>
          <w:rFonts w:ascii="Times New Roman" w:hAnsi="Times New Roman" w:cs="Times New Roman"/>
          <w:sz w:val="24"/>
          <w:szCs w:val="24"/>
        </w:rPr>
        <w:t xml:space="preserve">of two </w:t>
      </w:r>
      <w:r w:rsidR="00464937" w:rsidRPr="00F07DEB">
        <w:rPr>
          <w:rFonts w:ascii="Times New Roman" w:hAnsi="Times New Roman" w:cs="Times New Roman"/>
          <w:sz w:val="24"/>
          <w:szCs w:val="24"/>
        </w:rPr>
        <w:t>time</w:t>
      </w:r>
      <w:r w:rsidR="00A16051">
        <w:rPr>
          <w:rFonts w:ascii="Times New Roman" w:hAnsi="Times New Roman" w:cs="Times New Roman"/>
          <w:sz w:val="24"/>
          <w:szCs w:val="24"/>
        </w:rPr>
        <w:t>s; a</w:t>
      </w:r>
      <w:r w:rsidR="00A16051" w:rsidRPr="00A16051">
        <w:rPr>
          <w:rFonts w:ascii="Times New Roman" w:hAnsi="Times New Roman" w:cs="Times New Roman"/>
          <w:sz w:val="24"/>
          <w:szCs w:val="24"/>
        </w:rPr>
        <w:t>ll grass stems from tip of blade to five cm above the substrate</w:t>
      </w:r>
      <w:r w:rsidR="00A16051">
        <w:rPr>
          <w:rFonts w:ascii="Times New Roman" w:hAnsi="Times New Roman" w:cs="Times New Roman"/>
          <w:sz w:val="24"/>
          <w:szCs w:val="24"/>
        </w:rPr>
        <w:t xml:space="preserve"> surface were removed and dried, ground, and </w:t>
      </w:r>
      <w:r w:rsidR="00A16051" w:rsidRPr="00A16051">
        <w:rPr>
          <w:rFonts w:ascii="Times New Roman" w:hAnsi="Times New Roman" w:cs="Times New Roman"/>
          <w:sz w:val="24"/>
          <w:szCs w:val="24"/>
        </w:rPr>
        <w:t xml:space="preserve">homogenized by pot, </w:t>
      </w:r>
      <w:r w:rsidR="00A16051">
        <w:rPr>
          <w:rFonts w:ascii="Times New Roman" w:hAnsi="Times New Roman" w:cs="Times New Roman"/>
          <w:sz w:val="24"/>
          <w:szCs w:val="24"/>
        </w:rPr>
        <w:t xml:space="preserve">thereby </w:t>
      </w:r>
      <w:r w:rsidR="00A16051" w:rsidRPr="00A16051">
        <w:rPr>
          <w:rFonts w:ascii="Times New Roman" w:hAnsi="Times New Roman" w:cs="Times New Roman"/>
          <w:sz w:val="24"/>
          <w:szCs w:val="24"/>
        </w:rPr>
        <w:t xml:space="preserve">creating 12 samples from each harvest. </w:t>
      </w:r>
      <w:r w:rsidR="00A16051">
        <w:rPr>
          <w:rFonts w:ascii="Times New Roman" w:hAnsi="Times New Roman" w:cs="Times New Roman"/>
          <w:sz w:val="24"/>
          <w:szCs w:val="24"/>
        </w:rPr>
        <w:t>Because</w:t>
      </w:r>
      <w:r w:rsidR="00464937" w:rsidRPr="00F07DEB">
        <w:rPr>
          <w:rFonts w:ascii="Times New Roman" w:hAnsi="Times New Roman" w:cs="Times New Roman"/>
          <w:sz w:val="24"/>
          <w:szCs w:val="24"/>
        </w:rPr>
        <w:t xml:space="preserve"> </w:t>
      </w:r>
      <w:r w:rsidR="00464937" w:rsidRPr="00F07DEB">
        <w:rPr>
          <w:rFonts w:ascii="Times New Roman" w:hAnsi="Times New Roman" w:cs="Times New Roman"/>
          <w:sz w:val="24"/>
          <w:szCs w:val="24"/>
        </w:rPr>
        <w:lastRenderedPageBreak/>
        <w:t xml:space="preserve">the first five </w:t>
      </w:r>
      <w:r w:rsidR="00A16051">
        <w:rPr>
          <w:rFonts w:ascii="Times New Roman" w:hAnsi="Times New Roman" w:cs="Times New Roman"/>
          <w:sz w:val="24"/>
          <w:szCs w:val="24"/>
        </w:rPr>
        <w:t>cm</w:t>
      </w:r>
      <w:r w:rsidR="00A16051" w:rsidRPr="00F07DEB">
        <w:rPr>
          <w:rFonts w:ascii="Times New Roman" w:hAnsi="Times New Roman" w:cs="Times New Roman"/>
          <w:sz w:val="24"/>
          <w:szCs w:val="24"/>
        </w:rPr>
        <w:t xml:space="preserve"> </w:t>
      </w:r>
      <w:r w:rsidR="00464937" w:rsidRPr="00F07DEB">
        <w:rPr>
          <w:rFonts w:ascii="Times New Roman" w:hAnsi="Times New Roman" w:cs="Times New Roman"/>
          <w:sz w:val="24"/>
          <w:szCs w:val="24"/>
        </w:rPr>
        <w:t>of grass were left intact</w:t>
      </w:r>
      <w:r w:rsidR="00A16051">
        <w:rPr>
          <w:rFonts w:ascii="Times New Roman" w:hAnsi="Times New Roman" w:cs="Times New Roman"/>
          <w:sz w:val="24"/>
          <w:szCs w:val="24"/>
        </w:rPr>
        <w:t xml:space="preserve"> in all pots,</w:t>
      </w:r>
      <w:r w:rsidR="00464937" w:rsidRPr="00F07DEB">
        <w:rPr>
          <w:rFonts w:ascii="Times New Roman" w:hAnsi="Times New Roman" w:cs="Times New Roman"/>
          <w:sz w:val="24"/>
          <w:szCs w:val="24"/>
        </w:rPr>
        <w:t xml:space="preserve"> coverage areas rebounded by the next time they were recorded.</w:t>
      </w:r>
    </w:p>
    <w:p w14:paraId="01C9D869" w14:textId="10D0BA67" w:rsidR="008F2EF2" w:rsidRPr="00F07DEB" w:rsidRDefault="00F97ADF" w:rsidP="008F2EF2">
      <w:pPr>
        <w:keepNext/>
        <w:spacing w:line="240" w:lineRule="auto"/>
        <w:jc w:val="center"/>
        <w:rPr>
          <w:rFonts w:ascii="Times New Roman" w:hAnsi="Times New Roman" w:cs="Times New Roman"/>
        </w:rPr>
      </w:pPr>
      <w:r w:rsidRPr="00F97ADF">
        <w:rPr>
          <w:noProof/>
          <w:lang w:eastAsia="en-US"/>
        </w:rPr>
        <w:t xml:space="preserve"> </w:t>
      </w:r>
      <w:r>
        <w:rPr>
          <w:noProof/>
          <w:lang w:eastAsia="en-US"/>
        </w:rPr>
        <w:drawing>
          <wp:inline distT="0" distB="0" distL="0" distR="0" wp14:anchorId="734F7234" wp14:editId="0454F528">
            <wp:extent cx="4508964" cy="3144598"/>
            <wp:effectExtent l="0" t="0" r="6350" b="1778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77FE586" w14:textId="4A57EF80" w:rsidR="008F2EF2" w:rsidRDefault="008F2EF2" w:rsidP="00204C13">
      <w:pPr>
        <w:pStyle w:val="Caption"/>
      </w:pPr>
      <w:bookmarkStart w:id="107" w:name="_Ref56108461"/>
      <w:bookmarkStart w:id="108" w:name="_Toc58975236"/>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26</w:t>
      </w:r>
      <w:r w:rsidR="00DE3B90" w:rsidRPr="00F07DEB">
        <w:rPr>
          <w:noProof/>
        </w:rPr>
        <w:fldChar w:fldCharType="end"/>
      </w:r>
      <w:bookmarkEnd w:id="107"/>
      <w:r w:rsidRPr="00F07DEB">
        <w:t>: Mean percent coverage of Bermuda grass pots during groundwater and mine water irrigation</w:t>
      </w:r>
      <w:r w:rsidR="00FC4D2D" w:rsidRPr="00F07DEB">
        <w:t xml:space="preserve"> (bars represent standard deviation</w:t>
      </w:r>
      <w:r w:rsidR="0090411C">
        <w:t>; each point represents n=6</w:t>
      </w:r>
      <w:r w:rsidR="00FC4D2D" w:rsidRPr="00F07DEB">
        <w:t>)</w:t>
      </w:r>
      <w:bookmarkEnd w:id="108"/>
    </w:p>
    <w:p w14:paraId="1B8C5CCF" w14:textId="77777777" w:rsidR="00E32F87" w:rsidRPr="00E32F87" w:rsidRDefault="00E32F87" w:rsidP="00E32F87"/>
    <w:p w14:paraId="22EFB117" w14:textId="221C01EB" w:rsidR="00F32197" w:rsidRPr="00F07DEB" w:rsidRDefault="00F32197" w:rsidP="00A81BEF">
      <w:pPr>
        <w:pStyle w:val="Heading3"/>
        <w:spacing w:line="480" w:lineRule="auto"/>
        <w:ind w:left="990"/>
      </w:pPr>
      <w:bookmarkStart w:id="109" w:name="_Toc58975175"/>
      <w:r w:rsidRPr="00F07DEB">
        <w:t>Plant Biomass</w:t>
      </w:r>
      <w:bookmarkEnd w:id="109"/>
    </w:p>
    <w:p w14:paraId="275FAD24" w14:textId="742FCB7B" w:rsidR="006F5D87" w:rsidRPr="00F07DEB" w:rsidRDefault="008E40EF" w:rsidP="008834FB">
      <w:pPr>
        <w:spacing w:line="480" w:lineRule="auto"/>
        <w:ind w:firstLine="720"/>
        <w:rPr>
          <w:rFonts w:ascii="Times New Roman" w:hAnsi="Times New Roman" w:cs="Times New Roman"/>
          <w:noProof/>
          <w:sz w:val="24"/>
          <w:szCs w:val="24"/>
        </w:rPr>
      </w:pPr>
      <w:r w:rsidRPr="00F07DEB">
        <w:rPr>
          <w:rFonts w:ascii="Times New Roman" w:hAnsi="Times New Roman" w:cs="Times New Roman"/>
          <w:sz w:val="24"/>
          <w:szCs w:val="24"/>
        </w:rPr>
        <w:t xml:space="preserve">Within each species, </w:t>
      </w:r>
      <w:r w:rsidR="00C1797A" w:rsidRPr="00F07DEB">
        <w:rPr>
          <w:rFonts w:ascii="Times New Roman" w:hAnsi="Times New Roman" w:cs="Times New Roman"/>
          <w:sz w:val="24"/>
          <w:szCs w:val="24"/>
        </w:rPr>
        <w:t>dry</w:t>
      </w:r>
      <w:r w:rsidRPr="00F07DEB">
        <w:rPr>
          <w:rFonts w:ascii="Times New Roman" w:hAnsi="Times New Roman" w:cs="Times New Roman"/>
          <w:sz w:val="24"/>
          <w:szCs w:val="24"/>
        </w:rPr>
        <w:t xml:space="preserve"> biomasses were compared between irrigation treatments for each unique plant structure</w:t>
      </w:r>
      <w:r w:rsidR="007F7BF6" w:rsidRPr="00F07DEB">
        <w:rPr>
          <w:rFonts w:ascii="Times New Roman" w:hAnsi="Times New Roman" w:cs="Times New Roman"/>
          <w:sz w:val="24"/>
          <w:szCs w:val="24"/>
        </w:rPr>
        <w:t xml:space="preserve"> (e.g., roots</w:t>
      </w:r>
      <w:r w:rsidR="0090411C">
        <w:rPr>
          <w:rFonts w:ascii="Times New Roman" w:hAnsi="Times New Roman" w:cs="Times New Roman"/>
          <w:sz w:val="24"/>
          <w:szCs w:val="24"/>
        </w:rPr>
        <w:t>, stems, leaves, and reproductive organs</w:t>
      </w:r>
      <w:r w:rsidR="007F7BF6" w:rsidRPr="00F07DEB">
        <w:rPr>
          <w:rFonts w:ascii="Times New Roman" w:hAnsi="Times New Roman" w:cs="Times New Roman"/>
          <w:sz w:val="24"/>
          <w:szCs w:val="24"/>
        </w:rPr>
        <w:t>)</w:t>
      </w:r>
      <w:r w:rsidRPr="00F07DEB">
        <w:rPr>
          <w:rFonts w:ascii="Times New Roman" w:hAnsi="Times New Roman" w:cs="Times New Roman"/>
          <w:sz w:val="24"/>
          <w:szCs w:val="24"/>
        </w:rPr>
        <w:t xml:space="preserve">. A variety of </w:t>
      </w:r>
      <w:r w:rsidR="00C1797A" w:rsidRPr="00F07DEB">
        <w:rPr>
          <w:rFonts w:ascii="Times New Roman" w:hAnsi="Times New Roman" w:cs="Times New Roman"/>
          <w:sz w:val="24"/>
          <w:szCs w:val="24"/>
        </w:rPr>
        <w:t xml:space="preserve">two-tailed </w:t>
      </w:r>
      <w:r w:rsidRPr="00F07DEB">
        <w:rPr>
          <w:rFonts w:ascii="Times New Roman" w:hAnsi="Times New Roman" w:cs="Times New Roman"/>
          <w:sz w:val="24"/>
          <w:szCs w:val="24"/>
        </w:rPr>
        <w:t xml:space="preserve">hypothesis tests for two independent samples </w:t>
      </w:r>
      <w:r w:rsidR="00EF11A0" w:rsidRPr="00F07DEB">
        <w:rPr>
          <w:rFonts w:ascii="Times New Roman" w:hAnsi="Times New Roman" w:cs="Times New Roman"/>
          <w:sz w:val="24"/>
          <w:szCs w:val="24"/>
        </w:rPr>
        <w:t>w</w:t>
      </w:r>
      <w:r w:rsidR="00EF11A0">
        <w:rPr>
          <w:rFonts w:ascii="Times New Roman" w:hAnsi="Times New Roman" w:cs="Times New Roman"/>
          <w:sz w:val="24"/>
          <w:szCs w:val="24"/>
        </w:rPr>
        <w:t>as</w:t>
      </w:r>
      <w:r w:rsidRPr="00F07DEB">
        <w:rPr>
          <w:rFonts w:ascii="Times New Roman" w:hAnsi="Times New Roman" w:cs="Times New Roman"/>
          <w:sz w:val="24"/>
          <w:szCs w:val="24"/>
        </w:rPr>
        <w:t xml:space="preserve"> considered for each statistical comparison, and the appropriate parametric or nonparametric test was selected based on normality of the data, homogeneity of variances, and the presence of outliers. Normality was assessed through an inspection of box plots and the Shapiro-Wilk test; a significant </w:t>
      </w:r>
      <w:r w:rsidRPr="007B5610">
        <w:rPr>
          <w:rFonts w:ascii="Times New Roman" w:hAnsi="Times New Roman" w:cs="Times New Roman"/>
          <w:i/>
          <w:sz w:val="24"/>
          <w:szCs w:val="24"/>
        </w:rPr>
        <w:t>p</w:t>
      </w:r>
      <w:r w:rsidRPr="00F07DEB">
        <w:rPr>
          <w:rFonts w:ascii="Times New Roman" w:hAnsi="Times New Roman" w:cs="Times New Roman"/>
          <w:sz w:val="24"/>
          <w:szCs w:val="24"/>
        </w:rPr>
        <w:t xml:space="preserve">-value </w:t>
      </w:r>
      <w:r w:rsidR="007B463F">
        <w:rPr>
          <w:rFonts w:ascii="Times New Roman" w:hAnsi="Times New Roman" w:cs="Times New Roman"/>
          <w:sz w:val="24"/>
          <w:szCs w:val="24"/>
        </w:rPr>
        <w:t>(</w:t>
      </w:r>
      <w:r w:rsidR="007B463F" w:rsidRPr="00204C13">
        <w:rPr>
          <w:rFonts w:ascii="Times New Roman" w:hAnsi="Times New Roman" w:cs="Times New Roman"/>
          <w:i/>
          <w:sz w:val="24"/>
          <w:szCs w:val="24"/>
        </w:rPr>
        <w:t>p</w:t>
      </w:r>
      <w:r w:rsidR="007B463F">
        <w:rPr>
          <w:rFonts w:ascii="Times New Roman" w:hAnsi="Times New Roman" w:cs="Times New Roman"/>
          <w:sz w:val="24"/>
          <w:szCs w:val="24"/>
        </w:rPr>
        <w:t xml:space="preserve"> ≤ 0.0</w:t>
      </w:r>
      <w:r w:rsidR="007B463F" w:rsidRPr="00F07DEB">
        <w:rPr>
          <w:rFonts w:ascii="Times New Roman" w:hAnsi="Times New Roman" w:cs="Times New Roman"/>
          <w:sz w:val="24"/>
          <w:szCs w:val="24"/>
        </w:rPr>
        <w:t xml:space="preserve">5) </w:t>
      </w:r>
      <w:r w:rsidRPr="00F07DEB">
        <w:rPr>
          <w:rFonts w:ascii="Times New Roman" w:hAnsi="Times New Roman" w:cs="Times New Roman"/>
          <w:sz w:val="24"/>
          <w:szCs w:val="24"/>
        </w:rPr>
        <w:t xml:space="preserve">indicated non-normality. </w:t>
      </w:r>
      <w:r w:rsidR="002759FC" w:rsidRPr="00F07DEB">
        <w:rPr>
          <w:rFonts w:ascii="Times New Roman" w:hAnsi="Times New Roman" w:cs="Times New Roman"/>
          <w:sz w:val="24"/>
          <w:szCs w:val="24"/>
        </w:rPr>
        <w:t>Homogeneity of variances</w:t>
      </w:r>
      <w:r w:rsidRPr="00F07DEB">
        <w:rPr>
          <w:rFonts w:ascii="Times New Roman" w:hAnsi="Times New Roman" w:cs="Times New Roman"/>
          <w:sz w:val="24"/>
          <w:szCs w:val="24"/>
        </w:rPr>
        <w:t xml:space="preserve"> </w:t>
      </w:r>
      <w:r w:rsidR="002759FC" w:rsidRPr="00F07DEB">
        <w:rPr>
          <w:rFonts w:ascii="Times New Roman" w:hAnsi="Times New Roman" w:cs="Times New Roman"/>
          <w:sz w:val="24"/>
          <w:szCs w:val="24"/>
        </w:rPr>
        <w:t>could be</w:t>
      </w:r>
      <w:r w:rsidRPr="00F07DEB">
        <w:rPr>
          <w:rFonts w:ascii="Times New Roman" w:hAnsi="Times New Roman" w:cs="Times New Roman"/>
          <w:sz w:val="24"/>
          <w:szCs w:val="24"/>
        </w:rPr>
        <w:t xml:space="preserve"> </w:t>
      </w:r>
      <w:r w:rsidR="002759FC" w:rsidRPr="00F07DEB">
        <w:rPr>
          <w:rFonts w:ascii="Times New Roman" w:hAnsi="Times New Roman" w:cs="Times New Roman"/>
          <w:sz w:val="24"/>
          <w:szCs w:val="24"/>
        </w:rPr>
        <w:t>assumed</w:t>
      </w:r>
      <w:r w:rsidRPr="00F07DEB">
        <w:rPr>
          <w:rFonts w:ascii="Times New Roman" w:hAnsi="Times New Roman" w:cs="Times New Roman"/>
          <w:sz w:val="24"/>
          <w:szCs w:val="24"/>
        </w:rPr>
        <w:t xml:space="preserve"> </w:t>
      </w:r>
      <w:r w:rsidR="002759FC" w:rsidRPr="00F07DEB">
        <w:rPr>
          <w:rFonts w:ascii="Times New Roman" w:hAnsi="Times New Roman" w:cs="Times New Roman"/>
          <w:sz w:val="24"/>
          <w:szCs w:val="24"/>
        </w:rPr>
        <w:t xml:space="preserve">with a non-significant </w:t>
      </w:r>
      <w:r w:rsidR="002759FC" w:rsidRPr="007B5610">
        <w:rPr>
          <w:rFonts w:ascii="Times New Roman" w:hAnsi="Times New Roman" w:cs="Times New Roman"/>
          <w:i/>
          <w:sz w:val="24"/>
          <w:szCs w:val="24"/>
        </w:rPr>
        <w:t>p</w:t>
      </w:r>
      <w:r w:rsidR="002759FC" w:rsidRPr="00F07DEB">
        <w:rPr>
          <w:rFonts w:ascii="Times New Roman" w:hAnsi="Times New Roman" w:cs="Times New Roman"/>
          <w:sz w:val="24"/>
          <w:szCs w:val="24"/>
        </w:rPr>
        <w:t xml:space="preserve">-value </w:t>
      </w:r>
      <w:r w:rsidR="007B463F">
        <w:rPr>
          <w:rFonts w:ascii="Times New Roman" w:hAnsi="Times New Roman" w:cs="Times New Roman"/>
          <w:sz w:val="24"/>
          <w:szCs w:val="24"/>
        </w:rPr>
        <w:t>(</w:t>
      </w:r>
      <w:r w:rsidR="007B463F" w:rsidRPr="00204C13">
        <w:rPr>
          <w:rFonts w:ascii="Times New Roman" w:hAnsi="Times New Roman" w:cs="Times New Roman"/>
          <w:i/>
          <w:sz w:val="24"/>
          <w:szCs w:val="24"/>
        </w:rPr>
        <w:t>p</w:t>
      </w:r>
      <w:r w:rsidR="007B463F">
        <w:rPr>
          <w:rFonts w:ascii="Times New Roman" w:hAnsi="Times New Roman" w:cs="Times New Roman"/>
          <w:sz w:val="24"/>
          <w:szCs w:val="24"/>
        </w:rPr>
        <w:t xml:space="preserve"> ≤ 0.1</w:t>
      </w:r>
      <w:r w:rsidR="007B463F" w:rsidRPr="00F07DEB">
        <w:rPr>
          <w:rFonts w:ascii="Times New Roman" w:hAnsi="Times New Roman" w:cs="Times New Roman"/>
          <w:sz w:val="24"/>
          <w:szCs w:val="24"/>
        </w:rPr>
        <w:t xml:space="preserve">5) </w:t>
      </w:r>
      <w:r w:rsidR="002759FC" w:rsidRPr="00F07DEB">
        <w:rPr>
          <w:rFonts w:ascii="Times New Roman" w:hAnsi="Times New Roman" w:cs="Times New Roman"/>
          <w:sz w:val="24"/>
          <w:szCs w:val="24"/>
        </w:rPr>
        <w:t xml:space="preserve">from </w:t>
      </w:r>
      <w:proofErr w:type="spellStart"/>
      <w:r w:rsidR="002759FC" w:rsidRPr="00F07DEB">
        <w:rPr>
          <w:rFonts w:ascii="Times New Roman" w:hAnsi="Times New Roman" w:cs="Times New Roman"/>
          <w:sz w:val="24"/>
          <w:szCs w:val="24"/>
        </w:rPr>
        <w:t>Levene’s</w:t>
      </w:r>
      <w:proofErr w:type="spellEnd"/>
      <w:r w:rsidR="002759FC" w:rsidRPr="00F07DEB">
        <w:rPr>
          <w:rFonts w:ascii="Times New Roman" w:hAnsi="Times New Roman" w:cs="Times New Roman"/>
          <w:sz w:val="24"/>
          <w:szCs w:val="24"/>
        </w:rPr>
        <w:t xml:space="preserve"> test for equality of variances based on group means. The presence of outliers was noted in the box plots. If all three assumptions were satisfied, a </w:t>
      </w:r>
      <w:r w:rsidR="002759FC" w:rsidRPr="00F07DEB">
        <w:rPr>
          <w:rFonts w:ascii="Times New Roman" w:hAnsi="Times New Roman" w:cs="Times New Roman"/>
          <w:sz w:val="24"/>
          <w:szCs w:val="24"/>
        </w:rPr>
        <w:lastRenderedPageBreak/>
        <w:t xml:space="preserve">Student’s t-test was used to compare structural biomasses. If normality was assumed and no outliers were present but homogeneity of variances was not satisfied, Welch’s t-test for unequal variances was used. </w:t>
      </w:r>
      <w:r w:rsidR="00EF11A0">
        <w:rPr>
          <w:rFonts w:ascii="Times New Roman" w:hAnsi="Times New Roman" w:cs="Times New Roman"/>
          <w:sz w:val="24"/>
          <w:szCs w:val="24"/>
        </w:rPr>
        <w:t>I</w:t>
      </w:r>
      <w:r w:rsidR="002759FC" w:rsidRPr="00F07DEB">
        <w:rPr>
          <w:rFonts w:ascii="Times New Roman" w:hAnsi="Times New Roman" w:cs="Times New Roman"/>
          <w:sz w:val="24"/>
          <w:szCs w:val="24"/>
        </w:rPr>
        <w:t>f the data were non-normal</w:t>
      </w:r>
      <w:r w:rsidR="00857729" w:rsidRPr="00F07DEB">
        <w:rPr>
          <w:rFonts w:ascii="Times New Roman" w:hAnsi="Times New Roman" w:cs="Times New Roman"/>
          <w:sz w:val="24"/>
          <w:szCs w:val="24"/>
        </w:rPr>
        <w:t>, variances were unequal, and outliers were present, the Mann-Whitney U t</w:t>
      </w:r>
      <w:r w:rsidR="00857729" w:rsidRPr="00641A81">
        <w:rPr>
          <w:rFonts w:ascii="Times New Roman" w:hAnsi="Times New Roman" w:cs="Times New Roman"/>
          <w:sz w:val="24"/>
          <w:szCs w:val="24"/>
        </w:rPr>
        <w:t>est was carried out.</w:t>
      </w:r>
      <w:r w:rsidR="002759FC" w:rsidRPr="00641A81">
        <w:rPr>
          <w:rFonts w:ascii="Times New Roman" w:hAnsi="Times New Roman" w:cs="Times New Roman"/>
          <w:sz w:val="24"/>
          <w:szCs w:val="24"/>
        </w:rPr>
        <w:t xml:space="preserve"> </w:t>
      </w:r>
      <w:r w:rsidR="006F5D87" w:rsidRPr="00641A81">
        <w:rPr>
          <w:rFonts w:ascii="Times New Roman" w:hAnsi="Times New Roman" w:cs="Times New Roman"/>
          <w:sz w:val="24"/>
          <w:szCs w:val="24"/>
        </w:rPr>
        <w:t xml:space="preserve">The results of these statistical tests are presented in </w:t>
      </w:r>
      <w:r w:rsidR="006F5D87" w:rsidRPr="008834FB">
        <w:rPr>
          <w:rFonts w:ascii="Times New Roman" w:hAnsi="Times New Roman" w:cs="Times New Roman"/>
          <w:sz w:val="24"/>
          <w:szCs w:val="24"/>
        </w:rPr>
        <w:fldChar w:fldCharType="begin"/>
      </w:r>
      <w:r w:rsidR="006F5D87" w:rsidRPr="008834FB">
        <w:rPr>
          <w:rFonts w:ascii="Times New Roman" w:hAnsi="Times New Roman" w:cs="Times New Roman"/>
          <w:sz w:val="24"/>
          <w:szCs w:val="24"/>
        </w:rPr>
        <w:instrText xml:space="preserve"> REF _Ref56207821 \h  \* MERGEFORMAT </w:instrText>
      </w:r>
      <w:r w:rsidR="006F5D87" w:rsidRPr="008834FB">
        <w:rPr>
          <w:rFonts w:ascii="Times New Roman" w:hAnsi="Times New Roman" w:cs="Times New Roman"/>
          <w:sz w:val="24"/>
          <w:szCs w:val="24"/>
        </w:rPr>
      </w:r>
      <w:r w:rsidR="006F5D87" w:rsidRPr="008834FB">
        <w:rPr>
          <w:rFonts w:ascii="Times New Roman" w:hAnsi="Times New Roman" w:cs="Times New Roman"/>
          <w:sz w:val="24"/>
          <w:szCs w:val="24"/>
        </w:rPr>
        <w:fldChar w:fldCharType="separate"/>
      </w:r>
      <w:r w:rsidR="00E179CA" w:rsidRPr="008834FB">
        <w:rPr>
          <w:rFonts w:ascii="Times New Roman" w:hAnsi="Times New Roman" w:cs="Times New Roman"/>
          <w:sz w:val="24"/>
          <w:szCs w:val="24"/>
        </w:rPr>
        <w:t>Table</w:t>
      </w:r>
      <w:r w:rsidR="00E179CA" w:rsidRPr="008834FB">
        <w:rPr>
          <w:rFonts w:ascii="Times New Roman" w:hAnsi="Times New Roman" w:cs="Times New Roman"/>
          <w:noProof/>
          <w:sz w:val="24"/>
          <w:szCs w:val="24"/>
        </w:rPr>
        <w:t xml:space="preserve"> 15</w:t>
      </w:r>
      <w:r w:rsidR="006F5D87" w:rsidRPr="008834FB">
        <w:rPr>
          <w:rFonts w:ascii="Times New Roman" w:hAnsi="Times New Roman" w:cs="Times New Roman"/>
          <w:sz w:val="24"/>
          <w:szCs w:val="24"/>
        </w:rPr>
        <w:fldChar w:fldCharType="end"/>
      </w:r>
      <w:r w:rsidR="006F5D87" w:rsidRPr="008834FB">
        <w:rPr>
          <w:rFonts w:ascii="Times New Roman" w:hAnsi="Times New Roman" w:cs="Times New Roman"/>
          <w:sz w:val="24"/>
          <w:szCs w:val="24"/>
        </w:rPr>
        <w:t xml:space="preserve"> alongside descriptive statistics for biomass production. </w:t>
      </w:r>
      <w:r w:rsidR="00A81BEF" w:rsidRPr="008834FB">
        <w:rPr>
          <w:rFonts w:ascii="Times New Roman" w:hAnsi="Times New Roman" w:cs="Times New Roman"/>
          <w:sz w:val="24"/>
          <w:szCs w:val="24"/>
        </w:rPr>
        <w:t>The mean total biomass</w:t>
      </w:r>
      <w:r w:rsidR="00FC4D2D" w:rsidRPr="008834FB">
        <w:rPr>
          <w:rFonts w:ascii="Times New Roman" w:hAnsi="Times New Roman" w:cs="Times New Roman"/>
          <w:sz w:val="24"/>
          <w:szCs w:val="24"/>
        </w:rPr>
        <w:t>es</w:t>
      </w:r>
      <w:r w:rsidR="00A81BEF" w:rsidRPr="008834FB">
        <w:rPr>
          <w:rFonts w:ascii="Times New Roman" w:hAnsi="Times New Roman" w:cs="Times New Roman"/>
          <w:sz w:val="24"/>
          <w:szCs w:val="24"/>
        </w:rPr>
        <w:t xml:space="preserve"> of each </w:t>
      </w:r>
      <w:r w:rsidR="00FC4D2D" w:rsidRPr="008834FB">
        <w:rPr>
          <w:rFonts w:ascii="Times New Roman" w:hAnsi="Times New Roman" w:cs="Times New Roman"/>
          <w:sz w:val="24"/>
          <w:szCs w:val="24"/>
        </w:rPr>
        <w:t xml:space="preserve">species-treatment combination are presented in </w:t>
      </w:r>
      <w:r w:rsidRPr="008834FB">
        <w:rPr>
          <w:rFonts w:ascii="Times New Roman" w:hAnsi="Times New Roman" w:cs="Times New Roman"/>
          <w:sz w:val="24"/>
          <w:szCs w:val="24"/>
        </w:rPr>
        <w:fldChar w:fldCharType="begin"/>
      </w:r>
      <w:r w:rsidRPr="008834FB">
        <w:rPr>
          <w:rFonts w:ascii="Times New Roman" w:hAnsi="Times New Roman" w:cs="Times New Roman"/>
          <w:sz w:val="24"/>
          <w:szCs w:val="24"/>
        </w:rPr>
        <w:instrText xml:space="preserve"> REF _Ref56111709 \h  \* MERGEFORMAT </w:instrText>
      </w:r>
      <w:r w:rsidRPr="008834FB">
        <w:rPr>
          <w:rFonts w:ascii="Times New Roman" w:hAnsi="Times New Roman" w:cs="Times New Roman"/>
          <w:sz w:val="24"/>
          <w:szCs w:val="24"/>
        </w:rPr>
      </w:r>
      <w:r w:rsidRPr="008834FB">
        <w:rPr>
          <w:rFonts w:ascii="Times New Roman" w:hAnsi="Times New Roman" w:cs="Times New Roman"/>
          <w:sz w:val="24"/>
          <w:szCs w:val="24"/>
        </w:rPr>
        <w:fldChar w:fldCharType="separate"/>
      </w:r>
      <w:r w:rsidR="00E179CA" w:rsidRPr="008834FB">
        <w:rPr>
          <w:rFonts w:ascii="Times New Roman" w:hAnsi="Times New Roman" w:cs="Times New Roman"/>
          <w:noProof/>
          <w:sz w:val="24"/>
          <w:szCs w:val="24"/>
        </w:rPr>
        <w:t>Figure 27</w:t>
      </w:r>
      <w:r w:rsidRPr="008834FB">
        <w:rPr>
          <w:rFonts w:ascii="Times New Roman" w:hAnsi="Times New Roman" w:cs="Times New Roman"/>
          <w:sz w:val="24"/>
          <w:szCs w:val="24"/>
        </w:rPr>
        <w:fldChar w:fldCharType="end"/>
      </w:r>
      <w:r w:rsidR="006F5D87" w:rsidRPr="008834FB">
        <w:rPr>
          <w:rFonts w:ascii="Times New Roman" w:hAnsi="Times New Roman" w:cs="Times New Roman"/>
          <w:sz w:val="24"/>
          <w:szCs w:val="24"/>
        </w:rPr>
        <w:t>, an</w:t>
      </w:r>
      <w:r w:rsidR="006F5D87" w:rsidRPr="00641A81">
        <w:rPr>
          <w:rFonts w:ascii="Times New Roman" w:hAnsi="Times New Roman" w:cs="Times New Roman"/>
          <w:sz w:val="24"/>
          <w:szCs w:val="24"/>
        </w:rPr>
        <w:t>d the pl</w:t>
      </w:r>
      <w:r w:rsidR="006F5D87" w:rsidRPr="00F07DEB">
        <w:rPr>
          <w:rFonts w:ascii="Times New Roman" w:hAnsi="Times New Roman" w:cs="Times New Roman"/>
          <w:sz w:val="24"/>
          <w:szCs w:val="24"/>
        </w:rPr>
        <w:t xml:space="preserve">ants approximately three weeks prior to harvest are pictured in </w:t>
      </w:r>
      <w:r w:rsidR="006F5D87" w:rsidRPr="00F07DEB">
        <w:rPr>
          <w:rFonts w:ascii="Times New Roman" w:hAnsi="Times New Roman" w:cs="Times New Roman"/>
          <w:sz w:val="24"/>
          <w:szCs w:val="24"/>
        </w:rPr>
        <w:fldChar w:fldCharType="begin"/>
      </w:r>
      <w:r w:rsidR="006F5D87" w:rsidRPr="00F07DEB">
        <w:rPr>
          <w:rFonts w:ascii="Times New Roman" w:hAnsi="Times New Roman" w:cs="Times New Roman"/>
          <w:sz w:val="24"/>
          <w:szCs w:val="24"/>
        </w:rPr>
        <w:instrText xml:space="preserve"> REF _Ref56207581 \h  \* MERGEFORMAT </w:instrText>
      </w:r>
      <w:r w:rsidR="006F5D87" w:rsidRPr="00F07DEB">
        <w:rPr>
          <w:rFonts w:ascii="Times New Roman" w:hAnsi="Times New Roman" w:cs="Times New Roman"/>
          <w:sz w:val="24"/>
          <w:szCs w:val="24"/>
        </w:rPr>
      </w:r>
      <w:r w:rsidR="006F5D87"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28</w:t>
      </w:r>
      <w:r w:rsidR="006F5D87"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w:t>
      </w:r>
      <w:r w:rsidR="00C1797A" w:rsidRPr="00F07DEB">
        <w:rPr>
          <w:rFonts w:ascii="Times New Roman" w:hAnsi="Times New Roman" w:cs="Times New Roman"/>
          <w:sz w:val="24"/>
          <w:szCs w:val="24"/>
        </w:rPr>
        <w:t xml:space="preserve">Sorghum was the only species to exhibit significantly different dry biomass generation by treatment (Student’s t-test, </w:t>
      </w:r>
      <w:r w:rsidR="00C1797A" w:rsidRPr="00385CDA">
        <w:rPr>
          <w:rFonts w:ascii="Times New Roman" w:hAnsi="Times New Roman" w:cs="Times New Roman"/>
          <w:i/>
          <w:sz w:val="24"/>
          <w:szCs w:val="24"/>
        </w:rPr>
        <w:t>p</w:t>
      </w:r>
      <w:r w:rsidR="00C1797A" w:rsidRPr="00F07DEB">
        <w:rPr>
          <w:rFonts w:ascii="Times New Roman" w:hAnsi="Times New Roman" w:cs="Times New Roman"/>
          <w:sz w:val="24"/>
          <w:szCs w:val="24"/>
        </w:rPr>
        <w:t xml:space="preserve"> = 0.047). </w:t>
      </w:r>
      <w:r w:rsidR="00FD0A92" w:rsidRPr="00F07DEB">
        <w:rPr>
          <w:rFonts w:ascii="Times New Roman" w:hAnsi="Times New Roman" w:cs="Times New Roman"/>
          <w:sz w:val="24"/>
          <w:szCs w:val="24"/>
        </w:rPr>
        <w:t xml:space="preserve">However, the vastly different standard deviations </w:t>
      </w:r>
      <w:r w:rsidR="00CD47B5" w:rsidRPr="00F07DEB">
        <w:rPr>
          <w:rFonts w:ascii="Times New Roman" w:hAnsi="Times New Roman" w:cs="Times New Roman"/>
          <w:sz w:val="24"/>
          <w:szCs w:val="24"/>
        </w:rPr>
        <w:t>between</w:t>
      </w:r>
      <w:r w:rsidR="00FD0A92" w:rsidRPr="00F07DEB">
        <w:rPr>
          <w:rFonts w:ascii="Times New Roman" w:hAnsi="Times New Roman" w:cs="Times New Roman"/>
          <w:sz w:val="24"/>
          <w:szCs w:val="24"/>
        </w:rPr>
        <w:t xml:space="preserve"> treatments in corn plants and the </w:t>
      </w:r>
      <w:r w:rsidR="001328D9" w:rsidRPr="00F07DEB">
        <w:rPr>
          <w:rFonts w:ascii="Times New Roman" w:hAnsi="Times New Roman" w:cs="Times New Roman"/>
          <w:sz w:val="24"/>
          <w:szCs w:val="24"/>
        </w:rPr>
        <w:t>apparent</w:t>
      </w:r>
      <w:r w:rsidR="00FD0A92" w:rsidRPr="00F07DEB">
        <w:rPr>
          <w:rFonts w:ascii="Times New Roman" w:hAnsi="Times New Roman" w:cs="Times New Roman"/>
          <w:sz w:val="24"/>
          <w:szCs w:val="24"/>
        </w:rPr>
        <w:t xml:space="preserve"> increase in mine water-irrigated Bermuda grass biomass production relative to groundwater-irrigated </w:t>
      </w:r>
      <w:r w:rsidR="001328D9" w:rsidRPr="00F07DEB">
        <w:rPr>
          <w:rFonts w:ascii="Times New Roman" w:hAnsi="Times New Roman" w:cs="Times New Roman"/>
          <w:sz w:val="24"/>
          <w:szCs w:val="24"/>
        </w:rPr>
        <w:t>Bermuda grass</w:t>
      </w:r>
      <w:r w:rsidR="00FD0A92" w:rsidRPr="00F07DEB">
        <w:rPr>
          <w:rFonts w:ascii="Times New Roman" w:hAnsi="Times New Roman" w:cs="Times New Roman"/>
          <w:sz w:val="24"/>
          <w:szCs w:val="24"/>
        </w:rPr>
        <w:t xml:space="preserve"> merit investigation.</w:t>
      </w:r>
      <w:r w:rsidR="001978AE" w:rsidRPr="00F07DEB">
        <w:rPr>
          <w:rFonts w:ascii="Times New Roman" w:hAnsi="Times New Roman" w:cs="Times New Roman"/>
          <w:sz w:val="24"/>
          <w:szCs w:val="24"/>
        </w:rPr>
        <w:t xml:space="preserve"> </w:t>
      </w:r>
    </w:p>
    <w:p w14:paraId="77484BB2" w14:textId="08CB0298" w:rsidR="006F5D87" w:rsidRPr="00F07DEB" w:rsidRDefault="00FC4D2D" w:rsidP="006F5D87">
      <w:pPr>
        <w:spacing w:line="480" w:lineRule="auto"/>
        <w:jc w:val="center"/>
        <w:rPr>
          <w:rFonts w:ascii="Times New Roman" w:hAnsi="Times New Roman" w:cs="Times New Roman"/>
          <w:sz w:val="24"/>
          <w:szCs w:val="24"/>
        </w:rPr>
      </w:pPr>
      <w:r w:rsidRPr="00F07DEB">
        <w:rPr>
          <w:rFonts w:ascii="Times New Roman" w:hAnsi="Times New Roman" w:cs="Times New Roman"/>
          <w:noProof/>
          <w:lang w:eastAsia="en-US"/>
        </w:rPr>
        <w:drawing>
          <wp:inline distT="0" distB="0" distL="0" distR="0" wp14:anchorId="71833078" wp14:editId="3FD6308F">
            <wp:extent cx="5486400" cy="2744734"/>
            <wp:effectExtent l="0" t="0" r="0" b="1778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bookmarkStart w:id="110" w:name="_Ref56111709"/>
    </w:p>
    <w:p w14:paraId="37EDC605" w14:textId="7FE02F86" w:rsidR="00FC4D2D" w:rsidRDefault="00FC4D2D" w:rsidP="006F5D87">
      <w:pPr>
        <w:spacing w:line="480" w:lineRule="auto"/>
        <w:jc w:val="center"/>
        <w:rPr>
          <w:rFonts w:ascii="Times New Roman" w:hAnsi="Times New Roman" w:cs="Times New Roman"/>
          <w:b/>
          <w:sz w:val="20"/>
        </w:rPr>
      </w:pPr>
      <w:bookmarkStart w:id="111" w:name="_Toc58975237"/>
      <w:r w:rsidRPr="00F07DEB">
        <w:rPr>
          <w:rFonts w:ascii="Times New Roman" w:hAnsi="Times New Roman" w:cs="Times New Roman"/>
          <w:b/>
          <w:sz w:val="20"/>
        </w:rPr>
        <w:t xml:space="preserve">Figure </w:t>
      </w:r>
      <w:r w:rsidRPr="00F07DEB">
        <w:rPr>
          <w:rFonts w:ascii="Times New Roman" w:hAnsi="Times New Roman" w:cs="Times New Roman"/>
          <w:b/>
          <w:sz w:val="20"/>
        </w:rPr>
        <w:fldChar w:fldCharType="begin"/>
      </w:r>
      <w:r w:rsidRPr="00F07DEB">
        <w:rPr>
          <w:rFonts w:ascii="Times New Roman" w:hAnsi="Times New Roman" w:cs="Times New Roman"/>
          <w:b/>
          <w:sz w:val="20"/>
        </w:rPr>
        <w:instrText xml:space="preserve"> SEQ Figure \* ARABIC </w:instrText>
      </w:r>
      <w:r w:rsidRPr="00F07DEB">
        <w:rPr>
          <w:rFonts w:ascii="Times New Roman" w:hAnsi="Times New Roman" w:cs="Times New Roman"/>
          <w:b/>
          <w:sz w:val="20"/>
        </w:rPr>
        <w:fldChar w:fldCharType="separate"/>
      </w:r>
      <w:r w:rsidR="00E179CA">
        <w:rPr>
          <w:rFonts w:ascii="Times New Roman" w:hAnsi="Times New Roman" w:cs="Times New Roman"/>
          <w:b/>
          <w:noProof/>
          <w:sz w:val="20"/>
        </w:rPr>
        <w:t>27</w:t>
      </w:r>
      <w:r w:rsidRPr="00F07DEB">
        <w:rPr>
          <w:rFonts w:ascii="Times New Roman" w:hAnsi="Times New Roman" w:cs="Times New Roman"/>
          <w:b/>
          <w:sz w:val="20"/>
        </w:rPr>
        <w:fldChar w:fldCharType="end"/>
      </w:r>
      <w:bookmarkEnd w:id="110"/>
      <w:r w:rsidRPr="00F07DEB">
        <w:rPr>
          <w:rFonts w:ascii="Times New Roman" w:hAnsi="Times New Roman" w:cs="Times New Roman"/>
          <w:b/>
          <w:sz w:val="20"/>
        </w:rPr>
        <w:t>: Mean total biomass of each species-treatment group (bars represent standard deviation</w:t>
      </w:r>
      <w:r w:rsidR="0090411C">
        <w:rPr>
          <w:rFonts w:ascii="Times New Roman" w:hAnsi="Times New Roman" w:cs="Times New Roman"/>
          <w:b/>
          <w:sz w:val="20"/>
        </w:rPr>
        <w:t>; n=6</w:t>
      </w:r>
      <w:r w:rsidRPr="00F07DEB">
        <w:rPr>
          <w:rFonts w:ascii="Times New Roman" w:hAnsi="Times New Roman" w:cs="Times New Roman"/>
          <w:b/>
          <w:sz w:val="20"/>
        </w:rPr>
        <w:t>)</w:t>
      </w:r>
      <w:bookmarkEnd w:id="111"/>
    </w:p>
    <w:p w14:paraId="461F191D" w14:textId="77777777" w:rsidR="006F5D87" w:rsidRPr="00F07DEB" w:rsidRDefault="006F5D87" w:rsidP="006F5D87">
      <w:pPr>
        <w:keepNext/>
        <w:jc w:val="center"/>
        <w:rPr>
          <w:rFonts w:ascii="Times New Roman" w:hAnsi="Times New Roman" w:cs="Times New Roman"/>
        </w:rPr>
      </w:pPr>
      <w:r w:rsidRPr="00F07DEB">
        <w:rPr>
          <w:rFonts w:ascii="Times New Roman" w:hAnsi="Times New Roman" w:cs="Times New Roman"/>
          <w:noProof/>
          <w:lang w:eastAsia="en-US"/>
        </w:rPr>
        <w:lastRenderedPageBreak/>
        <w:drawing>
          <wp:inline distT="0" distB="0" distL="0" distR="0" wp14:anchorId="19A9AC1B" wp14:editId="45205C31">
            <wp:extent cx="5501420" cy="4127156"/>
            <wp:effectExtent l="0" t="0" r="4445" b="6985"/>
            <wp:docPr id="37" name="Picture 37" descr="C:\Users\harper3663\Documents\School\_CREW\Irrigation Project\Pics\iCloud Photos\IMG_2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arper3663\Documents\School\_CREW\Irrigation Project\Pics\iCloud Photos\IMG_2956.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03783" cy="4128929"/>
                    </a:xfrm>
                    <a:prstGeom prst="rect">
                      <a:avLst/>
                    </a:prstGeom>
                    <a:noFill/>
                    <a:ln>
                      <a:noFill/>
                    </a:ln>
                  </pic:spPr>
                </pic:pic>
              </a:graphicData>
            </a:graphic>
          </wp:inline>
        </w:drawing>
      </w:r>
    </w:p>
    <w:p w14:paraId="5ACCE9C7" w14:textId="13C18E14" w:rsidR="006F5D87" w:rsidRDefault="006F5D87" w:rsidP="00204C13">
      <w:pPr>
        <w:pStyle w:val="Caption"/>
        <w:rPr>
          <w:noProof/>
        </w:rPr>
      </w:pPr>
      <w:bookmarkStart w:id="112" w:name="_Ref56207581"/>
      <w:bookmarkStart w:id="113" w:name="_Toc58975238"/>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28</w:t>
      </w:r>
      <w:r w:rsidR="00DE3B90" w:rsidRPr="00F07DEB">
        <w:rPr>
          <w:noProof/>
        </w:rPr>
        <w:fldChar w:fldCharType="end"/>
      </w:r>
      <w:bookmarkEnd w:id="112"/>
      <w:r w:rsidRPr="00F07DEB">
        <w:rPr>
          <w:noProof/>
        </w:rPr>
        <w:t>: Corn, sorghum, and Bermuda grass three weeks prior to harvest</w:t>
      </w:r>
      <w:r w:rsidR="0090411C">
        <w:rPr>
          <w:noProof/>
        </w:rPr>
        <w:t xml:space="preserve"> (plants were consolidated for pictures and during high winds)</w:t>
      </w:r>
      <w:bookmarkEnd w:id="113"/>
    </w:p>
    <w:p w14:paraId="3DFB595E" w14:textId="77777777" w:rsidR="00845E25" w:rsidRPr="00845E25" w:rsidRDefault="00845E25" w:rsidP="00845E25"/>
    <w:p w14:paraId="5ED05CFD" w14:textId="0F118D59" w:rsidR="006F5D87" w:rsidRPr="00641A81" w:rsidRDefault="00CD47B5" w:rsidP="006F5D87">
      <w:pPr>
        <w:spacing w:line="480" w:lineRule="auto"/>
        <w:rPr>
          <w:rFonts w:ascii="Times New Roman" w:hAnsi="Times New Roman" w:cs="Times New Roman"/>
          <w:noProof/>
          <w:sz w:val="24"/>
          <w:szCs w:val="24"/>
        </w:rPr>
      </w:pPr>
      <w:r w:rsidRPr="00F07DEB">
        <w:rPr>
          <w:rFonts w:ascii="Times New Roman" w:hAnsi="Times New Roman" w:cs="Times New Roman"/>
          <w:sz w:val="24"/>
          <w:szCs w:val="24"/>
        </w:rPr>
        <w:tab/>
        <w:t>Of the twelve corn plants,</w:t>
      </w:r>
      <w:r w:rsidR="006250A7" w:rsidRPr="00F07DEB">
        <w:rPr>
          <w:rFonts w:ascii="Times New Roman" w:hAnsi="Times New Roman" w:cs="Times New Roman"/>
          <w:sz w:val="24"/>
          <w:szCs w:val="24"/>
        </w:rPr>
        <w:t xml:space="preserve"> </w:t>
      </w:r>
      <w:r w:rsidRPr="00F07DEB">
        <w:rPr>
          <w:rFonts w:ascii="Times New Roman" w:hAnsi="Times New Roman" w:cs="Times New Roman"/>
          <w:sz w:val="24"/>
          <w:szCs w:val="24"/>
        </w:rPr>
        <w:t xml:space="preserve">mine water-irrigated plants </w:t>
      </w:r>
      <w:r w:rsidR="006250A7" w:rsidRPr="00F07DEB">
        <w:rPr>
          <w:rFonts w:ascii="Times New Roman" w:hAnsi="Times New Roman" w:cs="Times New Roman"/>
          <w:sz w:val="24"/>
          <w:szCs w:val="24"/>
        </w:rPr>
        <w:t>accounted for</w:t>
      </w:r>
      <w:r w:rsidRPr="00F07DEB">
        <w:rPr>
          <w:rFonts w:ascii="Times New Roman" w:hAnsi="Times New Roman" w:cs="Times New Roman"/>
          <w:sz w:val="24"/>
          <w:szCs w:val="24"/>
        </w:rPr>
        <w:t xml:space="preserve"> the three smallest corn plants and the two largest corn plants in terms of dry biomass production. </w:t>
      </w:r>
      <w:r w:rsidR="006250A7" w:rsidRPr="00F07DEB">
        <w:rPr>
          <w:rFonts w:ascii="Times New Roman" w:hAnsi="Times New Roman" w:cs="Times New Roman"/>
          <w:sz w:val="24"/>
          <w:szCs w:val="24"/>
        </w:rPr>
        <w:t>This heterogeneity is presented</w:t>
      </w:r>
      <w:r w:rsidR="00CC1DC0" w:rsidRPr="00F07DEB">
        <w:rPr>
          <w:rFonts w:ascii="Times New Roman" w:hAnsi="Times New Roman" w:cs="Times New Roman"/>
          <w:sz w:val="24"/>
          <w:szCs w:val="24"/>
        </w:rPr>
        <w:t xml:space="preserve"> graphically</w:t>
      </w:r>
      <w:r w:rsidR="006250A7" w:rsidRPr="00F07DEB">
        <w:rPr>
          <w:rFonts w:ascii="Times New Roman" w:hAnsi="Times New Roman" w:cs="Times New Roman"/>
          <w:sz w:val="24"/>
          <w:szCs w:val="24"/>
        </w:rPr>
        <w:t xml:space="preserve"> in</w:t>
      </w:r>
      <w:r w:rsidR="00B3002C">
        <w:rPr>
          <w:rFonts w:ascii="Times New Roman" w:hAnsi="Times New Roman" w:cs="Times New Roman"/>
          <w:sz w:val="24"/>
          <w:szCs w:val="24"/>
        </w:rPr>
        <w:t xml:space="preserve"> </w:t>
      </w:r>
      <w:r w:rsidR="00B3002C" w:rsidRPr="00B3002C">
        <w:rPr>
          <w:rFonts w:ascii="Times New Roman" w:hAnsi="Times New Roman" w:cs="Times New Roman"/>
          <w:sz w:val="24"/>
          <w:szCs w:val="24"/>
        </w:rPr>
        <w:fldChar w:fldCharType="begin"/>
      </w:r>
      <w:r w:rsidR="00B3002C" w:rsidRPr="00B3002C">
        <w:rPr>
          <w:rFonts w:ascii="Times New Roman" w:hAnsi="Times New Roman" w:cs="Times New Roman"/>
          <w:sz w:val="24"/>
          <w:szCs w:val="24"/>
        </w:rPr>
        <w:instrText xml:space="preserve"> REF _Ref56689887 \h  \* MERGEFORMAT </w:instrText>
      </w:r>
      <w:r w:rsidR="00B3002C" w:rsidRPr="00B3002C">
        <w:rPr>
          <w:rFonts w:ascii="Times New Roman" w:hAnsi="Times New Roman" w:cs="Times New Roman"/>
          <w:sz w:val="24"/>
          <w:szCs w:val="24"/>
        </w:rPr>
      </w:r>
      <w:r w:rsidR="00B3002C" w:rsidRPr="00B3002C">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29</w:t>
      </w:r>
      <w:r w:rsidR="00B3002C" w:rsidRPr="00B3002C">
        <w:rPr>
          <w:rFonts w:ascii="Times New Roman" w:hAnsi="Times New Roman" w:cs="Times New Roman"/>
          <w:sz w:val="24"/>
          <w:szCs w:val="24"/>
        </w:rPr>
        <w:fldChar w:fldCharType="end"/>
      </w:r>
      <w:r w:rsidR="006250A7" w:rsidRPr="00F07DEB">
        <w:rPr>
          <w:rFonts w:ascii="Times New Roman" w:hAnsi="Times New Roman" w:cs="Times New Roman"/>
          <w:sz w:val="24"/>
          <w:szCs w:val="24"/>
        </w:rPr>
        <w:t xml:space="preserve">. </w:t>
      </w:r>
      <w:r w:rsidR="00AA4E55" w:rsidRPr="00F07DEB">
        <w:rPr>
          <w:rFonts w:ascii="Times New Roman" w:hAnsi="Times New Roman" w:cs="Times New Roman"/>
          <w:sz w:val="24"/>
          <w:szCs w:val="24"/>
        </w:rPr>
        <w:t xml:space="preserve">At first glance, it appears that irrigation treatment had a sizeable impact on biomass allocation to the reproductive portions of </w:t>
      </w:r>
      <w:r w:rsidR="00355EB3" w:rsidRPr="00F07DEB">
        <w:rPr>
          <w:rFonts w:ascii="Times New Roman" w:hAnsi="Times New Roman" w:cs="Times New Roman"/>
          <w:sz w:val="24"/>
          <w:szCs w:val="24"/>
        </w:rPr>
        <w:t>aboveground</w:t>
      </w:r>
      <w:r w:rsidR="00AA4E55" w:rsidRPr="00F07DEB">
        <w:rPr>
          <w:rFonts w:ascii="Times New Roman" w:hAnsi="Times New Roman" w:cs="Times New Roman"/>
          <w:sz w:val="24"/>
          <w:szCs w:val="24"/>
        </w:rPr>
        <w:t xml:space="preserve"> biomass. Groundwater-irrigated corn allocated 11.4% of total plant biomass to the female inflorescence (husk, cob, grain), whereas the same structures represented 22.0% of dry biomass in the mine water-irrigated plants. </w:t>
      </w:r>
      <w:r w:rsidR="00646CCE" w:rsidRPr="00F07DEB">
        <w:rPr>
          <w:rFonts w:ascii="Times New Roman" w:hAnsi="Times New Roman" w:cs="Times New Roman"/>
          <w:sz w:val="24"/>
          <w:szCs w:val="24"/>
        </w:rPr>
        <w:t xml:space="preserve">Almost half (48.3%) of the dry weight in CM1c was bound up in the husk, cob, and grain. </w:t>
      </w:r>
      <w:r w:rsidR="00491025" w:rsidRPr="00F07DEB">
        <w:rPr>
          <w:rFonts w:ascii="Times New Roman" w:hAnsi="Times New Roman" w:cs="Times New Roman"/>
          <w:sz w:val="24"/>
          <w:szCs w:val="24"/>
        </w:rPr>
        <w:t>However, b</w:t>
      </w:r>
      <w:r w:rsidR="00646CCE" w:rsidRPr="00F07DEB">
        <w:rPr>
          <w:rFonts w:ascii="Times New Roman" w:hAnsi="Times New Roman" w:cs="Times New Roman"/>
          <w:sz w:val="24"/>
          <w:szCs w:val="24"/>
        </w:rPr>
        <w:t xml:space="preserve">ecause the study ended before the corn plants reached maturity, comparisons of reproductive biomass are actually contrasting the growth </w:t>
      </w:r>
      <w:r w:rsidR="00646CCE" w:rsidRPr="00F07DEB">
        <w:rPr>
          <w:rFonts w:ascii="Times New Roman" w:hAnsi="Times New Roman" w:cs="Times New Roman"/>
          <w:sz w:val="24"/>
          <w:szCs w:val="24"/>
        </w:rPr>
        <w:lastRenderedPageBreak/>
        <w:t xml:space="preserve">stages at harvest. </w:t>
      </w:r>
      <w:r w:rsidR="0090411C" w:rsidRPr="0090411C">
        <w:rPr>
          <w:rFonts w:ascii="Times New Roman" w:hAnsi="Times New Roman" w:cs="Times New Roman"/>
          <w:sz w:val="24"/>
          <w:szCs w:val="24"/>
        </w:rPr>
        <w:t xml:space="preserve">Corn plants were at different growth stages during harvest, so grain fill was ongoing and the most developed plants had already accumulated substantially more starch in their kernels than the less developed plants. As such, the fact that female inflorescences represented 22% of dry biomass in mine water-irrigated corn and 11% of dry biomass in groundwater-irrigated corn indicates that mine water corn plants were on average more developed than groundwater corn plants. It does not imply that mine water irrigation results in heavier </w:t>
      </w:r>
      <w:r w:rsidR="0090411C">
        <w:rPr>
          <w:rFonts w:ascii="Times New Roman" w:hAnsi="Times New Roman" w:cs="Times New Roman"/>
          <w:sz w:val="24"/>
          <w:szCs w:val="24"/>
        </w:rPr>
        <w:t>reproductive structures</w:t>
      </w:r>
      <w:r w:rsidR="0090411C" w:rsidRPr="0090411C">
        <w:rPr>
          <w:rFonts w:ascii="Times New Roman" w:hAnsi="Times New Roman" w:cs="Times New Roman"/>
          <w:sz w:val="24"/>
          <w:szCs w:val="24"/>
        </w:rPr>
        <w:t xml:space="preserve"> in a fully-matured corn plant</w:t>
      </w:r>
      <w:r w:rsidR="0090411C">
        <w:rPr>
          <w:rFonts w:ascii="Times New Roman" w:hAnsi="Times New Roman" w:cs="Times New Roman"/>
          <w:sz w:val="24"/>
          <w:szCs w:val="24"/>
        </w:rPr>
        <w:t xml:space="preserve">. </w:t>
      </w:r>
      <w:r w:rsidR="00646CCE" w:rsidRPr="00DA1138">
        <w:rPr>
          <w:rFonts w:ascii="Times New Roman" w:hAnsi="Times New Roman"/>
          <w:sz w:val="24"/>
        </w:rPr>
        <w:t>Therefore, the most appropriate interpretation of these discrepancies in biomass generation is that mine water-irrigated plants matured more rapidly than the groundwater-irrigated corn</w:t>
      </w:r>
      <w:r w:rsidR="00D63503" w:rsidRPr="00DA1138">
        <w:rPr>
          <w:rFonts w:ascii="Times New Roman" w:hAnsi="Times New Roman"/>
          <w:sz w:val="24"/>
        </w:rPr>
        <w:t>, although the support for this observation is more descriptive than statistical</w:t>
      </w:r>
      <w:r w:rsidR="00646CCE" w:rsidRPr="00DA1138">
        <w:rPr>
          <w:rFonts w:ascii="Times New Roman" w:hAnsi="Times New Roman"/>
          <w:sz w:val="24"/>
        </w:rPr>
        <w:t>.</w:t>
      </w:r>
      <w:r w:rsidR="00646CCE" w:rsidRPr="00F07DEB">
        <w:rPr>
          <w:rFonts w:ascii="Times New Roman" w:hAnsi="Times New Roman" w:cs="Times New Roman"/>
          <w:sz w:val="24"/>
          <w:szCs w:val="24"/>
        </w:rPr>
        <w:t xml:space="preserve"> </w:t>
      </w:r>
      <w:r w:rsidR="00C76C53" w:rsidRPr="00F07DEB">
        <w:rPr>
          <w:rFonts w:ascii="Times New Roman" w:hAnsi="Times New Roman" w:cs="Times New Roman"/>
          <w:sz w:val="24"/>
          <w:szCs w:val="24"/>
        </w:rPr>
        <w:t xml:space="preserve">CM1c was the first </w:t>
      </w:r>
      <w:r w:rsidR="00491025" w:rsidRPr="00F07DEB">
        <w:rPr>
          <w:rFonts w:ascii="Times New Roman" w:hAnsi="Times New Roman" w:cs="Times New Roman"/>
          <w:sz w:val="24"/>
          <w:szCs w:val="24"/>
        </w:rPr>
        <w:t xml:space="preserve">corn </w:t>
      </w:r>
      <w:r w:rsidR="00C76C53" w:rsidRPr="00F07DEB">
        <w:rPr>
          <w:rFonts w:ascii="Times New Roman" w:hAnsi="Times New Roman" w:cs="Times New Roman"/>
          <w:sz w:val="24"/>
          <w:szCs w:val="24"/>
        </w:rPr>
        <w:t>plant to tassel, and did so ten days before the next plant: CM4c. Accordingly, these two mine water-irrigated plants also generated the most grain biomass, and were at more advanced growth stages than any other corn plant at harvest</w:t>
      </w:r>
      <w:r w:rsidR="00491025" w:rsidRPr="00F07DEB">
        <w:rPr>
          <w:rFonts w:ascii="Times New Roman" w:hAnsi="Times New Roman" w:cs="Times New Roman"/>
          <w:sz w:val="24"/>
          <w:szCs w:val="24"/>
        </w:rPr>
        <w:t xml:space="preserve">. </w:t>
      </w:r>
      <w:r w:rsidR="00355EB3" w:rsidRPr="00F07DEB">
        <w:rPr>
          <w:rFonts w:ascii="Times New Roman" w:hAnsi="Times New Roman" w:cs="Times New Roman"/>
          <w:sz w:val="24"/>
          <w:szCs w:val="24"/>
        </w:rPr>
        <w:t>However</w:t>
      </w:r>
      <w:r w:rsidR="00491025" w:rsidRPr="00641A81">
        <w:rPr>
          <w:rFonts w:ascii="Times New Roman" w:hAnsi="Times New Roman" w:cs="Times New Roman"/>
          <w:sz w:val="24"/>
          <w:szCs w:val="24"/>
        </w:rPr>
        <w:t>, per</w:t>
      </w:r>
      <w:r w:rsidR="00B3002C" w:rsidRPr="00641A81">
        <w:rPr>
          <w:rFonts w:ascii="Times New Roman" w:hAnsi="Times New Roman" w:cs="Times New Roman"/>
          <w:sz w:val="24"/>
          <w:szCs w:val="24"/>
        </w:rPr>
        <w:t xml:space="preserve"> </w:t>
      </w:r>
      <w:r w:rsidR="00B3002C" w:rsidRPr="008834FB">
        <w:rPr>
          <w:rFonts w:ascii="Times New Roman" w:hAnsi="Times New Roman" w:cs="Times New Roman"/>
          <w:sz w:val="24"/>
          <w:szCs w:val="24"/>
        </w:rPr>
        <w:fldChar w:fldCharType="begin"/>
      </w:r>
      <w:r w:rsidR="00B3002C" w:rsidRPr="008834FB">
        <w:rPr>
          <w:rFonts w:ascii="Times New Roman" w:hAnsi="Times New Roman" w:cs="Times New Roman"/>
          <w:sz w:val="24"/>
          <w:szCs w:val="24"/>
        </w:rPr>
        <w:instrText xml:space="preserve"> REF _Ref56207821 \h  \* MERGEFORMAT </w:instrText>
      </w:r>
      <w:r w:rsidR="00B3002C" w:rsidRPr="008834FB">
        <w:rPr>
          <w:rFonts w:ascii="Times New Roman" w:hAnsi="Times New Roman" w:cs="Times New Roman"/>
          <w:sz w:val="24"/>
          <w:szCs w:val="24"/>
        </w:rPr>
      </w:r>
      <w:r w:rsidR="00B3002C" w:rsidRPr="008834FB">
        <w:rPr>
          <w:rFonts w:ascii="Times New Roman" w:hAnsi="Times New Roman" w:cs="Times New Roman"/>
          <w:sz w:val="24"/>
          <w:szCs w:val="24"/>
        </w:rPr>
        <w:fldChar w:fldCharType="separate"/>
      </w:r>
      <w:r w:rsidR="00E179CA" w:rsidRPr="008834FB">
        <w:rPr>
          <w:rFonts w:ascii="Times New Roman" w:hAnsi="Times New Roman" w:cs="Times New Roman"/>
          <w:sz w:val="24"/>
          <w:szCs w:val="24"/>
        </w:rPr>
        <w:t>Table</w:t>
      </w:r>
      <w:r w:rsidR="00E179CA" w:rsidRPr="008834FB">
        <w:rPr>
          <w:rFonts w:ascii="Times New Roman" w:hAnsi="Times New Roman" w:cs="Times New Roman"/>
          <w:noProof/>
          <w:sz w:val="24"/>
          <w:szCs w:val="24"/>
        </w:rPr>
        <w:t xml:space="preserve"> 15</w:t>
      </w:r>
      <w:r w:rsidR="00B3002C" w:rsidRPr="008834FB">
        <w:rPr>
          <w:rFonts w:ascii="Times New Roman" w:hAnsi="Times New Roman" w:cs="Times New Roman"/>
          <w:sz w:val="24"/>
          <w:szCs w:val="24"/>
        </w:rPr>
        <w:fldChar w:fldCharType="end"/>
      </w:r>
      <w:r w:rsidR="00491025" w:rsidRPr="008834FB">
        <w:rPr>
          <w:rFonts w:ascii="Times New Roman" w:hAnsi="Times New Roman" w:cs="Times New Roman"/>
          <w:sz w:val="24"/>
          <w:szCs w:val="24"/>
        </w:rPr>
        <w:t>, the</w:t>
      </w:r>
      <w:r w:rsidR="00491025" w:rsidRPr="00F07DEB">
        <w:rPr>
          <w:rFonts w:ascii="Times New Roman" w:hAnsi="Times New Roman" w:cs="Times New Roman"/>
          <w:sz w:val="24"/>
          <w:szCs w:val="24"/>
        </w:rPr>
        <w:t xml:space="preserve"> only corn structure in which biomass differed significantly by treatment was the cob (Welch’s t-test, </w:t>
      </w:r>
      <w:r w:rsidR="00491025" w:rsidRPr="00385CDA">
        <w:rPr>
          <w:rFonts w:ascii="Times New Roman" w:hAnsi="Times New Roman" w:cs="Times New Roman"/>
          <w:i/>
          <w:sz w:val="24"/>
          <w:szCs w:val="24"/>
        </w:rPr>
        <w:t>p</w:t>
      </w:r>
      <w:r w:rsidR="00491025" w:rsidRPr="00F07DEB">
        <w:rPr>
          <w:rFonts w:ascii="Times New Roman" w:hAnsi="Times New Roman" w:cs="Times New Roman"/>
          <w:sz w:val="24"/>
          <w:szCs w:val="24"/>
        </w:rPr>
        <w:t xml:space="preserve"> = 0.045). </w:t>
      </w:r>
      <w:r w:rsidR="00D63503" w:rsidRPr="00DA1138">
        <w:rPr>
          <w:rFonts w:ascii="Times New Roman" w:hAnsi="Times New Roman"/>
          <w:sz w:val="24"/>
        </w:rPr>
        <w:t xml:space="preserve">Given the lack of a statistically significant irrigation effect on any other corn structure, </w:t>
      </w:r>
      <w:r w:rsidR="003A2E1A" w:rsidRPr="00DA1138">
        <w:rPr>
          <w:rFonts w:ascii="Times New Roman" w:hAnsi="Times New Roman"/>
          <w:sz w:val="24"/>
        </w:rPr>
        <w:t>the appearance of accelerated maturity under mine water irrigation might just be a product of the randomness inherent to plant growth and development</w:t>
      </w:r>
      <w:r w:rsidR="00355EB3" w:rsidRPr="00DA1138">
        <w:rPr>
          <w:rFonts w:ascii="Times New Roman" w:hAnsi="Times New Roman"/>
          <w:sz w:val="24"/>
        </w:rPr>
        <w:t>.</w:t>
      </w:r>
      <w:r w:rsidR="0090411C">
        <w:rPr>
          <w:rFonts w:ascii="Times New Roman" w:hAnsi="Times New Roman"/>
          <w:sz w:val="24"/>
        </w:rPr>
        <w:t xml:space="preserve"> Alternatively, the presence of elevated </w:t>
      </w:r>
      <w:proofErr w:type="spellStart"/>
      <w:r w:rsidR="0090411C">
        <w:rPr>
          <w:rFonts w:ascii="Times New Roman" w:hAnsi="Times New Roman"/>
          <w:sz w:val="24"/>
        </w:rPr>
        <w:t>Pb</w:t>
      </w:r>
      <w:proofErr w:type="spellEnd"/>
      <w:r w:rsidR="0090411C">
        <w:rPr>
          <w:rFonts w:ascii="Times New Roman" w:hAnsi="Times New Roman"/>
          <w:sz w:val="24"/>
        </w:rPr>
        <w:t>, Zn, Ni, and Cd has been shown to decrease root and shoot nitrogen content, and nitrogen deficiency can cause early maturity</w:t>
      </w:r>
      <w:r w:rsidR="0043149F">
        <w:rPr>
          <w:rFonts w:ascii="Times New Roman" w:hAnsi="Times New Roman"/>
          <w:sz w:val="24"/>
        </w:rPr>
        <w:t xml:space="preserve"> </w:t>
      </w:r>
      <w:r w:rsidR="0043149F">
        <w:rPr>
          <w:rFonts w:ascii="Times New Roman" w:hAnsi="Times New Roman"/>
          <w:sz w:val="24"/>
        </w:rPr>
        <w:fldChar w:fldCharType="begin"/>
      </w:r>
      <w:r w:rsidR="00BA49C2">
        <w:rPr>
          <w:rFonts w:ascii="Times New Roman" w:hAnsi="Times New Roman"/>
          <w:sz w:val="24"/>
        </w:rPr>
        <w:instrText xml:space="preserve"> ADDIN ZOTERO_ITEM CSL_CITATION {"citationID":"a7139l5de0","properties":{"formattedCitation":"(Chibuike &amp; Obiora, 2014; Uchida, 2000)","plainCitation":"(Chibuike &amp; Obiora, 2014; Uchida, 2000)","noteIndex":0},"citationItems":[{"id":948,"uris":["http://zotero.org/users/5446453/items/ACNX7L97"],"uri":["http://zotero.org/users/5446453/items/ACNX7L97"],"itemData":{"id":948,"type":"webpage","abstract":"Soils polluted with heavy metals have become common across the globe due to increase in geologic and anthropogenic activities. Plants growing on these soils show a reduction in growth, performance, and yield. Bioremediation is an effective method of treating heavy metal polluted soils. It is a widely accepted method that is mostly carried out in situ; hence it is suitable for the establishment/reestablishment of crops on treated soils. Microorganisms and plants employ different mechanisms for the bioremediation of polluted soils. Using plants for the treatment of polluted soils is a more common approach in the bioremediation of heavy metal polluted soils. Combining both microorganisms and plants is an approach to bioremediation that ensures a more efficient clean-up of heavy metal polluted soils. However, success of this approach largely depends on the species of organisms involved in the process.","container-title":"Applied and Environmental Soil Science","genre":"Review Article","language":"en","note":"DOI: https://doi.org/10.1155/2014/752708\nISSN: 1687-7667\npage: e752708\npublisher: Hindawi\nvolume: 2014\nDOI: https://doi.org/10.1155/2014/752708","title":"Heavy Metal Polluted Soils: Effect on Plants and Bioremediation Methods","title-short":"Heavy Metal Polluted Soils","URL":"https://www.hindawi.com/journals/aess/2014/752708/?back=https%3A%2F%2Fwww.google.com%2Fsearch%3Fclient%3Dsafari%26as_qdr%3Dall%26as_occt%3Dany%26safe%3Dactive%26as_q%3DS+pollution+by+physical+material+is+good+for+plants%26channel%3Daplab%26source%3Da-app1%26hl%3Den","author":[{"family":"Chibuike","given":"G. U."},{"family":"Obiora","given":"S. C."}],"accessed":{"date-parts":[["2020",12,15]]},"issued":{"date-parts":[["2014"]]}}},{"id":952,"uris":["http://zotero.org/users/5446453/items/PZVXPTKK"],"uri":["http://zotero.org/users/5446453/items/PZVXPTKK"],"itemData":{"id":952,"type":"chapter","container-title":"Plant Nutrient Management in Hawaii's Soils, Approaches for Tropical and Subtropical Agriculture","ISBN":"1-929235-08-8","language":"en","page":"31-55","publisher":"University of Hawaii at Manoa","source":"Zotero","title":"Essential Nutrients for Plant Growth: Nutrient Functions and Deficiency Symptoms","author":[{"family":"Uchida","given":"R"}],"issued":{"date-parts":[["2000"]]}}}],"schema":"https://github.com/citation-style-language/schema/raw/master/csl-citation.json"} </w:instrText>
      </w:r>
      <w:r w:rsidR="0043149F">
        <w:rPr>
          <w:rFonts w:ascii="Times New Roman" w:hAnsi="Times New Roman"/>
          <w:sz w:val="24"/>
        </w:rPr>
        <w:fldChar w:fldCharType="separate"/>
      </w:r>
      <w:r w:rsidR="00234033" w:rsidRPr="00234033">
        <w:rPr>
          <w:rFonts w:ascii="Times New Roman" w:hAnsi="Times New Roman" w:cs="Times New Roman"/>
          <w:sz w:val="24"/>
        </w:rPr>
        <w:t xml:space="preserve">(Chibuike </w:t>
      </w:r>
      <w:r w:rsidR="00375B31">
        <w:rPr>
          <w:rFonts w:ascii="Times New Roman" w:hAnsi="Times New Roman" w:cs="Times New Roman"/>
          <w:sz w:val="24"/>
        </w:rPr>
        <w:t>and</w:t>
      </w:r>
      <w:r w:rsidR="00234033" w:rsidRPr="00234033">
        <w:rPr>
          <w:rFonts w:ascii="Times New Roman" w:hAnsi="Times New Roman" w:cs="Times New Roman"/>
          <w:sz w:val="24"/>
        </w:rPr>
        <w:t xml:space="preserve"> Obiora, 2014; Uchida, 2000)</w:t>
      </w:r>
      <w:r w:rsidR="0043149F">
        <w:rPr>
          <w:rFonts w:ascii="Times New Roman" w:hAnsi="Times New Roman"/>
          <w:sz w:val="24"/>
        </w:rPr>
        <w:fldChar w:fldCharType="end"/>
      </w:r>
      <w:r w:rsidR="0090411C">
        <w:rPr>
          <w:rFonts w:ascii="Times New Roman" w:hAnsi="Times New Roman"/>
          <w:sz w:val="24"/>
        </w:rPr>
        <w:t>. However, plant nitrogen concentrations were not analyzed and the aforementioned metals were generally present at greater concentrations in groundwater-irrigated crops</w:t>
      </w:r>
      <w:r w:rsidR="0043149F">
        <w:rPr>
          <w:rFonts w:ascii="Times New Roman" w:hAnsi="Times New Roman"/>
          <w:sz w:val="24"/>
        </w:rPr>
        <w:t>.</w:t>
      </w:r>
      <w:r w:rsidR="003A2E1A" w:rsidRPr="00F07DEB">
        <w:rPr>
          <w:rFonts w:ascii="Times New Roman" w:hAnsi="Times New Roman" w:cs="Times New Roman"/>
          <w:sz w:val="24"/>
          <w:szCs w:val="24"/>
        </w:rPr>
        <w:t xml:space="preserve"> </w:t>
      </w:r>
      <w:r w:rsidR="003A2E1A" w:rsidRPr="00DA1138">
        <w:rPr>
          <w:rFonts w:ascii="Times New Roman" w:hAnsi="Times New Roman"/>
          <w:sz w:val="24"/>
        </w:rPr>
        <w:t>In any case, the variance of mine water biomass generation stands in stark contrast with the more consistent growth and biomass allocation witnessed in groundwater-irrigated corn.</w:t>
      </w:r>
    </w:p>
    <w:p w14:paraId="78034663" w14:textId="54E63B76" w:rsidR="000C3519" w:rsidRPr="00F07DEB" w:rsidRDefault="00CD47B5" w:rsidP="000C3519">
      <w:pPr>
        <w:keepNext/>
        <w:spacing w:line="480" w:lineRule="auto"/>
        <w:jc w:val="center"/>
        <w:rPr>
          <w:rFonts w:ascii="Times New Roman" w:hAnsi="Times New Roman" w:cs="Times New Roman"/>
        </w:rPr>
      </w:pPr>
      <w:r w:rsidRPr="00F07DEB">
        <w:rPr>
          <w:rFonts w:ascii="Times New Roman" w:hAnsi="Times New Roman" w:cs="Times New Roman"/>
          <w:noProof/>
          <w:lang w:eastAsia="en-US"/>
        </w:rPr>
        <w:lastRenderedPageBreak/>
        <w:drawing>
          <wp:inline distT="0" distB="0" distL="0" distR="0" wp14:anchorId="559C1E74" wp14:editId="19D58A41">
            <wp:extent cx="5837246" cy="3518947"/>
            <wp:effectExtent l="0" t="0" r="11430" b="571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C46F221" w14:textId="31B3FAF4" w:rsidR="00CD47B5" w:rsidRPr="00F07DEB" w:rsidRDefault="000C3519" w:rsidP="00204C13">
      <w:pPr>
        <w:pStyle w:val="Caption"/>
      </w:pPr>
      <w:bookmarkStart w:id="114" w:name="_Ref56689887"/>
      <w:bookmarkStart w:id="115" w:name="_Toc58975239"/>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29</w:t>
      </w:r>
      <w:r w:rsidR="00DE3B90" w:rsidRPr="00F07DEB">
        <w:rPr>
          <w:noProof/>
        </w:rPr>
        <w:fldChar w:fldCharType="end"/>
      </w:r>
      <w:bookmarkEnd w:id="114"/>
      <w:r w:rsidRPr="00F07DEB">
        <w:rPr>
          <w:noProof/>
        </w:rPr>
        <w:t>: Total dry biomass of all corn plants</w:t>
      </w:r>
      <w:bookmarkEnd w:id="115"/>
    </w:p>
    <w:p w14:paraId="216FBC4C" w14:textId="77777777" w:rsidR="000C3519" w:rsidRPr="00F07DEB" w:rsidRDefault="000C3519" w:rsidP="000C3519">
      <w:pPr>
        <w:spacing w:line="480" w:lineRule="auto"/>
        <w:jc w:val="center"/>
        <w:rPr>
          <w:rFonts w:ascii="Times New Roman" w:hAnsi="Times New Roman" w:cs="Times New Roman"/>
          <w:b/>
          <w:sz w:val="20"/>
          <w:szCs w:val="20"/>
        </w:rPr>
      </w:pPr>
    </w:p>
    <w:p w14:paraId="06CF09F9" w14:textId="45FB5E8E" w:rsidR="00491025" w:rsidRPr="00F07DEB" w:rsidRDefault="003A2E1A" w:rsidP="00722616">
      <w:pPr>
        <w:spacing w:line="480" w:lineRule="auto"/>
        <w:rPr>
          <w:rFonts w:ascii="Times New Roman" w:hAnsi="Times New Roman" w:cs="Times New Roman"/>
          <w:sz w:val="24"/>
          <w:szCs w:val="24"/>
        </w:rPr>
      </w:pPr>
      <w:r w:rsidRPr="00F07DEB">
        <w:rPr>
          <w:rFonts w:ascii="Times New Roman" w:hAnsi="Times New Roman" w:cs="Times New Roman"/>
        </w:rPr>
        <w:tab/>
      </w:r>
      <w:r w:rsidR="00F97ADF" w:rsidRPr="00DA1138">
        <w:rPr>
          <w:rFonts w:ascii="Times New Roman" w:hAnsi="Times New Roman" w:cs="Times New Roman"/>
          <w:sz w:val="24"/>
          <w:szCs w:val="24"/>
        </w:rPr>
        <w:t xml:space="preserve">As seen in </w:t>
      </w:r>
      <w:r w:rsidR="00F97ADF" w:rsidRPr="00DA1138">
        <w:rPr>
          <w:rFonts w:ascii="Times New Roman" w:hAnsi="Times New Roman" w:cs="Times New Roman"/>
          <w:sz w:val="24"/>
          <w:szCs w:val="24"/>
        </w:rPr>
        <w:fldChar w:fldCharType="begin"/>
      </w:r>
      <w:r w:rsidR="00F97ADF" w:rsidRPr="00DA1138">
        <w:rPr>
          <w:rFonts w:ascii="Times New Roman" w:hAnsi="Times New Roman" w:cs="Times New Roman"/>
          <w:sz w:val="24"/>
          <w:szCs w:val="24"/>
        </w:rPr>
        <w:instrText xml:space="preserve"> REF _Ref58938933 \h  \* MERGEFORMAT </w:instrText>
      </w:r>
      <w:r w:rsidR="00F97ADF" w:rsidRPr="00DA1138">
        <w:rPr>
          <w:rFonts w:ascii="Times New Roman" w:hAnsi="Times New Roman" w:cs="Times New Roman"/>
          <w:sz w:val="24"/>
          <w:szCs w:val="24"/>
        </w:rPr>
      </w:r>
      <w:r w:rsidR="00F97ADF" w:rsidRPr="00DA1138">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30</w:t>
      </w:r>
      <w:r w:rsidR="00F97ADF" w:rsidRPr="00DA1138">
        <w:rPr>
          <w:rFonts w:ascii="Times New Roman" w:hAnsi="Times New Roman" w:cs="Times New Roman"/>
          <w:sz w:val="24"/>
          <w:szCs w:val="24"/>
        </w:rPr>
        <w:fldChar w:fldCharType="end"/>
      </w:r>
      <w:r w:rsidR="00F97ADF" w:rsidRPr="00DA1138">
        <w:rPr>
          <w:rFonts w:ascii="Times New Roman" w:hAnsi="Times New Roman" w:cs="Times New Roman"/>
          <w:sz w:val="24"/>
          <w:szCs w:val="24"/>
        </w:rPr>
        <w:t>,</w:t>
      </w:r>
      <w:r w:rsidR="00F97ADF">
        <w:rPr>
          <w:rFonts w:ascii="Times New Roman" w:hAnsi="Times New Roman" w:cs="Times New Roman"/>
        </w:rPr>
        <w:t xml:space="preserve"> </w:t>
      </w:r>
      <w:r w:rsidR="007B5610">
        <w:rPr>
          <w:rFonts w:ascii="Times New Roman" w:hAnsi="Times New Roman" w:cs="Times New Roman"/>
          <w:sz w:val="24"/>
          <w:szCs w:val="24"/>
        </w:rPr>
        <w:t>s</w:t>
      </w:r>
      <w:r w:rsidRPr="00F07DEB">
        <w:rPr>
          <w:rFonts w:ascii="Times New Roman" w:hAnsi="Times New Roman" w:cs="Times New Roman"/>
          <w:sz w:val="24"/>
          <w:szCs w:val="24"/>
        </w:rPr>
        <w:t xml:space="preserve">orghum plants exhibited similar </w:t>
      </w:r>
      <w:r w:rsidR="00722616" w:rsidRPr="00F07DEB">
        <w:rPr>
          <w:rFonts w:ascii="Times New Roman" w:hAnsi="Times New Roman" w:cs="Times New Roman"/>
          <w:sz w:val="24"/>
          <w:szCs w:val="24"/>
        </w:rPr>
        <w:t xml:space="preserve">variances in </w:t>
      </w:r>
      <w:r w:rsidRPr="00F07DEB">
        <w:rPr>
          <w:rFonts w:ascii="Times New Roman" w:hAnsi="Times New Roman" w:cs="Times New Roman"/>
          <w:sz w:val="24"/>
          <w:szCs w:val="24"/>
        </w:rPr>
        <w:t xml:space="preserve">biomass production </w:t>
      </w:r>
      <w:r w:rsidR="00722616" w:rsidRPr="00F07DEB">
        <w:rPr>
          <w:rFonts w:ascii="Times New Roman" w:hAnsi="Times New Roman" w:cs="Times New Roman"/>
          <w:sz w:val="24"/>
          <w:szCs w:val="24"/>
        </w:rPr>
        <w:t xml:space="preserve">under both irrigation treatments, which were associated with significantly different root biomasses (Mann-Whitney U test, </w:t>
      </w:r>
      <w:r w:rsidR="00722616" w:rsidRPr="00385CDA">
        <w:rPr>
          <w:rFonts w:ascii="Times New Roman" w:hAnsi="Times New Roman" w:cs="Times New Roman"/>
          <w:i/>
          <w:sz w:val="24"/>
          <w:szCs w:val="24"/>
        </w:rPr>
        <w:t>p</w:t>
      </w:r>
      <w:r w:rsidR="00722616" w:rsidRPr="00F07DEB">
        <w:rPr>
          <w:rFonts w:ascii="Times New Roman" w:hAnsi="Times New Roman" w:cs="Times New Roman"/>
          <w:sz w:val="24"/>
          <w:szCs w:val="24"/>
        </w:rPr>
        <w:t xml:space="preserve"> = 0.009) in addition to whole plant masses.</w:t>
      </w:r>
      <w:r w:rsidR="0044700D" w:rsidRPr="00F07DEB">
        <w:rPr>
          <w:rFonts w:ascii="Times New Roman" w:hAnsi="Times New Roman" w:cs="Times New Roman"/>
          <w:sz w:val="24"/>
          <w:szCs w:val="24"/>
        </w:rPr>
        <w:t xml:space="preserve"> Depressed root growth is sometimes associated with increases in </w:t>
      </w:r>
      <w:r w:rsidR="00355EB3" w:rsidRPr="00F07DEB">
        <w:rPr>
          <w:rFonts w:ascii="Times New Roman" w:hAnsi="Times New Roman" w:cs="Times New Roman"/>
          <w:sz w:val="24"/>
          <w:szCs w:val="24"/>
        </w:rPr>
        <w:t>aboveground</w:t>
      </w:r>
      <w:r w:rsidR="0044700D" w:rsidRPr="00F07DEB">
        <w:rPr>
          <w:rFonts w:ascii="Times New Roman" w:hAnsi="Times New Roman" w:cs="Times New Roman"/>
          <w:sz w:val="24"/>
          <w:szCs w:val="24"/>
        </w:rPr>
        <w:t xml:space="preserve"> biomass allocation; in this case, grain was the only sorghum structure with a higher mean biomass in mine water-irrigated pots than in groundwater pots </w:t>
      </w:r>
      <w:r w:rsidR="0044700D" w:rsidRPr="00F07DEB">
        <w:rPr>
          <w:rFonts w:ascii="Times New Roman" w:hAnsi="Times New Roman" w:cs="Times New Roman"/>
          <w:sz w:val="24"/>
          <w:szCs w:val="24"/>
        </w:rPr>
        <w:fldChar w:fldCharType="begin"/>
      </w:r>
      <w:r w:rsidR="0044700D" w:rsidRPr="00F07DEB">
        <w:rPr>
          <w:rFonts w:ascii="Times New Roman" w:hAnsi="Times New Roman" w:cs="Times New Roman"/>
          <w:sz w:val="24"/>
          <w:szCs w:val="24"/>
        </w:rPr>
        <w:instrText xml:space="preserve"> ADDIN ZOTERO_ITEM CSL_CITATION {"citationID":"uNb9LeHW","properties":{"formattedCitation":"(Poorter et al., 2012)","plainCitation":"(Poorter et al., 2012)","noteIndex":0},"citationItems":[{"id":841,"uris":["http://zotero.org/users/5446453/items/ZQEC95BW"],"uri":["http://zotero.org/users/5446453/items/ZQEC95BW"],"itemData":{"id":841,"type":"article-journal","abstract":"Contents Summary 30 I. Allocation in perspective 31 II. Topics of this review 32 III. Methodology 32 IV. Environmental effects 33 V. Ontogeny 36 VI. Differences between species 40 VII. Physiology and molecular regulation 41 VIII. Ecological aspects 42 IX. Perspectives 45 Acknowledgements 45 References 45 Appendices A1–A4 49 Summary We quantified the biomass allocation patterns to leaves, stems and roots in vegetative plants, and how this is influenced by the growth environment, plant size, evolutionary history and competition. Dose–response curves of allocation were constructed by means of a meta-analysis from a wide array of experimental data. They show that the fraction of whole-plant mass represented by leaves (LMF) increases most strongly with nutrients and decreases most strongly with light. Correction for size-induced allocation patterns diminishes the LMF-response to light, but makes the effect of temperature on LMF more apparent. There is a clear phylogenetic effect on allocation, as eudicots invest relatively more than monocots in leaves, as do gymnosperms compared with woody angiosperms. Plants grown at high densities show a clear increase in the stem fraction. However, in most comparisons across species groups or environmental factors, the variation in LMF is smaller than the variation in one of the other components of the growth analysis equation: the leaf area : leaf mass ratio (SLA). In competitive situations, the stem mass fraction increases to a smaller extent than the specific stem length (stem length : stem mass). Thus, we conclude that plants generally are less able to adjust allocation than to alter organ morphology.","container-title":"New Phytologist","DOI":"https://doi.org/10.1111/j.1469-8137.2011.03952.x","ISSN":"1469-8137","issue":"1","language":"en","note":"_eprint: https://nph.onlinelibrary.wiley.com/doi/pdf/10.1111/j.1469-8137.2011.03952.x","page":"30-50","source":"Wiley Online Library","title":"Biomass allocation to leaves, stems and roots: meta-analyses of interspecific variation and environmental control","title-short":"Biomass allocation to leaves, stems and roots","volume":"193","author":[{"family":"Poorter","given":"Hendrik"},{"family":"Niklas","given":"Karl J."},{"family":"Reich","given":"Peter B."},{"family":"Oleksyn","given":"Jacek"},{"family":"Poot","given":"Pieter"},{"family":"Mommer","given":"Liesje"}],"issued":{"date-parts":[["2012"]]}}}],"schema":"https://github.com/citation-style-language/schema/raw/master/csl-citation.json"} </w:instrText>
      </w:r>
      <w:r w:rsidR="0044700D"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(Poorter et al., 2012)</w:t>
      </w:r>
      <w:r w:rsidR="0044700D" w:rsidRPr="00F07DEB">
        <w:rPr>
          <w:rFonts w:ascii="Times New Roman" w:hAnsi="Times New Roman" w:cs="Times New Roman"/>
          <w:sz w:val="24"/>
          <w:szCs w:val="24"/>
        </w:rPr>
        <w:fldChar w:fldCharType="end"/>
      </w:r>
      <w:r w:rsidR="0044700D" w:rsidRPr="00F07DEB">
        <w:rPr>
          <w:rFonts w:ascii="Times New Roman" w:hAnsi="Times New Roman" w:cs="Times New Roman"/>
          <w:sz w:val="24"/>
          <w:szCs w:val="24"/>
        </w:rPr>
        <w:t xml:space="preserve">. The increased reproductive biomass under mine water irrigation parallels </w:t>
      </w:r>
      <w:r w:rsidR="00F97ADF">
        <w:rPr>
          <w:rFonts w:ascii="Times New Roman" w:hAnsi="Times New Roman" w:cs="Times New Roman"/>
          <w:sz w:val="24"/>
          <w:szCs w:val="24"/>
        </w:rPr>
        <w:t xml:space="preserve">the </w:t>
      </w:r>
      <w:r w:rsidR="0044700D" w:rsidRPr="00F07DEB">
        <w:rPr>
          <w:rFonts w:ascii="Times New Roman" w:hAnsi="Times New Roman" w:cs="Times New Roman"/>
          <w:sz w:val="24"/>
          <w:szCs w:val="24"/>
        </w:rPr>
        <w:t>trend</w:t>
      </w:r>
      <w:r w:rsidR="00F97ADF">
        <w:rPr>
          <w:rFonts w:ascii="Times New Roman" w:hAnsi="Times New Roman" w:cs="Times New Roman"/>
          <w:sz w:val="24"/>
          <w:szCs w:val="24"/>
        </w:rPr>
        <w:t xml:space="preserve"> of accelerated maturity implied </w:t>
      </w:r>
      <w:r w:rsidR="0044700D" w:rsidRPr="00F07DEB">
        <w:rPr>
          <w:rFonts w:ascii="Times New Roman" w:hAnsi="Times New Roman" w:cs="Times New Roman"/>
          <w:sz w:val="24"/>
          <w:szCs w:val="24"/>
        </w:rPr>
        <w:t xml:space="preserve">by </w:t>
      </w:r>
      <w:r w:rsidR="00F97ADF">
        <w:rPr>
          <w:rFonts w:ascii="Times New Roman" w:hAnsi="Times New Roman" w:cs="Times New Roman"/>
          <w:sz w:val="24"/>
          <w:szCs w:val="24"/>
        </w:rPr>
        <w:t xml:space="preserve">mine water-irrigated </w:t>
      </w:r>
      <w:r w:rsidR="0044700D" w:rsidRPr="00F07DEB">
        <w:rPr>
          <w:rFonts w:ascii="Times New Roman" w:hAnsi="Times New Roman" w:cs="Times New Roman"/>
          <w:sz w:val="24"/>
          <w:szCs w:val="24"/>
        </w:rPr>
        <w:t xml:space="preserve">corn biomass allocation, although the difference in sorghum grain production was not statistically significant at an alpha of 0.05 (Mann-Whitney U test, </w:t>
      </w:r>
      <w:r w:rsidR="0044700D" w:rsidRPr="00385CDA">
        <w:rPr>
          <w:rFonts w:ascii="Times New Roman" w:hAnsi="Times New Roman" w:cs="Times New Roman"/>
          <w:i/>
          <w:sz w:val="24"/>
          <w:szCs w:val="24"/>
        </w:rPr>
        <w:t>p</w:t>
      </w:r>
      <w:r w:rsidR="0044700D" w:rsidRPr="00F07DEB">
        <w:rPr>
          <w:rFonts w:ascii="Times New Roman" w:hAnsi="Times New Roman" w:cs="Times New Roman"/>
          <w:sz w:val="24"/>
          <w:szCs w:val="24"/>
        </w:rPr>
        <w:t xml:space="preserve"> = 0.093). </w:t>
      </w:r>
    </w:p>
    <w:p w14:paraId="6888B6AC" w14:textId="77777777" w:rsidR="00F97ADF" w:rsidRDefault="0044700D" w:rsidP="00DA1138">
      <w:pPr>
        <w:keepNext/>
        <w:spacing w:line="480" w:lineRule="auto"/>
      </w:pPr>
      <w:r w:rsidRPr="00F07DEB">
        <w:rPr>
          <w:rFonts w:ascii="Times New Roman" w:hAnsi="Times New Roman" w:cs="Times New Roman"/>
          <w:sz w:val="24"/>
          <w:szCs w:val="24"/>
        </w:rPr>
        <w:lastRenderedPageBreak/>
        <w:tab/>
      </w:r>
      <w:r w:rsidR="00F97ADF" w:rsidRPr="00F07DEB">
        <w:rPr>
          <w:rFonts w:ascii="Times New Roman" w:hAnsi="Times New Roman" w:cs="Times New Roman"/>
          <w:noProof/>
          <w:lang w:eastAsia="en-US"/>
        </w:rPr>
        <w:drawing>
          <wp:inline distT="0" distB="0" distL="0" distR="0" wp14:anchorId="4154AAF8" wp14:editId="0D7E1FD8">
            <wp:extent cx="5855335" cy="3448877"/>
            <wp:effectExtent l="0" t="0" r="12065" b="1841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EF9D2F6" w14:textId="0D030361" w:rsidR="00F97ADF" w:rsidRDefault="00F97ADF" w:rsidP="00204C13">
      <w:pPr>
        <w:pStyle w:val="Caption"/>
        <w:rPr>
          <w:noProof/>
        </w:rPr>
      </w:pPr>
      <w:bookmarkStart w:id="116" w:name="_Ref58938933"/>
      <w:bookmarkStart w:id="117" w:name="_Toc58975240"/>
      <w:r>
        <w:t xml:space="preserve">Figure </w:t>
      </w:r>
      <w:r w:rsidR="00757A39">
        <w:rPr>
          <w:noProof/>
        </w:rPr>
        <w:fldChar w:fldCharType="begin"/>
      </w:r>
      <w:r w:rsidR="00757A39">
        <w:rPr>
          <w:noProof/>
        </w:rPr>
        <w:instrText xml:space="preserve"> SEQ Figure \* ARABIC </w:instrText>
      </w:r>
      <w:r w:rsidR="00757A39">
        <w:rPr>
          <w:noProof/>
        </w:rPr>
        <w:fldChar w:fldCharType="separate"/>
      </w:r>
      <w:r w:rsidR="00E179CA">
        <w:rPr>
          <w:noProof/>
        </w:rPr>
        <w:t>30</w:t>
      </w:r>
      <w:r w:rsidR="00757A39">
        <w:rPr>
          <w:noProof/>
        </w:rPr>
        <w:fldChar w:fldCharType="end"/>
      </w:r>
      <w:bookmarkEnd w:id="116"/>
      <w:r>
        <w:t xml:space="preserve">: </w:t>
      </w:r>
      <w:r w:rsidRPr="00926228">
        <w:rPr>
          <w:noProof/>
        </w:rPr>
        <w:t xml:space="preserve">Total dry biomass of all </w:t>
      </w:r>
      <w:r>
        <w:rPr>
          <w:noProof/>
        </w:rPr>
        <w:t>sorghum</w:t>
      </w:r>
      <w:r w:rsidRPr="00926228">
        <w:rPr>
          <w:noProof/>
        </w:rPr>
        <w:t xml:space="preserve"> plants</w:t>
      </w:r>
      <w:bookmarkEnd w:id="117"/>
    </w:p>
    <w:p w14:paraId="54D1A8B1" w14:textId="77777777" w:rsidR="00F97ADF" w:rsidRPr="00DA1138" w:rsidRDefault="00F97ADF" w:rsidP="00DA1138"/>
    <w:p w14:paraId="01374B28" w14:textId="0D93AA7F" w:rsidR="0044700D" w:rsidRPr="00F07DEB" w:rsidRDefault="0044700D" w:rsidP="00DA1138">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Bermuda grass biomass production was measured twice, and the </w:t>
      </w:r>
      <w:r w:rsidR="00355EB3" w:rsidRPr="00F07DEB">
        <w:rPr>
          <w:rFonts w:ascii="Times New Roman" w:hAnsi="Times New Roman" w:cs="Times New Roman"/>
          <w:sz w:val="24"/>
          <w:szCs w:val="24"/>
        </w:rPr>
        <w:t>aboveground</w:t>
      </w:r>
      <w:r w:rsidRPr="00F07DEB">
        <w:rPr>
          <w:rFonts w:ascii="Times New Roman" w:hAnsi="Times New Roman" w:cs="Times New Roman"/>
          <w:sz w:val="24"/>
          <w:szCs w:val="24"/>
        </w:rPr>
        <w:t xml:space="preserve"> fractions were not significantly different by treatment during either sampling event despite the germination of only two seeds in one of the groundwater-irrigated pots. Below-ground biomass production was significantly different between irrigation treatments (Mann-Whitney U test, </w:t>
      </w:r>
      <w:r w:rsidRPr="00385CDA">
        <w:rPr>
          <w:rFonts w:ascii="Times New Roman" w:hAnsi="Times New Roman" w:cs="Times New Roman"/>
          <w:i/>
          <w:sz w:val="24"/>
          <w:szCs w:val="24"/>
        </w:rPr>
        <w:t>p</w:t>
      </w:r>
      <w:r w:rsidRPr="00F07DEB">
        <w:rPr>
          <w:rFonts w:ascii="Times New Roman" w:hAnsi="Times New Roman" w:cs="Times New Roman"/>
          <w:sz w:val="24"/>
          <w:szCs w:val="24"/>
        </w:rPr>
        <w:t xml:space="preserve"> = 0.041). Whereas mean root production and total biomass generation were diminished during mine water irrigation of corn and sorghum, both root mass and cumulative biomass were </w:t>
      </w:r>
      <w:r w:rsidR="00EA6D07">
        <w:rPr>
          <w:rFonts w:ascii="Times New Roman" w:hAnsi="Times New Roman" w:cs="Times New Roman"/>
          <w:sz w:val="24"/>
          <w:szCs w:val="24"/>
        </w:rPr>
        <w:t>greater</w:t>
      </w:r>
      <w:r w:rsidR="00EA6D07" w:rsidRPr="00F07DEB">
        <w:rPr>
          <w:rFonts w:ascii="Times New Roman" w:hAnsi="Times New Roman" w:cs="Times New Roman"/>
          <w:sz w:val="24"/>
          <w:szCs w:val="24"/>
        </w:rPr>
        <w:t xml:space="preserve"> </w:t>
      </w:r>
      <w:r w:rsidRPr="00F07DEB">
        <w:rPr>
          <w:rFonts w:ascii="Times New Roman" w:hAnsi="Times New Roman" w:cs="Times New Roman"/>
          <w:sz w:val="24"/>
          <w:szCs w:val="24"/>
        </w:rPr>
        <w:t xml:space="preserve">on average during mine water irrigation of Bermuda grass. However, it is not possible to assert that overall dry biomass production in mine water-irrigated Bermuda grass pots </w:t>
      </w:r>
      <w:r w:rsidR="00723E65">
        <w:rPr>
          <w:rFonts w:ascii="Times New Roman" w:hAnsi="Times New Roman" w:cs="Times New Roman"/>
          <w:sz w:val="24"/>
          <w:szCs w:val="24"/>
        </w:rPr>
        <w:t xml:space="preserve">represent any </w:t>
      </w:r>
      <w:r w:rsidRPr="00F07DEB">
        <w:rPr>
          <w:rFonts w:ascii="Times New Roman" w:hAnsi="Times New Roman" w:cs="Times New Roman"/>
          <w:sz w:val="24"/>
          <w:szCs w:val="24"/>
        </w:rPr>
        <w:t>significant differen</w:t>
      </w:r>
      <w:r w:rsidR="00723E65">
        <w:rPr>
          <w:rFonts w:ascii="Times New Roman" w:hAnsi="Times New Roman" w:cs="Times New Roman"/>
          <w:sz w:val="24"/>
          <w:szCs w:val="24"/>
        </w:rPr>
        <w:t>ce</w:t>
      </w:r>
      <w:r w:rsidRPr="00F07DEB">
        <w:rPr>
          <w:rFonts w:ascii="Times New Roman" w:hAnsi="Times New Roman" w:cs="Times New Roman"/>
          <w:sz w:val="24"/>
          <w:szCs w:val="24"/>
        </w:rPr>
        <w:t xml:space="preserve"> from overall dry biomass production in groundwater-irrigated pots.</w:t>
      </w:r>
    </w:p>
    <w:p w14:paraId="28BFF18F" w14:textId="492654E6" w:rsidR="00252822" w:rsidRDefault="00252822">
      <w:pPr>
        <w:rPr>
          <w:rFonts w:ascii="Times New Roman" w:hAnsi="Times New Roman" w:cs="Times New Roman"/>
          <w:b/>
          <w:sz w:val="20"/>
          <w:szCs w:val="20"/>
        </w:rPr>
      </w:pPr>
      <w:bookmarkStart w:id="118" w:name="_Ref56126429"/>
      <w:bookmarkStart w:id="119" w:name="_Ref56207821"/>
    </w:p>
    <w:p w14:paraId="5118609F" w14:textId="225B6F0C" w:rsidR="00E720F9" w:rsidRPr="00F07DEB" w:rsidRDefault="00E720F9" w:rsidP="00204C13">
      <w:pPr>
        <w:pStyle w:val="Caption"/>
      </w:pPr>
      <w:bookmarkStart w:id="120" w:name="_Toc58975201"/>
      <w:r w:rsidRPr="00F07DEB">
        <w:lastRenderedPageBreak/>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15</w:t>
      </w:r>
      <w:r w:rsidR="00DE3B90" w:rsidRPr="00F07DEB">
        <w:rPr>
          <w:noProof/>
        </w:rPr>
        <w:fldChar w:fldCharType="end"/>
      </w:r>
      <w:bookmarkEnd w:id="118"/>
      <w:bookmarkEnd w:id="119"/>
      <w:r w:rsidRPr="00F07DEB">
        <w:rPr>
          <w:noProof/>
        </w:rPr>
        <w:t>: Mean dry biomass generation in each plant structure under groundwater or mine water irrigation, measured in g</w:t>
      </w:r>
      <w:bookmarkEnd w:id="120"/>
    </w:p>
    <w:tbl>
      <w:tblPr>
        <w:tblW w:w="5000" w:type="pct"/>
        <w:tblLook w:val="04A0" w:firstRow="1" w:lastRow="0" w:firstColumn="1" w:lastColumn="0" w:noHBand="0" w:noVBand="1"/>
      </w:tblPr>
      <w:tblGrid>
        <w:gridCol w:w="2440"/>
        <w:gridCol w:w="1406"/>
        <w:gridCol w:w="1363"/>
        <w:gridCol w:w="1406"/>
        <w:gridCol w:w="1363"/>
        <w:gridCol w:w="1382"/>
      </w:tblGrid>
      <w:tr w:rsidR="001400C3" w:rsidRPr="00F07DEB" w14:paraId="6729DF2B" w14:textId="77777777" w:rsidTr="00884B71">
        <w:trPr>
          <w:trHeight w:val="300"/>
        </w:trPr>
        <w:tc>
          <w:tcPr>
            <w:tcW w:w="1303" w:type="pct"/>
            <w:tcBorders>
              <w:top w:val="single" w:sz="8" w:space="0" w:color="auto"/>
              <w:left w:val="nil"/>
              <w:bottom w:val="nil"/>
              <w:right w:val="nil"/>
            </w:tcBorders>
            <w:shd w:val="clear" w:color="auto" w:fill="auto"/>
            <w:noWrap/>
            <w:vAlign w:val="bottom"/>
            <w:hideMark/>
          </w:tcPr>
          <w:p w14:paraId="2248D85D" w14:textId="77777777" w:rsidR="001400C3" w:rsidRPr="00F07DEB" w:rsidRDefault="001400C3" w:rsidP="001400C3">
            <w:pPr>
              <w:spacing w:after="0" w:line="240" w:lineRule="auto"/>
              <w:rPr>
                <w:rFonts w:ascii="Times New Roman" w:eastAsia="Times New Roman" w:hAnsi="Times New Roman" w:cs="Times New Roman"/>
                <w:sz w:val="20"/>
                <w:szCs w:val="20"/>
                <w:lang w:eastAsia="en-US"/>
              </w:rPr>
            </w:pPr>
          </w:p>
        </w:tc>
        <w:tc>
          <w:tcPr>
            <w:tcW w:w="1479" w:type="pct"/>
            <w:gridSpan w:val="2"/>
            <w:tcBorders>
              <w:top w:val="single" w:sz="8" w:space="0" w:color="auto"/>
              <w:left w:val="nil"/>
              <w:bottom w:val="single" w:sz="8" w:space="0" w:color="auto"/>
              <w:right w:val="nil"/>
            </w:tcBorders>
            <w:shd w:val="clear" w:color="auto" w:fill="auto"/>
            <w:noWrap/>
            <w:vAlign w:val="bottom"/>
            <w:hideMark/>
          </w:tcPr>
          <w:p w14:paraId="5FA12261" w14:textId="77777777" w:rsidR="001400C3" w:rsidRPr="00F07DEB" w:rsidRDefault="001400C3" w:rsidP="001400C3">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Groundwater</w:t>
            </w:r>
          </w:p>
        </w:tc>
        <w:tc>
          <w:tcPr>
            <w:tcW w:w="1479" w:type="pct"/>
            <w:gridSpan w:val="2"/>
            <w:tcBorders>
              <w:top w:val="single" w:sz="8" w:space="0" w:color="auto"/>
              <w:left w:val="nil"/>
              <w:bottom w:val="single" w:sz="8" w:space="0" w:color="auto"/>
              <w:right w:val="nil"/>
            </w:tcBorders>
            <w:shd w:val="clear" w:color="auto" w:fill="auto"/>
            <w:noWrap/>
            <w:vAlign w:val="bottom"/>
            <w:hideMark/>
          </w:tcPr>
          <w:p w14:paraId="43B0BEBA" w14:textId="77777777" w:rsidR="001400C3" w:rsidRPr="00F07DEB" w:rsidRDefault="001400C3" w:rsidP="001400C3">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Mine water</w:t>
            </w:r>
          </w:p>
        </w:tc>
        <w:tc>
          <w:tcPr>
            <w:tcW w:w="738" w:type="pct"/>
            <w:tcBorders>
              <w:top w:val="single" w:sz="8" w:space="0" w:color="auto"/>
              <w:left w:val="nil"/>
              <w:bottom w:val="nil"/>
              <w:right w:val="nil"/>
            </w:tcBorders>
            <w:shd w:val="clear" w:color="auto" w:fill="auto"/>
            <w:noWrap/>
            <w:vAlign w:val="bottom"/>
            <w:hideMark/>
          </w:tcPr>
          <w:p w14:paraId="6E91B717" w14:textId="77777777" w:rsidR="001400C3" w:rsidRPr="00F07DEB" w:rsidRDefault="001400C3" w:rsidP="001400C3">
            <w:pPr>
              <w:spacing w:after="0" w:line="240" w:lineRule="auto"/>
              <w:jc w:val="center"/>
              <w:rPr>
                <w:rFonts w:ascii="Times New Roman" w:eastAsia="Times New Roman" w:hAnsi="Times New Roman" w:cs="Times New Roman"/>
                <w:color w:val="000000"/>
                <w:sz w:val="20"/>
                <w:szCs w:val="20"/>
                <w:lang w:eastAsia="en-US"/>
              </w:rPr>
            </w:pPr>
          </w:p>
        </w:tc>
      </w:tr>
      <w:tr w:rsidR="001400C3" w:rsidRPr="00F07DEB" w14:paraId="1E82DA0F" w14:textId="77777777" w:rsidTr="00E720F9">
        <w:trPr>
          <w:trHeight w:val="300"/>
        </w:trPr>
        <w:tc>
          <w:tcPr>
            <w:tcW w:w="1303" w:type="pct"/>
            <w:tcBorders>
              <w:top w:val="nil"/>
              <w:left w:val="nil"/>
              <w:bottom w:val="single" w:sz="8" w:space="0" w:color="auto"/>
              <w:right w:val="nil"/>
            </w:tcBorders>
            <w:shd w:val="clear" w:color="auto" w:fill="auto"/>
            <w:noWrap/>
            <w:vAlign w:val="bottom"/>
            <w:hideMark/>
          </w:tcPr>
          <w:p w14:paraId="4C637187"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Biomass</w:t>
            </w:r>
          </w:p>
        </w:tc>
        <w:tc>
          <w:tcPr>
            <w:tcW w:w="751" w:type="pct"/>
            <w:tcBorders>
              <w:top w:val="nil"/>
              <w:left w:val="nil"/>
              <w:bottom w:val="single" w:sz="8" w:space="0" w:color="auto"/>
              <w:right w:val="nil"/>
            </w:tcBorders>
            <w:shd w:val="clear" w:color="auto" w:fill="auto"/>
            <w:noWrap/>
            <w:vAlign w:val="bottom"/>
            <w:hideMark/>
          </w:tcPr>
          <w:p w14:paraId="1E071A04"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728" w:type="pct"/>
            <w:tcBorders>
              <w:top w:val="nil"/>
              <w:left w:val="nil"/>
              <w:bottom w:val="single" w:sz="8" w:space="0" w:color="auto"/>
              <w:right w:val="nil"/>
            </w:tcBorders>
            <w:shd w:val="clear" w:color="auto" w:fill="auto"/>
            <w:noWrap/>
            <w:vAlign w:val="bottom"/>
            <w:hideMark/>
          </w:tcPr>
          <w:p w14:paraId="117DDA5B"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751" w:type="pct"/>
            <w:tcBorders>
              <w:top w:val="nil"/>
              <w:left w:val="nil"/>
              <w:bottom w:val="single" w:sz="8" w:space="0" w:color="auto"/>
              <w:right w:val="nil"/>
            </w:tcBorders>
            <w:shd w:val="clear" w:color="auto" w:fill="auto"/>
            <w:noWrap/>
            <w:vAlign w:val="bottom"/>
            <w:hideMark/>
          </w:tcPr>
          <w:p w14:paraId="242E92CD"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728" w:type="pct"/>
            <w:tcBorders>
              <w:top w:val="nil"/>
              <w:left w:val="nil"/>
              <w:bottom w:val="single" w:sz="8" w:space="0" w:color="auto"/>
              <w:right w:val="nil"/>
            </w:tcBorders>
            <w:shd w:val="clear" w:color="auto" w:fill="auto"/>
            <w:noWrap/>
            <w:vAlign w:val="bottom"/>
            <w:hideMark/>
          </w:tcPr>
          <w:p w14:paraId="29C28FBA"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738" w:type="pct"/>
            <w:tcBorders>
              <w:top w:val="nil"/>
              <w:left w:val="nil"/>
              <w:bottom w:val="single" w:sz="8" w:space="0" w:color="auto"/>
              <w:right w:val="nil"/>
            </w:tcBorders>
            <w:shd w:val="clear" w:color="auto" w:fill="auto"/>
            <w:noWrap/>
            <w:vAlign w:val="bottom"/>
            <w:hideMark/>
          </w:tcPr>
          <w:p w14:paraId="28109076" w14:textId="77777777" w:rsidR="001400C3" w:rsidRPr="00F07DEB" w:rsidRDefault="001400C3" w:rsidP="00E720F9">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r>
      <w:tr w:rsidR="001400C3" w:rsidRPr="00F07DEB" w14:paraId="486C61C3" w14:textId="77777777" w:rsidTr="00E720F9">
        <w:trPr>
          <w:trHeight w:val="292"/>
        </w:trPr>
        <w:tc>
          <w:tcPr>
            <w:tcW w:w="1303" w:type="pct"/>
            <w:tcBorders>
              <w:top w:val="nil"/>
              <w:left w:val="nil"/>
              <w:bottom w:val="nil"/>
              <w:right w:val="nil"/>
            </w:tcBorders>
            <w:shd w:val="clear" w:color="auto" w:fill="auto"/>
            <w:noWrap/>
            <w:vAlign w:val="bottom"/>
            <w:hideMark/>
          </w:tcPr>
          <w:p w14:paraId="1CF4271A"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Corn</w:t>
            </w:r>
          </w:p>
        </w:tc>
        <w:tc>
          <w:tcPr>
            <w:tcW w:w="751" w:type="pct"/>
            <w:tcBorders>
              <w:top w:val="nil"/>
              <w:left w:val="nil"/>
              <w:bottom w:val="nil"/>
              <w:right w:val="nil"/>
            </w:tcBorders>
            <w:shd w:val="clear" w:color="auto" w:fill="auto"/>
            <w:noWrap/>
            <w:vAlign w:val="center"/>
            <w:hideMark/>
          </w:tcPr>
          <w:p w14:paraId="5D8CC604"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p>
        </w:tc>
        <w:tc>
          <w:tcPr>
            <w:tcW w:w="728" w:type="pct"/>
            <w:tcBorders>
              <w:top w:val="nil"/>
              <w:left w:val="nil"/>
              <w:bottom w:val="nil"/>
              <w:right w:val="nil"/>
            </w:tcBorders>
            <w:shd w:val="clear" w:color="auto" w:fill="auto"/>
            <w:noWrap/>
            <w:vAlign w:val="center"/>
            <w:hideMark/>
          </w:tcPr>
          <w:p w14:paraId="7C9582C8" w14:textId="77777777" w:rsidR="001400C3" w:rsidRPr="00F07DEB" w:rsidRDefault="001400C3" w:rsidP="00E720F9">
            <w:pPr>
              <w:spacing w:after="0" w:line="240" w:lineRule="auto"/>
              <w:rPr>
                <w:rFonts w:ascii="Times New Roman" w:eastAsia="Times New Roman" w:hAnsi="Times New Roman" w:cs="Times New Roman"/>
                <w:sz w:val="20"/>
                <w:szCs w:val="20"/>
                <w:lang w:eastAsia="en-US"/>
              </w:rPr>
            </w:pPr>
          </w:p>
        </w:tc>
        <w:tc>
          <w:tcPr>
            <w:tcW w:w="751" w:type="pct"/>
            <w:tcBorders>
              <w:top w:val="nil"/>
              <w:left w:val="nil"/>
              <w:bottom w:val="nil"/>
              <w:right w:val="nil"/>
            </w:tcBorders>
            <w:shd w:val="clear" w:color="auto" w:fill="auto"/>
            <w:noWrap/>
            <w:vAlign w:val="center"/>
            <w:hideMark/>
          </w:tcPr>
          <w:p w14:paraId="0EC7321D" w14:textId="77777777" w:rsidR="001400C3" w:rsidRPr="00F07DEB" w:rsidRDefault="001400C3" w:rsidP="00E720F9">
            <w:pPr>
              <w:spacing w:after="0" w:line="240" w:lineRule="auto"/>
              <w:rPr>
                <w:rFonts w:ascii="Times New Roman" w:eastAsia="Times New Roman" w:hAnsi="Times New Roman" w:cs="Times New Roman"/>
                <w:sz w:val="20"/>
                <w:szCs w:val="20"/>
                <w:lang w:eastAsia="en-US"/>
              </w:rPr>
            </w:pPr>
          </w:p>
        </w:tc>
        <w:tc>
          <w:tcPr>
            <w:tcW w:w="728" w:type="pct"/>
            <w:tcBorders>
              <w:top w:val="nil"/>
              <w:left w:val="nil"/>
              <w:bottom w:val="nil"/>
              <w:right w:val="nil"/>
            </w:tcBorders>
            <w:shd w:val="clear" w:color="auto" w:fill="auto"/>
            <w:noWrap/>
            <w:vAlign w:val="center"/>
            <w:hideMark/>
          </w:tcPr>
          <w:p w14:paraId="0ADA34F7" w14:textId="77777777" w:rsidR="001400C3" w:rsidRPr="00F07DEB" w:rsidRDefault="001400C3" w:rsidP="00E720F9">
            <w:pPr>
              <w:spacing w:after="0" w:line="240" w:lineRule="auto"/>
              <w:rPr>
                <w:rFonts w:ascii="Times New Roman" w:eastAsia="Times New Roman" w:hAnsi="Times New Roman" w:cs="Times New Roman"/>
                <w:sz w:val="20"/>
                <w:szCs w:val="20"/>
                <w:lang w:eastAsia="en-US"/>
              </w:rPr>
            </w:pPr>
          </w:p>
        </w:tc>
        <w:tc>
          <w:tcPr>
            <w:tcW w:w="738" w:type="pct"/>
            <w:tcBorders>
              <w:top w:val="nil"/>
              <w:left w:val="nil"/>
              <w:bottom w:val="nil"/>
              <w:right w:val="nil"/>
            </w:tcBorders>
            <w:shd w:val="clear" w:color="auto" w:fill="auto"/>
            <w:noWrap/>
            <w:vAlign w:val="center"/>
            <w:hideMark/>
          </w:tcPr>
          <w:p w14:paraId="702EA492" w14:textId="77777777" w:rsidR="001400C3" w:rsidRPr="00F07DEB" w:rsidRDefault="001400C3" w:rsidP="00E720F9">
            <w:pPr>
              <w:spacing w:after="0" w:line="240" w:lineRule="auto"/>
              <w:rPr>
                <w:rFonts w:ascii="Times New Roman" w:eastAsia="Times New Roman" w:hAnsi="Times New Roman" w:cs="Times New Roman"/>
                <w:sz w:val="20"/>
                <w:szCs w:val="20"/>
                <w:lang w:eastAsia="en-US"/>
              </w:rPr>
            </w:pPr>
          </w:p>
        </w:tc>
      </w:tr>
      <w:tr w:rsidR="001400C3" w:rsidRPr="00F07DEB" w14:paraId="0E619D25" w14:textId="77777777" w:rsidTr="00E720F9">
        <w:trPr>
          <w:trHeight w:val="292"/>
        </w:trPr>
        <w:tc>
          <w:tcPr>
            <w:tcW w:w="1303" w:type="pct"/>
            <w:tcBorders>
              <w:top w:val="nil"/>
              <w:left w:val="nil"/>
              <w:bottom w:val="nil"/>
              <w:right w:val="nil"/>
            </w:tcBorders>
            <w:shd w:val="clear" w:color="auto" w:fill="auto"/>
            <w:noWrap/>
            <w:vAlign w:val="bottom"/>
            <w:hideMark/>
          </w:tcPr>
          <w:p w14:paraId="00EF3EE6"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Tassel</w:t>
            </w:r>
          </w:p>
        </w:tc>
        <w:tc>
          <w:tcPr>
            <w:tcW w:w="751" w:type="pct"/>
            <w:tcBorders>
              <w:top w:val="nil"/>
              <w:left w:val="nil"/>
              <w:bottom w:val="nil"/>
              <w:right w:val="nil"/>
            </w:tcBorders>
            <w:shd w:val="clear" w:color="auto" w:fill="auto"/>
            <w:noWrap/>
            <w:vAlign w:val="bottom"/>
            <w:hideMark/>
          </w:tcPr>
          <w:p w14:paraId="754CB4D9"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1.77</w:t>
            </w:r>
          </w:p>
        </w:tc>
        <w:tc>
          <w:tcPr>
            <w:tcW w:w="728" w:type="pct"/>
            <w:tcBorders>
              <w:top w:val="nil"/>
              <w:left w:val="nil"/>
              <w:bottom w:val="nil"/>
              <w:right w:val="nil"/>
            </w:tcBorders>
            <w:shd w:val="clear" w:color="auto" w:fill="auto"/>
            <w:noWrap/>
            <w:vAlign w:val="bottom"/>
            <w:hideMark/>
          </w:tcPr>
          <w:p w14:paraId="1AC2EAFC"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0.85</w:t>
            </w:r>
          </w:p>
        </w:tc>
        <w:tc>
          <w:tcPr>
            <w:tcW w:w="751" w:type="pct"/>
            <w:tcBorders>
              <w:top w:val="nil"/>
              <w:left w:val="nil"/>
              <w:bottom w:val="nil"/>
              <w:right w:val="nil"/>
            </w:tcBorders>
            <w:shd w:val="clear" w:color="auto" w:fill="auto"/>
            <w:noWrap/>
            <w:vAlign w:val="bottom"/>
            <w:hideMark/>
          </w:tcPr>
          <w:p w14:paraId="42BD9831"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1.19</w:t>
            </w:r>
          </w:p>
        </w:tc>
        <w:tc>
          <w:tcPr>
            <w:tcW w:w="728" w:type="pct"/>
            <w:tcBorders>
              <w:top w:val="nil"/>
              <w:left w:val="nil"/>
              <w:bottom w:val="nil"/>
              <w:right w:val="nil"/>
            </w:tcBorders>
            <w:shd w:val="clear" w:color="auto" w:fill="auto"/>
            <w:noWrap/>
            <w:vAlign w:val="bottom"/>
            <w:hideMark/>
          </w:tcPr>
          <w:p w14:paraId="7E84770C"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0.56</w:t>
            </w:r>
          </w:p>
        </w:tc>
        <w:tc>
          <w:tcPr>
            <w:tcW w:w="738" w:type="pct"/>
            <w:tcBorders>
              <w:top w:val="nil"/>
              <w:left w:val="nil"/>
              <w:bottom w:val="nil"/>
              <w:right w:val="nil"/>
            </w:tcBorders>
            <w:shd w:val="clear" w:color="auto" w:fill="auto"/>
            <w:noWrap/>
            <w:vAlign w:val="bottom"/>
            <w:hideMark/>
          </w:tcPr>
          <w:p w14:paraId="3AD8131A" w14:textId="27B6CED0" w:rsidR="001400C3" w:rsidRPr="00F07DEB" w:rsidRDefault="001400C3" w:rsidP="00E720F9">
            <w:pPr>
              <w:spacing w:after="0" w:line="240" w:lineRule="auto"/>
              <w:rPr>
                <w:rFonts w:ascii="Times New Roman" w:eastAsia="Times New Roman" w:hAnsi="Times New Roman" w:cs="Times New Roman"/>
                <w:color w:val="000000"/>
                <w:sz w:val="20"/>
                <w:szCs w:val="20"/>
                <w:vertAlign w:val="superscript"/>
                <w:lang w:eastAsia="en-US"/>
              </w:rPr>
            </w:pPr>
            <w:r w:rsidRPr="00F07DEB">
              <w:rPr>
                <w:rFonts w:ascii="Times New Roman" w:eastAsia="Times New Roman" w:hAnsi="Times New Roman" w:cs="Times New Roman"/>
                <w:color w:val="000000"/>
                <w:sz w:val="20"/>
                <w:szCs w:val="20"/>
                <w:lang w:eastAsia="en-US"/>
              </w:rPr>
              <w:t xml:space="preserve">0.196 </w:t>
            </w:r>
            <w:r w:rsidRPr="00F07DEB">
              <w:rPr>
                <w:rFonts w:ascii="Times New Roman" w:eastAsia="Times New Roman" w:hAnsi="Times New Roman" w:cs="Times New Roman"/>
                <w:color w:val="000000"/>
                <w:sz w:val="20"/>
                <w:szCs w:val="20"/>
                <w:vertAlign w:val="superscript"/>
                <w:lang w:eastAsia="en-US"/>
              </w:rPr>
              <w:t>a</w:t>
            </w:r>
          </w:p>
        </w:tc>
      </w:tr>
      <w:tr w:rsidR="001400C3" w:rsidRPr="00F07DEB" w14:paraId="3A4AEFDA" w14:textId="77777777" w:rsidTr="00E720F9">
        <w:trPr>
          <w:trHeight w:val="292"/>
        </w:trPr>
        <w:tc>
          <w:tcPr>
            <w:tcW w:w="1303" w:type="pct"/>
            <w:tcBorders>
              <w:top w:val="nil"/>
              <w:left w:val="nil"/>
              <w:bottom w:val="nil"/>
              <w:right w:val="nil"/>
            </w:tcBorders>
            <w:shd w:val="clear" w:color="auto" w:fill="auto"/>
            <w:noWrap/>
            <w:vAlign w:val="bottom"/>
            <w:hideMark/>
          </w:tcPr>
          <w:p w14:paraId="51D65FF8"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w:t>
            </w:r>
          </w:p>
        </w:tc>
        <w:tc>
          <w:tcPr>
            <w:tcW w:w="751" w:type="pct"/>
            <w:tcBorders>
              <w:top w:val="nil"/>
              <w:left w:val="nil"/>
              <w:bottom w:val="nil"/>
              <w:right w:val="nil"/>
            </w:tcBorders>
            <w:shd w:val="clear" w:color="auto" w:fill="auto"/>
            <w:noWrap/>
            <w:vAlign w:val="bottom"/>
            <w:hideMark/>
          </w:tcPr>
          <w:p w14:paraId="282C8A88"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22.36</w:t>
            </w:r>
          </w:p>
        </w:tc>
        <w:tc>
          <w:tcPr>
            <w:tcW w:w="728" w:type="pct"/>
            <w:tcBorders>
              <w:top w:val="nil"/>
              <w:left w:val="nil"/>
              <w:bottom w:val="nil"/>
              <w:right w:val="nil"/>
            </w:tcBorders>
            <w:shd w:val="clear" w:color="auto" w:fill="auto"/>
            <w:noWrap/>
            <w:vAlign w:val="bottom"/>
            <w:hideMark/>
          </w:tcPr>
          <w:p w14:paraId="4FCB4A4A"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3.08</w:t>
            </w:r>
          </w:p>
        </w:tc>
        <w:tc>
          <w:tcPr>
            <w:tcW w:w="751" w:type="pct"/>
            <w:tcBorders>
              <w:top w:val="nil"/>
              <w:left w:val="nil"/>
              <w:bottom w:val="nil"/>
              <w:right w:val="nil"/>
            </w:tcBorders>
            <w:shd w:val="clear" w:color="auto" w:fill="auto"/>
            <w:noWrap/>
            <w:vAlign w:val="bottom"/>
            <w:hideMark/>
          </w:tcPr>
          <w:p w14:paraId="44EDCC47"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18.94</w:t>
            </w:r>
          </w:p>
        </w:tc>
        <w:tc>
          <w:tcPr>
            <w:tcW w:w="728" w:type="pct"/>
            <w:tcBorders>
              <w:top w:val="nil"/>
              <w:left w:val="nil"/>
              <w:bottom w:val="nil"/>
              <w:right w:val="nil"/>
            </w:tcBorders>
            <w:shd w:val="clear" w:color="auto" w:fill="auto"/>
            <w:noWrap/>
            <w:vAlign w:val="bottom"/>
            <w:hideMark/>
          </w:tcPr>
          <w:p w14:paraId="71C2A000"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8.99</w:t>
            </w:r>
          </w:p>
        </w:tc>
        <w:tc>
          <w:tcPr>
            <w:tcW w:w="738" w:type="pct"/>
            <w:tcBorders>
              <w:top w:val="nil"/>
              <w:left w:val="nil"/>
              <w:bottom w:val="nil"/>
              <w:right w:val="nil"/>
            </w:tcBorders>
            <w:shd w:val="clear" w:color="auto" w:fill="auto"/>
            <w:noWrap/>
            <w:vAlign w:val="bottom"/>
            <w:hideMark/>
          </w:tcPr>
          <w:p w14:paraId="52810288" w14:textId="1C7DD94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0.410 </w:t>
            </w:r>
            <w:r w:rsidRPr="00F07DEB">
              <w:rPr>
                <w:rFonts w:ascii="Times New Roman" w:eastAsia="Times New Roman" w:hAnsi="Times New Roman" w:cs="Times New Roman"/>
                <w:color w:val="000000"/>
                <w:sz w:val="20"/>
                <w:szCs w:val="20"/>
                <w:vertAlign w:val="superscript"/>
                <w:lang w:eastAsia="en-US"/>
              </w:rPr>
              <w:t>b</w:t>
            </w:r>
          </w:p>
        </w:tc>
      </w:tr>
      <w:tr w:rsidR="001400C3" w:rsidRPr="00F07DEB" w14:paraId="5DDC1A1C" w14:textId="77777777" w:rsidTr="00E720F9">
        <w:trPr>
          <w:trHeight w:val="292"/>
        </w:trPr>
        <w:tc>
          <w:tcPr>
            <w:tcW w:w="1303" w:type="pct"/>
            <w:tcBorders>
              <w:top w:val="nil"/>
              <w:left w:val="nil"/>
              <w:bottom w:val="nil"/>
              <w:right w:val="nil"/>
            </w:tcBorders>
            <w:shd w:val="clear" w:color="auto" w:fill="auto"/>
            <w:noWrap/>
            <w:vAlign w:val="bottom"/>
            <w:hideMark/>
          </w:tcPr>
          <w:p w14:paraId="67E04CDE" w14:textId="28C7BE21" w:rsidR="001400C3" w:rsidRPr="00F07DEB" w:rsidRDefault="001405F5" w:rsidP="001405F5">
            <w:pPr>
              <w:spacing w:after="0" w:line="240" w:lineRule="auto"/>
              <w:rPr>
                <w:rFonts w:ascii="Times New Roman" w:eastAsia="Times New Roman" w:hAnsi="Times New Roman" w:cs="Times New Roman"/>
                <w:color w:val="000000"/>
                <w:sz w:val="20"/>
                <w:szCs w:val="20"/>
                <w:lang w:eastAsia="en-US"/>
              </w:rPr>
            </w:pPr>
            <w:r>
              <w:rPr>
                <w:rFonts w:ascii="Times New Roman" w:eastAsia="Times New Roman" w:hAnsi="Times New Roman" w:cs="Times New Roman"/>
                <w:color w:val="000000"/>
                <w:sz w:val="20"/>
                <w:szCs w:val="20"/>
                <w:lang w:eastAsia="en-US"/>
              </w:rPr>
              <w:t xml:space="preserve">     Husk</w:t>
            </w:r>
          </w:p>
        </w:tc>
        <w:tc>
          <w:tcPr>
            <w:tcW w:w="751" w:type="pct"/>
            <w:tcBorders>
              <w:top w:val="nil"/>
              <w:left w:val="nil"/>
              <w:bottom w:val="nil"/>
              <w:right w:val="nil"/>
            </w:tcBorders>
            <w:shd w:val="clear" w:color="auto" w:fill="auto"/>
            <w:noWrap/>
            <w:vAlign w:val="bottom"/>
            <w:hideMark/>
          </w:tcPr>
          <w:p w14:paraId="22F1D637"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3.85</w:t>
            </w:r>
          </w:p>
        </w:tc>
        <w:tc>
          <w:tcPr>
            <w:tcW w:w="728" w:type="pct"/>
            <w:tcBorders>
              <w:top w:val="nil"/>
              <w:left w:val="nil"/>
              <w:bottom w:val="nil"/>
              <w:right w:val="nil"/>
            </w:tcBorders>
            <w:shd w:val="clear" w:color="auto" w:fill="auto"/>
            <w:noWrap/>
            <w:vAlign w:val="bottom"/>
            <w:hideMark/>
          </w:tcPr>
          <w:p w14:paraId="32B3AF3C"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1.68</w:t>
            </w:r>
          </w:p>
        </w:tc>
        <w:tc>
          <w:tcPr>
            <w:tcW w:w="751" w:type="pct"/>
            <w:tcBorders>
              <w:top w:val="nil"/>
              <w:left w:val="nil"/>
              <w:bottom w:val="nil"/>
              <w:right w:val="nil"/>
            </w:tcBorders>
            <w:shd w:val="clear" w:color="auto" w:fill="auto"/>
            <w:noWrap/>
            <w:vAlign w:val="bottom"/>
            <w:hideMark/>
          </w:tcPr>
          <w:p w14:paraId="32564D91"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5.02</w:t>
            </w:r>
          </w:p>
        </w:tc>
        <w:tc>
          <w:tcPr>
            <w:tcW w:w="728" w:type="pct"/>
            <w:tcBorders>
              <w:top w:val="nil"/>
              <w:left w:val="nil"/>
              <w:bottom w:val="nil"/>
              <w:right w:val="nil"/>
            </w:tcBorders>
            <w:shd w:val="clear" w:color="auto" w:fill="auto"/>
            <w:noWrap/>
            <w:vAlign w:val="bottom"/>
            <w:hideMark/>
          </w:tcPr>
          <w:p w14:paraId="33EA7311"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3.13</w:t>
            </w:r>
          </w:p>
        </w:tc>
        <w:tc>
          <w:tcPr>
            <w:tcW w:w="738" w:type="pct"/>
            <w:tcBorders>
              <w:top w:val="nil"/>
              <w:left w:val="nil"/>
              <w:bottom w:val="nil"/>
              <w:right w:val="nil"/>
            </w:tcBorders>
            <w:shd w:val="clear" w:color="auto" w:fill="auto"/>
            <w:noWrap/>
            <w:vAlign w:val="bottom"/>
            <w:hideMark/>
          </w:tcPr>
          <w:p w14:paraId="444D2047" w14:textId="1A46504F"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0.437 </w:t>
            </w:r>
            <w:r w:rsidRPr="00F07DEB">
              <w:rPr>
                <w:rFonts w:ascii="Times New Roman" w:eastAsia="Times New Roman" w:hAnsi="Times New Roman" w:cs="Times New Roman"/>
                <w:color w:val="000000"/>
                <w:sz w:val="20"/>
                <w:szCs w:val="20"/>
                <w:vertAlign w:val="superscript"/>
                <w:lang w:eastAsia="en-US"/>
              </w:rPr>
              <w:t>b</w:t>
            </w:r>
          </w:p>
        </w:tc>
      </w:tr>
      <w:tr w:rsidR="001400C3" w:rsidRPr="00F07DEB" w14:paraId="7542DA4E" w14:textId="77777777" w:rsidTr="00E720F9">
        <w:trPr>
          <w:trHeight w:val="292"/>
        </w:trPr>
        <w:tc>
          <w:tcPr>
            <w:tcW w:w="1303" w:type="pct"/>
            <w:tcBorders>
              <w:top w:val="nil"/>
              <w:left w:val="nil"/>
              <w:bottom w:val="nil"/>
              <w:right w:val="nil"/>
            </w:tcBorders>
            <w:shd w:val="clear" w:color="auto" w:fill="auto"/>
            <w:noWrap/>
            <w:vAlign w:val="bottom"/>
            <w:hideMark/>
          </w:tcPr>
          <w:p w14:paraId="5FE2879A"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w:t>
            </w:r>
          </w:p>
        </w:tc>
        <w:tc>
          <w:tcPr>
            <w:tcW w:w="751" w:type="pct"/>
            <w:tcBorders>
              <w:top w:val="nil"/>
              <w:left w:val="nil"/>
              <w:bottom w:val="nil"/>
              <w:right w:val="nil"/>
            </w:tcBorders>
            <w:shd w:val="clear" w:color="auto" w:fill="auto"/>
            <w:noWrap/>
            <w:vAlign w:val="bottom"/>
            <w:hideMark/>
          </w:tcPr>
          <w:p w14:paraId="1078FA36"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3.08</w:t>
            </w:r>
          </w:p>
        </w:tc>
        <w:tc>
          <w:tcPr>
            <w:tcW w:w="728" w:type="pct"/>
            <w:tcBorders>
              <w:top w:val="nil"/>
              <w:left w:val="nil"/>
              <w:bottom w:val="nil"/>
              <w:right w:val="nil"/>
            </w:tcBorders>
            <w:shd w:val="clear" w:color="auto" w:fill="auto"/>
            <w:noWrap/>
            <w:vAlign w:val="bottom"/>
            <w:hideMark/>
          </w:tcPr>
          <w:p w14:paraId="0C23A63D"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2.35</w:t>
            </w:r>
          </w:p>
        </w:tc>
        <w:tc>
          <w:tcPr>
            <w:tcW w:w="751" w:type="pct"/>
            <w:tcBorders>
              <w:top w:val="nil"/>
              <w:left w:val="nil"/>
              <w:bottom w:val="nil"/>
              <w:right w:val="nil"/>
            </w:tcBorders>
            <w:shd w:val="clear" w:color="auto" w:fill="auto"/>
            <w:noWrap/>
            <w:vAlign w:val="bottom"/>
            <w:hideMark/>
          </w:tcPr>
          <w:p w14:paraId="4EAD239D"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6.31</w:t>
            </w:r>
          </w:p>
        </w:tc>
        <w:tc>
          <w:tcPr>
            <w:tcW w:w="728" w:type="pct"/>
            <w:tcBorders>
              <w:top w:val="nil"/>
              <w:left w:val="nil"/>
              <w:bottom w:val="nil"/>
              <w:right w:val="nil"/>
            </w:tcBorders>
            <w:shd w:val="clear" w:color="auto" w:fill="auto"/>
            <w:noWrap/>
            <w:vAlign w:val="bottom"/>
            <w:hideMark/>
          </w:tcPr>
          <w:p w14:paraId="633C1360"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5.83</w:t>
            </w:r>
          </w:p>
        </w:tc>
        <w:tc>
          <w:tcPr>
            <w:tcW w:w="738" w:type="pct"/>
            <w:tcBorders>
              <w:top w:val="nil"/>
              <w:left w:val="nil"/>
              <w:bottom w:val="nil"/>
              <w:right w:val="nil"/>
            </w:tcBorders>
            <w:shd w:val="clear" w:color="auto" w:fill="auto"/>
            <w:noWrap/>
            <w:vAlign w:val="bottom"/>
            <w:hideMark/>
          </w:tcPr>
          <w:p w14:paraId="12C045CF" w14:textId="3578B88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0.310 </w:t>
            </w:r>
            <w:r w:rsidRPr="00F07DEB">
              <w:rPr>
                <w:rFonts w:ascii="Times New Roman" w:eastAsia="Times New Roman" w:hAnsi="Times New Roman" w:cs="Times New Roman"/>
                <w:color w:val="000000"/>
                <w:sz w:val="20"/>
                <w:szCs w:val="20"/>
                <w:vertAlign w:val="superscript"/>
                <w:lang w:eastAsia="en-US"/>
              </w:rPr>
              <w:t>c</w:t>
            </w:r>
          </w:p>
        </w:tc>
      </w:tr>
      <w:tr w:rsidR="001400C3" w:rsidRPr="00F07DEB" w14:paraId="26057A6B" w14:textId="77777777" w:rsidTr="00E720F9">
        <w:trPr>
          <w:trHeight w:val="300"/>
        </w:trPr>
        <w:tc>
          <w:tcPr>
            <w:tcW w:w="1303" w:type="pct"/>
            <w:tcBorders>
              <w:top w:val="nil"/>
              <w:left w:val="nil"/>
              <w:bottom w:val="nil"/>
              <w:right w:val="nil"/>
            </w:tcBorders>
            <w:shd w:val="clear" w:color="auto" w:fill="auto"/>
            <w:noWrap/>
            <w:vAlign w:val="bottom"/>
            <w:hideMark/>
          </w:tcPr>
          <w:p w14:paraId="20BDE6D0"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Cob</w:t>
            </w:r>
          </w:p>
        </w:tc>
        <w:tc>
          <w:tcPr>
            <w:tcW w:w="751" w:type="pct"/>
            <w:tcBorders>
              <w:top w:val="nil"/>
              <w:left w:val="nil"/>
              <w:bottom w:val="nil"/>
              <w:right w:val="nil"/>
            </w:tcBorders>
            <w:shd w:val="clear" w:color="auto" w:fill="auto"/>
            <w:noWrap/>
            <w:vAlign w:val="bottom"/>
            <w:hideMark/>
          </w:tcPr>
          <w:p w14:paraId="304C726F"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1.52</w:t>
            </w:r>
          </w:p>
        </w:tc>
        <w:tc>
          <w:tcPr>
            <w:tcW w:w="728" w:type="pct"/>
            <w:tcBorders>
              <w:top w:val="nil"/>
              <w:left w:val="nil"/>
              <w:bottom w:val="nil"/>
              <w:right w:val="nil"/>
            </w:tcBorders>
            <w:shd w:val="clear" w:color="auto" w:fill="auto"/>
            <w:noWrap/>
            <w:vAlign w:val="bottom"/>
            <w:hideMark/>
          </w:tcPr>
          <w:p w14:paraId="7FCEE0FD"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0.79</w:t>
            </w:r>
          </w:p>
        </w:tc>
        <w:tc>
          <w:tcPr>
            <w:tcW w:w="751" w:type="pct"/>
            <w:tcBorders>
              <w:top w:val="nil"/>
              <w:left w:val="nil"/>
              <w:bottom w:val="nil"/>
              <w:right w:val="nil"/>
            </w:tcBorders>
            <w:shd w:val="clear" w:color="auto" w:fill="auto"/>
            <w:noWrap/>
            <w:vAlign w:val="bottom"/>
            <w:hideMark/>
          </w:tcPr>
          <w:p w14:paraId="3E9A53DB"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3.30</w:t>
            </w:r>
          </w:p>
        </w:tc>
        <w:tc>
          <w:tcPr>
            <w:tcW w:w="728" w:type="pct"/>
            <w:tcBorders>
              <w:top w:val="nil"/>
              <w:left w:val="nil"/>
              <w:bottom w:val="nil"/>
              <w:right w:val="nil"/>
            </w:tcBorders>
            <w:shd w:val="clear" w:color="auto" w:fill="auto"/>
            <w:noWrap/>
            <w:vAlign w:val="bottom"/>
            <w:hideMark/>
          </w:tcPr>
          <w:p w14:paraId="418FBB78"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1.62</w:t>
            </w:r>
          </w:p>
        </w:tc>
        <w:tc>
          <w:tcPr>
            <w:tcW w:w="738" w:type="pct"/>
            <w:tcBorders>
              <w:top w:val="nil"/>
              <w:left w:val="nil"/>
              <w:bottom w:val="nil"/>
              <w:right w:val="nil"/>
            </w:tcBorders>
            <w:shd w:val="clear" w:color="auto" w:fill="auto"/>
            <w:noWrap/>
            <w:vAlign w:val="bottom"/>
            <w:hideMark/>
          </w:tcPr>
          <w:p w14:paraId="4217CC4D" w14:textId="51D580FC"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b/>
                <w:bCs/>
                <w:color w:val="000000"/>
                <w:sz w:val="20"/>
                <w:szCs w:val="20"/>
                <w:lang w:eastAsia="en-US"/>
              </w:rPr>
              <w:t>0.045</w:t>
            </w:r>
            <w:r w:rsidRPr="00F07DEB">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vertAlign w:val="superscript"/>
                <w:lang w:eastAsia="en-US"/>
              </w:rPr>
              <w:t>b</w:t>
            </w:r>
          </w:p>
        </w:tc>
      </w:tr>
      <w:tr w:rsidR="001400C3" w:rsidRPr="00F07DEB" w14:paraId="466C3714" w14:textId="77777777" w:rsidTr="00E720F9">
        <w:trPr>
          <w:trHeight w:val="300"/>
        </w:trPr>
        <w:tc>
          <w:tcPr>
            <w:tcW w:w="1303" w:type="pct"/>
            <w:tcBorders>
              <w:top w:val="nil"/>
              <w:left w:val="nil"/>
              <w:bottom w:val="nil"/>
              <w:right w:val="nil"/>
            </w:tcBorders>
            <w:shd w:val="clear" w:color="auto" w:fill="auto"/>
            <w:noWrap/>
            <w:vAlign w:val="bottom"/>
            <w:hideMark/>
          </w:tcPr>
          <w:p w14:paraId="3B36298C"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w:t>
            </w:r>
          </w:p>
        </w:tc>
        <w:tc>
          <w:tcPr>
            <w:tcW w:w="751" w:type="pct"/>
            <w:tcBorders>
              <w:top w:val="nil"/>
              <w:left w:val="nil"/>
              <w:bottom w:val="nil"/>
              <w:right w:val="nil"/>
            </w:tcBorders>
            <w:shd w:val="clear" w:color="auto" w:fill="auto"/>
            <w:noWrap/>
            <w:vAlign w:val="bottom"/>
            <w:hideMark/>
          </w:tcPr>
          <w:p w14:paraId="27E4AF0F"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28.68</w:t>
            </w:r>
          </w:p>
        </w:tc>
        <w:tc>
          <w:tcPr>
            <w:tcW w:w="728" w:type="pct"/>
            <w:tcBorders>
              <w:top w:val="nil"/>
              <w:left w:val="nil"/>
              <w:bottom w:val="nil"/>
              <w:right w:val="nil"/>
            </w:tcBorders>
            <w:shd w:val="clear" w:color="auto" w:fill="auto"/>
            <w:noWrap/>
            <w:vAlign w:val="bottom"/>
            <w:hideMark/>
          </w:tcPr>
          <w:p w14:paraId="0B1CAC11"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3.44</w:t>
            </w:r>
          </w:p>
        </w:tc>
        <w:tc>
          <w:tcPr>
            <w:tcW w:w="751" w:type="pct"/>
            <w:tcBorders>
              <w:top w:val="nil"/>
              <w:left w:val="nil"/>
              <w:bottom w:val="nil"/>
              <w:right w:val="nil"/>
            </w:tcBorders>
            <w:shd w:val="clear" w:color="auto" w:fill="auto"/>
            <w:noWrap/>
            <w:vAlign w:val="bottom"/>
            <w:hideMark/>
          </w:tcPr>
          <w:p w14:paraId="6601C4F1"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25.01</w:t>
            </w:r>
          </w:p>
        </w:tc>
        <w:tc>
          <w:tcPr>
            <w:tcW w:w="728" w:type="pct"/>
            <w:tcBorders>
              <w:top w:val="nil"/>
              <w:left w:val="nil"/>
              <w:bottom w:val="nil"/>
              <w:right w:val="nil"/>
            </w:tcBorders>
            <w:shd w:val="clear" w:color="auto" w:fill="auto"/>
            <w:noWrap/>
            <w:vAlign w:val="bottom"/>
            <w:hideMark/>
          </w:tcPr>
          <w:p w14:paraId="6CED374D"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10.32</w:t>
            </w:r>
          </w:p>
        </w:tc>
        <w:tc>
          <w:tcPr>
            <w:tcW w:w="738" w:type="pct"/>
            <w:tcBorders>
              <w:top w:val="nil"/>
              <w:left w:val="nil"/>
              <w:bottom w:val="nil"/>
              <w:right w:val="nil"/>
            </w:tcBorders>
            <w:shd w:val="clear" w:color="auto" w:fill="auto"/>
            <w:noWrap/>
            <w:vAlign w:val="bottom"/>
            <w:hideMark/>
          </w:tcPr>
          <w:p w14:paraId="636F786F" w14:textId="60ABE819"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0.440 </w:t>
            </w:r>
            <w:r w:rsidRPr="00F07DEB">
              <w:rPr>
                <w:rFonts w:ascii="Times New Roman" w:eastAsia="Times New Roman" w:hAnsi="Times New Roman" w:cs="Times New Roman"/>
                <w:color w:val="000000"/>
                <w:sz w:val="20"/>
                <w:szCs w:val="20"/>
                <w:vertAlign w:val="superscript"/>
                <w:lang w:eastAsia="en-US"/>
              </w:rPr>
              <w:t>b</w:t>
            </w:r>
          </w:p>
        </w:tc>
      </w:tr>
      <w:tr w:rsidR="001400C3" w:rsidRPr="00F07DEB" w14:paraId="6C8F9104" w14:textId="77777777" w:rsidTr="00E720F9">
        <w:trPr>
          <w:trHeight w:val="292"/>
        </w:trPr>
        <w:tc>
          <w:tcPr>
            <w:tcW w:w="1303" w:type="pct"/>
            <w:tcBorders>
              <w:top w:val="nil"/>
              <w:left w:val="nil"/>
              <w:bottom w:val="nil"/>
              <w:right w:val="nil"/>
            </w:tcBorders>
            <w:shd w:val="clear" w:color="auto" w:fill="auto"/>
            <w:noWrap/>
            <w:vAlign w:val="bottom"/>
            <w:hideMark/>
          </w:tcPr>
          <w:p w14:paraId="4089E4AA"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751" w:type="pct"/>
            <w:tcBorders>
              <w:top w:val="nil"/>
              <w:left w:val="nil"/>
              <w:bottom w:val="nil"/>
              <w:right w:val="nil"/>
            </w:tcBorders>
            <w:shd w:val="clear" w:color="auto" w:fill="auto"/>
            <w:noWrap/>
            <w:vAlign w:val="bottom"/>
            <w:hideMark/>
          </w:tcPr>
          <w:p w14:paraId="051624E7"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12.38</w:t>
            </w:r>
          </w:p>
        </w:tc>
        <w:tc>
          <w:tcPr>
            <w:tcW w:w="728" w:type="pct"/>
            <w:tcBorders>
              <w:top w:val="nil"/>
              <w:left w:val="nil"/>
              <w:bottom w:val="nil"/>
              <w:right w:val="nil"/>
            </w:tcBorders>
            <w:shd w:val="clear" w:color="auto" w:fill="auto"/>
            <w:noWrap/>
            <w:vAlign w:val="bottom"/>
            <w:hideMark/>
          </w:tcPr>
          <w:p w14:paraId="3D926EE9"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2.26</w:t>
            </w:r>
          </w:p>
        </w:tc>
        <w:tc>
          <w:tcPr>
            <w:tcW w:w="751" w:type="pct"/>
            <w:tcBorders>
              <w:top w:val="nil"/>
              <w:left w:val="nil"/>
              <w:bottom w:val="nil"/>
              <w:right w:val="nil"/>
            </w:tcBorders>
            <w:shd w:val="clear" w:color="auto" w:fill="auto"/>
            <w:noWrap/>
            <w:vAlign w:val="bottom"/>
            <w:hideMark/>
          </w:tcPr>
          <w:p w14:paraId="35B5B4F1"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11.44</w:t>
            </w:r>
          </w:p>
        </w:tc>
        <w:tc>
          <w:tcPr>
            <w:tcW w:w="728" w:type="pct"/>
            <w:tcBorders>
              <w:top w:val="nil"/>
              <w:left w:val="nil"/>
              <w:bottom w:val="nil"/>
              <w:right w:val="nil"/>
            </w:tcBorders>
            <w:shd w:val="clear" w:color="auto" w:fill="auto"/>
            <w:noWrap/>
            <w:vAlign w:val="bottom"/>
            <w:hideMark/>
          </w:tcPr>
          <w:p w14:paraId="16EB424B"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4.03</w:t>
            </w:r>
          </w:p>
        </w:tc>
        <w:tc>
          <w:tcPr>
            <w:tcW w:w="738" w:type="pct"/>
            <w:tcBorders>
              <w:top w:val="nil"/>
              <w:left w:val="nil"/>
              <w:bottom w:val="nil"/>
              <w:right w:val="nil"/>
            </w:tcBorders>
            <w:shd w:val="clear" w:color="auto" w:fill="auto"/>
            <w:noWrap/>
            <w:vAlign w:val="bottom"/>
            <w:hideMark/>
          </w:tcPr>
          <w:p w14:paraId="5A5AE853" w14:textId="5614A284"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0.628 </w:t>
            </w:r>
            <w:r w:rsidRPr="00F07DEB">
              <w:rPr>
                <w:rFonts w:ascii="Times New Roman" w:eastAsia="Times New Roman" w:hAnsi="Times New Roman" w:cs="Times New Roman"/>
                <w:color w:val="000000"/>
                <w:sz w:val="20"/>
                <w:szCs w:val="20"/>
                <w:vertAlign w:val="superscript"/>
                <w:lang w:eastAsia="en-US"/>
              </w:rPr>
              <w:t>a</w:t>
            </w:r>
          </w:p>
        </w:tc>
      </w:tr>
      <w:tr w:rsidR="001400C3" w:rsidRPr="00F07DEB" w14:paraId="355F0426" w14:textId="77777777" w:rsidTr="00E720F9">
        <w:trPr>
          <w:trHeight w:val="292"/>
        </w:trPr>
        <w:tc>
          <w:tcPr>
            <w:tcW w:w="1303" w:type="pct"/>
            <w:tcBorders>
              <w:top w:val="nil"/>
              <w:left w:val="nil"/>
              <w:bottom w:val="nil"/>
              <w:right w:val="nil"/>
            </w:tcBorders>
            <w:shd w:val="clear" w:color="auto" w:fill="auto"/>
            <w:noWrap/>
            <w:vAlign w:val="bottom"/>
            <w:hideMark/>
          </w:tcPr>
          <w:p w14:paraId="5ABB30A0"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i/>
                <w:iCs/>
                <w:color w:val="000000"/>
                <w:sz w:val="20"/>
                <w:szCs w:val="20"/>
                <w:lang w:eastAsia="en-US"/>
              </w:rPr>
              <w:t>Total</w:t>
            </w:r>
          </w:p>
        </w:tc>
        <w:tc>
          <w:tcPr>
            <w:tcW w:w="751" w:type="pct"/>
            <w:tcBorders>
              <w:top w:val="nil"/>
              <w:left w:val="nil"/>
              <w:bottom w:val="nil"/>
              <w:right w:val="nil"/>
            </w:tcBorders>
            <w:shd w:val="clear" w:color="auto" w:fill="auto"/>
            <w:noWrap/>
            <w:vAlign w:val="bottom"/>
            <w:hideMark/>
          </w:tcPr>
          <w:p w14:paraId="5A4552CC"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73.64</w:t>
            </w:r>
          </w:p>
        </w:tc>
        <w:tc>
          <w:tcPr>
            <w:tcW w:w="728" w:type="pct"/>
            <w:tcBorders>
              <w:top w:val="nil"/>
              <w:left w:val="nil"/>
              <w:bottom w:val="nil"/>
              <w:right w:val="nil"/>
            </w:tcBorders>
            <w:shd w:val="clear" w:color="auto" w:fill="auto"/>
            <w:noWrap/>
            <w:vAlign w:val="bottom"/>
            <w:hideMark/>
          </w:tcPr>
          <w:p w14:paraId="308652CC"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6.66</w:t>
            </w:r>
          </w:p>
        </w:tc>
        <w:tc>
          <w:tcPr>
            <w:tcW w:w="751" w:type="pct"/>
            <w:tcBorders>
              <w:top w:val="nil"/>
              <w:left w:val="nil"/>
              <w:bottom w:val="nil"/>
              <w:right w:val="nil"/>
            </w:tcBorders>
            <w:shd w:val="clear" w:color="auto" w:fill="auto"/>
            <w:noWrap/>
            <w:vAlign w:val="bottom"/>
            <w:hideMark/>
          </w:tcPr>
          <w:p w14:paraId="2C232B29"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71.21</w:t>
            </w:r>
          </w:p>
        </w:tc>
        <w:tc>
          <w:tcPr>
            <w:tcW w:w="728" w:type="pct"/>
            <w:tcBorders>
              <w:top w:val="nil"/>
              <w:left w:val="nil"/>
              <w:bottom w:val="nil"/>
              <w:right w:val="nil"/>
            </w:tcBorders>
            <w:shd w:val="clear" w:color="auto" w:fill="auto"/>
            <w:noWrap/>
            <w:vAlign w:val="bottom"/>
            <w:hideMark/>
          </w:tcPr>
          <w:p w14:paraId="5C3B8F92"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23.08</w:t>
            </w:r>
          </w:p>
        </w:tc>
        <w:tc>
          <w:tcPr>
            <w:tcW w:w="738" w:type="pct"/>
            <w:tcBorders>
              <w:top w:val="nil"/>
              <w:left w:val="nil"/>
              <w:bottom w:val="nil"/>
              <w:right w:val="nil"/>
            </w:tcBorders>
            <w:shd w:val="clear" w:color="auto" w:fill="auto"/>
            <w:noWrap/>
            <w:vAlign w:val="bottom"/>
            <w:hideMark/>
          </w:tcPr>
          <w:p w14:paraId="73FFBF69" w14:textId="5532D3EA"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0.813 </w:t>
            </w:r>
            <w:r w:rsidRPr="00F07DEB">
              <w:rPr>
                <w:rFonts w:ascii="Times New Roman" w:eastAsia="Times New Roman" w:hAnsi="Times New Roman" w:cs="Times New Roman"/>
                <w:color w:val="000000"/>
                <w:sz w:val="20"/>
                <w:szCs w:val="20"/>
                <w:vertAlign w:val="superscript"/>
                <w:lang w:eastAsia="en-US"/>
              </w:rPr>
              <w:t>b</w:t>
            </w:r>
          </w:p>
        </w:tc>
      </w:tr>
      <w:tr w:rsidR="001400C3" w:rsidRPr="00F07DEB" w14:paraId="13B01AA0" w14:textId="77777777" w:rsidTr="00E720F9">
        <w:trPr>
          <w:trHeight w:val="292"/>
        </w:trPr>
        <w:tc>
          <w:tcPr>
            <w:tcW w:w="1303" w:type="pct"/>
            <w:tcBorders>
              <w:top w:val="nil"/>
              <w:left w:val="nil"/>
              <w:bottom w:val="nil"/>
              <w:right w:val="nil"/>
            </w:tcBorders>
            <w:shd w:val="clear" w:color="auto" w:fill="auto"/>
            <w:noWrap/>
            <w:vAlign w:val="bottom"/>
            <w:hideMark/>
          </w:tcPr>
          <w:p w14:paraId="192EF9F4"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Sorghum</w:t>
            </w:r>
          </w:p>
        </w:tc>
        <w:tc>
          <w:tcPr>
            <w:tcW w:w="751" w:type="pct"/>
            <w:tcBorders>
              <w:top w:val="nil"/>
              <w:left w:val="nil"/>
              <w:bottom w:val="nil"/>
              <w:right w:val="nil"/>
            </w:tcBorders>
            <w:shd w:val="clear" w:color="auto" w:fill="auto"/>
            <w:noWrap/>
            <w:vAlign w:val="bottom"/>
            <w:hideMark/>
          </w:tcPr>
          <w:p w14:paraId="3A37B871"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p>
        </w:tc>
        <w:tc>
          <w:tcPr>
            <w:tcW w:w="728" w:type="pct"/>
            <w:tcBorders>
              <w:top w:val="nil"/>
              <w:left w:val="nil"/>
              <w:bottom w:val="nil"/>
              <w:right w:val="nil"/>
            </w:tcBorders>
            <w:shd w:val="clear" w:color="auto" w:fill="auto"/>
            <w:noWrap/>
            <w:vAlign w:val="bottom"/>
            <w:hideMark/>
          </w:tcPr>
          <w:p w14:paraId="06ABA6BD" w14:textId="77777777" w:rsidR="001400C3" w:rsidRPr="00F07DEB" w:rsidRDefault="001400C3" w:rsidP="00E720F9">
            <w:pPr>
              <w:spacing w:after="0" w:line="240" w:lineRule="auto"/>
              <w:rPr>
                <w:rFonts w:ascii="Times New Roman" w:eastAsia="Times New Roman" w:hAnsi="Times New Roman" w:cs="Times New Roman"/>
                <w:sz w:val="20"/>
                <w:szCs w:val="20"/>
                <w:lang w:eastAsia="en-US"/>
              </w:rPr>
            </w:pPr>
          </w:p>
        </w:tc>
        <w:tc>
          <w:tcPr>
            <w:tcW w:w="751" w:type="pct"/>
            <w:tcBorders>
              <w:top w:val="nil"/>
              <w:left w:val="nil"/>
              <w:bottom w:val="nil"/>
              <w:right w:val="nil"/>
            </w:tcBorders>
            <w:shd w:val="clear" w:color="auto" w:fill="auto"/>
            <w:noWrap/>
            <w:vAlign w:val="bottom"/>
            <w:hideMark/>
          </w:tcPr>
          <w:p w14:paraId="0228526B" w14:textId="77777777" w:rsidR="001400C3" w:rsidRPr="00F07DEB" w:rsidRDefault="001400C3" w:rsidP="00E720F9">
            <w:pPr>
              <w:spacing w:after="0" w:line="240" w:lineRule="auto"/>
              <w:rPr>
                <w:rFonts w:ascii="Times New Roman" w:eastAsia="Times New Roman" w:hAnsi="Times New Roman" w:cs="Times New Roman"/>
                <w:sz w:val="20"/>
                <w:szCs w:val="20"/>
                <w:lang w:eastAsia="en-US"/>
              </w:rPr>
            </w:pPr>
          </w:p>
        </w:tc>
        <w:tc>
          <w:tcPr>
            <w:tcW w:w="728" w:type="pct"/>
            <w:tcBorders>
              <w:top w:val="nil"/>
              <w:left w:val="nil"/>
              <w:bottom w:val="nil"/>
              <w:right w:val="nil"/>
            </w:tcBorders>
            <w:shd w:val="clear" w:color="auto" w:fill="auto"/>
            <w:noWrap/>
            <w:vAlign w:val="bottom"/>
            <w:hideMark/>
          </w:tcPr>
          <w:p w14:paraId="5FEE775C" w14:textId="77777777" w:rsidR="001400C3" w:rsidRPr="00F07DEB" w:rsidRDefault="001400C3" w:rsidP="00E720F9">
            <w:pPr>
              <w:spacing w:after="0" w:line="240" w:lineRule="auto"/>
              <w:rPr>
                <w:rFonts w:ascii="Times New Roman" w:eastAsia="Times New Roman" w:hAnsi="Times New Roman" w:cs="Times New Roman"/>
                <w:sz w:val="20"/>
                <w:szCs w:val="20"/>
                <w:lang w:eastAsia="en-US"/>
              </w:rPr>
            </w:pPr>
          </w:p>
        </w:tc>
        <w:tc>
          <w:tcPr>
            <w:tcW w:w="738" w:type="pct"/>
            <w:tcBorders>
              <w:top w:val="nil"/>
              <w:left w:val="nil"/>
              <w:bottom w:val="nil"/>
              <w:right w:val="nil"/>
            </w:tcBorders>
            <w:shd w:val="clear" w:color="auto" w:fill="auto"/>
            <w:noWrap/>
            <w:vAlign w:val="bottom"/>
            <w:hideMark/>
          </w:tcPr>
          <w:p w14:paraId="5A65EFDF" w14:textId="77777777" w:rsidR="001400C3" w:rsidRPr="00F07DEB" w:rsidRDefault="001400C3" w:rsidP="00E720F9">
            <w:pPr>
              <w:spacing w:after="0" w:line="240" w:lineRule="auto"/>
              <w:rPr>
                <w:rFonts w:ascii="Times New Roman" w:eastAsia="Times New Roman" w:hAnsi="Times New Roman" w:cs="Times New Roman"/>
                <w:sz w:val="20"/>
                <w:szCs w:val="20"/>
                <w:lang w:eastAsia="en-US"/>
              </w:rPr>
            </w:pPr>
          </w:p>
        </w:tc>
      </w:tr>
      <w:tr w:rsidR="001400C3" w:rsidRPr="00F07DEB" w14:paraId="7F026697" w14:textId="77777777" w:rsidTr="00E720F9">
        <w:trPr>
          <w:trHeight w:val="292"/>
        </w:trPr>
        <w:tc>
          <w:tcPr>
            <w:tcW w:w="1303" w:type="pct"/>
            <w:tcBorders>
              <w:top w:val="nil"/>
              <w:left w:val="nil"/>
              <w:bottom w:val="nil"/>
              <w:right w:val="nil"/>
            </w:tcBorders>
            <w:shd w:val="clear" w:color="auto" w:fill="auto"/>
            <w:noWrap/>
            <w:vAlign w:val="bottom"/>
            <w:hideMark/>
          </w:tcPr>
          <w:p w14:paraId="65FA3315" w14:textId="0733FAFC" w:rsidR="001400C3" w:rsidRPr="00F07DEB" w:rsidRDefault="006250A7"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Tillers</w:t>
            </w:r>
          </w:p>
        </w:tc>
        <w:tc>
          <w:tcPr>
            <w:tcW w:w="751" w:type="pct"/>
            <w:tcBorders>
              <w:top w:val="nil"/>
              <w:left w:val="nil"/>
              <w:bottom w:val="nil"/>
              <w:right w:val="nil"/>
            </w:tcBorders>
            <w:shd w:val="clear" w:color="auto" w:fill="auto"/>
            <w:noWrap/>
            <w:vAlign w:val="bottom"/>
            <w:hideMark/>
          </w:tcPr>
          <w:p w14:paraId="4A8686FE"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4.37</w:t>
            </w:r>
          </w:p>
        </w:tc>
        <w:tc>
          <w:tcPr>
            <w:tcW w:w="728" w:type="pct"/>
            <w:tcBorders>
              <w:top w:val="nil"/>
              <w:left w:val="nil"/>
              <w:bottom w:val="nil"/>
              <w:right w:val="nil"/>
            </w:tcBorders>
            <w:shd w:val="clear" w:color="auto" w:fill="auto"/>
            <w:noWrap/>
            <w:vAlign w:val="bottom"/>
            <w:hideMark/>
          </w:tcPr>
          <w:p w14:paraId="25F59A5D"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4.80</w:t>
            </w:r>
          </w:p>
        </w:tc>
        <w:tc>
          <w:tcPr>
            <w:tcW w:w="751" w:type="pct"/>
            <w:tcBorders>
              <w:top w:val="nil"/>
              <w:left w:val="nil"/>
              <w:bottom w:val="nil"/>
              <w:right w:val="nil"/>
            </w:tcBorders>
            <w:shd w:val="clear" w:color="auto" w:fill="auto"/>
            <w:noWrap/>
            <w:vAlign w:val="bottom"/>
            <w:hideMark/>
          </w:tcPr>
          <w:p w14:paraId="5A2F9E53"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p>
        </w:tc>
        <w:tc>
          <w:tcPr>
            <w:tcW w:w="728" w:type="pct"/>
            <w:tcBorders>
              <w:top w:val="nil"/>
              <w:left w:val="nil"/>
              <w:bottom w:val="nil"/>
              <w:right w:val="nil"/>
            </w:tcBorders>
            <w:shd w:val="clear" w:color="auto" w:fill="auto"/>
            <w:noWrap/>
            <w:vAlign w:val="bottom"/>
            <w:hideMark/>
          </w:tcPr>
          <w:p w14:paraId="6FD9CD5C" w14:textId="77777777" w:rsidR="001400C3" w:rsidRPr="00F07DEB" w:rsidRDefault="001400C3" w:rsidP="00E720F9">
            <w:pPr>
              <w:spacing w:after="0" w:line="240" w:lineRule="auto"/>
              <w:rPr>
                <w:rFonts w:ascii="Times New Roman" w:eastAsia="Times New Roman" w:hAnsi="Times New Roman" w:cs="Times New Roman"/>
                <w:sz w:val="20"/>
                <w:szCs w:val="20"/>
                <w:lang w:eastAsia="en-US"/>
              </w:rPr>
            </w:pPr>
          </w:p>
        </w:tc>
        <w:tc>
          <w:tcPr>
            <w:tcW w:w="738" w:type="pct"/>
            <w:tcBorders>
              <w:top w:val="nil"/>
              <w:left w:val="nil"/>
              <w:bottom w:val="nil"/>
              <w:right w:val="nil"/>
            </w:tcBorders>
            <w:shd w:val="clear" w:color="auto" w:fill="auto"/>
            <w:noWrap/>
            <w:vAlign w:val="bottom"/>
            <w:hideMark/>
          </w:tcPr>
          <w:p w14:paraId="11A84241" w14:textId="77777777" w:rsidR="001400C3" w:rsidRPr="00F07DEB" w:rsidRDefault="001400C3" w:rsidP="00E720F9">
            <w:pPr>
              <w:spacing w:after="0" w:line="240" w:lineRule="auto"/>
              <w:rPr>
                <w:rFonts w:ascii="Times New Roman" w:eastAsia="Times New Roman" w:hAnsi="Times New Roman" w:cs="Times New Roman"/>
                <w:sz w:val="20"/>
                <w:szCs w:val="20"/>
                <w:lang w:eastAsia="en-US"/>
              </w:rPr>
            </w:pPr>
          </w:p>
        </w:tc>
      </w:tr>
      <w:tr w:rsidR="001400C3" w:rsidRPr="00F07DEB" w14:paraId="37CF0DB8" w14:textId="77777777" w:rsidTr="00E720F9">
        <w:trPr>
          <w:trHeight w:val="300"/>
        </w:trPr>
        <w:tc>
          <w:tcPr>
            <w:tcW w:w="1303" w:type="pct"/>
            <w:tcBorders>
              <w:top w:val="nil"/>
              <w:left w:val="nil"/>
              <w:bottom w:val="nil"/>
              <w:right w:val="nil"/>
            </w:tcBorders>
            <w:shd w:val="clear" w:color="auto" w:fill="auto"/>
            <w:noWrap/>
            <w:vAlign w:val="bottom"/>
            <w:hideMark/>
          </w:tcPr>
          <w:p w14:paraId="1A26AACA"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w:t>
            </w:r>
          </w:p>
        </w:tc>
        <w:tc>
          <w:tcPr>
            <w:tcW w:w="751" w:type="pct"/>
            <w:tcBorders>
              <w:top w:val="nil"/>
              <w:left w:val="nil"/>
              <w:bottom w:val="nil"/>
              <w:right w:val="nil"/>
            </w:tcBorders>
            <w:shd w:val="clear" w:color="auto" w:fill="auto"/>
            <w:noWrap/>
            <w:vAlign w:val="bottom"/>
            <w:hideMark/>
          </w:tcPr>
          <w:p w14:paraId="5872CBA4"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13.99</w:t>
            </w:r>
          </w:p>
        </w:tc>
        <w:tc>
          <w:tcPr>
            <w:tcW w:w="728" w:type="pct"/>
            <w:tcBorders>
              <w:top w:val="nil"/>
              <w:left w:val="nil"/>
              <w:bottom w:val="nil"/>
              <w:right w:val="nil"/>
            </w:tcBorders>
            <w:shd w:val="clear" w:color="auto" w:fill="auto"/>
            <w:noWrap/>
            <w:vAlign w:val="bottom"/>
            <w:hideMark/>
          </w:tcPr>
          <w:p w14:paraId="46FB3EA0"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5.93</w:t>
            </w:r>
          </w:p>
        </w:tc>
        <w:tc>
          <w:tcPr>
            <w:tcW w:w="751" w:type="pct"/>
            <w:tcBorders>
              <w:top w:val="nil"/>
              <w:left w:val="nil"/>
              <w:bottom w:val="nil"/>
              <w:right w:val="nil"/>
            </w:tcBorders>
            <w:shd w:val="clear" w:color="auto" w:fill="auto"/>
            <w:noWrap/>
            <w:vAlign w:val="bottom"/>
            <w:hideMark/>
          </w:tcPr>
          <w:p w14:paraId="2F9E571E"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8.98</w:t>
            </w:r>
          </w:p>
        </w:tc>
        <w:tc>
          <w:tcPr>
            <w:tcW w:w="728" w:type="pct"/>
            <w:tcBorders>
              <w:top w:val="nil"/>
              <w:left w:val="nil"/>
              <w:bottom w:val="nil"/>
              <w:right w:val="nil"/>
            </w:tcBorders>
            <w:shd w:val="clear" w:color="auto" w:fill="auto"/>
            <w:noWrap/>
            <w:vAlign w:val="bottom"/>
            <w:hideMark/>
          </w:tcPr>
          <w:p w14:paraId="6880EF51"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3.04</w:t>
            </w:r>
          </w:p>
        </w:tc>
        <w:tc>
          <w:tcPr>
            <w:tcW w:w="738" w:type="pct"/>
            <w:tcBorders>
              <w:top w:val="nil"/>
              <w:left w:val="nil"/>
              <w:bottom w:val="nil"/>
              <w:right w:val="nil"/>
            </w:tcBorders>
            <w:shd w:val="clear" w:color="auto" w:fill="auto"/>
            <w:noWrap/>
            <w:vAlign w:val="bottom"/>
            <w:hideMark/>
          </w:tcPr>
          <w:p w14:paraId="3569D2F7" w14:textId="41CE7728"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0.180 </w:t>
            </w:r>
            <w:r w:rsidRPr="00F07DEB">
              <w:rPr>
                <w:rFonts w:ascii="Times New Roman" w:eastAsia="Times New Roman" w:hAnsi="Times New Roman" w:cs="Times New Roman"/>
                <w:color w:val="000000"/>
                <w:sz w:val="20"/>
                <w:szCs w:val="20"/>
                <w:vertAlign w:val="superscript"/>
                <w:lang w:eastAsia="en-US"/>
              </w:rPr>
              <w:t>c</w:t>
            </w:r>
          </w:p>
        </w:tc>
      </w:tr>
      <w:tr w:rsidR="001400C3" w:rsidRPr="00F07DEB" w14:paraId="5E046FE9" w14:textId="77777777" w:rsidTr="00E720F9">
        <w:trPr>
          <w:trHeight w:val="300"/>
        </w:trPr>
        <w:tc>
          <w:tcPr>
            <w:tcW w:w="1303" w:type="pct"/>
            <w:tcBorders>
              <w:top w:val="nil"/>
              <w:left w:val="nil"/>
              <w:bottom w:val="nil"/>
              <w:right w:val="nil"/>
            </w:tcBorders>
            <w:shd w:val="clear" w:color="auto" w:fill="auto"/>
            <w:noWrap/>
            <w:vAlign w:val="bottom"/>
            <w:hideMark/>
          </w:tcPr>
          <w:p w14:paraId="1D4E2A55"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w:t>
            </w:r>
          </w:p>
        </w:tc>
        <w:tc>
          <w:tcPr>
            <w:tcW w:w="751" w:type="pct"/>
            <w:tcBorders>
              <w:top w:val="nil"/>
              <w:left w:val="nil"/>
              <w:bottom w:val="nil"/>
              <w:right w:val="nil"/>
            </w:tcBorders>
            <w:shd w:val="clear" w:color="auto" w:fill="auto"/>
            <w:noWrap/>
            <w:vAlign w:val="bottom"/>
            <w:hideMark/>
          </w:tcPr>
          <w:p w14:paraId="5ABAB43A"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9.96</w:t>
            </w:r>
          </w:p>
        </w:tc>
        <w:tc>
          <w:tcPr>
            <w:tcW w:w="728" w:type="pct"/>
            <w:tcBorders>
              <w:top w:val="nil"/>
              <w:left w:val="nil"/>
              <w:bottom w:val="nil"/>
              <w:right w:val="nil"/>
            </w:tcBorders>
            <w:shd w:val="clear" w:color="auto" w:fill="auto"/>
            <w:noWrap/>
            <w:vAlign w:val="bottom"/>
            <w:hideMark/>
          </w:tcPr>
          <w:p w14:paraId="47A0FB7F"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3.19</w:t>
            </w:r>
          </w:p>
        </w:tc>
        <w:tc>
          <w:tcPr>
            <w:tcW w:w="751" w:type="pct"/>
            <w:tcBorders>
              <w:top w:val="nil"/>
              <w:left w:val="nil"/>
              <w:bottom w:val="nil"/>
              <w:right w:val="nil"/>
            </w:tcBorders>
            <w:shd w:val="clear" w:color="auto" w:fill="auto"/>
            <w:noWrap/>
            <w:vAlign w:val="bottom"/>
            <w:hideMark/>
          </w:tcPr>
          <w:p w14:paraId="05DD1C98"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13.18</w:t>
            </w:r>
          </w:p>
        </w:tc>
        <w:tc>
          <w:tcPr>
            <w:tcW w:w="728" w:type="pct"/>
            <w:tcBorders>
              <w:top w:val="nil"/>
              <w:left w:val="nil"/>
              <w:bottom w:val="nil"/>
              <w:right w:val="nil"/>
            </w:tcBorders>
            <w:shd w:val="clear" w:color="auto" w:fill="auto"/>
            <w:noWrap/>
            <w:vAlign w:val="bottom"/>
            <w:hideMark/>
          </w:tcPr>
          <w:p w14:paraId="0E9EA473"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4.41</w:t>
            </w:r>
          </w:p>
        </w:tc>
        <w:tc>
          <w:tcPr>
            <w:tcW w:w="738" w:type="pct"/>
            <w:tcBorders>
              <w:top w:val="nil"/>
              <w:left w:val="nil"/>
              <w:bottom w:val="nil"/>
              <w:right w:val="nil"/>
            </w:tcBorders>
            <w:shd w:val="clear" w:color="auto" w:fill="auto"/>
            <w:noWrap/>
            <w:vAlign w:val="bottom"/>
            <w:hideMark/>
          </w:tcPr>
          <w:p w14:paraId="77179036" w14:textId="1BC999EA"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0.093 </w:t>
            </w:r>
            <w:r w:rsidRPr="00F07DEB">
              <w:rPr>
                <w:rFonts w:ascii="Times New Roman" w:eastAsia="Times New Roman" w:hAnsi="Times New Roman" w:cs="Times New Roman"/>
                <w:color w:val="000000"/>
                <w:sz w:val="20"/>
                <w:szCs w:val="20"/>
                <w:vertAlign w:val="superscript"/>
                <w:lang w:eastAsia="en-US"/>
              </w:rPr>
              <w:t>c</w:t>
            </w:r>
          </w:p>
        </w:tc>
      </w:tr>
      <w:tr w:rsidR="001400C3" w:rsidRPr="00F07DEB" w14:paraId="2D963280" w14:textId="77777777" w:rsidTr="00E720F9">
        <w:trPr>
          <w:trHeight w:val="292"/>
        </w:trPr>
        <w:tc>
          <w:tcPr>
            <w:tcW w:w="1303" w:type="pct"/>
            <w:tcBorders>
              <w:top w:val="nil"/>
              <w:left w:val="nil"/>
              <w:bottom w:val="nil"/>
              <w:right w:val="nil"/>
            </w:tcBorders>
            <w:shd w:val="clear" w:color="auto" w:fill="auto"/>
            <w:noWrap/>
            <w:vAlign w:val="bottom"/>
            <w:hideMark/>
          </w:tcPr>
          <w:p w14:paraId="6B462711"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w:t>
            </w:r>
          </w:p>
        </w:tc>
        <w:tc>
          <w:tcPr>
            <w:tcW w:w="751" w:type="pct"/>
            <w:tcBorders>
              <w:top w:val="nil"/>
              <w:left w:val="nil"/>
              <w:bottom w:val="nil"/>
              <w:right w:val="nil"/>
            </w:tcBorders>
            <w:shd w:val="clear" w:color="auto" w:fill="auto"/>
            <w:noWrap/>
            <w:vAlign w:val="bottom"/>
            <w:hideMark/>
          </w:tcPr>
          <w:p w14:paraId="7D55A6D1"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21.31</w:t>
            </w:r>
          </w:p>
        </w:tc>
        <w:tc>
          <w:tcPr>
            <w:tcW w:w="728" w:type="pct"/>
            <w:tcBorders>
              <w:top w:val="nil"/>
              <w:left w:val="nil"/>
              <w:bottom w:val="nil"/>
              <w:right w:val="nil"/>
            </w:tcBorders>
            <w:shd w:val="clear" w:color="auto" w:fill="auto"/>
            <w:noWrap/>
            <w:vAlign w:val="bottom"/>
            <w:hideMark/>
          </w:tcPr>
          <w:p w14:paraId="59ED92A4"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6.70</w:t>
            </w:r>
          </w:p>
        </w:tc>
        <w:tc>
          <w:tcPr>
            <w:tcW w:w="751" w:type="pct"/>
            <w:tcBorders>
              <w:top w:val="nil"/>
              <w:left w:val="nil"/>
              <w:bottom w:val="nil"/>
              <w:right w:val="nil"/>
            </w:tcBorders>
            <w:shd w:val="clear" w:color="auto" w:fill="auto"/>
            <w:noWrap/>
            <w:vAlign w:val="bottom"/>
            <w:hideMark/>
          </w:tcPr>
          <w:p w14:paraId="0A1F7B04"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15.49</w:t>
            </w:r>
          </w:p>
        </w:tc>
        <w:tc>
          <w:tcPr>
            <w:tcW w:w="728" w:type="pct"/>
            <w:tcBorders>
              <w:top w:val="nil"/>
              <w:left w:val="nil"/>
              <w:bottom w:val="nil"/>
              <w:right w:val="nil"/>
            </w:tcBorders>
            <w:shd w:val="clear" w:color="auto" w:fill="auto"/>
            <w:noWrap/>
            <w:vAlign w:val="bottom"/>
            <w:hideMark/>
          </w:tcPr>
          <w:p w14:paraId="74BF0F55"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3.03</w:t>
            </w:r>
          </w:p>
        </w:tc>
        <w:tc>
          <w:tcPr>
            <w:tcW w:w="738" w:type="pct"/>
            <w:tcBorders>
              <w:top w:val="nil"/>
              <w:left w:val="nil"/>
              <w:bottom w:val="nil"/>
              <w:right w:val="nil"/>
            </w:tcBorders>
            <w:shd w:val="clear" w:color="auto" w:fill="auto"/>
            <w:noWrap/>
            <w:vAlign w:val="bottom"/>
            <w:hideMark/>
          </w:tcPr>
          <w:p w14:paraId="60BC29A3" w14:textId="734D1D7B"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0.094 </w:t>
            </w:r>
            <w:r w:rsidRPr="00F07DEB">
              <w:rPr>
                <w:rFonts w:ascii="Times New Roman" w:eastAsia="Times New Roman" w:hAnsi="Times New Roman" w:cs="Times New Roman"/>
                <w:color w:val="000000"/>
                <w:sz w:val="20"/>
                <w:szCs w:val="20"/>
                <w:vertAlign w:val="superscript"/>
                <w:lang w:eastAsia="en-US"/>
              </w:rPr>
              <w:t>b</w:t>
            </w:r>
          </w:p>
        </w:tc>
      </w:tr>
      <w:tr w:rsidR="001400C3" w:rsidRPr="00F07DEB" w14:paraId="71BF0B4F" w14:textId="77777777" w:rsidTr="00E720F9">
        <w:trPr>
          <w:trHeight w:val="292"/>
        </w:trPr>
        <w:tc>
          <w:tcPr>
            <w:tcW w:w="1303" w:type="pct"/>
            <w:tcBorders>
              <w:top w:val="nil"/>
              <w:left w:val="nil"/>
              <w:bottom w:val="nil"/>
              <w:right w:val="nil"/>
            </w:tcBorders>
            <w:shd w:val="clear" w:color="auto" w:fill="auto"/>
            <w:noWrap/>
            <w:vAlign w:val="bottom"/>
            <w:hideMark/>
          </w:tcPr>
          <w:p w14:paraId="761C1BA2"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751" w:type="pct"/>
            <w:tcBorders>
              <w:top w:val="nil"/>
              <w:left w:val="nil"/>
              <w:bottom w:val="nil"/>
              <w:right w:val="nil"/>
            </w:tcBorders>
            <w:shd w:val="clear" w:color="auto" w:fill="auto"/>
            <w:noWrap/>
            <w:vAlign w:val="bottom"/>
            <w:hideMark/>
          </w:tcPr>
          <w:p w14:paraId="2F5D0C77"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9.63</w:t>
            </w:r>
          </w:p>
        </w:tc>
        <w:tc>
          <w:tcPr>
            <w:tcW w:w="728" w:type="pct"/>
            <w:tcBorders>
              <w:top w:val="nil"/>
              <w:left w:val="nil"/>
              <w:bottom w:val="nil"/>
              <w:right w:val="nil"/>
            </w:tcBorders>
            <w:shd w:val="clear" w:color="auto" w:fill="auto"/>
            <w:noWrap/>
            <w:vAlign w:val="bottom"/>
            <w:hideMark/>
          </w:tcPr>
          <w:p w14:paraId="1FB3F964"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2.29</w:t>
            </w:r>
          </w:p>
        </w:tc>
        <w:tc>
          <w:tcPr>
            <w:tcW w:w="751" w:type="pct"/>
            <w:tcBorders>
              <w:top w:val="nil"/>
              <w:left w:val="nil"/>
              <w:bottom w:val="nil"/>
              <w:right w:val="nil"/>
            </w:tcBorders>
            <w:shd w:val="clear" w:color="auto" w:fill="auto"/>
            <w:noWrap/>
            <w:vAlign w:val="bottom"/>
            <w:hideMark/>
          </w:tcPr>
          <w:p w14:paraId="567321BB"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6.17</w:t>
            </w:r>
          </w:p>
        </w:tc>
        <w:tc>
          <w:tcPr>
            <w:tcW w:w="728" w:type="pct"/>
            <w:tcBorders>
              <w:top w:val="nil"/>
              <w:left w:val="nil"/>
              <w:bottom w:val="nil"/>
              <w:right w:val="nil"/>
            </w:tcBorders>
            <w:shd w:val="clear" w:color="auto" w:fill="auto"/>
            <w:noWrap/>
            <w:vAlign w:val="bottom"/>
            <w:hideMark/>
          </w:tcPr>
          <w:p w14:paraId="19E1E9D0"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1.21</w:t>
            </w:r>
          </w:p>
        </w:tc>
        <w:tc>
          <w:tcPr>
            <w:tcW w:w="738" w:type="pct"/>
            <w:tcBorders>
              <w:top w:val="nil"/>
              <w:left w:val="nil"/>
              <w:bottom w:val="nil"/>
              <w:right w:val="nil"/>
            </w:tcBorders>
            <w:shd w:val="clear" w:color="auto" w:fill="auto"/>
            <w:noWrap/>
            <w:vAlign w:val="bottom"/>
            <w:hideMark/>
          </w:tcPr>
          <w:p w14:paraId="0AD3931A" w14:textId="63A9DADE"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b/>
                <w:bCs/>
                <w:color w:val="000000"/>
                <w:sz w:val="20"/>
                <w:szCs w:val="20"/>
                <w:lang w:eastAsia="en-US"/>
              </w:rPr>
              <w:t>0.009</w:t>
            </w:r>
            <w:r w:rsidRPr="00F07DEB">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vertAlign w:val="superscript"/>
                <w:lang w:eastAsia="en-US"/>
              </w:rPr>
              <w:t>c</w:t>
            </w:r>
          </w:p>
        </w:tc>
      </w:tr>
      <w:tr w:rsidR="001400C3" w:rsidRPr="00F07DEB" w14:paraId="03B031E5" w14:textId="77777777" w:rsidTr="00E720F9">
        <w:trPr>
          <w:trHeight w:val="292"/>
        </w:trPr>
        <w:tc>
          <w:tcPr>
            <w:tcW w:w="1303" w:type="pct"/>
            <w:tcBorders>
              <w:top w:val="nil"/>
              <w:left w:val="nil"/>
              <w:bottom w:val="nil"/>
              <w:right w:val="nil"/>
            </w:tcBorders>
            <w:shd w:val="clear" w:color="auto" w:fill="auto"/>
            <w:noWrap/>
            <w:vAlign w:val="bottom"/>
            <w:hideMark/>
          </w:tcPr>
          <w:p w14:paraId="4921BEC0" w14:textId="77777777" w:rsidR="001400C3" w:rsidRPr="00F07DEB" w:rsidRDefault="001400C3" w:rsidP="001400C3">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 xml:space="preserve">     Total</w:t>
            </w:r>
          </w:p>
        </w:tc>
        <w:tc>
          <w:tcPr>
            <w:tcW w:w="751" w:type="pct"/>
            <w:tcBorders>
              <w:top w:val="nil"/>
              <w:left w:val="nil"/>
              <w:bottom w:val="nil"/>
              <w:right w:val="nil"/>
            </w:tcBorders>
            <w:shd w:val="clear" w:color="auto" w:fill="auto"/>
            <w:noWrap/>
            <w:vAlign w:val="bottom"/>
            <w:hideMark/>
          </w:tcPr>
          <w:p w14:paraId="2E9F98B4"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59.27</w:t>
            </w:r>
          </w:p>
        </w:tc>
        <w:tc>
          <w:tcPr>
            <w:tcW w:w="728" w:type="pct"/>
            <w:tcBorders>
              <w:top w:val="nil"/>
              <w:left w:val="nil"/>
              <w:bottom w:val="nil"/>
              <w:right w:val="nil"/>
            </w:tcBorders>
            <w:shd w:val="clear" w:color="auto" w:fill="auto"/>
            <w:noWrap/>
            <w:vAlign w:val="bottom"/>
            <w:hideMark/>
          </w:tcPr>
          <w:p w14:paraId="3BB1F9C6"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11.66</w:t>
            </w:r>
          </w:p>
        </w:tc>
        <w:tc>
          <w:tcPr>
            <w:tcW w:w="751" w:type="pct"/>
            <w:tcBorders>
              <w:top w:val="nil"/>
              <w:left w:val="nil"/>
              <w:bottom w:val="nil"/>
              <w:right w:val="nil"/>
            </w:tcBorders>
            <w:shd w:val="clear" w:color="auto" w:fill="auto"/>
            <w:noWrap/>
            <w:vAlign w:val="bottom"/>
            <w:hideMark/>
          </w:tcPr>
          <w:p w14:paraId="35C7E63D"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43.81</w:t>
            </w:r>
          </w:p>
        </w:tc>
        <w:tc>
          <w:tcPr>
            <w:tcW w:w="728" w:type="pct"/>
            <w:tcBorders>
              <w:top w:val="nil"/>
              <w:left w:val="nil"/>
              <w:bottom w:val="nil"/>
              <w:right w:val="nil"/>
            </w:tcBorders>
            <w:shd w:val="clear" w:color="auto" w:fill="auto"/>
            <w:noWrap/>
            <w:vAlign w:val="bottom"/>
            <w:hideMark/>
          </w:tcPr>
          <w:p w14:paraId="50D88CAC"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8.35</w:t>
            </w:r>
          </w:p>
        </w:tc>
        <w:tc>
          <w:tcPr>
            <w:tcW w:w="738" w:type="pct"/>
            <w:tcBorders>
              <w:top w:val="nil"/>
              <w:left w:val="nil"/>
              <w:bottom w:val="nil"/>
              <w:right w:val="nil"/>
            </w:tcBorders>
            <w:shd w:val="clear" w:color="auto" w:fill="auto"/>
            <w:noWrap/>
            <w:vAlign w:val="bottom"/>
            <w:hideMark/>
          </w:tcPr>
          <w:p w14:paraId="1E998C83" w14:textId="01C52DC3"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b/>
                <w:bCs/>
                <w:color w:val="000000"/>
                <w:sz w:val="20"/>
                <w:szCs w:val="20"/>
                <w:lang w:eastAsia="en-US"/>
              </w:rPr>
              <w:t>0.047</w:t>
            </w:r>
            <w:r w:rsidRPr="00F07DEB">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vertAlign w:val="superscript"/>
                <w:lang w:eastAsia="en-US"/>
              </w:rPr>
              <w:t>a</w:t>
            </w:r>
          </w:p>
        </w:tc>
      </w:tr>
      <w:tr w:rsidR="001400C3" w:rsidRPr="00F07DEB" w14:paraId="73479B32" w14:textId="77777777" w:rsidTr="00E720F9">
        <w:trPr>
          <w:trHeight w:val="300"/>
        </w:trPr>
        <w:tc>
          <w:tcPr>
            <w:tcW w:w="1303" w:type="pct"/>
            <w:tcBorders>
              <w:top w:val="nil"/>
              <w:left w:val="nil"/>
              <w:bottom w:val="nil"/>
              <w:right w:val="nil"/>
            </w:tcBorders>
            <w:shd w:val="clear" w:color="auto" w:fill="auto"/>
            <w:noWrap/>
            <w:vAlign w:val="bottom"/>
            <w:hideMark/>
          </w:tcPr>
          <w:p w14:paraId="1976C96D"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Bermuda grass</w:t>
            </w:r>
          </w:p>
        </w:tc>
        <w:tc>
          <w:tcPr>
            <w:tcW w:w="751" w:type="pct"/>
            <w:tcBorders>
              <w:top w:val="nil"/>
              <w:left w:val="nil"/>
              <w:bottom w:val="nil"/>
              <w:right w:val="nil"/>
            </w:tcBorders>
            <w:shd w:val="clear" w:color="auto" w:fill="auto"/>
            <w:noWrap/>
            <w:vAlign w:val="bottom"/>
            <w:hideMark/>
          </w:tcPr>
          <w:p w14:paraId="7D1A2D04"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p>
        </w:tc>
        <w:tc>
          <w:tcPr>
            <w:tcW w:w="728" w:type="pct"/>
            <w:tcBorders>
              <w:top w:val="nil"/>
              <w:left w:val="nil"/>
              <w:bottom w:val="nil"/>
              <w:right w:val="nil"/>
            </w:tcBorders>
            <w:shd w:val="clear" w:color="auto" w:fill="auto"/>
            <w:noWrap/>
            <w:vAlign w:val="bottom"/>
            <w:hideMark/>
          </w:tcPr>
          <w:p w14:paraId="703DEB29" w14:textId="77777777" w:rsidR="001400C3" w:rsidRPr="00F07DEB" w:rsidRDefault="001400C3" w:rsidP="00E720F9">
            <w:pPr>
              <w:spacing w:after="0" w:line="240" w:lineRule="auto"/>
              <w:rPr>
                <w:rFonts w:ascii="Times New Roman" w:eastAsia="Times New Roman" w:hAnsi="Times New Roman" w:cs="Times New Roman"/>
                <w:sz w:val="20"/>
                <w:szCs w:val="20"/>
                <w:lang w:eastAsia="en-US"/>
              </w:rPr>
            </w:pPr>
          </w:p>
        </w:tc>
        <w:tc>
          <w:tcPr>
            <w:tcW w:w="751" w:type="pct"/>
            <w:tcBorders>
              <w:top w:val="nil"/>
              <w:left w:val="nil"/>
              <w:bottom w:val="nil"/>
              <w:right w:val="nil"/>
            </w:tcBorders>
            <w:shd w:val="clear" w:color="auto" w:fill="auto"/>
            <w:noWrap/>
            <w:vAlign w:val="bottom"/>
            <w:hideMark/>
          </w:tcPr>
          <w:p w14:paraId="127375B7" w14:textId="77777777" w:rsidR="001400C3" w:rsidRPr="00F07DEB" w:rsidRDefault="001400C3" w:rsidP="00E720F9">
            <w:pPr>
              <w:spacing w:after="0" w:line="240" w:lineRule="auto"/>
              <w:rPr>
                <w:rFonts w:ascii="Times New Roman" w:eastAsia="Times New Roman" w:hAnsi="Times New Roman" w:cs="Times New Roman"/>
                <w:sz w:val="20"/>
                <w:szCs w:val="20"/>
                <w:lang w:eastAsia="en-US"/>
              </w:rPr>
            </w:pPr>
          </w:p>
        </w:tc>
        <w:tc>
          <w:tcPr>
            <w:tcW w:w="728" w:type="pct"/>
            <w:tcBorders>
              <w:top w:val="nil"/>
              <w:left w:val="nil"/>
              <w:bottom w:val="nil"/>
              <w:right w:val="nil"/>
            </w:tcBorders>
            <w:shd w:val="clear" w:color="auto" w:fill="auto"/>
            <w:noWrap/>
            <w:vAlign w:val="bottom"/>
            <w:hideMark/>
          </w:tcPr>
          <w:p w14:paraId="72779DA8" w14:textId="77777777" w:rsidR="001400C3" w:rsidRPr="00F07DEB" w:rsidRDefault="001400C3" w:rsidP="00E720F9">
            <w:pPr>
              <w:spacing w:after="0" w:line="240" w:lineRule="auto"/>
              <w:rPr>
                <w:rFonts w:ascii="Times New Roman" w:eastAsia="Times New Roman" w:hAnsi="Times New Roman" w:cs="Times New Roman"/>
                <w:sz w:val="20"/>
                <w:szCs w:val="20"/>
                <w:lang w:eastAsia="en-US"/>
              </w:rPr>
            </w:pPr>
          </w:p>
        </w:tc>
        <w:tc>
          <w:tcPr>
            <w:tcW w:w="738" w:type="pct"/>
            <w:tcBorders>
              <w:top w:val="nil"/>
              <w:left w:val="nil"/>
              <w:bottom w:val="nil"/>
              <w:right w:val="nil"/>
            </w:tcBorders>
            <w:shd w:val="clear" w:color="auto" w:fill="auto"/>
            <w:noWrap/>
            <w:vAlign w:val="bottom"/>
            <w:hideMark/>
          </w:tcPr>
          <w:p w14:paraId="71E82E5D" w14:textId="77777777" w:rsidR="001400C3" w:rsidRPr="00F07DEB" w:rsidRDefault="001400C3" w:rsidP="00E720F9">
            <w:pPr>
              <w:spacing w:after="0" w:line="240" w:lineRule="auto"/>
              <w:rPr>
                <w:rFonts w:ascii="Times New Roman" w:eastAsia="Times New Roman" w:hAnsi="Times New Roman" w:cs="Times New Roman"/>
                <w:sz w:val="20"/>
                <w:szCs w:val="20"/>
                <w:lang w:eastAsia="en-US"/>
              </w:rPr>
            </w:pPr>
          </w:p>
        </w:tc>
      </w:tr>
      <w:tr w:rsidR="001400C3" w:rsidRPr="00F07DEB" w14:paraId="7FCC3CB2" w14:textId="77777777" w:rsidTr="00E720F9">
        <w:trPr>
          <w:trHeight w:val="300"/>
        </w:trPr>
        <w:tc>
          <w:tcPr>
            <w:tcW w:w="1303" w:type="pct"/>
            <w:tcBorders>
              <w:top w:val="nil"/>
              <w:left w:val="nil"/>
              <w:bottom w:val="nil"/>
              <w:right w:val="nil"/>
            </w:tcBorders>
            <w:shd w:val="clear" w:color="auto" w:fill="auto"/>
            <w:noWrap/>
            <w:vAlign w:val="bottom"/>
            <w:hideMark/>
          </w:tcPr>
          <w:p w14:paraId="1D19BF48"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 Harvest 1 </w:t>
            </w:r>
          </w:p>
        </w:tc>
        <w:tc>
          <w:tcPr>
            <w:tcW w:w="751" w:type="pct"/>
            <w:tcBorders>
              <w:top w:val="nil"/>
              <w:left w:val="nil"/>
              <w:bottom w:val="nil"/>
              <w:right w:val="nil"/>
            </w:tcBorders>
            <w:shd w:val="clear" w:color="auto" w:fill="auto"/>
            <w:noWrap/>
            <w:vAlign w:val="bottom"/>
            <w:hideMark/>
          </w:tcPr>
          <w:p w14:paraId="7FCBF934"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3.38</w:t>
            </w:r>
          </w:p>
        </w:tc>
        <w:tc>
          <w:tcPr>
            <w:tcW w:w="728" w:type="pct"/>
            <w:tcBorders>
              <w:top w:val="nil"/>
              <w:left w:val="nil"/>
              <w:bottom w:val="nil"/>
              <w:right w:val="nil"/>
            </w:tcBorders>
            <w:shd w:val="clear" w:color="auto" w:fill="auto"/>
            <w:noWrap/>
            <w:vAlign w:val="bottom"/>
            <w:hideMark/>
          </w:tcPr>
          <w:p w14:paraId="4F244E1B"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2.89</w:t>
            </w:r>
          </w:p>
        </w:tc>
        <w:tc>
          <w:tcPr>
            <w:tcW w:w="751" w:type="pct"/>
            <w:tcBorders>
              <w:top w:val="nil"/>
              <w:left w:val="nil"/>
              <w:bottom w:val="nil"/>
              <w:right w:val="nil"/>
            </w:tcBorders>
            <w:shd w:val="clear" w:color="auto" w:fill="auto"/>
            <w:noWrap/>
            <w:vAlign w:val="bottom"/>
            <w:hideMark/>
          </w:tcPr>
          <w:p w14:paraId="3ED5325B"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4.04</w:t>
            </w:r>
          </w:p>
        </w:tc>
        <w:tc>
          <w:tcPr>
            <w:tcW w:w="728" w:type="pct"/>
            <w:tcBorders>
              <w:top w:val="nil"/>
              <w:left w:val="nil"/>
              <w:bottom w:val="nil"/>
              <w:right w:val="nil"/>
            </w:tcBorders>
            <w:shd w:val="clear" w:color="auto" w:fill="auto"/>
            <w:noWrap/>
            <w:vAlign w:val="bottom"/>
            <w:hideMark/>
          </w:tcPr>
          <w:p w14:paraId="13F9B104"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1.53</w:t>
            </w:r>
          </w:p>
        </w:tc>
        <w:tc>
          <w:tcPr>
            <w:tcW w:w="738" w:type="pct"/>
            <w:tcBorders>
              <w:top w:val="nil"/>
              <w:left w:val="nil"/>
              <w:bottom w:val="nil"/>
              <w:right w:val="nil"/>
            </w:tcBorders>
            <w:shd w:val="clear" w:color="auto" w:fill="auto"/>
            <w:noWrap/>
            <w:vAlign w:val="bottom"/>
            <w:hideMark/>
          </w:tcPr>
          <w:p w14:paraId="6D08A5C4" w14:textId="23AD6E8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0.699 </w:t>
            </w:r>
            <w:r w:rsidRPr="00F07DEB">
              <w:rPr>
                <w:rFonts w:ascii="Times New Roman" w:eastAsia="Times New Roman" w:hAnsi="Times New Roman" w:cs="Times New Roman"/>
                <w:color w:val="000000"/>
                <w:sz w:val="20"/>
                <w:szCs w:val="20"/>
                <w:vertAlign w:val="superscript"/>
                <w:lang w:eastAsia="en-US"/>
              </w:rPr>
              <w:t>c</w:t>
            </w:r>
          </w:p>
        </w:tc>
      </w:tr>
      <w:tr w:rsidR="001400C3" w:rsidRPr="00F07DEB" w14:paraId="69CE7A11" w14:textId="77777777" w:rsidTr="00E720F9">
        <w:trPr>
          <w:trHeight w:val="292"/>
        </w:trPr>
        <w:tc>
          <w:tcPr>
            <w:tcW w:w="1303" w:type="pct"/>
            <w:tcBorders>
              <w:top w:val="nil"/>
              <w:left w:val="nil"/>
              <w:bottom w:val="nil"/>
              <w:right w:val="nil"/>
            </w:tcBorders>
            <w:shd w:val="clear" w:color="auto" w:fill="auto"/>
            <w:noWrap/>
            <w:vAlign w:val="bottom"/>
            <w:hideMark/>
          </w:tcPr>
          <w:p w14:paraId="59417977"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 Harvest 2</w:t>
            </w:r>
          </w:p>
        </w:tc>
        <w:tc>
          <w:tcPr>
            <w:tcW w:w="751" w:type="pct"/>
            <w:tcBorders>
              <w:top w:val="nil"/>
              <w:left w:val="nil"/>
              <w:bottom w:val="nil"/>
              <w:right w:val="nil"/>
            </w:tcBorders>
            <w:shd w:val="clear" w:color="auto" w:fill="auto"/>
            <w:noWrap/>
            <w:vAlign w:val="bottom"/>
            <w:hideMark/>
          </w:tcPr>
          <w:p w14:paraId="3FDDAD5C"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7.59</w:t>
            </w:r>
          </w:p>
        </w:tc>
        <w:tc>
          <w:tcPr>
            <w:tcW w:w="728" w:type="pct"/>
            <w:tcBorders>
              <w:top w:val="nil"/>
              <w:left w:val="nil"/>
              <w:bottom w:val="nil"/>
              <w:right w:val="nil"/>
            </w:tcBorders>
            <w:shd w:val="clear" w:color="auto" w:fill="auto"/>
            <w:noWrap/>
            <w:vAlign w:val="bottom"/>
            <w:hideMark/>
          </w:tcPr>
          <w:p w14:paraId="3650882D"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1.16</w:t>
            </w:r>
          </w:p>
        </w:tc>
        <w:tc>
          <w:tcPr>
            <w:tcW w:w="751" w:type="pct"/>
            <w:tcBorders>
              <w:top w:val="nil"/>
              <w:left w:val="nil"/>
              <w:bottom w:val="nil"/>
              <w:right w:val="nil"/>
            </w:tcBorders>
            <w:shd w:val="clear" w:color="auto" w:fill="auto"/>
            <w:noWrap/>
            <w:vAlign w:val="bottom"/>
            <w:hideMark/>
          </w:tcPr>
          <w:p w14:paraId="4A84F373"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10.20</w:t>
            </w:r>
          </w:p>
        </w:tc>
        <w:tc>
          <w:tcPr>
            <w:tcW w:w="728" w:type="pct"/>
            <w:tcBorders>
              <w:top w:val="nil"/>
              <w:left w:val="nil"/>
              <w:bottom w:val="nil"/>
              <w:right w:val="nil"/>
            </w:tcBorders>
            <w:shd w:val="clear" w:color="auto" w:fill="auto"/>
            <w:noWrap/>
            <w:vAlign w:val="bottom"/>
            <w:hideMark/>
          </w:tcPr>
          <w:p w14:paraId="697C5918"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0.44</w:t>
            </w:r>
          </w:p>
        </w:tc>
        <w:tc>
          <w:tcPr>
            <w:tcW w:w="738" w:type="pct"/>
            <w:tcBorders>
              <w:top w:val="nil"/>
              <w:left w:val="nil"/>
              <w:bottom w:val="nil"/>
              <w:right w:val="nil"/>
            </w:tcBorders>
            <w:shd w:val="clear" w:color="auto" w:fill="auto"/>
            <w:noWrap/>
            <w:vAlign w:val="bottom"/>
            <w:hideMark/>
          </w:tcPr>
          <w:p w14:paraId="6272D126" w14:textId="3C61FAB8"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0.079 </w:t>
            </w:r>
            <w:r w:rsidRPr="00F07DEB">
              <w:rPr>
                <w:rFonts w:ascii="Times New Roman" w:eastAsia="Times New Roman" w:hAnsi="Times New Roman" w:cs="Times New Roman"/>
                <w:color w:val="000000"/>
                <w:sz w:val="20"/>
                <w:szCs w:val="20"/>
                <w:vertAlign w:val="superscript"/>
                <w:lang w:eastAsia="en-US"/>
              </w:rPr>
              <w:t>a</w:t>
            </w:r>
          </w:p>
        </w:tc>
      </w:tr>
      <w:tr w:rsidR="001400C3" w:rsidRPr="00F07DEB" w14:paraId="10C7B35B" w14:textId="77777777" w:rsidTr="00E720F9">
        <w:trPr>
          <w:trHeight w:val="292"/>
        </w:trPr>
        <w:tc>
          <w:tcPr>
            <w:tcW w:w="1303" w:type="pct"/>
            <w:tcBorders>
              <w:top w:val="nil"/>
              <w:left w:val="nil"/>
              <w:bottom w:val="nil"/>
              <w:right w:val="nil"/>
            </w:tcBorders>
            <w:shd w:val="clear" w:color="auto" w:fill="auto"/>
            <w:noWrap/>
            <w:vAlign w:val="bottom"/>
            <w:hideMark/>
          </w:tcPr>
          <w:p w14:paraId="312DC128"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751" w:type="pct"/>
            <w:tcBorders>
              <w:top w:val="nil"/>
              <w:left w:val="nil"/>
              <w:bottom w:val="nil"/>
              <w:right w:val="nil"/>
            </w:tcBorders>
            <w:shd w:val="clear" w:color="auto" w:fill="auto"/>
            <w:noWrap/>
            <w:vAlign w:val="bottom"/>
            <w:hideMark/>
          </w:tcPr>
          <w:p w14:paraId="4357F359"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4.01</w:t>
            </w:r>
          </w:p>
        </w:tc>
        <w:tc>
          <w:tcPr>
            <w:tcW w:w="728" w:type="pct"/>
            <w:tcBorders>
              <w:top w:val="nil"/>
              <w:left w:val="nil"/>
              <w:bottom w:val="nil"/>
              <w:right w:val="nil"/>
            </w:tcBorders>
            <w:shd w:val="clear" w:color="auto" w:fill="auto"/>
            <w:noWrap/>
            <w:vAlign w:val="bottom"/>
            <w:hideMark/>
          </w:tcPr>
          <w:p w14:paraId="201F72AD"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1.50</w:t>
            </w:r>
          </w:p>
        </w:tc>
        <w:tc>
          <w:tcPr>
            <w:tcW w:w="751" w:type="pct"/>
            <w:tcBorders>
              <w:top w:val="nil"/>
              <w:left w:val="nil"/>
              <w:bottom w:val="nil"/>
              <w:right w:val="nil"/>
            </w:tcBorders>
            <w:shd w:val="clear" w:color="auto" w:fill="auto"/>
            <w:noWrap/>
            <w:vAlign w:val="bottom"/>
            <w:hideMark/>
          </w:tcPr>
          <w:p w14:paraId="717F2C6A"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5.12</w:t>
            </w:r>
          </w:p>
        </w:tc>
        <w:tc>
          <w:tcPr>
            <w:tcW w:w="728" w:type="pct"/>
            <w:tcBorders>
              <w:top w:val="nil"/>
              <w:left w:val="nil"/>
              <w:bottom w:val="nil"/>
              <w:right w:val="nil"/>
            </w:tcBorders>
            <w:shd w:val="clear" w:color="auto" w:fill="auto"/>
            <w:noWrap/>
            <w:vAlign w:val="bottom"/>
            <w:hideMark/>
          </w:tcPr>
          <w:p w14:paraId="36D7C8FB"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0.56</w:t>
            </w:r>
          </w:p>
        </w:tc>
        <w:tc>
          <w:tcPr>
            <w:tcW w:w="738" w:type="pct"/>
            <w:tcBorders>
              <w:top w:val="nil"/>
              <w:left w:val="nil"/>
              <w:bottom w:val="nil"/>
              <w:right w:val="nil"/>
            </w:tcBorders>
            <w:shd w:val="clear" w:color="auto" w:fill="auto"/>
            <w:noWrap/>
            <w:vAlign w:val="bottom"/>
            <w:hideMark/>
          </w:tcPr>
          <w:p w14:paraId="0F46235F" w14:textId="7A9E3F09"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b/>
                <w:bCs/>
                <w:color w:val="000000"/>
                <w:sz w:val="20"/>
                <w:szCs w:val="20"/>
                <w:lang w:eastAsia="en-US"/>
              </w:rPr>
              <w:t>0.041</w:t>
            </w:r>
            <w:r w:rsidRPr="00F07DEB">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vertAlign w:val="superscript"/>
                <w:lang w:eastAsia="en-US"/>
              </w:rPr>
              <w:t>c</w:t>
            </w:r>
          </w:p>
        </w:tc>
      </w:tr>
      <w:tr w:rsidR="001400C3" w:rsidRPr="00F07DEB" w14:paraId="3B737E8D" w14:textId="77777777" w:rsidTr="00E720F9">
        <w:trPr>
          <w:trHeight w:val="300"/>
        </w:trPr>
        <w:tc>
          <w:tcPr>
            <w:tcW w:w="1303" w:type="pct"/>
            <w:tcBorders>
              <w:top w:val="nil"/>
              <w:left w:val="nil"/>
              <w:bottom w:val="single" w:sz="8" w:space="0" w:color="auto"/>
              <w:right w:val="nil"/>
            </w:tcBorders>
            <w:shd w:val="clear" w:color="auto" w:fill="auto"/>
            <w:noWrap/>
            <w:vAlign w:val="bottom"/>
            <w:hideMark/>
          </w:tcPr>
          <w:p w14:paraId="5838543E" w14:textId="77777777" w:rsidR="001400C3" w:rsidRPr="00F07DEB" w:rsidRDefault="001400C3" w:rsidP="001400C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i/>
                <w:iCs/>
                <w:color w:val="000000"/>
                <w:sz w:val="20"/>
                <w:szCs w:val="20"/>
                <w:lang w:eastAsia="en-US"/>
              </w:rPr>
              <w:t>Total</w:t>
            </w:r>
          </w:p>
        </w:tc>
        <w:tc>
          <w:tcPr>
            <w:tcW w:w="751" w:type="pct"/>
            <w:tcBorders>
              <w:top w:val="nil"/>
              <w:left w:val="nil"/>
              <w:bottom w:val="single" w:sz="8" w:space="0" w:color="auto"/>
              <w:right w:val="nil"/>
            </w:tcBorders>
            <w:shd w:val="clear" w:color="auto" w:fill="auto"/>
            <w:noWrap/>
            <w:vAlign w:val="bottom"/>
            <w:hideMark/>
          </w:tcPr>
          <w:p w14:paraId="0404B27B"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14.98</w:t>
            </w:r>
          </w:p>
        </w:tc>
        <w:tc>
          <w:tcPr>
            <w:tcW w:w="728" w:type="pct"/>
            <w:tcBorders>
              <w:top w:val="nil"/>
              <w:left w:val="nil"/>
              <w:bottom w:val="single" w:sz="8" w:space="0" w:color="auto"/>
              <w:right w:val="nil"/>
            </w:tcBorders>
            <w:shd w:val="clear" w:color="auto" w:fill="auto"/>
            <w:noWrap/>
            <w:vAlign w:val="bottom"/>
            <w:hideMark/>
          </w:tcPr>
          <w:p w14:paraId="433FD800"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4.66</w:t>
            </w:r>
          </w:p>
        </w:tc>
        <w:tc>
          <w:tcPr>
            <w:tcW w:w="751" w:type="pct"/>
            <w:tcBorders>
              <w:top w:val="nil"/>
              <w:left w:val="nil"/>
              <w:bottom w:val="single" w:sz="8" w:space="0" w:color="auto"/>
              <w:right w:val="nil"/>
            </w:tcBorders>
            <w:shd w:val="clear" w:color="auto" w:fill="auto"/>
            <w:noWrap/>
            <w:vAlign w:val="bottom"/>
            <w:hideMark/>
          </w:tcPr>
          <w:p w14:paraId="034E3E23"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19.36</w:t>
            </w:r>
          </w:p>
        </w:tc>
        <w:tc>
          <w:tcPr>
            <w:tcW w:w="728" w:type="pct"/>
            <w:tcBorders>
              <w:top w:val="nil"/>
              <w:left w:val="nil"/>
              <w:bottom w:val="single" w:sz="8" w:space="0" w:color="auto"/>
              <w:right w:val="nil"/>
            </w:tcBorders>
            <w:shd w:val="clear" w:color="auto" w:fill="auto"/>
            <w:noWrap/>
            <w:vAlign w:val="bottom"/>
            <w:hideMark/>
          </w:tcPr>
          <w:p w14:paraId="6BB278CA" w14:textId="77777777"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2.15</w:t>
            </w:r>
          </w:p>
        </w:tc>
        <w:tc>
          <w:tcPr>
            <w:tcW w:w="738" w:type="pct"/>
            <w:tcBorders>
              <w:top w:val="nil"/>
              <w:left w:val="nil"/>
              <w:bottom w:val="single" w:sz="8" w:space="0" w:color="auto"/>
              <w:right w:val="nil"/>
            </w:tcBorders>
            <w:shd w:val="clear" w:color="auto" w:fill="auto"/>
            <w:noWrap/>
            <w:vAlign w:val="bottom"/>
            <w:hideMark/>
          </w:tcPr>
          <w:p w14:paraId="38D0C071" w14:textId="3E238C50" w:rsidR="001400C3" w:rsidRPr="00F07DEB" w:rsidRDefault="001400C3" w:rsidP="00E720F9">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0.063 </w:t>
            </w:r>
            <w:r w:rsidRPr="00F07DEB">
              <w:rPr>
                <w:rFonts w:ascii="Times New Roman" w:eastAsia="Times New Roman" w:hAnsi="Times New Roman" w:cs="Times New Roman"/>
                <w:color w:val="000000"/>
                <w:sz w:val="20"/>
                <w:szCs w:val="20"/>
                <w:vertAlign w:val="superscript"/>
                <w:lang w:eastAsia="en-US"/>
              </w:rPr>
              <w:t>a</w:t>
            </w:r>
          </w:p>
        </w:tc>
      </w:tr>
    </w:tbl>
    <w:p w14:paraId="7CFD5CE0" w14:textId="5BF428CE" w:rsidR="00E720F9" w:rsidRPr="00F07DEB" w:rsidRDefault="00E720F9" w:rsidP="00E720F9">
      <w:pPr>
        <w:spacing w:line="240" w:lineRule="auto"/>
        <w:rPr>
          <w:rFonts w:ascii="Times New Roman" w:hAnsi="Times New Roman" w:cs="Times New Roman"/>
          <w:sz w:val="20"/>
          <w:szCs w:val="20"/>
        </w:rPr>
      </w:pPr>
      <w:r w:rsidRPr="00F07DEB">
        <w:rPr>
          <w:rFonts w:ascii="Times New Roman" w:hAnsi="Times New Roman" w:cs="Times New Roman"/>
          <w:sz w:val="20"/>
          <w:szCs w:val="20"/>
        </w:rPr>
        <w:t xml:space="preserve">The type of two-tailed hypothesis test used to compare independent samples is indicated by the superscript: </w:t>
      </w:r>
      <w:proofErr w:type="spellStart"/>
      <w:r w:rsidRPr="00F07DEB">
        <w:rPr>
          <w:rFonts w:ascii="Times New Roman" w:hAnsi="Times New Roman" w:cs="Times New Roman"/>
          <w:sz w:val="20"/>
          <w:szCs w:val="20"/>
          <w:vertAlign w:val="superscript"/>
        </w:rPr>
        <w:t>a</w:t>
      </w:r>
      <w:r w:rsidRPr="00F07DEB">
        <w:rPr>
          <w:rFonts w:ascii="Times New Roman" w:hAnsi="Times New Roman" w:cs="Times New Roman"/>
          <w:sz w:val="20"/>
          <w:szCs w:val="20"/>
        </w:rPr>
        <w:t>Student's</w:t>
      </w:r>
      <w:proofErr w:type="spellEnd"/>
      <w:r w:rsidRPr="00F07DEB">
        <w:rPr>
          <w:rFonts w:ascii="Times New Roman" w:hAnsi="Times New Roman" w:cs="Times New Roman"/>
          <w:sz w:val="20"/>
          <w:szCs w:val="20"/>
        </w:rPr>
        <w:t xml:space="preserve"> t-test; </w:t>
      </w:r>
      <w:proofErr w:type="spellStart"/>
      <w:r w:rsidRPr="00F07DEB">
        <w:rPr>
          <w:rFonts w:ascii="Times New Roman" w:hAnsi="Times New Roman" w:cs="Times New Roman"/>
          <w:sz w:val="20"/>
          <w:szCs w:val="20"/>
          <w:vertAlign w:val="superscript"/>
        </w:rPr>
        <w:t>b</w:t>
      </w:r>
      <w:r w:rsidRPr="00F07DEB">
        <w:rPr>
          <w:rFonts w:ascii="Times New Roman" w:hAnsi="Times New Roman" w:cs="Times New Roman"/>
          <w:sz w:val="20"/>
          <w:szCs w:val="20"/>
        </w:rPr>
        <w:t>Welch's</w:t>
      </w:r>
      <w:proofErr w:type="spellEnd"/>
      <w:r w:rsidRPr="00F07DEB">
        <w:rPr>
          <w:rFonts w:ascii="Times New Roman" w:hAnsi="Times New Roman" w:cs="Times New Roman"/>
          <w:sz w:val="20"/>
          <w:szCs w:val="20"/>
        </w:rPr>
        <w:t xml:space="preserve"> t-test (unequal variances); </w:t>
      </w:r>
      <w:proofErr w:type="spellStart"/>
      <w:r w:rsidRPr="00F07DEB">
        <w:rPr>
          <w:rFonts w:ascii="Times New Roman" w:hAnsi="Times New Roman" w:cs="Times New Roman"/>
          <w:sz w:val="20"/>
          <w:szCs w:val="20"/>
          <w:vertAlign w:val="superscript"/>
        </w:rPr>
        <w:t>c</w:t>
      </w:r>
      <w:r w:rsidRPr="00F07DEB">
        <w:rPr>
          <w:rFonts w:ascii="Times New Roman" w:hAnsi="Times New Roman" w:cs="Times New Roman"/>
          <w:sz w:val="20"/>
          <w:szCs w:val="20"/>
        </w:rPr>
        <w:t>Mann</w:t>
      </w:r>
      <w:proofErr w:type="spellEnd"/>
      <w:r w:rsidRPr="00F07DEB">
        <w:rPr>
          <w:rFonts w:ascii="Times New Roman" w:hAnsi="Times New Roman" w:cs="Times New Roman"/>
          <w:sz w:val="20"/>
          <w:szCs w:val="20"/>
        </w:rPr>
        <w:t>-Whitney U test</w:t>
      </w:r>
      <w:r w:rsidR="001978AE" w:rsidRPr="00F07DEB">
        <w:rPr>
          <w:rFonts w:ascii="Times New Roman" w:hAnsi="Times New Roman" w:cs="Times New Roman"/>
          <w:sz w:val="20"/>
          <w:szCs w:val="20"/>
        </w:rPr>
        <w:t xml:space="preserve">. Significant </w:t>
      </w:r>
      <w:r w:rsidR="001978AE" w:rsidRPr="007B5610">
        <w:rPr>
          <w:rFonts w:ascii="Times New Roman" w:hAnsi="Times New Roman" w:cs="Times New Roman"/>
          <w:i/>
          <w:sz w:val="20"/>
          <w:szCs w:val="20"/>
        </w:rPr>
        <w:t>p</w:t>
      </w:r>
      <w:r w:rsidR="001978AE" w:rsidRPr="00F07DEB">
        <w:rPr>
          <w:rFonts w:ascii="Times New Roman" w:hAnsi="Times New Roman" w:cs="Times New Roman"/>
          <w:sz w:val="20"/>
          <w:szCs w:val="20"/>
        </w:rPr>
        <w:t>-values at a</w:t>
      </w:r>
      <w:r w:rsidRPr="00F07DEB">
        <w:rPr>
          <w:rFonts w:ascii="Times New Roman" w:hAnsi="Times New Roman" w:cs="Times New Roman"/>
          <w:sz w:val="20"/>
          <w:szCs w:val="20"/>
        </w:rPr>
        <w:t>lpha</w:t>
      </w:r>
      <w:r w:rsidR="001978AE" w:rsidRPr="00F07DEB">
        <w:rPr>
          <w:rFonts w:ascii="Times New Roman" w:hAnsi="Times New Roman" w:cs="Times New Roman"/>
          <w:sz w:val="20"/>
          <w:szCs w:val="20"/>
        </w:rPr>
        <w:t xml:space="preserve"> </w:t>
      </w:r>
      <w:r w:rsidRPr="00F07DEB">
        <w:rPr>
          <w:rFonts w:ascii="Times New Roman" w:hAnsi="Times New Roman" w:cs="Times New Roman"/>
          <w:sz w:val="20"/>
          <w:szCs w:val="20"/>
        </w:rPr>
        <w:t>=</w:t>
      </w:r>
      <w:r w:rsidR="001978AE" w:rsidRPr="00F07DEB">
        <w:rPr>
          <w:rFonts w:ascii="Times New Roman" w:hAnsi="Times New Roman" w:cs="Times New Roman"/>
          <w:sz w:val="20"/>
          <w:szCs w:val="20"/>
        </w:rPr>
        <w:t xml:space="preserve"> </w:t>
      </w:r>
      <w:r w:rsidRPr="00F07DEB">
        <w:rPr>
          <w:rFonts w:ascii="Times New Roman" w:hAnsi="Times New Roman" w:cs="Times New Roman"/>
          <w:sz w:val="20"/>
          <w:szCs w:val="20"/>
        </w:rPr>
        <w:t>0.05</w:t>
      </w:r>
      <w:r w:rsidR="001978AE" w:rsidRPr="00F07DEB">
        <w:rPr>
          <w:rFonts w:ascii="Times New Roman" w:hAnsi="Times New Roman" w:cs="Times New Roman"/>
          <w:sz w:val="20"/>
          <w:szCs w:val="20"/>
        </w:rPr>
        <w:t xml:space="preserve"> are bolded.</w:t>
      </w:r>
    </w:p>
    <w:p w14:paraId="6D311406" w14:textId="4FEB8DD0" w:rsidR="0044700D" w:rsidRPr="00F07DEB" w:rsidRDefault="0044700D" w:rsidP="0044700D">
      <w:pPr>
        <w:pStyle w:val="Heading3"/>
        <w:spacing w:line="480" w:lineRule="auto"/>
        <w:ind w:left="990"/>
      </w:pPr>
      <w:bookmarkStart w:id="121" w:name="_Toc58975176"/>
      <w:r w:rsidRPr="00F07DEB">
        <w:t>Plant Metal Uptake</w:t>
      </w:r>
      <w:bookmarkEnd w:id="121"/>
    </w:p>
    <w:p w14:paraId="401E9B0C" w14:textId="662CC3D5" w:rsidR="0044700D" w:rsidRPr="00565FDD" w:rsidRDefault="0044700D" w:rsidP="00CB51C1">
      <w:pPr>
        <w:spacing w:line="480" w:lineRule="auto"/>
        <w:ind w:firstLine="713"/>
        <w:rPr>
          <w:rFonts w:ascii="Times New Roman" w:hAnsi="Times New Roman" w:cs="Times New Roman"/>
          <w:sz w:val="24"/>
          <w:szCs w:val="24"/>
        </w:rPr>
      </w:pPr>
      <w:r w:rsidRPr="00F07DEB">
        <w:rPr>
          <w:rFonts w:ascii="Times New Roman" w:hAnsi="Times New Roman" w:cs="Times New Roman"/>
          <w:sz w:val="24"/>
          <w:szCs w:val="24"/>
        </w:rPr>
        <w:t xml:space="preserve">The effects of irrigation treatment on </w:t>
      </w:r>
      <w:r w:rsidR="00150F2B" w:rsidRPr="00F07DEB">
        <w:rPr>
          <w:rFonts w:ascii="Times New Roman" w:hAnsi="Times New Roman" w:cs="Times New Roman"/>
          <w:sz w:val="24"/>
          <w:szCs w:val="24"/>
        </w:rPr>
        <w:t xml:space="preserve">recoverable </w:t>
      </w:r>
      <w:r w:rsidR="009E15F2" w:rsidRPr="00F07DEB">
        <w:rPr>
          <w:rFonts w:ascii="Times New Roman" w:hAnsi="Times New Roman" w:cs="Times New Roman"/>
          <w:sz w:val="24"/>
          <w:szCs w:val="24"/>
        </w:rPr>
        <w:t>plant trace metal concentrations</w:t>
      </w:r>
      <w:r w:rsidRPr="00F07DEB">
        <w:rPr>
          <w:rFonts w:ascii="Times New Roman" w:hAnsi="Times New Roman" w:cs="Times New Roman"/>
          <w:sz w:val="24"/>
          <w:szCs w:val="24"/>
        </w:rPr>
        <w:t xml:space="preserve"> were evaluated </w:t>
      </w:r>
      <w:r w:rsidR="009E15F2" w:rsidRPr="00F07DEB">
        <w:rPr>
          <w:rFonts w:ascii="Times New Roman" w:hAnsi="Times New Roman" w:cs="Times New Roman"/>
          <w:sz w:val="24"/>
          <w:szCs w:val="24"/>
        </w:rPr>
        <w:t>with</w:t>
      </w:r>
      <w:r w:rsidR="007F7BF6" w:rsidRPr="00F07DEB">
        <w:rPr>
          <w:rFonts w:ascii="Times New Roman" w:hAnsi="Times New Roman" w:cs="Times New Roman"/>
          <w:sz w:val="24"/>
          <w:szCs w:val="24"/>
        </w:rPr>
        <w:t xml:space="preserve"> separate </w:t>
      </w:r>
      <w:r w:rsidRPr="00F07DEB">
        <w:rPr>
          <w:rFonts w:ascii="Times New Roman" w:hAnsi="Times New Roman" w:cs="Times New Roman"/>
          <w:sz w:val="24"/>
          <w:szCs w:val="24"/>
        </w:rPr>
        <w:t>two-way mixed ANOVA</w:t>
      </w:r>
      <w:r w:rsidR="007F7BF6" w:rsidRPr="00F07DEB">
        <w:rPr>
          <w:rFonts w:ascii="Times New Roman" w:hAnsi="Times New Roman" w:cs="Times New Roman"/>
          <w:sz w:val="24"/>
          <w:szCs w:val="24"/>
        </w:rPr>
        <w:t xml:space="preserve">s for </w:t>
      </w:r>
      <w:r w:rsidR="001328D9" w:rsidRPr="00F07DEB">
        <w:rPr>
          <w:rFonts w:ascii="Times New Roman" w:hAnsi="Times New Roman" w:cs="Times New Roman"/>
          <w:sz w:val="24"/>
          <w:szCs w:val="24"/>
        </w:rPr>
        <w:t>every combination of</w:t>
      </w:r>
      <w:r w:rsidR="007F7BF6" w:rsidRPr="00F07DEB">
        <w:rPr>
          <w:rFonts w:ascii="Times New Roman" w:hAnsi="Times New Roman" w:cs="Times New Roman"/>
          <w:sz w:val="24"/>
          <w:szCs w:val="24"/>
        </w:rPr>
        <w:t xml:space="preserve"> </w:t>
      </w:r>
      <w:r w:rsidR="001328D9" w:rsidRPr="00F07DEB">
        <w:rPr>
          <w:rFonts w:ascii="Times New Roman" w:hAnsi="Times New Roman" w:cs="Times New Roman"/>
          <w:sz w:val="24"/>
          <w:szCs w:val="24"/>
        </w:rPr>
        <w:t xml:space="preserve">plant species and </w:t>
      </w:r>
      <w:r w:rsidR="007F7BF6" w:rsidRPr="00F07DEB">
        <w:rPr>
          <w:rFonts w:ascii="Times New Roman" w:hAnsi="Times New Roman" w:cs="Times New Roman"/>
          <w:sz w:val="24"/>
          <w:szCs w:val="24"/>
        </w:rPr>
        <w:t>metal species</w:t>
      </w:r>
      <w:r w:rsidR="001328D9" w:rsidRPr="00F07DEB">
        <w:rPr>
          <w:rFonts w:ascii="Times New Roman" w:hAnsi="Times New Roman" w:cs="Times New Roman"/>
          <w:sz w:val="24"/>
          <w:szCs w:val="24"/>
        </w:rPr>
        <w:t xml:space="preserve"> excluding </w:t>
      </w:r>
      <w:r w:rsidR="009678A2">
        <w:rPr>
          <w:rFonts w:ascii="Times New Roman" w:hAnsi="Times New Roman" w:cs="Times New Roman"/>
          <w:sz w:val="24"/>
          <w:szCs w:val="24"/>
        </w:rPr>
        <w:t>Na</w:t>
      </w:r>
      <w:r w:rsidR="001328D9" w:rsidRPr="00F07DEB">
        <w:rPr>
          <w:rFonts w:ascii="Times New Roman" w:hAnsi="Times New Roman" w:cs="Times New Roman"/>
          <w:sz w:val="24"/>
          <w:szCs w:val="24"/>
        </w:rPr>
        <w:t>, which was not sufficiently measured in corn or sorghum to conduct this test.</w:t>
      </w:r>
      <w:r w:rsidRPr="00F07DEB">
        <w:rPr>
          <w:rFonts w:ascii="Times New Roman" w:hAnsi="Times New Roman" w:cs="Times New Roman"/>
          <w:sz w:val="24"/>
          <w:szCs w:val="24"/>
        </w:rPr>
        <w:t xml:space="preserve"> The between-subjects factor was irrigation treatment, the within-subjects factor was </w:t>
      </w:r>
      <w:r w:rsidR="007F7BF6" w:rsidRPr="00F07DEB">
        <w:rPr>
          <w:rFonts w:ascii="Times New Roman" w:hAnsi="Times New Roman" w:cs="Times New Roman"/>
          <w:sz w:val="24"/>
          <w:szCs w:val="24"/>
        </w:rPr>
        <w:t>plant structure</w:t>
      </w:r>
      <w:r w:rsidRPr="00F07DEB">
        <w:rPr>
          <w:rFonts w:ascii="Times New Roman" w:hAnsi="Times New Roman" w:cs="Times New Roman"/>
          <w:sz w:val="24"/>
          <w:szCs w:val="24"/>
        </w:rPr>
        <w:t>, and the continuous dependent variable</w:t>
      </w:r>
      <w:r w:rsidR="007F7BF6" w:rsidRPr="00F07DEB">
        <w:rPr>
          <w:rFonts w:ascii="Times New Roman" w:hAnsi="Times New Roman" w:cs="Times New Roman"/>
          <w:sz w:val="24"/>
          <w:szCs w:val="24"/>
        </w:rPr>
        <w:t xml:space="preserve"> was chemical concentration</w:t>
      </w:r>
      <w:r w:rsidRPr="00F07DEB">
        <w:rPr>
          <w:rFonts w:ascii="Times New Roman" w:hAnsi="Times New Roman" w:cs="Times New Roman"/>
          <w:sz w:val="24"/>
          <w:szCs w:val="24"/>
        </w:rPr>
        <w:t>. Conditions for running the two-way mixed ANOVA were evaluated separately for the between- and within-subjects groups. Normality of</w:t>
      </w:r>
      <w:r w:rsidR="00F54CC1">
        <w:rPr>
          <w:rFonts w:ascii="Times New Roman" w:hAnsi="Times New Roman" w:cs="Times New Roman"/>
          <w:sz w:val="24"/>
          <w:szCs w:val="24"/>
        </w:rPr>
        <w:t xml:space="preserve"> the data was established with b</w:t>
      </w:r>
      <w:r w:rsidRPr="00F07DEB">
        <w:rPr>
          <w:rFonts w:ascii="Times New Roman" w:hAnsi="Times New Roman" w:cs="Times New Roman"/>
          <w:sz w:val="24"/>
          <w:szCs w:val="24"/>
        </w:rPr>
        <w:t xml:space="preserve">oxplots and Q-Q plots of the </w:t>
      </w:r>
      <w:proofErr w:type="spellStart"/>
      <w:r w:rsidRPr="00F07DEB">
        <w:rPr>
          <w:rFonts w:ascii="Times New Roman" w:hAnsi="Times New Roman" w:cs="Times New Roman"/>
          <w:sz w:val="24"/>
          <w:szCs w:val="24"/>
        </w:rPr>
        <w:lastRenderedPageBreak/>
        <w:t>Studentized</w:t>
      </w:r>
      <w:proofErr w:type="spellEnd"/>
      <w:r w:rsidRPr="00F07DEB">
        <w:rPr>
          <w:rFonts w:ascii="Times New Roman" w:hAnsi="Times New Roman" w:cs="Times New Roman"/>
          <w:sz w:val="24"/>
          <w:szCs w:val="24"/>
        </w:rPr>
        <w:t xml:space="preserve"> residuals, although mixed ANOVAs are robust to violations of this assumption </w:t>
      </w:r>
      <w:r w:rsidRPr="00F07DEB">
        <w:rPr>
          <w:rFonts w:ascii="Times New Roman" w:hAnsi="Times New Roman" w:cs="Times New Roman"/>
          <w:sz w:val="24"/>
          <w:szCs w:val="24"/>
        </w:rPr>
        <w:fldChar w:fldCharType="begin"/>
      </w:r>
      <w:r w:rsidR="00883624" w:rsidRPr="00F07DEB">
        <w:rPr>
          <w:rFonts w:ascii="Times New Roman" w:hAnsi="Times New Roman" w:cs="Times New Roman"/>
          <w:sz w:val="24"/>
          <w:szCs w:val="24"/>
        </w:rPr>
        <w:instrText xml:space="preserve"> ADDIN ZOTERO_ITEM CSL_CITATION {"citationID":"az7NxOol","properties":{"formattedCitation":"(Laerd Statistics, 2018)","plainCitation":"(Laerd Statistics, 2018)","noteIndex":0},"citationItems":[{"id":836,"uris":["http://zotero.org/users/5446453/items/8I29X2VJ"],"uri":["http://zotero.org/users/5446453/items/8I29X2VJ"],"itemData":{"id":836,"type":"webpage","container-title":"Laerd Statistics","title":"How to perform a Mixed ANOVA in SPSS Statistics","URL":"https://statistics.laerd.com/spss-tutorials/mixed-anova-using-spss-statistics.php","author":[{"literal":"Laerd Statistics"}],"accessed":{"date-parts":[["2020",11,12]]},"issued":{"date-parts":[["2018"]]}}}],"schema":"https://github.com/citation-style-language/schema/raw/master/csl-citation.json"} </w:instrText>
      </w:r>
      <w:r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(Laerd Statistics, 2018)</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Homoscedasticity was established with a non-significant </w:t>
      </w:r>
      <w:r w:rsidR="007B463F">
        <w:rPr>
          <w:rFonts w:ascii="Times New Roman" w:hAnsi="Times New Roman" w:cs="Times New Roman"/>
          <w:sz w:val="24"/>
          <w:szCs w:val="24"/>
        </w:rPr>
        <w:t>(</w:t>
      </w:r>
      <w:r w:rsidR="007B463F" w:rsidRPr="00204C13">
        <w:rPr>
          <w:rFonts w:ascii="Times New Roman" w:hAnsi="Times New Roman" w:cs="Times New Roman"/>
          <w:i/>
          <w:sz w:val="24"/>
          <w:szCs w:val="24"/>
        </w:rPr>
        <w:t>p</w:t>
      </w:r>
      <w:r w:rsidR="007B463F">
        <w:rPr>
          <w:rFonts w:ascii="Times New Roman" w:hAnsi="Times New Roman" w:cs="Times New Roman"/>
          <w:sz w:val="24"/>
          <w:szCs w:val="24"/>
        </w:rPr>
        <w:t xml:space="preserve"> ≤</w:t>
      </w:r>
      <w:r w:rsidRPr="00F07DEB">
        <w:rPr>
          <w:rFonts w:ascii="Times New Roman" w:hAnsi="Times New Roman" w:cs="Times New Roman"/>
          <w:sz w:val="24"/>
          <w:szCs w:val="24"/>
        </w:rPr>
        <w:t xml:space="preserve"> 0.05) result from </w:t>
      </w:r>
      <w:proofErr w:type="spellStart"/>
      <w:r w:rsidRPr="00F07DEB">
        <w:rPr>
          <w:rFonts w:ascii="Times New Roman" w:hAnsi="Times New Roman" w:cs="Times New Roman"/>
          <w:sz w:val="24"/>
          <w:szCs w:val="24"/>
        </w:rPr>
        <w:t>Levene’s</w:t>
      </w:r>
      <w:proofErr w:type="spellEnd"/>
      <w:r w:rsidRPr="00F07DEB">
        <w:rPr>
          <w:rFonts w:ascii="Times New Roman" w:hAnsi="Times New Roman" w:cs="Times New Roman"/>
          <w:sz w:val="24"/>
          <w:szCs w:val="24"/>
        </w:rPr>
        <w:t xml:space="preserve"> test for homogeneity of error variances for each group of between-subjects and within-subjects </w:t>
      </w:r>
      <w:r w:rsidRPr="00565FDD">
        <w:rPr>
          <w:rFonts w:ascii="Times New Roman" w:hAnsi="Times New Roman" w:cs="Times New Roman"/>
          <w:sz w:val="24"/>
          <w:szCs w:val="24"/>
        </w:rPr>
        <w:t>factors (e.g.,</w:t>
      </w:r>
      <w:r w:rsidR="001251AC" w:rsidRPr="00565FDD">
        <w:rPr>
          <w:rFonts w:ascii="Times New Roman" w:hAnsi="Times New Roman" w:cs="Times New Roman"/>
          <w:sz w:val="24"/>
          <w:szCs w:val="24"/>
        </w:rPr>
        <w:t xml:space="preserve"> ground</w:t>
      </w:r>
      <w:r w:rsidRPr="00565FDD">
        <w:rPr>
          <w:rFonts w:ascii="Times New Roman" w:hAnsi="Times New Roman" w:cs="Times New Roman"/>
          <w:sz w:val="24"/>
          <w:szCs w:val="24"/>
        </w:rPr>
        <w:t xml:space="preserve">water-irrigated plants, </w:t>
      </w:r>
      <w:r w:rsidR="001251AC" w:rsidRPr="00565FDD">
        <w:rPr>
          <w:rFonts w:ascii="Times New Roman" w:hAnsi="Times New Roman" w:cs="Times New Roman"/>
          <w:sz w:val="24"/>
          <w:szCs w:val="24"/>
        </w:rPr>
        <w:t>the grain portion of all sorghum plants</w:t>
      </w:r>
      <w:r w:rsidRPr="00565FDD">
        <w:rPr>
          <w:rFonts w:ascii="Times New Roman" w:hAnsi="Times New Roman" w:cs="Times New Roman"/>
          <w:sz w:val="24"/>
          <w:szCs w:val="24"/>
        </w:rPr>
        <w:t xml:space="preserve">). </w:t>
      </w:r>
      <w:proofErr w:type="spellStart"/>
      <w:r w:rsidRPr="00565FDD">
        <w:rPr>
          <w:rFonts w:ascii="Times New Roman" w:hAnsi="Times New Roman" w:cs="Times New Roman"/>
          <w:sz w:val="24"/>
          <w:szCs w:val="24"/>
        </w:rPr>
        <w:t>Sphericity</w:t>
      </w:r>
      <w:proofErr w:type="spellEnd"/>
      <w:r w:rsidRPr="00565FDD">
        <w:rPr>
          <w:rFonts w:ascii="Times New Roman" w:hAnsi="Times New Roman" w:cs="Times New Roman"/>
          <w:sz w:val="24"/>
          <w:szCs w:val="24"/>
        </w:rPr>
        <w:t xml:space="preserve">, or homogeneity of variances of the differences between within-subjects groups, was assessed with </w:t>
      </w:r>
      <w:proofErr w:type="spellStart"/>
      <w:r w:rsidRPr="00565FDD">
        <w:rPr>
          <w:rFonts w:ascii="Times New Roman" w:hAnsi="Times New Roman" w:cs="Times New Roman"/>
          <w:sz w:val="24"/>
          <w:szCs w:val="24"/>
        </w:rPr>
        <w:t>Mauchly’s</w:t>
      </w:r>
      <w:proofErr w:type="spellEnd"/>
      <w:r w:rsidRPr="00565FDD">
        <w:rPr>
          <w:rFonts w:ascii="Times New Roman" w:hAnsi="Times New Roman" w:cs="Times New Roman"/>
          <w:sz w:val="24"/>
          <w:szCs w:val="24"/>
        </w:rPr>
        <w:t xml:space="preserve"> test of </w:t>
      </w:r>
      <w:proofErr w:type="spellStart"/>
      <w:r w:rsidRPr="00565FDD">
        <w:rPr>
          <w:rFonts w:ascii="Times New Roman" w:hAnsi="Times New Roman" w:cs="Times New Roman"/>
          <w:sz w:val="24"/>
          <w:szCs w:val="24"/>
        </w:rPr>
        <w:t>sphericity</w:t>
      </w:r>
      <w:proofErr w:type="spellEnd"/>
      <w:r w:rsidRPr="00565FDD">
        <w:rPr>
          <w:rFonts w:ascii="Times New Roman" w:hAnsi="Times New Roman" w:cs="Times New Roman"/>
          <w:sz w:val="24"/>
          <w:szCs w:val="24"/>
        </w:rPr>
        <w:t xml:space="preserve"> and the Greenhouse-</w:t>
      </w:r>
      <w:proofErr w:type="spellStart"/>
      <w:r w:rsidRPr="00565FDD">
        <w:rPr>
          <w:rFonts w:ascii="Times New Roman" w:hAnsi="Times New Roman" w:cs="Times New Roman"/>
          <w:sz w:val="24"/>
          <w:szCs w:val="24"/>
        </w:rPr>
        <w:t>Geisser</w:t>
      </w:r>
      <w:proofErr w:type="spellEnd"/>
      <w:r w:rsidRPr="00565FDD">
        <w:rPr>
          <w:rFonts w:ascii="Times New Roman" w:hAnsi="Times New Roman" w:cs="Times New Roman"/>
          <w:sz w:val="24"/>
          <w:szCs w:val="24"/>
        </w:rPr>
        <w:t xml:space="preserve"> (GG) epsilon. In the event of a significant result </w:t>
      </w:r>
      <w:r w:rsidR="007B463F" w:rsidRPr="00565FDD">
        <w:rPr>
          <w:rFonts w:ascii="Times New Roman" w:hAnsi="Times New Roman" w:cs="Times New Roman"/>
          <w:sz w:val="24"/>
          <w:szCs w:val="24"/>
        </w:rPr>
        <w:t>(</w:t>
      </w:r>
      <w:r w:rsidR="007B463F" w:rsidRPr="00565FDD">
        <w:rPr>
          <w:rFonts w:ascii="Times New Roman" w:hAnsi="Times New Roman" w:cs="Times New Roman"/>
          <w:i/>
          <w:sz w:val="24"/>
          <w:szCs w:val="24"/>
        </w:rPr>
        <w:t>p</w:t>
      </w:r>
      <w:r w:rsidR="007B463F" w:rsidRPr="00565FDD">
        <w:rPr>
          <w:rFonts w:ascii="Times New Roman" w:hAnsi="Times New Roman" w:cs="Times New Roman"/>
          <w:sz w:val="24"/>
          <w:szCs w:val="24"/>
        </w:rPr>
        <w:t xml:space="preserve"> ≤</w:t>
      </w:r>
      <w:r w:rsidRPr="00565FDD">
        <w:rPr>
          <w:rFonts w:ascii="Times New Roman" w:hAnsi="Times New Roman" w:cs="Times New Roman"/>
          <w:sz w:val="24"/>
          <w:szCs w:val="24"/>
        </w:rPr>
        <w:t xml:space="preserve"> 0.05) or a non-significant result but a GG epsilon below 0.75, the GG correction was applied to the within-subjects and interaction main effects to reduce their degrees of freedom and conservatively compensate for potential violations of </w:t>
      </w:r>
      <w:proofErr w:type="spellStart"/>
      <w:r w:rsidRPr="00565FDD">
        <w:rPr>
          <w:rFonts w:ascii="Times New Roman" w:hAnsi="Times New Roman" w:cs="Times New Roman"/>
          <w:sz w:val="24"/>
          <w:szCs w:val="24"/>
        </w:rPr>
        <w:t>sphericity</w:t>
      </w:r>
      <w:proofErr w:type="spellEnd"/>
      <w:r w:rsidRPr="00565FDD">
        <w:rPr>
          <w:rFonts w:ascii="Times New Roman" w:hAnsi="Times New Roman" w:cs="Times New Roman"/>
          <w:sz w:val="24"/>
          <w:szCs w:val="24"/>
        </w:rPr>
        <w:t xml:space="preserve"> </w:t>
      </w:r>
      <w:r w:rsidRPr="00565FDD">
        <w:rPr>
          <w:rFonts w:ascii="Times New Roman" w:hAnsi="Times New Roman" w:cs="Times New Roman"/>
          <w:sz w:val="24"/>
          <w:szCs w:val="24"/>
        </w:rPr>
        <w:fldChar w:fldCharType="begin"/>
      </w:r>
      <w:r w:rsidR="00883624" w:rsidRPr="00565FDD">
        <w:rPr>
          <w:rFonts w:ascii="Times New Roman" w:hAnsi="Times New Roman" w:cs="Times New Roman"/>
          <w:sz w:val="24"/>
          <w:szCs w:val="24"/>
        </w:rPr>
        <w:instrText xml:space="preserve"> ADDIN ZOTERO_ITEM CSL_CITATION {"citationID":"OEcTUVjR","properties":{"formattedCitation":"(Frey et al., 2018; NAU, 2012)","plainCitation":"(Frey et al., 2018; NAU, 2012)","noteIndex":0},"citationItems":[{"id":835,"uris":["http://zotero.org/users/5446453/items/WRAJ73UJ"],"uri":["http://zotero.org/users/5446453/items/WRAJ73UJ"],"itemData":{"id":835,"type":"chapter","container-title":"The SAGE Encyclopedia of Educational Research, Measurement, and Evaluation","event-place":"2455 Teller Road, Thousand Oaks, California 91320","ISBN":"978-1-5063-2615-3","language":"en","note":"DOI: 10.4135/9781506326139","page":"1075-1078","publisher":"SAGE Publications, Inc.","publisher-place":"2455 Teller Road, Thousand Oaks, California 91320","source":"DOI.org (Crossref)","title":"Mixed Model Analysis of Variance","URL":"https://methods.sagepub.com/reference/the-sage-encyclopedia-of-educational-research-measurement-and-evaluation","author":[{"family":"Frey","given":"Bruce B."},{"family":"Murrar","given":"Sohad"},{"family":"Brauer","given":"Markus"}],"accessed":{"date-parts":[["2020",11,12]]},"issued":{"date-parts":[["2018"]]}}},{"id":831,"uris":["http://zotero.org/users/5446453/items/KN5DMG42"],"uri":["http://zotero.org/users/5446453/items/KN5DMG42"],"itemData":{"id":831,"type":"webpage","container-title":"Northern Arizona University Oak","title":"Sphericity in repeated measures analysis of variance","URL":"http://oak.ucc.nau.edu/rh232/courses/EPS625/Handouts/RM-ANOVA/Sphericity.pdf","author":[{"literal":"NAU"}],"issued":{"date-parts":[["2012"]]}}}],"schema":"https://github.com/citation-style-language/schema/raw/master/csl-citation.json"} </w:instrText>
      </w:r>
      <w:r w:rsidRPr="00565FDD">
        <w:rPr>
          <w:rFonts w:ascii="Times New Roman" w:hAnsi="Times New Roman" w:cs="Times New Roman"/>
          <w:sz w:val="24"/>
          <w:szCs w:val="24"/>
        </w:rPr>
        <w:fldChar w:fldCharType="separate"/>
      </w:r>
      <w:r w:rsidR="00234033" w:rsidRPr="00565FDD">
        <w:rPr>
          <w:rFonts w:ascii="Times New Roman" w:hAnsi="Times New Roman" w:cs="Times New Roman"/>
          <w:sz w:val="24"/>
        </w:rPr>
        <w:t>(Frey et al., 2018; NAU, 2012)</w:t>
      </w:r>
      <w:r w:rsidRPr="00565FDD">
        <w:rPr>
          <w:rFonts w:ascii="Times New Roman" w:hAnsi="Times New Roman" w:cs="Times New Roman"/>
          <w:sz w:val="24"/>
          <w:szCs w:val="24"/>
        </w:rPr>
        <w:fldChar w:fldCharType="end"/>
      </w:r>
      <w:r w:rsidRPr="00565FDD">
        <w:rPr>
          <w:rFonts w:ascii="Times New Roman" w:hAnsi="Times New Roman" w:cs="Times New Roman"/>
          <w:sz w:val="24"/>
          <w:szCs w:val="24"/>
        </w:rPr>
        <w:t>.</w:t>
      </w:r>
      <w:r w:rsidR="001251AC" w:rsidRPr="00565FDD">
        <w:rPr>
          <w:rFonts w:ascii="Times New Roman" w:hAnsi="Times New Roman" w:cs="Times New Roman"/>
          <w:sz w:val="24"/>
          <w:szCs w:val="24"/>
        </w:rPr>
        <w:t xml:space="preserve"> Cook’s distance was calculated for every sample to identify outliers that might be influencing the model. Samples that produced Cook’s D values greater than 0.5 were removed and the </w:t>
      </w:r>
      <w:r w:rsidR="00CB51C1" w:rsidRPr="00565FDD">
        <w:rPr>
          <w:rFonts w:ascii="Times New Roman" w:hAnsi="Times New Roman" w:cs="Times New Roman"/>
          <w:sz w:val="24"/>
          <w:szCs w:val="24"/>
        </w:rPr>
        <w:t xml:space="preserve">mixed </w:t>
      </w:r>
      <w:r w:rsidR="001251AC" w:rsidRPr="00565FDD">
        <w:rPr>
          <w:rFonts w:ascii="Times New Roman" w:hAnsi="Times New Roman" w:cs="Times New Roman"/>
          <w:sz w:val="24"/>
          <w:szCs w:val="24"/>
        </w:rPr>
        <w:t xml:space="preserve">ANOVA was rerun. </w:t>
      </w:r>
      <w:r w:rsidR="00CB51C1" w:rsidRPr="00565FDD">
        <w:rPr>
          <w:rFonts w:ascii="Times New Roman" w:hAnsi="Times New Roman" w:cs="Times New Roman"/>
          <w:sz w:val="24"/>
          <w:szCs w:val="24"/>
        </w:rPr>
        <w:t xml:space="preserve">While heterogeneity of population variance-covariance matrices is not a concern in mixed ANOVAs with equal sample sizes, removing samples can create unbalanced models in which heterogeneity could be problematic </w:t>
      </w:r>
      <w:r w:rsidR="00CB51C1" w:rsidRPr="00565FDD">
        <w:rPr>
          <w:rFonts w:ascii="Times New Roman" w:hAnsi="Times New Roman" w:cs="Times New Roman"/>
          <w:sz w:val="24"/>
          <w:szCs w:val="24"/>
        </w:rPr>
        <w:fldChar w:fldCharType="begin"/>
      </w:r>
      <w:r w:rsidR="00CB51C1" w:rsidRPr="00565FDD">
        <w:rPr>
          <w:rFonts w:ascii="Times New Roman" w:hAnsi="Times New Roman" w:cs="Times New Roman"/>
          <w:sz w:val="24"/>
          <w:szCs w:val="24"/>
        </w:rPr>
        <w:instrText xml:space="preserve"> ADDIN ZOTERO_ITEM CSL_CITATION {"citationID":"56vsmIu2","properties":{"formattedCitation":"(Nimon, 2012)","plainCitation":"(Nimon, 2012)","noteIndex":0},"citationItems":[{"id":848,"uris":["http://zotero.org/users/5446453/items/MNQ2AZG5"],"uri":["http://zotero.org/users/5446453/items/MNQ2AZG5"],"itemData":{"id":848,"type":"article-journal","abstract":"The validity of inferences drawn from statistical test results depends on how well data meet associated assumptions. Yet, research (e.g., Hoekstra et al., ) indicates that such assumptions are rarely reported in literature and that some researchers might be unfamiliar with the techniques and remedies that are pertinent to the statistical tests they conduct. This article seeks to support researchers by concisely reviewing key statistical assumptions associated with substantive statistical tests across the general linear model. Additionally, the article reviews techniques to check for statistical assumptions and identifies remedies and problems if data do not meet the necessary assumptions.","container-title":"Frontiers in Psychology","DOI":"10.3389/fpsyg.2012.00322","ISSN":"1664-1078","journalAbbreviation":"Front Psychol","note":"PMID: 22973253\nPMCID: PMC3428812","source":"PubMed Central","title":"Statistical Assumptions of Substantive Analyses Across the General Linear Model: A Mini-Review","title-short":"Statistical Assumptions of Substantive Analyses Across the General Linear Model","URL":"https://www.ncbi.nlm.nih.gov/pmc/articles/PMC3428812/","volume":"3","author":[{"family":"Nimon","given":"Kim F."}],"accessed":{"date-parts":[["2020",11,13]]},"issued":{"date-parts":[["2012",8,28]]}}}],"schema":"https://github.com/citation-style-language/schema/raw/master/csl-citation.json"} </w:instrText>
      </w:r>
      <w:r w:rsidR="00CB51C1" w:rsidRPr="00565FDD">
        <w:rPr>
          <w:rFonts w:ascii="Times New Roman" w:hAnsi="Times New Roman" w:cs="Times New Roman"/>
          <w:sz w:val="24"/>
          <w:szCs w:val="24"/>
        </w:rPr>
        <w:fldChar w:fldCharType="separate"/>
      </w:r>
      <w:r w:rsidR="00234033" w:rsidRPr="00565FDD">
        <w:rPr>
          <w:rFonts w:ascii="Times New Roman" w:hAnsi="Times New Roman" w:cs="Times New Roman"/>
          <w:sz w:val="24"/>
        </w:rPr>
        <w:t>(Nimon, 2012)</w:t>
      </w:r>
      <w:r w:rsidR="00CB51C1" w:rsidRPr="00565FDD">
        <w:rPr>
          <w:rFonts w:ascii="Times New Roman" w:hAnsi="Times New Roman" w:cs="Times New Roman"/>
          <w:sz w:val="24"/>
          <w:szCs w:val="24"/>
        </w:rPr>
        <w:fldChar w:fldCharType="end"/>
      </w:r>
      <w:r w:rsidR="00CB51C1" w:rsidRPr="00565FDD">
        <w:rPr>
          <w:rFonts w:ascii="Times New Roman" w:hAnsi="Times New Roman" w:cs="Times New Roman"/>
          <w:sz w:val="24"/>
          <w:szCs w:val="24"/>
        </w:rPr>
        <w:t>. After potential outliers were removed and ANOVA was rerun, Box’s M test was consulted; homogeneity of variance-covariance matrices could be assumed when p &gt; 0.001</w:t>
      </w:r>
      <w:r w:rsidR="005B7305" w:rsidRPr="00565FDD">
        <w:rPr>
          <w:rFonts w:ascii="Times New Roman" w:hAnsi="Times New Roman" w:cs="Times New Roman"/>
          <w:sz w:val="24"/>
          <w:szCs w:val="24"/>
        </w:rPr>
        <w:t xml:space="preserve"> </w:t>
      </w:r>
      <w:r w:rsidR="005B7305" w:rsidRPr="00565FDD">
        <w:rPr>
          <w:rFonts w:ascii="Times New Roman" w:hAnsi="Times New Roman" w:cs="Times New Roman"/>
          <w:sz w:val="24"/>
          <w:szCs w:val="24"/>
        </w:rPr>
        <w:fldChar w:fldCharType="begin"/>
      </w:r>
      <w:r w:rsidR="005B7305" w:rsidRPr="00565FDD">
        <w:rPr>
          <w:rFonts w:ascii="Times New Roman" w:hAnsi="Times New Roman" w:cs="Times New Roman"/>
          <w:sz w:val="24"/>
          <w:szCs w:val="24"/>
        </w:rPr>
        <w:instrText xml:space="preserve"> ADDIN ZOTERO_ITEM CSL_CITATION {"citationID":"EZoNIjy0","properties":{"formattedCitation":"(Nimon, 2012)","plainCitation":"(Nimon, 2012)","noteIndex":0},"citationItems":[{"id":848,"uris":["http://zotero.org/users/5446453/items/MNQ2AZG5"],"uri":["http://zotero.org/users/5446453/items/MNQ2AZG5"],"itemData":{"id":848,"type":"article-journal","abstract":"The validity of inferences drawn from statistical test results depends on how well data meet associated assumptions. Yet, research (e.g., Hoekstra et al., ) indicates that such assumptions are rarely reported in literature and that some researchers might be unfamiliar with the techniques and remedies that are pertinent to the statistical tests they conduct. This article seeks to support researchers by concisely reviewing key statistical assumptions associated with substantive statistical tests across the general linear model. Additionally, the article reviews techniques to check for statistical assumptions and identifies remedies and problems if data do not meet the necessary assumptions.","container-title":"Frontiers in Psychology","DOI":"10.3389/fpsyg.2012.00322","ISSN":"1664-1078","journalAbbreviation":"Front Psychol","note":"PMID: 22973253\nPMCID: PMC3428812","source":"PubMed Central","title":"Statistical Assumptions of Substantive Analyses Across the General Linear Model: A Mini-Review","title-short":"Statistical Assumptions of Substantive Analyses Across the General Linear Model","URL":"https://www.ncbi.nlm.nih.gov/pmc/articles/PMC3428812/","volume":"3","author":[{"family":"Nimon","given":"Kim F."}],"accessed":{"date-parts":[["2020",11,13]]},"issued":{"date-parts":[["2012",8,28]]}}}],"schema":"https://github.com/citation-style-language/schema/raw/master/csl-citation.json"} </w:instrText>
      </w:r>
      <w:r w:rsidR="005B7305" w:rsidRPr="00565FDD">
        <w:rPr>
          <w:rFonts w:ascii="Times New Roman" w:hAnsi="Times New Roman" w:cs="Times New Roman"/>
          <w:sz w:val="24"/>
          <w:szCs w:val="24"/>
        </w:rPr>
        <w:fldChar w:fldCharType="separate"/>
      </w:r>
      <w:r w:rsidR="00234033" w:rsidRPr="00565FDD">
        <w:rPr>
          <w:rFonts w:ascii="Times New Roman" w:hAnsi="Times New Roman" w:cs="Times New Roman"/>
          <w:sz w:val="24"/>
        </w:rPr>
        <w:t>(Nimon, 2012)</w:t>
      </w:r>
      <w:r w:rsidR="005B7305" w:rsidRPr="00565FDD">
        <w:rPr>
          <w:rFonts w:ascii="Times New Roman" w:hAnsi="Times New Roman" w:cs="Times New Roman"/>
          <w:sz w:val="24"/>
          <w:szCs w:val="24"/>
        </w:rPr>
        <w:fldChar w:fldCharType="end"/>
      </w:r>
      <w:r w:rsidR="00CB51C1" w:rsidRPr="00565FDD">
        <w:rPr>
          <w:rFonts w:ascii="Times New Roman" w:hAnsi="Times New Roman" w:cs="Times New Roman"/>
          <w:sz w:val="24"/>
          <w:szCs w:val="24"/>
        </w:rPr>
        <w:t xml:space="preserve">. </w:t>
      </w:r>
      <w:r w:rsidR="005B7305" w:rsidRPr="00565FDD">
        <w:rPr>
          <w:rFonts w:ascii="Times New Roman" w:hAnsi="Times New Roman" w:cs="Times New Roman"/>
          <w:sz w:val="24"/>
          <w:szCs w:val="24"/>
        </w:rPr>
        <w:t xml:space="preserve">If removing possible outliers did not change the significance of either main effect or the interaction effect, then these observations were retained. If removing outliers changed the significance of either main effect or </w:t>
      </w:r>
      <w:r w:rsidR="001328D9" w:rsidRPr="00565FDD">
        <w:rPr>
          <w:rFonts w:ascii="Times New Roman" w:hAnsi="Times New Roman" w:cs="Times New Roman"/>
          <w:sz w:val="24"/>
          <w:szCs w:val="24"/>
        </w:rPr>
        <w:t>the interaction effect, the data</w:t>
      </w:r>
      <w:r w:rsidR="005B7305" w:rsidRPr="00565FDD">
        <w:rPr>
          <w:rFonts w:ascii="Times New Roman" w:hAnsi="Times New Roman" w:cs="Times New Roman"/>
          <w:sz w:val="24"/>
          <w:szCs w:val="24"/>
        </w:rPr>
        <w:t xml:space="preserve"> were log-transformed </w:t>
      </w:r>
      <w:r w:rsidR="001328D9" w:rsidRPr="00565FDD">
        <w:rPr>
          <w:rFonts w:ascii="Times New Roman" w:hAnsi="Times New Roman" w:cs="Times New Roman"/>
          <w:sz w:val="24"/>
          <w:szCs w:val="24"/>
        </w:rPr>
        <w:t>and the mixed ANOVA was rerun with the transformed values.</w:t>
      </w:r>
    </w:p>
    <w:p w14:paraId="52BF1526" w14:textId="645D874F" w:rsidR="001E534A" w:rsidRPr="00F07DEB" w:rsidRDefault="0044700D" w:rsidP="001328D9">
      <w:pPr>
        <w:spacing w:line="480" w:lineRule="auto"/>
        <w:ind w:firstLine="713"/>
        <w:rPr>
          <w:rFonts w:ascii="Times New Roman" w:hAnsi="Times New Roman" w:cs="Times New Roman"/>
          <w:sz w:val="24"/>
          <w:szCs w:val="24"/>
        </w:rPr>
      </w:pPr>
      <w:r w:rsidRPr="00565FDD">
        <w:rPr>
          <w:rFonts w:ascii="Times New Roman" w:hAnsi="Times New Roman" w:cs="Times New Roman"/>
          <w:sz w:val="24"/>
          <w:szCs w:val="24"/>
        </w:rPr>
        <w:t>After assumptions were verified, the mixed ANOVA tested the between-subjects (BS) main effect, the within-subjects (WS) main effect, and the interaction effect</w:t>
      </w:r>
      <w:r w:rsidR="00883783" w:rsidRPr="00565FDD">
        <w:rPr>
          <w:rFonts w:ascii="Times New Roman" w:hAnsi="Times New Roman" w:cs="Times New Roman"/>
          <w:sz w:val="24"/>
          <w:szCs w:val="24"/>
        </w:rPr>
        <w:t>.</w:t>
      </w:r>
      <w:r w:rsidRPr="00565FDD">
        <w:rPr>
          <w:rFonts w:ascii="Times New Roman" w:hAnsi="Times New Roman" w:cs="Times New Roman"/>
          <w:sz w:val="24"/>
          <w:szCs w:val="24"/>
        </w:rPr>
        <w:t xml:space="preserve"> In the context of plant </w:t>
      </w:r>
      <w:r w:rsidR="001328D9" w:rsidRPr="00565FDD">
        <w:rPr>
          <w:rFonts w:ascii="Times New Roman" w:hAnsi="Times New Roman" w:cs="Times New Roman"/>
          <w:sz w:val="24"/>
          <w:szCs w:val="24"/>
        </w:rPr>
        <w:t>trace metal uptake</w:t>
      </w:r>
      <w:r w:rsidRPr="00565FDD">
        <w:rPr>
          <w:rFonts w:ascii="Times New Roman" w:hAnsi="Times New Roman" w:cs="Times New Roman"/>
          <w:sz w:val="24"/>
          <w:szCs w:val="24"/>
        </w:rPr>
        <w:t>, these main effects can be restated as (BS) t</w:t>
      </w:r>
      <w:r w:rsidR="001328D9" w:rsidRPr="00565FDD">
        <w:rPr>
          <w:rFonts w:ascii="Times New Roman" w:hAnsi="Times New Roman" w:cs="Times New Roman"/>
          <w:sz w:val="24"/>
          <w:szCs w:val="24"/>
        </w:rPr>
        <w:t xml:space="preserve">he difference in metal </w:t>
      </w:r>
      <w:r w:rsidR="001328D9" w:rsidRPr="00565FDD">
        <w:rPr>
          <w:rFonts w:ascii="Times New Roman" w:hAnsi="Times New Roman" w:cs="Times New Roman"/>
          <w:sz w:val="24"/>
          <w:szCs w:val="24"/>
        </w:rPr>
        <w:lastRenderedPageBreak/>
        <w:t>concentration between</w:t>
      </w:r>
      <w:r w:rsidRPr="00565FDD">
        <w:rPr>
          <w:rFonts w:ascii="Times New Roman" w:hAnsi="Times New Roman" w:cs="Times New Roman"/>
          <w:sz w:val="24"/>
          <w:szCs w:val="24"/>
        </w:rPr>
        <w:t xml:space="preserve"> treatment</w:t>
      </w:r>
      <w:r w:rsidR="001328D9" w:rsidRPr="00565FDD">
        <w:rPr>
          <w:rFonts w:ascii="Times New Roman" w:hAnsi="Times New Roman" w:cs="Times New Roman"/>
          <w:sz w:val="24"/>
          <w:szCs w:val="24"/>
        </w:rPr>
        <w:t>s</w:t>
      </w:r>
      <w:r w:rsidRPr="00565FDD">
        <w:rPr>
          <w:rFonts w:ascii="Times New Roman" w:hAnsi="Times New Roman" w:cs="Times New Roman"/>
          <w:sz w:val="24"/>
          <w:szCs w:val="24"/>
        </w:rPr>
        <w:t xml:space="preserve"> across all </w:t>
      </w:r>
      <w:r w:rsidR="001E534A" w:rsidRPr="00565FDD">
        <w:rPr>
          <w:rFonts w:ascii="Times New Roman" w:hAnsi="Times New Roman" w:cs="Times New Roman"/>
          <w:sz w:val="24"/>
          <w:szCs w:val="24"/>
        </w:rPr>
        <w:t>structures of the plant</w:t>
      </w:r>
      <w:r w:rsidRPr="00565FDD">
        <w:rPr>
          <w:rFonts w:ascii="Times New Roman" w:hAnsi="Times New Roman" w:cs="Times New Roman"/>
          <w:sz w:val="24"/>
          <w:szCs w:val="24"/>
        </w:rPr>
        <w:t xml:space="preserve">, (WS) the difference in </w:t>
      </w:r>
      <w:r w:rsidR="001E534A" w:rsidRPr="00565FDD">
        <w:rPr>
          <w:rFonts w:ascii="Times New Roman" w:hAnsi="Times New Roman" w:cs="Times New Roman"/>
          <w:sz w:val="24"/>
          <w:szCs w:val="24"/>
        </w:rPr>
        <w:t>metal concentration</w:t>
      </w:r>
      <w:r w:rsidRPr="00565FDD">
        <w:rPr>
          <w:rFonts w:ascii="Times New Roman" w:hAnsi="Times New Roman" w:cs="Times New Roman"/>
          <w:sz w:val="24"/>
          <w:szCs w:val="24"/>
        </w:rPr>
        <w:t xml:space="preserve"> between </w:t>
      </w:r>
      <w:r w:rsidR="001E534A" w:rsidRPr="00565FDD">
        <w:rPr>
          <w:rFonts w:ascii="Times New Roman" w:hAnsi="Times New Roman" w:cs="Times New Roman"/>
          <w:sz w:val="24"/>
          <w:szCs w:val="24"/>
        </w:rPr>
        <w:t>plant structures</w:t>
      </w:r>
      <w:r w:rsidRPr="00565FDD">
        <w:rPr>
          <w:rFonts w:ascii="Times New Roman" w:hAnsi="Times New Roman" w:cs="Times New Roman"/>
          <w:sz w:val="24"/>
          <w:szCs w:val="24"/>
        </w:rPr>
        <w:t xml:space="preserve"> irrespective of irrigation treatment, and the differences in </w:t>
      </w:r>
      <w:r w:rsidR="001E534A" w:rsidRPr="00565FDD">
        <w:rPr>
          <w:rFonts w:ascii="Times New Roman" w:hAnsi="Times New Roman" w:cs="Times New Roman"/>
          <w:sz w:val="24"/>
          <w:szCs w:val="24"/>
        </w:rPr>
        <w:t>metal concentration by</w:t>
      </w:r>
      <w:r w:rsidRPr="00565FDD">
        <w:rPr>
          <w:rFonts w:ascii="Times New Roman" w:hAnsi="Times New Roman" w:cs="Times New Roman"/>
          <w:sz w:val="24"/>
          <w:szCs w:val="24"/>
        </w:rPr>
        <w:t xml:space="preserve"> treatment </w:t>
      </w:r>
      <w:r w:rsidR="001E534A" w:rsidRPr="00565FDD">
        <w:rPr>
          <w:rFonts w:ascii="Times New Roman" w:hAnsi="Times New Roman" w:cs="Times New Roman"/>
          <w:sz w:val="24"/>
          <w:szCs w:val="24"/>
        </w:rPr>
        <w:t>in each of the structures</w:t>
      </w:r>
      <w:r w:rsidRPr="00565FDD">
        <w:rPr>
          <w:rFonts w:ascii="Times New Roman" w:hAnsi="Times New Roman" w:cs="Times New Roman"/>
          <w:sz w:val="24"/>
          <w:szCs w:val="24"/>
        </w:rPr>
        <w:t xml:space="preserve">. When a significant interaction effect was detected </w:t>
      </w:r>
      <w:r w:rsidR="007B463F" w:rsidRPr="00565FDD">
        <w:rPr>
          <w:rFonts w:ascii="Times New Roman" w:hAnsi="Times New Roman" w:cs="Times New Roman"/>
          <w:sz w:val="24"/>
          <w:szCs w:val="24"/>
        </w:rPr>
        <w:t>(</w:t>
      </w:r>
      <w:r w:rsidR="007B463F" w:rsidRPr="00565FDD">
        <w:rPr>
          <w:rFonts w:ascii="Times New Roman" w:hAnsi="Times New Roman" w:cs="Times New Roman"/>
          <w:i/>
          <w:sz w:val="24"/>
          <w:szCs w:val="24"/>
        </w:rPr>
        <w:t>p</w:t>
      </w:r>
      <w:r w:rsidR="007B463F" w:rsidRPr="00565FDD">
        <w:rPr>
          <w:rFonts w:ascii="Times New Roman" w:hAnsi="Times New Roman" w:cs="Times New Roman"/>
          <w:sz w:val="24"/>
          <w:szCs w:val="24"/>
        </w:rPr>
        <w:t xml:space="preserve"> ≤</w:t>
      </w:r>
      <w:r w:rsidRPr="00565FDD">
        <w:rPr>
          <w:rFonts w:ascii="Times New Roman" w:hAnsi="Times New Roman" w:cs="Times New Roman"/>
          <w:sz w:val="24"/>
          <w:szCs w:val="24"/>
        </w:rPr>
        <w:t xml:space="preserve"> 0.05),</w:t>
      </w:r>
      <w:r w:rsidR="004D701F" w:rsidRPr="00565FDD">
        <w:rPr>
          <w:rFonts w:ascii="Times New Roman" w:hAnsi="Times New Roman" w:cs="Times New Roman"/>
          <w:sz w:val="24"/>
          <w:szCs w:val="24"/>
        </w:rPr>
        <w:t xml:space="preserve"> indicating that the effect of irrigation treatment on plant metal uptake changed depending on which plant structure was being considered,</w:t>
      </w:r>
      <w:r w:rsidRPr="00565FDD">
        <w:rPr>
          <w:rFonts w:ascii="Times New Roman" w:hAnsi="Times New Roman" w:cs="Times New Roman"/>
          <w:sz w:val="24"/>
          <w:szCs w:val="24"/>
        </w:rPr>
        <w:t xml:space="preserve"> the simple main effects of both factors were computed, reported, and interpreted. Simple main effect tests used pairwise comparisons based on estimated marginal means to compare plant </w:t>
      </w:r>
      <w:r w:rsidR="001E534A" w:rsidRPr="00565FDD">
        <w:rPr>
          <w:rFonts w:ascii="Times New Roman" w:hAnsi="Times New Roman" w:cs="Times New Roman"/>
          <w:sz w:val="24"/>
          <w:szCs w:val="24"/>
        </w:rPr>
        <w:t>metal uptake between</w:t>
      </w:r>
      <w:r w:rsidRPr="00565FDD">
        <w:rPr>
          <w:rFonts w:ascii="Times New Roman" w:hAnsi="Times New Roman" w:cs="Times New Roman"/>
          <w:sz w:val="24"/>
          <w:szCs w:val="24"/>
        </w:rPr>
        <w:t xml:space="preserve"> irrigation treatment</w:t>
      </w:r>
      <w:r w:rsidR="001E534A" w:rsidRPr="00565FDD">
        <w:rPr>
          <w:rFonts w:ascii="Times New Roman" w:hAnsi="Times New Roman" w:cs="Times New Roman"/>
          <w:sz w:val="24"/>
          <w:szCs w:val="24"/>
        </w:rPr>
        <w:t>s</w:t>
      </w:r>
      <w:r w:rsidRPr="00565FDD">
        <w:rPr>
          <w:rFonts w:ascii="Times New Roman" w:hAnsi="Times New Roman" w:cs="Times New Roman"/>
          <w:sz w:val="24"/>
          <w:szCs w:val="24"/>
        </w:rPr>
        <w:t xml:space="preserve"> (BS) </w:t>
      </w:r>
      <w:r w:rsidR="001E534A" w:rsidRPr="00565FDD">
        <w:rPr>
          <w:rFonts w:ascii="Times New Roman" w:hAnsi="Times New Roman" w:cs="Times New Roman"/>
          <w:sz w:val="24"/>
          <w:szCs w:val="24"/>
        </w:rPr>
        <w:t xml:space="preserve">in each type of structure </w:t>
      </w:r>
      <w:r w:rsidRPr="00565FDD">
        <w:rPr>
          <w:rFonts w:ascii="Times New Roman" w:hAnsi="Times New Roman" w:cs="Times New Roman"/>
          <w:sz w:val="24"/>
          <w:szCs w:val="24"/>
        </w:rPr>
        <w:t xml:space="preserve">(e.g., </w:t>
      </w:r>
      <w:r w:rsidR="009678A2" w:rsidRPr="00565FDD">
        <w:rPr>
          <w:rFonts w:ascii="Times New Roman" w:hAnsi="Times New Roman" w:cs="Times New Roman"/>
          <w:sz w:val="24"/>
          <w:szCs w:val="24"/>
        </w:rPr>
        <w:t>Cd</w:t>
      </w:r>
      <w:r w:rsidR="001E534A" w:rsidRPr="00565FDD">
        <w:rPr>
          <w:rFonts w:ascii="Times New Roman" w:hAnsi="Times New Roman" w:cs="Times New Roman"/>
          <w:sz w:val="24"/>
          <w:szCs w:val="24"/>
        </w:rPr>
        <w:t xml:space="preserve"> concentrations in the roots of </w:t>
      </w:r>
      <w:r w:rsidRPr="00565FDD">
        <w:rPr>
          <w:rFonts w:ascii="Times New Roman" w:hAnsi="Times New Roman" w:cs="Times New Roman"/>
          <w:sz w:val="24"/>
          <w:szCs w:val="24"/>
        </w:rPr>
        <w:t>mine water-irrigated</w:t>
      </w:r>
      <w:r w:rsidR="001E534A" w:rsidRPr="00565FDD">
        <w:rPr>
          <w:rFonts w:ascii="Times New Roman" w:hAnsi="Times New Roman" w:cs="Times New Roman"/>
          <w:sz w:val="24"/>
          <w:szCs w:val="24"/>
        </w:rPr>
        <w:t xml:space="preserve"> corn plants</w:t>
      </w:r>
      <w:r w:rsidRPr="00565FDD">
        <w:rPr>
          <w:rFonts w:ascii="Times New Roman" w:hAnsi="Times New Roman" w:cs="Times New Roman"/>
          <w:sz w:val="24"/>
          <w:szCs w:val="24"/>
        </w:rPr>
        <w:t xml:space="preserve"> vs. </w:t>
      </w:r>
      <w:r w:rsidR="009678A2" w:rsidRPr="00565FDD">
        <w:rPr>
          <w:rFonts w:ascii="Times New Roman" w:hAnsi="Times New Roman" w:cs="Times New Roman"/>
          <w:sz w:val="24"/>
          <w:szCs w:val="24"/>
        </w:rPr>
        <w:t>Cd</w:t>
      </w:r>
      <w:r w:rsidR="001E534A" w:rsidRPr="00565FDD">
        <w:rPr>
          <w:rFonts w:ascii="Times New Roman" w:hAnsi="Times New Roman" w:cs="Times New Roman"/>
          <w:sz w:val="24"/>
          <w:szCs w:val="24"/>
        </w:rPr>
        <w:t xml:space="preserve"> concentrations in the roots of groundwater-irrigated corn plants</w:t>
      </w:r>
      <w:r w:rsidRPr="00565FDD">
        <w:rPr>
          <w:rFonts w:ascii="Times New Roman" w:hAnsi="Times New Roman" w:cs="Times New Roman"/>
          <w:sz w:val="24"/>
          <w:szCs w:val="24"/>
        </w:rPr>
        <w:t xml:space="preserve">) and to compare plant </w:t>
      </w:r>
      <w:r w:rsidR="001E534A" w:rsidRPr="00565FDD">
        <w:rPr>
          <w:rFonts w:ascii="Times New Roman" w:hAnsi="Times New Roman" w:cs="Times New Roman"/>
          <w:sz w:val="24"/>
          <w:szCs w:val="24"/>
        </w:rPr>
        <w:t xml:space="preserve">metal uptake in each type of plant structure </w:t>
      </w:r>
      <w:r w:rsidRPr="00565FDD">
        <w:rPr>
          <w:rFonts w:ascii="Times New Roman" w:hAnsi="Times New Roman" w:cs="Times New Roman"/>
          <w:sz w:val="24"/>
          <w:szCs w:val="24"/>
        </w:rPr>
        <w:t xml:space="preserve">(WS) separately for each irrigation treatment (e.g., </w:t>
      </w:r>
      <w:r w:rsidR="001E534A" w:rsidRPr="00565FDD">
        <w:rPr>
          <w:rFonts w:ascii="Times New Roman" w:hAnsi="Times New Roman" w:cs="Times New Roman"/>
          <w:sz w:val="24"/>
          <w:szCs w:val="24"/>
        </w:rPr>
        <w:t xml:space="preserve">corn </w:t>
      </w:r>
      <w:r w:rsidR="009678A2" w:rsidRPr="00565FDD">
        <w:rPr>
          <w:rFonts w:ascii="Times New Roman" w:hAnsi="Times New Roman" w:cs="Times New Roman"/>
          <w:sz w:val="24"/>
          <w:szCs w:val="24"/>
        </w:rPr>
        <w:t>Cd</w:t>
      </w:r>
      <w:r w:rsidR="001E534A" w:rsidRPr="00565FDD">
        <w:rPr>
          <w:rFonts w:ascii="Times New Roman" w:hAnsi="Times New Roman" w:cs="Times New Roman"/>
          <w:sz w:val="24"/>
          <w:szCs w:val="24"/>
        </w:rPr>
        <w:t xml:space="preserve"> concentration in groundwater-irrigated corn cobs vs. </w:t>
      </w:r>
      <w:r w:rsidR="009678A2" w:rsidRPr="00565FDD">
        <w:rPr>
          <w:rFonts w:ascii="Times New Roman" w:hAnsi="Times New Roman" w:cs="Times New Roman"/>
          <w:sz w:val="24"/>
          <w:szCs w:val="24"/>
        </w:rPr>
        <w:t>Cd</w:t>
      </w:r>
      <w:r w:rsidR="001E534A" w:rsidRPr="00565FDD">
        <w:rPr>
          <w:rFonts w:ascii="Times New Roman" w:hAnsi="Times New Roman" w:cs="Times New Roman"/>
          <w:sz w:val="24"/>
          <w:szCs w:val="24"/>
        </w:rPr>
        <w:t xml:space="preserve"> concentrations </w:t>
      </w:r>
      <w:r w:rsidRPr="00565FDD">
        <w:rPr>
          <w:rFonts w:ascii="Times New Roman" w:hAnsi="Times New Roman" w:cs="Times New Roman"/>
          <w:sz w:val="24"/>
          <w:szCs w:val="24"/>
        </w:rPr>
        <w:t xml:space="preserve">from </w:t>
      </w:r>
      <w:r w:rsidR="001E534A" w:rsidRPr="00565FDD">
        <w:rPr>
          <w:rFonts w:ascii="Times New Roman" w:hAnsi="Times New Roman" w:cs="Times New Roman"/>
          <w:sz w:val="24"/>
          <w:szCs w:val="24"/>
        </w:rPr>
        <w:t>all</w:t>
      </w:r>
      <w:r w:rsidRPr="00565FDD">
        <w:rPr>
          <w:rFonts w:ascii="Times New Roman" w:hAnsi="Times New Roman" w:cs="Times New Roman"/>
          <w:sz w:val="24"/>
          <w:szCs w:val="24"/>
        </w:rPr>
        <w:t xml:space="preserve"> other </w:t>
      </w:r>
      <w:r w:rsidR="001E534A" w:rsidRPr="00565FDD">
        <w:rPr>
          <w:rFonts w:ascii="Times New Roman" w:hAnsi="Times New Roman" w:cs="Times New Roman"/>
          <w:sz w:val="24"/>
          <w:szCs w:val="24"/>
        </w:rPr>
        <w:t>distinct parts of groundwater-irrigated corn</w:t>
      </w:r>
      <w:r w:rsidRPr="00565FDD">
        <w:rPr>
          <w:rFonts w:ascii="Times New Roman" w:hAnsi="Times New Roman" w:cs="Times New Roman"/>
          <w:sz w:val="24"/>
          <w:szCs w:val="24"/>
        </w:rPr>
        <w:t xml:space="preserve">). When the interaction effect was not significant, the main effects were reported and interpreted instead of the interaction effect. In the event of a significant main effect, pairwise comparisons for each level of the associated factor were conducted, reported, and interpreted. </w:t>
      </w:r>
      <w:proofErr w:type="spellStart"/>
      <w:r w:rsidRPr="00565FDD">
        <w:rPr>
          <w:rFonts w:ascii="Times New Roman" w:hAnsi="Times New Roman" w:cs="Times New Roman"/>
          <w:sz w:val="24"/>
          <w:szCs w:val="24"/>
        </w:rPr>
        <w:t>Sidak</w:t>
      </w:r>
      <w:proofErr w:type="spellEnd"/>
      <w:r w:rsidRPr="00565FDD">
        <w:rPr>
          <w:rFonts w:ascii="Times New Roman" w:hAnsi="Times New Roman" w:cs="Times New Roman"/>
          <w:sz w:val="24"/>
          <w:szCs w:val="24"/>
        </w:rPr>
        <w:t xml:space="preserve"> corrections for multiple comparisons were applied for every pairwise comparison of the main effects and simple main effects</w:t>
      </w:r>
      <w:r w:rsidR="00883783" w:rsidRPr="00565FDD">
        <w:rPr>
          <w:rFonts w:ascii="Times New Roman" w:hAnsi="Times New Roman" w:cs="Times New Roman"/>
          <w:sz w:val="24"/>
          <w:szCs w:val="24"/>
        </w:rPr>
        <w:t>.</w:t>
      </w:r>
      <w:r w:rsidRPr="00565FDD">
        <w:rPr>
          <w:rFonts w:ascii="Times New Roman" w:hAnsi="Times New Roman" w:cs="Times New Roman"/>
          <w:sz w:val="24"/>
          <w:szCs w:val="24"/>
        </w:rPr>
        <w:t xml:space="preserve"> Main and interaction effects reported in-text are formatted as follows: </w:t>
      </w:r>
      <w:proofErr w:type="gramStart"/>
      <w:r w:rsidRPr="00565FDD">
        <w:rPr>
          <w:rFonts w:ascii="Times New Roman" w:hAnsi="Times New Roman" w:cs="Times New Roman"/>
          <w:i/>
          <w:sz w:val="24"/>
          <w:szCs w:val="24"/>
        </w:rPr>
        <w:t>F</w:t>
      </w:r>
      <w:r w:rsidRPr="00565FDD">
        <w:rPr>
          <w:rFonts w:ascii="Times New Roman" w:hAnsi="Times New Roman" w:cs="Times New Roman"/>
          <w:sz w:val="24"/>
          <w:szCs w:val="24"/>
        </w:rPr>
        <w:t>(</w:t>
      </w:r>
      <w:proofErr w:type="spellStart"/>
      <w:proofErr w:type="gramEnd"/>
      <w:r w:rsidRPr="00565FDD">
        <w:rPr>
          <w:rFonts w:ascii="Times New Roman" w:hAnsi="Times New Roman" w:cs="Times New Roman"/>
          <w:i/>
          <w:sz w:val="24"/>
          <w:szCs w:val="24"/>
        </w:rPr>
        <w:t>df</w:t>
      </w:r>
      <w:proofErr w:type="spellEnd"/>
      <w:r w:rsidRPr="00565FDD">
        <w:rPr>
          <w:rFonts w:ascii="Times New Roman" w:hAnsi="Times New Roman" w:cs="Times New Roman"/>
          <w:sz w:val="24"/>
          <w:szCs w:val="24"/>
        </w:rPr>
        <w:t>[effect],</w:t>
      </w:r>
      <w:proofErr w:type="spellStart"/>
      <w:r w:rsidRPr="00565FDD">
        <w:rPr>
          <w:rFonts w:ascii="Times New Roman" w:hAnsi="Times New Roman" w:cs="Times New Roman"/>
          <w:i/>
          <w:sz w:val="24"/>
          <w:szCs w:val="24"/>
        </w:rPr>
        <w:t>df</w:t>
      </w:r>
      <w:proofErr w:type="spellEnd"/>
      <w:r w:rsidRPr="00565FDD">
        <w:rPr>
          <w:rFonts w:ascii="Times New Roman" w:hAnsi="Times New Roman" w:cs="Times New Roman"/>
          <w:sz w:val="24"/>
          <w:szCs w:val="24"/>
        </w:rPr>
        <w:t xml:space="preserve">[error]) = </w:t>
      </w:r>
      <w:r w:rsidRPr="00565FDD">
        <w:rPr>
          <w:rFonts w:ascii="Times New Roman" w:hAnsi="Times New Roman" w:cs="Times New Roman"/>
          <w:i/>
          <w:sz w:val="24"/>
          <w:szCs w:val="24"/>
        </w:rPr>
        <w:t>F</w:t>
      </w:r>
      <w:r w:rsidRPr="00565FDD">
        <w:rPr>
          <w:rFonts w:ascii="Times New Roman" w:hAnsi="Times New Roman" w:cs="Times New Roman"/>
          <w:sz w:val="24"/>
          <w:szCs w:val="24"/>
        </w:rPr>
        <w:t xml:space="preserve"> statistic, </w:t>
      </w:r>
      <w:r w:rsidRPr="00565FDD">
        <w:rPr>
          <w:rFonts w:ascii="Times New Roman" w:hAnsi="Times New Roman" w:cs="Times New Roman"/>
          <w:i/>
          <w:sz w:val="24"/>
          <w:szCs w:val="24"/>
        </w:rPr>
        <w:t>p</w:t>
      </w:r>
      <w:r w:rsidRPr="00565FDD">
        <w:rPr>
          <w:rFonts w:ascii="Times New Roman" w:hAnsi="Times New Roman" w:cs="Times New Roman"/>
          <w:sz w:val="24"/>
          <w:szCs w:val="24"/>
        </w:rPr>
        <w:t>-value.</w:t>
      </w:r>
      <w:r w:rsidR="0008497D" w:rsidRPr="00565FDD">
        <w:rPr>
          <w:rFonts w:ascii="Times New Roman" w:hAnsi="Times New Roman" w:cs="Times New Roman"/>
          <w:sz w:val="24"/>
          <w:szCs w:val="24"/>
        </w:rPr>
        <w:t xml:space="preserve"> A small number of metal concentrations that were below detectable limits in ICP anal</w:t>
      </w:r>
      <w:r w:rsidR="001E1298" w:rsidRPr="00565FDD">
        <w:rPr>
          <w:rFonts w:ascii="Times New Roman" w:hAnsi="Times New Roman" w:cs="Times New Roman"/>
          <w:sz w:val="24"/>
          <w:szCs w:val="24"/>
        </w:rPr>
        <w:t>ysis were replaced with 0.5×PQL</w:t>
      </w:r>
      <w:r w:rsidR="0008497D" w:rsidRPr="00565FDD">
        <w:rPr>
          <w:rFonts w:ascii="Times New Roman" w:hAnsi="Times New Roman" w:cs="Times New Roman"/>
          <w:sz w:val="24"/>
          <w:szCs w:val="24"/>
        </w:rPr>
        <w:t xml:space="preserve"> to allow for mixed ANOVA, which excludes samples with missing values. </w:t>
      </w:r>
      <w:proofErr w:type="spellStart"/>
      <w:r w:rsidR="0008497D" w:rsidRPr="00565FDD">
        <w:rPr>
          <w:rFonts w:ascii="Times New Roman" w:hAnsi="Times New Roman" w:cs="Times New Roman"/>
          <w:sz w:val="24"/>
          <w:szCs w:val="24"/>
        </w:rPr>
        <w:t>Farnham</w:t>
      </w:r>
      <w:proofErr w:type="spellEnd"/>
      <w:r w:rsidR="0008497D" w:rsidRPr="00565FDD">
        <w:rPr>
          <w:rFonts w:ascii="Times New Roman" w:hAnsi="Times New Roman" w:cs="Times New Roman"/>
          <w:sz w:val="24"/>
          <w:szCs w:val="24"/>
        </w:rPr>
        <w:t xml:space="preserve"> et al. showed that this substitution method is more reliable than other simple substitutions when less than 25% of groundwater geochemistry data are censored </w:t>
      </w:r>
      <w:r w:rsidR="0008497D" w:rsidRPr="00565FDD">
        <w:rPr>
          <w:rFonts w:ascii="Times New Roman" w:hAnsi="Times New Roman" w:cs="Times New Roman"/>
          <w:sz w:val="24"/>
          <w:szCs w:val="24"/>
        </w:rPr>
        <w:fldChar w:fldCharType="begin"/>
      </w:r>
      <w:r w:rsidR="006811C1" w:rsidRPr="00565FDD">
        <w:rPr>
          <w:rFonts w:ascii="Times New Roman" w:hAnsi="Times New Roman" w:cs="Times New Roman"/>
          <w:sz w:val="24"/>
          <w:szCs w:val="24"/>
        </w:rPr>
        <w:instrText xml:space="preserve"> ADDIN ZOTERO_ITEM CSL_CITATION {"citationID":"af29v3fu6u","properties":{"formattedCitation":"\\uldash{(Farnham et al., 2002)}","plainCitation":"(Farnham et al., 2002)","dontUpdate":true,"noteIndex":0},"citationItems":[{"id":871,"uris":["http://zotero.org/users/5446453/items/85NYPG9S"],"uri":["http://zotero.org/users/5446453/items/85NYPG9S"],"itemData":{"id":871,"type":"article-journal","abstract":"Principal components analysis (PCA) is used to evaluate similarities in the trace element chemistry of groundwaters. Many of the trace clements. however, occur at concentrations below the detection limits (DL), which presents problems for statistical analyses. Since the optimal methods for dealing with the '&lt; DL' values require the assumption of nonnality or lognormality, which is not the case for these data, simple substitution methods may be preferred.","container-title":"Chemometrics and Intelligent Laboratory Systems","DOI":"10.1016/S0169-7439(01)00201-5","ISSN":"01697439","issue":"1-2","journalAbbreviation":"Chemometrics and Intelligent Laboratory Systems","language":"en","page":"265-281","source":"DOI.org (Crossref)","title":"Treatment of nondetects in multivariate analysis of groundwater geochemistry data","volume":"60","author":[{"family":"Farnham","given":"Irene M"},{"family":"Singh","given":"Ashok K"},{"family":"Stetzenbach","given":"Klaus J"},{"family":"Johannesson","given":"Kevin H"}],"issued":{"date-parts":[["2002",1]]}}}],"schema":"https://github.com/citation-style-language/schema/raw/master/csl-citation.json"} </w:instrText>
      </w:r>
      <w:r w:rsidR="0008497D" w:rsidRPr="00565FDD">
        <w:rPr>
          <w:rFonts w:ascii="Times New Roman" w:hAnsi="Times New Roman" w:cs="Times New Roman"/>
          <w:sz w:val="24"/>
          <w:szCs w:val="24"/>
        </w:rPr>
        <w:fldChar w:fldCharType="separate"/>
      </w:r>
      <w:r w:rsidR="0008497D" w:rsidRPr="00565FDD">
        <w:rPr>
          <w:rFonts w:ascii="Times New Roman" w:hAnsi="Times New Roman" w:cs="Times New Roman"/>
          <w:sz w:val="24"/>
          <w:szCs w:val="24"/>
        </w:rPr>
        <w:t>(2002)</w:t>
      </w:r>
      <w:r w:rsidR="0008497D" w:rsidRPr="00565FDD">
        <w:rPr>
          <w:rFonts w:ascii="Times New Roman" w:hAnsi="Times New Roman" w:cs="Times New Roman"/>
          <w:sz w:val="24"/>
          <w:szCs w:val="24"/>
        </w:rPr>
        <w:fldChar w:fldCharType="end"/>
      </w:r>
      <w:r w:rsidR="0008497D" w:rsidRPr="00565FDD">
        <w:rPr>
          <w:rFonts w:ascii="Times New Roman" w:hAnsi="Times New Roman" w:cs="Times New Roman"/>
          <w:sz w:val="24"/>
          <w:szCs w:val="24"/>
        </w:rPr>
        <w:t xml:space="preserve">. This substitution was performed for 4/72 </w:t>
      </w:r>
      <w:r w:rsidR="0008497D" w:rsidRPr="00565FDD">
        <w:rPr>
          <w:rFonts w:ascii="Times New Roman" w:hAnsi="Times New Roman" w:cs="Times New Roman"/>
          <w:sz w:val="24"/>
          <w:szCs w:val="24"/>
        </w:rPr>
        <w:lastRenderedPageBreak/>
        <w:t xml:space="preserve">corn </w:t>
      </w:r>
      <w:r w:rsidR="009678A2" w:rsidRPr="00565FDD">
        <w:rPr>
          <w:rFonts w:ascii="Times New Roman" w:hAnsi="Times New Roman" w:cs="Times New Roman"/>
          <w:sz w:val="24"/>
          <w:szCs w:val="24"/>
        </w:rPr>
        <w:t>Ni</w:t>
      </w:r>
      <w:r w:rsidR="0008497D" w:rsidRPr="00565FDD">
        <w:rPr>
          <w:rFonts w:ascii="Times New Roman" w:hAnsi="Times New Roman" w:cs="Times New Roman"/>
          <w:sz w:val="24"/>
          <w:szCs w:val="24"/>
        </w:rPr>
        <w:t xml:space="preserve"> concentrations, 1/48 sorghum </w:t>
      </w:r>
      <w:r w:rsidR="009678A2" w:rsidRPr="00565FDD">
        <w:rPr>
          <w:rFonts w:ascii="Times New Roman" w:hAnsi="Times New Roman" w:cs="Times New Roman"/>
          <w:sz w:val="24"/>
          <w:szCs w:val="24"/>
        </w:rPr>
        <w:t>Ni</w:t>
      </w:r>
      <w:r w:rsidR="0008497D" w:rsidRPr="00565FDD">
        <w:rPr>
          <w:rFonts w:ascii="Times New Roman" w:hAnsi="Times New Roman" w:cs="Times New Roman"/>
          <w:sz w:val="24"/>
          <w:szCs w:val="24"/>
        </w:rPr>
        <w:t xml:space="preserve"> concentrations, 2/72 corn </w:t>
      </w:r>
      <w:proofErr w:type="spellStart"/>
      <w:r w:rsidR="009678A2" w:rsidRPr="00565FDD">
        <w:rPr>
          <w:rFonts w:ascii="Times New Roman" w:hAnsi="Times New Roman" w:cs="Times New Roman"/>
          <w:sz w:val="24"/>
          <w:szCs w:val="24"/>
        </w:rPr>
        <w:t>Pb</w:t>
      </w:r>
      <w:proofErr w:type="spellEnd"/>
      <w:r w:rsidR="0008497D" w:rsidRPr="00565FDD">
        <w:rPr>
          <w:rFonts w:ascii="Times New Roman" w:hAnsi="Times New Roman" w:cs="Times New Roman"/>
          <w:sz w:val="24"/>
          <w:szCs w:val="24"/>
        </w:rPr>
        <w:t xml:space="preserve"> concentrations, and 1/36 Bermuda grass </w:t>
      </w:r>
      <w:proofErr w:type="spellStart"/>
      <w:r w:rsidR="009678A2" w:rsidRPr="00565FDD">
        <w:rPr>
          <w:rFonts w:ascii="Times New Roman" w:hAnsi="Times New Roman" w:cs="Times New Roman"/>
          <w:sz w:val="24"/>
          <w:szCs w:val="24"/>
        </w:rPr>
        <w:t>Pb</w:t>
      </w:r>
      <w:proofErr w:type="spellEnd"/>
      <w:r w:rsidR="0008497D" w:rsidRPr="00565FDD">
        <w:rPr>
          <w:rFonts w:ascii="Times New Roman" w:hAnsi="Times New Roman" w:cs="Times New Roman"/>
          <w:sz w:val="24"/>
          <w:szCs w:val="24"/>
        </w:rPr>
        <w:t xml:space="preserve"> concentrations.</w:t>
      </w:r>
      <w:r w:rsidR="00204C13">
        <w:rPr>
          <w:rFonts w:ascii="Times New Roman" w:hAnsi="Times New Roman" w:cs="Times New Roman"/>
          <w:sz w:val="24"/>
          <w:szCs w:val="24"/>
        </w:rPr>
        <w:t xml:space="preserve"> </w:t>
      </w:r>
    </w:p>
    <w:p w14:paraId="6F790E5D" w14:textId="724C867F" w:rsidR="00365522" w:rsidRPr="00B3002C" w:rsidRDefault="00A71F9B" w:rsidP="007B5610">
      <w:pPr>
        <w:spacing w:line="480" w:lineRule="auto"/>
        <w:ind w:firstLine="713"/>
        <w:rPr>
          <w:rFonts w:ascii="Times New Roman" w:hAnsi="Times New Roman" w:cs="Times New Roman"/>
          <w:noProof/>
          <w:sz w:val="24"/>
          <w:szCs w:val="24"/>
        </w:rPr>
      </w:pPr>
      <w:r w:rsidRPr="00F07DEB">
        <w:rPr>
          <w:rFonts w:ascii="Times New Roman" w:hAnsi="Times New Roman" w:cs="Times New Roman"/>
          <w:sz w:val="24"/>
          <w:szCs w:val="24"/>
        </w:rPr>
        <w:t xml:space="preserve">The main effects and interaction effects of irrigation treatment and plant structure on corn, sorghum, and Bermuda grass metal uptake are </w:t>
      </w:r>
      <w:r w:rsidRPr="00CE3D29">
        <w:rPr>
          <w:rFonts w:ascii="Times New Roman" w:hAnsi="Times New Roman" w:cs="Times New Roman"/>
          <w:sz w:val="24"/>
          <w:szCs w:val="24"/>
        </w:rPr>
        <w:t xml:space="preserve">presented </w:t>
      </w:r>
      <w:r w:rsidR="007B5610">
        <w:rPr>
          <w:rFonts w:ascii="Times New Roman" w:hAnsi="Times New Roman" w:cs="Times New Roman"/>
          <w:sz w:val="24"/>
          <w:szCs w:val="24"/>
        </w:rPr>
        <w:t>in Tables 16, 17, and 18</w:t>
      </w:r>
      <w:r w:rsidRPr="00CE3D29">
        <w:rPr>
          <w:rFonts w:ascii="Times New Roman" w:hAnsi="Times New Roman" w:cs="Times New Roman"/>
          <w:sz w:val="24"/>
          <w:szCs w:val="24"/>
        </w:rPr>
        <w:t xml:space="preserve">. </w:t>
      </w:r>
      <w:r w:rsidR="00F7561B" w:rsidRPr="00CE3D29">
        <w:rPr>
          <w:rFonts w:ascii="Times New Roman" w:hAnsi="Times New Roman" w:cs="Times New Roman"/>
          <w:sz w:val="24"/>
          <w:szCs w:val="24"/>
        </w:rPr>
        <w:t>Each table reports d</w:t>
      </w:r>
      <w:r w:rsidRPr="00CE3D29">
        <w:rPr>
          <w:rFonts w:ascii="Times New Roman" w:hAnsi="Times New Roman" w:cs="Times New Roman"/>
          <w:sz w:val="24"/>
          <w:szCs w:val="24"/>
        </w:rPr>
        <w:t xml:space="preserve">egrees of freedom, </w:t>
      </w:r>
      <w:r w:rsidRPr="007B5610">
        <w:rPr>
          <w:rFonts w:ascii="Times New Roman" w:hAnsi="Times New Roman" w:cs="Times New Roman"/>
          <w:i/>
          <w:sz w:val="24"/>
          <w:szCs w:val="24"/>
        </w:rPr>
        <w:t>F</w:t>
      </w:r>
      <w:r w:rsidRPr="00CE3D29">
        <w:rPr>
          <w:rFonts w:ascii="Times New Roman" w:hAnsi="Times New Roman" w:cs="Times New Roman"/>
          <w:sz w:val="24"/>
          <w:szCs w:val="24"/>
        </w:rPr>
        <w:t xml:space="preserve"> statistics, </w:t>
      </w:r>
      <w:r w:rsidRPr="007B5610">
        <w:rPr>
          <w:rFonts w:ascii="Times New Roman" w:hAnsi="Times New Roman" w:cs="Times New Roman"/>
          <w:i/>
          <w:sz w:val="24"/>
          <w:szCs w:val="24"/>
        </w:rPr>
        <w:t>p</w:t>
      </w:r>
      <w:r w:rsidRPr="00CE3D29">
        <w:rPr>
          <w:rFonts w:ascii="Times New Roman" w:hAnsi="Times New Roman" w:cs="Times New Roman"/>
          <w:sz w:val="24"/>
          <w:szCs w:val="24"/>
        </w:rPr>
        <w:t xml:space="preserve">-values, and </w:t>
      </w:r>
      <w:r w:rsidR="00D45931" w:rsidRPr="00CE3D29">
        <w:rPr>
          <w:rFonts w:ascii="Times New Roman" w:hAnsi="Times New Roman" w:cs="Times New Roman"/>
          <w:sz w:val="24"/>
          <w:szCs w:val="24"/>
        </w:rPr>
        <w:t>the effect s</w:t>
      </w:r>
      <w:r w:rsidR="00D45931" w:rsidRPr="00F07DEB">
        <w:rPr>
          <w:rFonts w:ascii="Times New Roman" w:hAnsi="Times New Roman" w:cs="Times New Roman"/>
          <w:sz w:val="24"/>
          <w:szCs w:val="24"/>
        </w:rPr>
        <w:t xml:space="preserve">ize, </w:t>
      </w:r>
      <w:r w:rsidR="00D45931" w:rsidRPr="00F07DEB">
        <w:rPr>
          <w:rFonts w:ascii="Times New Roman" w:eastAsia="Times New Roman" w:hAnsi="Times New Roman" w:cs="Times New Roman"/>
          <w:color w:val="000000"/>
          <w:sz w:val="24"/>
          <w:szCs w:val="24"/>
          <w:lang w:eastAsia="en-US"/>
        </w:rPr>
        <w:t>partial eta squared (</w:t>
      </w:r>
      <w:r w:rsidR="00D45931" w:rsidRPr="00F07DEB">
        <w:rPr>
          <w:rFonts w:ascii="Times New Roman" w:eastAsia="Times New Roman" w:hAnsi="Times New Roman" w:cs="Times New Roman"/>
          <w:i/>
          <w:iCs/>
          <w:color w:val="000000"/>
          <w:sz w:val="24"/>
          <w:szCs w:val="24"/>
          <w:lang w:eastAsia="en-US"/>
        </w:rPr>
        <w:t>η</w:t>
      </w:r>
      <w:r w:rsidR="00D45931" w:rsidRPr="00F07DEB">
        <w:rPr>
          <w:rFonts w:ascii="Times New Roman" w:eastAsia="Times New Roman" w:hAnsi="Times New Roman" w:cs="Times New Roman"/>
          <w:color w:val="000000"/>
          <w:sz w:val="24"/>
          <w:szCs w:val="24"/>
          <w:vertAlign w:val="subscript"/>
          <w:lang w:eastAsia="en-US"/>
        </w:rPr>
        <w:t>p</w:t>
      </w:r>
      <w:r w:rsidR="00D45931" w:rsidRPr="00F07DEB">
        <w:rPr>
          <w:rFonts w:ascii="Times New Roman" w:eastAsia="Times New Roman" w:hAnsi="Times New Roman" w:cs="Times New Roman"/>
          <w:color w:val="000000"/>
          <w:sz w:val="24"/>
          <w:szCs w:val="24"/>
          <w:vertAlign w:val="superscript"/>
          <w:lang w:eastAsia="en-US"/>
        </w:rPr>
        <w:t>2</w:t>
      </w:r>
      <w:r w:rsidR="00D45931" w:rsidRPr="00F07DEB">
        <w:rPr>
          <w:rFonts w:ascii="Times New Roman" w:eastAsia="Times New Roman" w:hAnsi="Times New Roman" w:cs="Times New Roman"/>
          <w:color w:val="000000"/>
          <w:sz w:val="24"/>
          <w:szCs w:val="24"/>
          <w:lang w:eastAsia="en-US"/>
        </w:rPr>
        <w:t xml:space="preserve">), which is a standardized measure of the variance in metal concentration explained by the associated effect </w:t>
      </w:r>
      <w:r w:rsidR="00D45931" w:rsidRPr="00F07DEB">
        <w:rPr>
          <w:rFonts w:ascii="Times New Roman" w:eastAsia="Times New Roman" w:hAnsi="Times New Roman" w:cs="Times New Roman"/>
          <w:color w:val="000000"/>
          <w:sz w:val="24"/>
          <w:szCs w:val="24"/>
          <w:lang w:eastAsia="en-US"/>
        </w:rPr>
        <w:fldChar w:fldCharType="begin"/>
      </w:r>
      <w:r w:rsidR="00D45931" w:rsidRPr="00F07DEB">
        <w:rPr>
          <w:rFonts w:ascii="Times New Roman" w:eastAsia="Times New Roman" w:hAnsi="Times New Roman" w:cs="Times New Roman"/>
          <w:color w:val="000000"/>
          <w:sz w:val="24"/>
          <w:szCs w:val="24"/>
          <w:lang w:eastAsia="en-US"/>
        </w:rPr>
        <w:instrText xml:space="preserve"> ADDIN ZOTERO_ITEM CSL_CITATION {"citationID":"VD3xgcHt","properties":{"formattedCitation":"(Lakens, 2013)","plainCitation":"(Lakens, 2013)","noteIndex":0},"citationItems":[{"id":851,"uris":["http://zotero.org/users/5446453/items/I7ADYWCF"],"uri":["http://zotero.org/users/5446453/items/I7ADYWCF"],"itemData":{"id":851,"type":"article-journal","abstract":"Effect sizes are the most important outcome of empirical studies. Most articles on effect sizes highlight their importance to communicate the practical significance of results. For scientists themselves, effect sizes are most useful because they facilitate cumulative science. Effect sizes can be used to determine the sample size for follow-up studies, or examining effects across studies. This article aims to provide a practical primer on how to calculate and report effect sizes for t-tests and ANOVA’s such that effect sizes can be used in a-priori power analyses and meta-analyses. Whereas many articles about effect sizes focus on between-subjects designs and address within-subjects designs only briefly, I provide a detailed overview of the similarities and differences between within- and between-subjects designs. I suggest that some research questions in experimental psychology examine inherently intra-individual effects, which makes effect sizes that incorporate the correlation between measures the best summary of the results. Finally, a supplementary spreadsheet is provided to make it as easy as possible for researchers to incorporate effect size calculations into their workflow.","container-title":"Frontiers in Psychology","DOI":"10.3389/fpsyg.2013.00863","ISSN":"1664-1078","journalAbbreviation":"Front. Psychol.","language":"English","note":"publisher: Frontiers","source":"Frontiers","title":"Calculating and reporting effect sizes to facilitate cumulative science: a practical primer for t-tests and ANOVAs","title-short":"Calculating and reporting effect sizes to facilitate cumulative science","URL":"https://www.frontiersin.org/articles/10.3389/fpsyg.2013.00863/full","volume":"4","author":[{"family":"Lakens","given":"Daniel"}],"accessed":{"date-parts":[["2020",11,13]]},"issued":{"date-parts":[["2013"]]}}}],"schema":"https://github.com/citation-style-language/schema/raw/master/csl-citation.json"} </w:instrText>
      </w:r>
      <w:r w:rsidR="00D45931" w:rsidRPr="00F07DEB">
        <w:rPr>
          <w:rFonts w:ascii="Times New Roman" w:eastAsia="Times New Roman" w:hAnsi="Times New Roman" w:cs="Times New Roman"/>
          <w:color w:val="000000"/>
          <w:sz w:val="24"/>
          <w:szCs w:val="24"/>
          <w:lang w:eastAsia="en-US"/>
        </w:rPr>
        <w:fldChar w:fldCharType="separate"/>
      </w:r>
      <w:r w:rsidR="00234033" w:rsidRPr="00234033">
        <w:rPr>
          <w:rFonts w:ascii="Times New Roman" w:hAnsi="Times New Roman" w:cs="Times New Roman"/>
          <w:sz w:val="24"/>
        </w:rPr>
        <w:t>(Lakens, 2013)</w:t>
      </w:r>
      <w:r w:rsidR="00D45931" w:rsidRPr="00F07DEB">
        <w:rPr>
          <w:rFonts w:ascii="Times New Roman" w:eastAsia="Times New Roman" w:hAnsi="Times New Roman" w:cs="Times New Roman"/>
          <w:color w:val="000000"/>
          <w:sz w:val="24"/>
          <w:szCs w:val="24"/>
          <w:lang w:eastAsia="en-US"/>
        </w:rPr>
        <w:fldChar w:fldCharType="end"/>
      </w:r>
      <w:r w:rsidR="00D45931" w:rsidRPr="00F07DEB">
        <w:rPr>
          <w:rFonts w:ascii="Times New Roman" w:eastAsia="Times New Roman" w:hAnsi="Times New Roman" w:cs="Times New Roman"/>
          <w:color w:val="000000"/>
          <w:sz w:val="24"/>
          <w:szCs w:val="24"/>
          <w:lang w:eastAsia="en-US"/>
        </w:rPr>
        <w:t xml:space="preserve">. </w:t>
      </w:r>
      <w:r w:rsidR="00365522" w:rsidRPr="00F07DEB">
        <w:rPr>
          <w:rFonts w:ascii="Times New Roman" w:eastAsia="Times New Roman" w:hAnsi="Times New Roman" w:cs="Times New Roman"/>
          <w:color w:val="000000"/>
          <w:sz w:val="24"/>
          <w:szCs w:val="24"/>
          <w:lang w:eastAsia="en-US"/>
        </w:rPr>
        <w:t>The elements of concern were separated into two groups based on mass loading from the fertilizer, which</w:t>
      </w:r>
      <w:r w:rsidR="00873691" w:rsidRPr="00F07DEB">
        <w:rPr>
          <w:rFonts w:ascii="Times New Roman" w:eastAsia="Times New Roman" w:hAnsi="Times New Roman" w:cs="Times New Roman"/>
          <w:color w:val="000000"/>
          <w:sz w:val="24"/>
          <w:szCs w:val="24"/>
          <w:lang w:eastAsia="en-US"/>
        </w:rPr>
        <w:t xml:space="preserve"> could have</w:t>
      </w:r>
      <w:r w:rsidR="00365522" w:rsidRPr="00F07DEB">
        <w:rPr>
          <w:rFonts w:ascii="Times New Roman" w:eastAsia="Times New Roman" w:hAnsi="Times New Roman" w:cs="Times New Roman"/>
          <w:color w:val="000000"/>
          <w:sz w:val="24"/>
          <w:szCs w:val="24"/>
          <w:lang w:eastAsia="en-US"/>
        </w:rPr>
        <w:t xml:space="preserve"> obscured the effects of certain metals, as well as irrigation criteria and the statistical comparison of concentrations in the mine water and groundwater. The first group, which did not play a major role in </w:t>
      </w:r>
      <w:r w:rsidR="00527CF1" w:rsidRPr="00F07DEB">
        <w:rPr>
          <w:rFonts w:ascii="Times New Roman" w:eastAsia="Times New Roman" w:hAnsi="Times New Roman" w:cs="Times New Roman"/>
          <w:color w:val="000000"/>
          <w:sz w:val="24"/>
          <w:szCs w:val="24"/>
          <w:lang w:eastAsia="en-US"/>
        </w:rPr>
        <w:t xml:space="preserve">differentiating </w:t>
      </w:r>
      <w:r w:rsidR="00365522" w:rsidRPr="00F07DEB">
        <w:rPr>
          <w:rFonts w:ascii="Times New Roman" w:eastAsia="Times New Roman" w:hAnsi="Times New Roman" w:cs="Times New Roman"/>
          <w:color w:val="000000"/>
          <w:sz w:val="24"/>
          <w:szCs w:val="24"/>
          <w:lang w:eastAsia="en-US"/>
        </w:rPr>
        <w:t xml:space="preserve">metals uptake </w:t>
      </w:r>
      <w:r w:rsidR="00527CF1" w:rsidRPr="00F07DEB">
        <w:rPr>
          <w:rFonts w:ascii="Times New Roman" w:eastAsia="Times New Roman" w:hAnsi="Times New Roman" w:cs="Times New Roman"/>
          <w:color w:val="000000"/>
          <w:sz w:val="24"/>
          <w:szCs w:val="24"/>
          <w:lang w:eastAsia="en-US"/>
        </w:rPr>
        <w:t xml:space="preserve">by irrigation treatment </w:t>
      </w:r>
      <w:r w:rsidR="00365522" w:rsidRPr="00F07DEB">
        <w:rPr>
          <w:rFonts w:ascii="Times New Roman" w:eastAsia="Times New Roman" w:hAnsi="Times New Roman" w:cs="Times New Roman"/>
          <w:color w:val="000000"/>
          <w:sz w:val="24"/>
          <w:szCs w:val="24"/>
          <w:lang w:eastAsia="en-US"/>
        </w:rPr>
        <w:t xml:space="preserve">due to various combinations of the aforementioned factors, received a cursory follow-up analysis after being subjected to </w:t>
      </w:r>
      <w:proofErr w:type="gramStart"/>
      <w:r w:rsidR="00365522" w:rsidRPr="00F07DEB">
        <w:rPr>
          <w:rFonts w:ascii="Times New Roman" w:eastAsia="Times New Roman" w:hAnsi="Times New Roman" w:cs="Times New Roman"/>
          <w:color w:val="000000"/>
          <w:sz w:val="24"/>
          <w:szCs w:val="24"/>
          <w:lang w:eastAsia="en-US"/>
        </w:rPr>
        <w:t>mixed</w:t>
      </w:r>
      <w:proofErr w:type="gramEnd"/>
      <w:r w:rsidR="00365522" w:rsidRPr="00F07DEB">
        <w:rPr>
          <w:rFonts w:ascii="Times New Roman" w:eastAsia="Times New Roman" w:hAnsi="Times New Roman" w:cs="Times New Roman"/>
          <w:color w:val="000000"/>
          <w:sz w:val="24"/>
          <w:szCs w:val="24"/>
          <w:lang w:eastAsia="en-US"/>
        </w:rPr>
        <w:t xml:space="preserve"> ANOVA. For this first group, which consisted of Fe, K, </w:t>
      </w:r>
      <w:proofErr w:type="spellStart"/>
      <w:r w:rsidR="00365522" w:rsidRPr="00F07DEB">
        <w:rPr>
          <w:rFonts w:ascii="Times New Roman" w:eastAsia="Times New Roman" w:hAnsi="Times New Roman" w:cs="Times New Roman"/>
          <w:color w:val="000000"/>
          <w:sz w:val="24"/>
          <w:szCs w:val="24"/>
          <w:lang w:eastAsia="en-US"/>
        </w:rPr>
        <w:t>Mn</w:t>
      </w:r>
      <w:proofErr w:type="spellEnd"/>
      <w:r w:rsidR="00365522" w:rsidRPr="00F07DEB">
        <w:rPr>
          <w:rFonts w:ascii="Times New Roman" w:eastAsia="Times New Roman" w:hAnsi="Times New Roman" w:cs="Times New Roman"/>
          <w:color w:val="000000"/>
          <w:sz w:val="24"/>
          <w:szCs w:val="24"/>
          <w:lang w:eastAsia="en-US"/>
        </w:rPr>
        <w:t xml:space="preserve">, Ni, </w:t>
      </w:r>
      <w:proofErr w:type="spellStart"/>
      <w:r w:rsidR="00365522" w:rsidRPr="00F07DEB">
        <w:rPr>
          <w:rFonts w:ascii="Times New Roman" w:eastAsia="Times New Roman" w:hAnsi="Times New Roman" w:cs="Times New Roman"/>
          <w:color w:val="000000"/>
          <w:sz w:val="24"/>
          <w:szCs w:val="24"/>
          <w:lang w:eastAsia="en-US"/>
        </w:rPr>
        <w:t>Pb</w:t>
      </w:r>
      <w:proofErr w:type="spellEnd"/>
      <w:r w:rsidR="00365522" w:rsidRPr="00F07DEB">
        <w:rPr>
          <w:rFonts w:ascii="Times New Roman" w:eastAsia="Times New Roman" w:hAnsi="Times New Roman" w:cs="Times New Roman"/>
          <w:color w:val="000000"/>
          <w:sz w:val="24"/>
          <w:szCs w:val="24"/>
          <w:lang w:eastAsia="en-US"/>
        </w:rPr>
        <w:t xml:space="preserve">, and Zn, the pairwise comparisons of main effects and simple main effects can be found in </w:t>
      </w:r>
      <w:r w:rsidR="00421B82">
        <w:rPr>
          <w:rFonts w:ascii="Times New Roman" w:eastAsia="Times New Roman" w:hAnsi="Times New Roman" w:cs="Times New Roman"/>
          <w:color w:val="000000"/>
          <w:sz w:val="24"/>
          <w:szCs w:val="24"/>
          <w:lang w:eastAsia="en-US"/>
        </w:rPr>
        <w:t>A</w:t>
      </w:r>
      <w:r w:rsidR="00365522" w:rsidRPr="00F07DEB">
        <w:rPr>
          <w:rFonts w:ascii="Times New Roman" w:eastAsia="Times New Roman" w:hAnsi="Times New Roman" w:cs="Times New Roman"/>
          <w:color w:val="000000"/>
          <w:sz w:val="24"/>
          <w:szCs w:val="24"/>
          <w:lang w:eastAsia="en-US"/>
        </w:rPr>
        <w:t xml:space="preserve">ppendix </w:t>
      </w:r>
      <w:r w:rsidR="009C74A3">
        <w:rPr>
          <w:rFonts w:ascii="Times New Roman" w:eastAsia="Times New Roman" w:hAnsi="Times New Roman" w:cs="Times New Roman"/>
          <w:color w:val="000000"/>
          <w:sz w:val="24"/>
          <w:szCs w:val="24"/>
          <w:lang w:eastAsia="en-US"/>
        </w:rPr>
        <w:t>C</w:t>
      </w:r>
      <w:r w:rsidR="00421B82">
        <w:rPr>
          <w:rFonts w:ascii="Times New Roman" w:eastAsia="Times New Roman" w:hAnsi="Times New Roman" w:cs="Times New Roman"/>
          <w:color w:val="000000"/>
          <w:sz w:val="24"/>
          <w:szCs w:val="24"/>
          <w:lang w:eastAsia="en-US"/>
        </w:rPr>
        <w:t xml:space="preserve"> </w:t>
      </w:r>
      <w:r w:rsidR="00365522" w:rsidRPr="00F07DEB">
        <w:rPr>
          <w:rFonts w:ascii="Times New Roman" w:eastAsia="Times New Roman" w:hAnsi="Times New Roman" w:cs="Times New Roman"/>
          <w:color w:val="000000"/>
          <w:sz w:val="24"/>
          <w:szCs w:val="24"/>
          <w:lang w:eastAsia="en-US"/>
        </w:rPr>
        <w:t>alongside exploratory graphs</w:t>
      </w:r>
      <w:r w:rsidR="00421B82">
        <w:rPr>
          <w:rFonts w:ascii="Times New Roman" w:eastAsia="Times New Roman" w:hAnsi="Times New Roman" w:cs="Times New Roman"/>
          <w:color w:val="000000"/>
          <w:sz w:val="24"/>
          <w:szCs w:val="24"/>
          <w:lang w:eastAsia="en-US"/>
        </w:rPr>
        <w:t xml:space="preserve"> of biomass K and </w:t>
      </w:r>
      <w:proofErr w:type="spellStart"/>
      <w:r w:rsidR="00421B82">
        <w:rPr>
          <w:rFonts w:ascii="Times New Roman" w:eastAsia="Times New Roman" w:hAnsi="Times New Roman" w:cs="Times New Roman"/>
          <w:color w:val="000000"/>
          <w:sz w:val="24"/>
          <w:szCs w:val="24"/>
          <w:lang w:eastAsia="en-US"/>
        </w:rPr>
        <w:t>Mn</w:t>
      </w:r>
      <w:proofErr w:type="spellEnd"/>
      <w:r w:rsidR="00421B82">
        <w:rPr>
          <w:rFonts w:ascii="Times New Roman" w:eastAsia="Times New Roman" w:hAnsi="Times New Roman" w:cs="Times New Roman"/>
          <w:color w:val="000000"/>
          <w:sz w:val="24"/>
          <w:szCs w:val="24"/>
          <w:lang w:eastAsia="en-US"/>
        </w:rPr>
        <w:t xml:space="preserve"> concentrations</w:t>
      </w:r>
      <w:r w:rsidR="00365522" w:rsidRPr="00F07DEB">
        <w:rPr>
          <w:rFonts w:ascii="Times New Roman" w:eastAsia="Times New Roman" w:hAnsi="Times New Roman" w:cs="Times New Roman"/>
          <w:color w:val="000000"/>
          <w:sz w:val="24"/>
          <w:szCs w:val="24"/>
          <w:lang w:eastAsia="en-US"/>
        </w:rPr>
        <w:t xml:space="preserve">. </w:t>
      </w:r>
    </w:p>
    <w:p w14:paraId="3724B380" w14:textId="01AEDBB2" w:rsidR="00214D61" w:rsidRDefault="002A695E" w:rsidP="00A71F9B">
      <w:pPr>
        <w:spacing w:line="480" w:lineRule="auto"/>
        <w:ind w:firstLine="713"/>
        <w:rPr>
          <w:rFonts w:ascii="Times New Roman" w:eastAsia="Times New Roman" w:hAnsi="Times New Roman" w:cs="Times New Roman"/>
          <w:color w:val="000000"/>
          <w:sz w:val="24"/>
          <w:szCs w:val="24"/>
          <w:lang w:eastAsia="en-US"/>
        </w:rPr>
      </w:pPr>
      <w:r w:rsidRPr="00F07DEB">
        <w:rPr>
          <w:rFonts w:ascii="Times New Roman" w:eastAsia="Times New Roman" w:hAnsi="Times New Roman" w:cs="Times New Roman"/>
          <w:color w:val="000000"/>
          <w:sz w:val="24"/>
          <w:szCs w:val="24"/>
          <w:lang w:eastAsia="en-US"/>
        </w:rPr>
        <w:tab/>
      </w:r>
      <w:r w:rsidR="009678A2">
        <w:rPr>
          <w:rFonts w:ascii="Times New Roman" w:eastAsia="Times New Roman" w:hAnsi="Times New Roman" w:cs="Times New Roman"/>
          <w:color w:val="000000"/>
          <w:sz w:val="24"/>
          <w:szCs w:val="24"/>
          <w:lang w:eastAsia="en-US"/>
        </w:rPr>
        <w:t xml:space="preserve">Fe </w:t>
      </w:r>
      <w:r w:rsidRPr="00F07DEB">
        <w:rPr>
          <w:rFonts w:ascii="Times New Roman" w:eastAsia="Times New Roman" w:hAnsi="Times New Roman" w:cs="Times New Roman"/>
          <w:color w:val="000000"/>
          <w:sz w:val="24"/>
          <w:szCs w:val="24"/>
          <w:lang w:eastAsia="en-US"/>
        </w:rPr>
        <w:t>concentrations of mine water- and groundwater-irrigated plants</w:t>
      </w:r>
      <w:r w:rsidR="00CE3D29">
        <w:rPr>
          <w:rFonts w:ascii="Times New Roman" w:eastAsia="Times New Roman" w:hAnsi="Times New Roman" w:cs="Times New Roman"/>
          <w:color w:val="000000"/>
          <w:sz w:val="24"/>
          <w:szCs w:val="24"/>
          <w:lang w:eastAsia="en-US"/>
        </w:rPr>
        <w:t>, presented i</w:t>
      </w:r>
      <w:r w:rsidR="00CE3D29" w:rsidRPr="00CE3D29">
        <w:rPr>
          <w:rFonts w:ascii="Times New Roman" w:eastAsia="Times New Roman" w:hAnsi="Times New Roman" w:cs="Times New Roman"/>
          <w:color w:val="000000"/>
          <w:sz w:val="24"/>
          <w:szCs w:val="24"/>
          <w:lang w:eastAsia="en-US"/>
        </w:rPr>
        <w:t xml:space="preserve">n </w:t>
      </w:r>
      <w:r w:rsidR="00CE3D29" w:rsidRPr="00CE3D29">
        <w:rPr>
          <w:rFonts w:ascii="Times New Roman" w:eastAsia="Times New Roman" w:hAnsi="Times New Roman" w:cs="Times New Roman"/>
          <w:color w:val="000000"/>
          <w:sz w:val="24"/>
          <w:szCs w:val="24"/>
          <w:lang w:eastAsia="en-US"/>
        </w:rPr>
        <w:fldChar w:fldCharType="begin"/>
      </w:r>
      <w:r w:rsidR="00CE3D29" w:rsidRPr="00CE3D29">
        <w:rPr>
          <w:rFonts w:ascii="Times New Roman" w:eastAsia="Times New Roman" w:hAnsi="Times New Roman" w:cs="Times New Roman"/>
          <w:color w:val="000000"/>
          <w:sz w:val="24"/>
          <w:szCs w:val="24"/>
          <w:lang w:eastAsia="en-US"/>
        </w:rPr>
        <w:instrText xml:space="preserve"> REF _Ref56717794 \h  \* MERGEFORMAT </w:instrText>
      </w:r>
      <w:r w:rsidR="00CE3D29" w:rsidRPr="00CE3D29">
        <w:rPr>
          <w:rFonts w:ascii="Times New Roman" w:eastAsia="Times New Roman" w:hAnsi="Times New Roman" w:cs="Times New Roman"/>
          <w:color w:val="000000"/>
          <w:sz w:val="24"/>
          <w:szCs w:val="24"/>
          <w:lang w:eastAsia="en-US"/>
        </w:rPr>
      </w:r>
      <w:r w:rsidR="00CE3D29" w:rsidRPr="00CE3D29">
        <w:rPr>
          <w:rFonts w:ascii="Times New Roman" w:eastAsia="Times New Roman" w:hAnsi="Times New Roman" w:cs="Times New Roman"/>
          <w:color w:val="000000"/>
          <w:sz w:val="24"/>
          <w:szCs w:val="24"/>
          <w:lang w:eastAsia="en-US"/>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31</w:t>
      </w:r>
      <w:r w:rsidR="00CE3D29" w:rsidRPr="00CE3D29">
        <w:rPr>
          <w:rFonts w:ascii="Times New Roman" w:eastAsia="Times New Roman" w:hAnsi="Times New Roman" w:cs="Times New Roman"/>
          <w:color w:val="000000"/>
          <w:sz w:val="24"/>
          <w:szCs w:val="24"/>
          <w:lang w:eastAsia="en-US"/>
        </w:rPr>
        <w:fldChar w:fldCharType="end"/>
      </w:r>
      <w:r w:rsidR="00CE3D29" w:rsidRPr="00CE3D29">
        <w:rPr>
          <w:rFonts w:ascii="Times New Roman" w:eastAsia="Times New Roman" w:hAnsi="Times New Roman" w:cs="Times New Roman"/>
          <w:color w:val="000000"/>
          <w:sz w:val="24"/>
          <w:szCs w:val="24"/>
          <w:lang w:eastAsia="en-US"/>
        </w:rPr>
        <w:t>,</w:t>
      </w:r>
      <w:r w:rsidRPr="00F07DEB">
        <w:rPr>
          <w:rFonts w:ascii="Times New Roman" w:eastAsia="Times New Roman" w:hAnsi="Times New Roman" w:cs="Times New Roman"/>
          <w:color w:val="000000"/>
          <w:sz w:val="24"/>
          <w:szCs w:val="24"/>
          <w:lang w:eastAsia="en-US"/>
        </w:rPr>
        <w:t xml:space="preserve"> were not significantly different for any of the three species. However, plant structure had a significant main effect on </w:t>
      </w:r>
      <w:r w:rsidR="009678A2">
        <w:rPr>
          <w:rFonts w:ascii="Times New Roman" w:eastAsia="Times New Roman" w:hAnsi="Times New Roman" w:cs="Times New Roman"/>
          <w:color w:val="000000"/>
          <w:sz w:val="24"/>
          <w:szCs w:val="24"/>
          <w:lang w:eastAsia="en-US"/>
        </w:rPr>
        <w:t xml:space="preserve">Fe </w:t>
      </w:r>
      <w:r w:rsidRPr="00F07DEB">
        <w:rPr>
          <w:rFonts w:ascii="Times New Roman" w:eastAsia="Times New Roman" w:hAnsi="Times New Roman" w:cs="Times New Roman"/>
          <w:color w:val="000000"/>
          <w:sz w:val="24"/>
          <w:szCs w:val="24"/>
          <w:lang w:eastAsia="en-US"/>
        </w:rPr>
        <w:t>uptake for all species. Corn (</w:t>
      </w:r>
      <w:proofErr w:type="gramStart"/>
      <w:r w:rsidRPr="00204C13">
        <w:rPr>
          <w:rFonts w:ascii="Times New Roman" w:eastAsia="Times New Roman" w:hAnsi="Times New Roman" w:cs="Times New Roman"/>
          <w:i/>
          <w:color w:val="000000"/>
          <w:sz w:val="24"/>
          <w:szCs w:val="24"/>
          <w:lang w:eastAsia="en-US"/>
        </w:rPr>
        <w:t>F</w:t>
      </w:r>
      <w:r w:rsidRPr="00F07DEB">
        <w:rPr>
          <w:rFonts w:ascii="Times New Roman" w:eastAsia="Times New Roman" w:hAnsi="Times New Roman" w:cs="Times New Roman"/>
          <w:color w:val="000000"/>
          <w:sz w:val="24"/>
          <w:szCs w:val="24"/>
          <w:lang w:eastAsia="en-US"/>
        </w:rPr>
        <w:t>(</w:t>
      </w:r>
      <w:proofErr w:type="gramEnd"/>
      <w:r w:rsidRPr="00F07DEB">
        <w:rPr>
          <w:rFonts w:ascii="Times New Roman" w:eastAsia="Times New Roman" w:hAnsi="Times New Roman" w:cs="Times New Roman"/>
          <w:color w:val="000000"/>
          <w:sz w:val="24"/>
          <w:szCs w:val="24"/>
          <w:lang w:eastAsia="en-US"/>
        </w:rPr>
        <w:t xml:space="preserve">2.81,28.08) = 83.3, </w:t>
      </w:r>
      <w:r w:rsidRPr="00385CDA">
        <w:rPr>
          <w:rFonts w:ascii="Times New Roman" w:eastAsia="Times New Roman" w:hAnsi="Times New Roman" w:cs="Times New Roman"/>
          <w:i/>
          <w:color w:val="000000"/>
          <w:sz w:val="24"/>
          <w:szCs w:val="24"/>
          <w:lang w:eastAsia="en-US"/>
        </w:rPr>
        <w:t>p</w:t>
      </w:r>
      <w:r w:rsidRPr="00F07DEB">
        <w:rPr>
          <w:rFonts w:ascii="Times New Roman" w:eastAsia="Times New Roman" w:hAnsi="Times New Roman" w:cs="Times New Roman"/>
          <w:color w:val="000000"/>
          <w:sz w:val="24"/>
          <w:szCs w:val="24"/>
          <w:lang w:eastAsia="en-US"/>
        </w:rPr>
        <w:t xml:space="preserve"> &lt; 0.001) and sorghum (</w:t>
      </w:r>
      <w:r w:rsidRPr="00204C13">
        <w:rPr>
          <w:rFonts w:ascii="Times New Roman" w:eastAsia="Times New Roman" w:hAnsi="Times New Roman" w:cs="Times New Roman"/>
          <w:i/>
          <w:color w:val="000000"/>
          <w:sz w:val="24"/>
          <w:szCs w:val="24"/>
          <w:lang w:eastAsia="en-US"/>
        </w:rPr>
        <w:t>F</w:t>
      </w:r>
      <w:r w:rsidRPr="00F07DEB">
        <w:rPr>
          <w:rFonts w:ascii="Times New Roman" w:eastAsia="Times New Roman" w:hAnsi="Times New Roman" w:cs="Times New Roman"/>
          <w:color w:val="000000"/>
          <w:sz w:val="24"/>
          <w:szCs w:val="24"/>
          <w:lang w:eastAsia="en-US"/>
        </w:rPr>
        <w:t xml:space="preserve">(1.07,10.68) = 94.3, </w:t>
      </w:r>
      <w:r w:rsidRPr="00385CDA">
        <w:rPr>
          <w:rFonts w:ascii="Times New Roman" w:eastAsia="Times New Roman" w:hAnsi="Times New Roman" w:cs="Times New Roman"/>
          <w:i/>
          <w:color w:val="000000"/>
          <w:sz w:val="24"/>
          <w:szCs w:val="24"/>
          <w:lang w:eastAsia="en-US"/>
        </w:rPr>
        <w:t>p</w:t>
      </w:r>
      <w:r w:rsidRPr="00F07DEB">
        <w:rPr>
          <w:rFonts w:ascii="Times New Roman" w:eastAsia="Times New Roman" w:hAnsi="Times New Roman" w:cs="Times New Roman"/>
          <w:color w:val="000000"/>
          <w:sz w:val="24"/>
          <w:szCs w:val="24"/>
          <w:lang w:eastAsia="en-US"/>
        </w:rPr>
        <w:t xml:space="preserve"> &lt; 0.001) plants exhibited the same pattern of </w:t>
      </w:r>
      <w:r w:rsidR="009678A2">
        <w:rPr>
          <w:rFonts w:ascii="Times New Roman" w:eastAsia="Times New Roman" w:hAnsi="Times New Roman" w:cs="Times New Roman"/>
          <w:color w:val="000000"/>
          <w:sz w:val="24"/>
          <w:szCs w:val="24"/>
          <w:lang w:eastAsia="en-US"/>
        </w:rPr>
        <w:t xml:space="preserve">Fe </w:t>
      </w:r>
      <w:r w:rsidRPr="00F07DEB">
        <w:rPr>
          <w:rFonts w:ascii="Times New Roman" w:eastAsia="Times New Roman" w:hAnsi="Times New Roman" w:cs="Times New Roman"/>
          <w:color w:val="000000"/>
          <w:sz w:val="24"/>
          <w:szCs w:val="24"/>
          <w:lang w:eastAsia="en-US"/>
        </w:rPr>
        <w:t>accumulation: uptake was greatest in the roots, then the leaves, and was equally low in all other structures. In the Bermuda gra</w:t>
      </w:r>
      <w:r w:rsidR="00214D61" w:rsidRPr="00F07DEB">
        <w:rPr>
          <w:rFonts w:ascii="Times New Roman" w:eastAsia="Times New Roman" w:hAnsi="Times New Roman" w:cs="Times New Roman"/>
          <w:color w:val="000000"/>
          <w:sz w:val="24"/>
          <w:szCs w:val="24"/>
          <w:lang w:eastAsia="en-US"/>
        </w:rPr>
        <w:t xml:space="preserve">ss, </w:t>
      </w:r>
      <w:r w:rsidR="00042C57" w:rsidRPr="00F07DEB">
        <w:rPr>
          <w:rFonts w:ascii="Times New Roman" w:eastAsia="Times New Roman" w:hAnsi="Times New Roman" w:cs="Times New Roman"/>
          <w:color w:val="000000"/>
          <w:sz w:val="24"/>
          <w:szCs w:val="24"/>
          <w:lang w:eastAsia="en-US"/>
        </w:rPr>
        <w:t>structures</w:t>
      </w:r>
      <w:r w:rsidR="00214D61" w:rsidRPr="00F07DEB">
        <w:rPr>
          <w:rFonts w:ascii="Times New Roman" w:eastAsia="Times New Roman" w:hAnsi="Times New Roman" w:cs="Times New Roman"/>
          <w:color w:val="000000"/>
          <w:sz w:val="24"/>
          <w:szCs w:val="24"/>
          <w:lang w:eastAsia="en-US"/>
        </w:rPr>
        <w:t xml:space="preserve"> accumulated</w:t>
      </w:r>
      <w:r w:rsidRPr="00F07DEB">
        <w:rPr>
          <w:rFonts w:ascii="Times New Roman" w:eastAsia="Times New Roman" w:hAnsi="Times New Roman" w:cs="Times New Roman"/>
          <w:color w:val="000000"/>
          <w:sz w:val="24"/>
          <w:szCs w:val="24"/>
          <w:lang w:eastAsia="en-US"/>
        </w:rPr>
        <w:t xml:space="preserve"> </w:t>
      </w:r>
      <w:r w:rsidR="009678A2">
        <w:rPr>
          <w:rFonts w:ascii="Times New Roman" w:eastAsia="Times New Roman" w:hAnsi="Times New Roman" w:cs="Times New Roman"/>
          <w:color w:val="000000"/>
          <w:sz w:val="24"/>
          <w:szCs w:val="24"/>
          <w:lang w:eastAsia="en-US"/>
        </w:rPr>
        <w:t xml:space="preserve">Fe </w:t>
      </w:r>
      <w:r w:rsidRPr="00F07DEB">
        <w:rPr>
          <w:rFonts w:ascii="Times New Roman" w:eastAsia="Times New Roman" w:hAnsi="Times New Roman" w:cs="Times New Roman"/>
          <w:color w:val="000000"/>
          <w:sz w:val="24"/>
          <w:szCs w:val="24"/>
          <w:lang w:eastAsia="en-US"/>
        </w:rPr>
        <w:t xml:space="preserve">in the following order: Roots &gt; Grass2 &gt; Grass1, where Grass1 and Grass2 refer to the first and second samplings of the </w:t>
      </w:r>
      <w:r w:rsidR="00355EB3" w:rsidRPr="00F07DEB">
        <w:rPr>
          <w:rFonts w:ascii="Times New Roman" w:eastAsia="Times New Roman" w:hAnsi="Times New Roman" w:cs="Times New Roman"/>
          <w:color w:val="000000"/>
          <w:sz w:val="24"/>
          <w:szCs w:val="24"/>
          <w:lang w:eastAsia="en-US"/>
        </w:rPr>
        <w:t>aboveground</w:t>
      </w:r>
      <w:r w:rsidRPr="00F07DEB">
        <w:rPr>
          <w:rFonts w:ascii="Times New Roman" w:eastAsia="Times New Roman" w:hAnsi="Times New Roman" w:cs="Times New Roman"/>
          <w:color w:val="000000"/>
          <w:sz w:val="24"/>
          <w:szCs w:val="24"/>
          <w:lang w:eastAsia="en-US"/>
        </w:rPr>
        <w:t xml:space="preserve"> biomass </w:t>
      </w:r>
      <w:r w:rsidRPr="00F07DEB">
        <w:rPr>
          <w:rFonts w:ascii="Times New Roman" w:eastAsia="Times New Roman" w:hAnsi="Times New Roman" w:cs="Times New Roman"/>
          <w:color w:val="000000"/>
          <w:sz w:val="24"/>
          <w:szCs w:val="24"/>
          <w:lang w:eastAsia="en-US"/>
        </w:rPr>
        <w:lastRenderedPageBreak/>
        <w:t>respectively (</w:t>
      </w:r>
      <w:proofErr w:type="gramStart"/>
      <w:r w:rsidRPr="00204C13">
        <w:rPr>
          <w:rFonts w:ascii="Times New Roman" w:eastAsia="Times New Roman" w:hAnsi="Times New Roman" w:cs="Times New Roman"/>
          <w:i/>
          <w:color w:val="000000"/>
          <w:sz w:val="24"/>
          <w:szCs w:val="24"/>
          <w:lang w:eastAsia="en-US"/>
        </w:rPr>
        <w:t>F</w:t>
      </w:r>
      <w:r w:rsidRPr="00F07DEB">
        <w:rPr>
          <w:rFonts w:ascii="Times New Roman" w:eastAsia="Times New Roman" w:hAnsi="Times New Roman" w:cs="Times New Roman"/>
          <w:color w:val="000000"/>
          <w:sz w:val="24"/>
          <w:szCs w:val="24"/>
          <w:lang w:eastAsia="en-US"/>
        </w:rPr>
        <w:t>(</w:t>
      </w:r>
      <w:proofErr w:type="gramEnd"/>
      <w:r w:rsidRPr="00F07DEB">
        <w:rPr>
          <w:rFonts w:ascii="Times New Roman" w:eastAsia="Times New Roman" w:hAnsi="Times New Roman" w:cs="Times New Roman"/>
          <w:color w:val="000000"/>
          <w:sz w:val="24"/>
          <w:szCs w:val="24"/>
          <w:lang w:eastAsia="en-US"/>
        </w:rPr>
        <w:t xml:space="preserve">1.12,11.2) = 26.1, </w:t>
      </w:r>
      <w:r w:rsidRPr="00385CDA">
        <w:rPr>
          <w:rFonts w:ascii="Times New Roman" w:eastAsia="Times New Roman" w:hAnsi="Times New Roman" w:cs="Times New Roman"/>
          <w:i/>
          <w:color w:val="000000"/>
          <w:sz w:val="24"/>
          <w:szCs w:val="24"/>
          <w:lang w:eastAsia="en-US"/>
        </w:rPr>
        <w:t>p</w:t>
      </w:r>
      <w:r w:rsidRPr="00F07DEB">
        <w:rPr>
          <w:rFonts w:ascii="Times New Roman" w:eastAsia="Times New Roman" w:hAnsi="Times New Roman" w:cs="Times New Roman"/>
          <w:color w:val="000000"/>
          <w:sz w:val="24"/>
          <w:szCs w:val="24"/>
          <w:lang w:eastAsia="en-US"/>
        </w:rPr>
        <w:t xml:space="preserve"> &lt; 0.001). </w:t>
      </w:r>
      <w:r w:rsidR="00042C57" w:rsidRPr="00F07DEB">
        <w:rPr>
          <w:rFonts w:ascii="Times New Roman" w:eastAsia="Times New Roman" w:hAnsi="Times New Roman" w:cs="Times New Roman"/>
          <w:color w:val="000000"/>
          <w:sz w:val="24"/>
          <w:szCs w:val="24"/>
          <w:lang w:eastAsia="en-US"/>
        </w:rPr>
        <w:t>The interaction between irrigation treatment and plant structure was not significant for any of the species.</w:t>
      </w:r>
    </w:p>
    <w:p w14:paraId="77FAFB84" w14:textId="502DA2BA" w:rsidR="00CE3D29" w:rsidRDefault="002E56C1" w:rsidP="00CE3D29">
      <w:pPr>
        <w:keepNext/>
        <w:spacing w:line="480" w:lineRule="auto"/>
      </w:pPr>
      <w:r w:rsidRPr="002E56C1">
        <w:rPr>
          <w:rFonts w:ascii="Times New Roman" w:hAnsi="Times New Roman" w:cs="Times New Roman"/>
          <w:noProof/>
          <w:sz w:val="20"/>
          <w:szCs w:val="20"/>
          <w:lang w:eastAsia="en-US"/>
        </w:rPr>
        <w:drawing>
          <wp:inline distT="0" distB="0" distL="0" distR="0" wp14:anchorId="36086519" wp14:editId="11AA31F4">
            <wp:extent cx="5943600" cy="2971800"/>
            <wp:effectExtent l="0" t="0" r="0" b="0"/>
            <wp:docPr id="2" name="Picture 2" descr="C:\Users\harper3663\Documents\School\_CREW\Irrigation Project\R\Plots\Plant Metals\Corrected\PlantF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arper3663\Documents\School\_CREW\Irrigation Project\R\Plots\Plant Metals\Corrected\PlantFe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03EAC343" w14:textId="2ADDA656" w:rsidR="00CE3D29" w:rsidRDefault="00CE3D29" w:rsidP="00204C13">
      <w:pPr>
        <w:pStyle w:val="Caption"/>
        <w:rPr>
          <w:rFonts w:eastAsia="Times New Roman"/>
          <w:color w:val="000000"/>
          <w:sz w:val="24"/>
          <w:szCs w:val="24"/>
          <w:lang w:eastAsia="en-US"/>
        </w:rPr>
      </w:pPr>
      <w:bookmarkStart w:id="122" w:name="_Ref56717794"/>
      <w:bookmarkStart w:id="123" w:name="_Toc58975241"/>
      <w:r>
        <w:t xml:space="preserve">Figure </w:t>
      </w:r>
      <w:r w:rsidR="0033797C">
        <w:rPr>
          <w:noProof/>
        </w:rPr>
        <w:fldChar w:fldCharType="begin"/>
      </w:r>
      <w:r w:rsidR="0033797C">
        <w:rPr>
          <w:noProof/>
        </w:rPr>
        <w:instrText xml:space="preserve"> SEQ Figure \* ARABIC </w:instrText>
      </w:r>
      <w:r w:rsidR="0033797C">
        <w:rPr>
          <w:noProof/>
        </w:rPr>
        <w:fldChar w:fldCharType="separate"/>
      </w:r>
      <w:r w:rsidR="00E179CA">
        <w:rPr>
          <w:noProof/>
        </w:rPr>
        <w:t>31</w:t>
      </w:r>
      <w:r w:rsidR="0033797C">
        <w:rPr>
          <w:noProof/>
        </w:rPr>
        <w:fldChar w:fldCharType="end"/>
      </w:r>
      <w:bookmarkEnd w:id="122"/>
      <w:r>
        <w:rPr>
          <w:noProof/>
        </w:rPr>
        <w:t xml:space="preserve">: </w:t>
      </w:r>
      <w:r w:rsidRPr="005664DD">
        <w:rPr>
          <w:noProof/>
        </w:rPr>
        <w:t>Box plots of Fe concentrations in each plant and structure in mg/kg</w:t>
      </w:r>
      <w:bookmarkEnd w:id="123"/>
    </w:p>
    <w:p w14:paraId="0B22155E" w14:textId="77777777" w:rsidR="00CE3D29" w:rsidRPr="00F07DEB" w:rsidRDefault="00CE3D29" w:rsidP="00CE3D29">
      <w:pPr>
        <w:spacing w:line="480" w:lineRule="auto"/>
        <w:rPr>
          <w:rFonts w:ascii="Times New Roman" w:eastAsia="Times New Roman" w:hAnsi="Times New Roman" w:cs="Times New Roman"/>
          <w:color w:val="000000"/>
          <w:sz w:val="24"/>
          <w:szCs w:val="24"/>
          <w:lang w:eastAsia="en-US"/>
        </w:rPr>
      </w:pPr>
    </w:p>
    <w:p w14:paraId="156F2A20" w14:textId="697DAC90" w:rsidR="00042C57" w:rsidRPr="00F07DEB" w:rsidRDefault="009678A2" w:rsidP="00042C57">
      <w:pPr>
        <w:spacing w:line="480" w:lineRule="auto"/>
        <w:ind w:firstLine="713"/>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K</w:t>
      </w:r>
      <w:r w:rsidR="00CE3D29">
        <w:rPr>
          <w:rFonts w:ascii="Times New Roman" w:eastAsia="Times New Roman" w:hAnsi="Times New Roman" w:cs="Times New Roman"/>
          <w:color w:val="000000"/>
          <w:sz w:val="24"/>
          <w:szCs w:val="24"/>
          <w:lang w:eastAsia="en-US"/>
        </w:rPr>
        <w:t xml:space="preserve"> concentrations in</w:t>
      </w:r>
      <w:r w:rsidR="00214D61" w:rsidRPr="00F07DEB">
        <w:rPr>
          <w:rFonts w:ascii="Times New Roman" w:eastAsia="Times New Roman" w:hAnsi="Times New Roman" w:cs="Times New Roman"/>
          <w:color w:val="000000"/>
          <w:sz w:val="24"/>
          <w:szCs w:val="24"/>
          <w:lang w:eastAsia="en-US"/>
        </w:rPr>
        <w:t xml:space="preserve"> mine water- and groundwater-irrigated plants</w:t>
      </w:r>
      <w:r w:rsidR="00CE3D29">
        <w:rPr>
          <w:rFonts w:ascii="Times New Roman" w:eastAsia="Times New Roman" w:hAnsi="Times New Roman" w:cs="Times New Roman"/>
          <w:color w:val="000000"/>
          <w:sz w:val="24"/>
          <w:szCs w:val="24"/>
          <w:lang w:eastAsia="en-US"/>
        </w:rPr>
        <w:t xml:space="preserve">, </w:t>
      </w:r>
      <w:r w:rsidR="009C74A3">
        <w:rPr>
          <w:rFonts w:ascii="Times New Roman" w:eastAsia="Times New Roman" w:hAnsi="Times New Roman" w:cs="Times New Roman"/>
          <w:color w:val="000000"/>
          <w:sz w:val="24"/>
          <w:szCs w:val="24"/>
          <w:lang w:eastAsia="en-US"/>
        </w:rPr>
        <w:t>which can be found in Appendix C</w:t>
      </w:r>
      <w:r w:rsidR="00CE3D29">
        <w:rPr>
          <w:rFonts w:ascii="Times New Roman" w:eastAsia="Times New Roman" w:hAnsi="Times New Roman" w:cs="Times New Roman"/>
          <w:color w:val="000000"/>
          <w:sz w:val="24"/>
          <w:szCs w:val="24"/>
          <w:lang w:eastAsia="en-US"/>
        </w:rPr>
        <w:t>,</w:t>
      </w:r>
      <w:r w:rsidR="00214D61" w:rsidRPr="00F07DEB">
        <w:rPr>
          <w:rFonts w:ascii="Times New Roman" w:eastAsia="Times New Roman" w:hAnsi="Times New Roman" w:cs="Times New Roman"/>
          <w:color w:val="000000"/>
          <w:sz w:val="24"/>
          <w:szCs w:val="24"/>
          <w:lang w:eastAsia="en-US"/>
        </w:rPr>
        <w:t xml:space="preserve"> were not significantly differe</w:t>
      </w:r>
      <w:r w:rsidR="00F22943" w:rsidRPr="00F07DEB">
        <w:rPr>
          <w:rFonts w:ascii="Times New Roman" w:eastAsia="Times New Roman" w:hAnsi="Times New Roman" w:cs="Times New Roman"/>
          <w:color w:val="000000"/>
          <w:sz w:val="24"/>
          <w:szCs w:val="24"/>
          <w:lang w:eastAsia="en-US"/>
        </w:rPr>
        <w:t>nt for any of the three species, whereas p</w:t>
      </w:r>
      <w:r w:rsidR="00214D61" w:rsidRPr="00F07DEB">
        <w:rPr>
          <w:rFonts w:ascii="Times New Roman" w:eastAsia="Times New Roman" w:hAnsi="Times New Roman" w:cs="Times New Roman"/>
          <w:color w:val="000000"/>
          <w:sz w:val="24"/>
          <w:szCs w:val="24"/>
          <w:lang w:eastAsia="en-US"/>
        </w:rPr>
        <w:t xml:space="preserve">lant structure had a significant main effect on </w:t>
      </w:r>
      <w:r>
        <w:rPr>
          <w:rFonts w:ascii="Times New Roman" w:eastAsia="Times New Roman" w:hAnsi="Times New Roman" w:cs="Times New Roman"/>
          <w:color w:val="000000"/>
          <w:sz w:val="24"/>
          <w:szCs w:val="24"/>
          <w:lang w:eastAsia="en-US"/>
        </w:rPr>
        <w:t>K</w:t>
      </w:r>
      <w:r w:rsidR="00214D61" w:rsidRPr="00F07DEB">
        <w:rPr>
          <w:rFonts w:ascii="Times New Roman" w:eastAsia="Times New Roman" w:hAnsi="Times New Roman" w:cs="Times New Roman"/>
          <w:color w:val="000000"/>
          <w:sz w:val="24"/>
          <w:szCs w:val="24"/>
          <w:lang w:eastAsia="en-US"/>
        </w:rPr>
        <w:t xml:space="preserve"> concentrations for all species. </w:t>
      </w:r>
      <w:r w:rsidR="0014085B" w:rsidRPr="00F07DEB">
        <w:rPr>
          <w:rFonts w:ascii="Times New Roman" w:eastAsia="Times New Roman" w:hAnsi="Times New Roman" w:cs="Times New Roman"/>
          <w:color w:val="000000"/>
          <w:sz w:val="24"/>
          <w:szCs w:val="24"/>
          <w:lang w:eastAsia="en-US"/>
        </w:rPr>
        <w:t xml:space="preserve">Corn leaves </w:t>
      </w:r>
      <w:r w:rsidR="00790A75" w:rsidRPr="00F07DEB">
        <w:rPr>
          <w:rFonts w:ascii="Times New Roman" w:eastAsia="Times New Roman" w:hAnsi="Times New Roman" w:cs="Times New Roman"/>
          <w:color w:val="000000"/>
          <w:sz w:val="24"/>
          <w:szCs w:val="24"/>
          <w:lang w:eastAsia="en-US"/>
        </w:rPr>
        <w:t xml:space="preserve">accumulated greater concentrations of </w:t>
      </w:r>
      <w:r>
        <w:rPr>
          <w:rFonts w:ascii="Times New Roman" w:eastAsia="Times New Roman" w:hAnsi="Times New Roman" w:cs="Times New Roman"/>
          <w:color w:val="000000"/>
          <w:sz w:val="24"/>
          <w:szCs w:val="24"/>
          <w:lang w:eastAsia="en-US"/>
        </w:rPr>
        <w:t>K</w:t>
      </w:r>
      <w:r w:rsidR="00790A75" w:rsidRPr="00F07DEB">
        <w:rPr>
          <w:rFonts w:ascii="Times New Roman" w:eastAsia="Times New Roman" w:hAnsi="Times New Roman" w:cs="Times New Roman"/>
          <w:color w:val="000000"/>
          <w:sz w:val="24"/>
          <w:szCs w:val="24"/>
          <w:lang w:eastAsia="en-US"/>
        </w:rPr>
        <w:t xml:space="preserve"> than all other corn structures except stalks; both leaves and stalks contained significantly higher </w:t>
      </w:r>
      <w:r>
        <w:rPr>
          <w:rFonts w:ascii="Times New Roman" w:eastAsia="Times New Roman" w:hAnsi="Times New Roman" w:cs="Times New Roman"/>
          <w:color w:val="000000"/>
          <w:sz w:val="24"/>
          <w:szCs w:val="24"/>
          <w:lang w:eastAsia="en-US"/>
        </w:rPr>
        <w:t>K</w:t>
      </w:r>
      <w:r w:rsidR="00790A75" w:rsidRPr="00F07DEB">
        <w:rPr>
          <w:rFonts w:ascii="Times New Roman" w:eastAsia="Times New Roman" w:hAnsi="Times New Roman" w:cs="Times New Roman"/>
          <w:color w:val="000000"/>
          <w:sz w:val="24"/>
          <w:szCs w:val="24"/>
          <w:lang w:eastAsia="en-US"/>
        </w:rPr>
        <w:t xml:space="preserve"> concentrations than husk</w:t>
      </w:r>
      <w:r w:rsidR="001405F5">
        <w:rPr>
          <w:rFonts w:ascii="Times New Roman" w:eastAsia="Times New Roman" w:hAnsi="Times New Roman" w:cs="Times New Roman"/>
          <w:color w:val="000000"/>
          <w:sz w:val="24"/>
          <w:szCs w:val="24"/>
          <w:lang w:eastAsia="en-US"/>
        </w:rPr>
        <w:t>s</w:t>
      </w:r>
      <w:r w:rsidR="00790A75" w:rsidRPr="00F07DEB">
        <w:rPr>
          <w:rFonts w:ascii="Times New Roman" w:eastAsia="Times New Roman" w:hAnsi="Times New Roman" w:cs="Times New Roman"/>
          <w:color w:val="000000"/>
          <w:sz w:val="24"/>
          <w:szCs w:val="24"/>
          <w:lang w:eastAsia="en-US"/>
        </w:rPr>
        <w:t xml:space="preserve">. However, stalk </w:t>
      </w:r>
      <w:r>
        <w:rPr>
          <w:rFonts w:ascii="Times New Roman" w:eastAsia="Times New Roman" w:hAnsi="Times New Roman" w:cs="Times New Roman"/>
          <w:color w:val="000000"/>
          <w:sz w:val="24"/>
          <w:szCs w:val="24"/>
          <w:lang w:eastAsia="en-US"/>
        </w:rPr>
        <w:t>K</w:t>
      </w:r>
      <w:r w:rsidR="00924CCF">
        <w:rPr>
          <w:rFonts w:ascii="Times New Roman" w:eastAsia="Times New Roman" w:hAnsi="Times New Roman" w:cs="Times New Roman"/>
          <w:color w:val="000000"/>
          <w:sz w:val="24"/>
          <w:szCs w:val="24"/>
          <w:lang w:eastAsia="en-US"/>
        </w:rPr>
        <w:t xml:space="preserve"> </w:t>
      </w:r>
      <w:r w:rsidR="00790A75" w:rsidRPr="00F07DEB">
        <w:rPr>
          <w:rFonts w:ascii="Times New Roman" w:eastAsia="Times New Roman" w:hAnsi="Times New Roman" w:cs="Times New Roman"/>
          <w:color w:val="000000"/>
          <w:sz w:val="24"/>
          <w:szCs w:val="24"/>
          <w:lang w:eastAsia="en-US"/>
        </w:rPr>
        <w:t xml:space="preserve">concentrations were not significantly higher than </w:t>
      </w:r>
      <w:r>
        <w:rPr>
          <w:rFonts w:ascii="Times New Roman" w:eastAsia="Times New Roman" w:hAnsi="Times New Roman" w:cs="Times New Roman"/>
          <w:color w:val="000000"/>
          <w:sz w:val="24"/>
          <w:szCs w:val="24"/>
          <w:lang w:eastAsia="en-US"/>
        </w:rPr>
        <w:t>K</w:t>
      </w:r>
      <w:r w:rsidR="00790A75" w:rsidRPr="00F07DEB">
        <w:rPr>
          <w:rFonts w:ascii="Times New Roman" w:eastAsia="Times New Roman" w:hAnsi="Times New Roman" w:cs="Times New Roman"/>
          <w:color w:val="000000"/>
          <w:sz w:val="24"/>
          <w:szCs w:val="24"/>
          <w:lang w:eastAsia="en-US"/>
        </w:rPr>
        <w:t xml:space="preserve"> concentrations in corn grain, cobs, or roots </w:t>
      </w:r>
      <w:r w:rsidR="005F059A" w:rsidRPr="00F07DEB">
        <w:rPr>
          <w:rFonts w:ascii="Times New Roman" w:eastAsia="Times New Roman" w:hAnsi="Times New Roman" w:cs="Times New Roman"/>
          <w:color w:val="000000"/>
          <w:sz w:val="24"/>
          <w:szCs w:val="24"/>
          <w:lang w:eastAsia="en-US"/>
        </w:rPr>
        <w:t>(</w:t>
      </w:r>
      <w:proofErr w:type="gramStart"/>
      <w:r w:rsidR="005F059A" w:rsidRPr="00204C13">
        <w:rPr>
          <w:rFonts w:ascii="Times New Roman" w:eastAsia="Times New Roman" w:hAnsi="Times New Roman" w:cs="Times New Roman"/>
          <w:i/>
          <w:color w:val="000000"/>
          <w:sz w:val="24"/>
          <w:szCs w:val="24"/>
          <w:lang w:eastAsia="en-US"/>
        </w:rPr>
        <w:t>F</w:t>
      </w:r>
      <w:r w:rsidR="005F059A" w:rsidRPr="00F07DEB">
        <w:rPr>
          <w:rFonts w:ascii="Times New Roman" w:eastAsia="Times New Roman" w:hAnsi="Times New Roman" w:cs="Times New Roman"/>
          <w:color w:val="000000"/>
          <w:sz w:val="24"/>
          <w:szCs w:val="24"/>
          <w:lang w:eastAsia="en-US"/>
        </w:rPr>
        <w:t>(</w:t>
      </w:r>
      <w:proofErr w:type="gramEnd"/>
      <w:r w:rsidR="00042C57" w:rsidRPr="00F07DEB">
        <w:rPr>
          <w:rFonts w:ascii="Times New Roman" w:eastAsia="Times New Roman" w:hAnsi="Times New Roman" w:cs="Times New Roman"/>
          <w:color w:val="000000"/>
          <w:sz w:val="24"/>
          <w:szCs w:val="24"/>
          <w:lang w:eastAsia="en-US"/>
        </w:rPr>
        <w:t xml:space="preserve">1.89,18.90) = 9.45, </w:t>
      </w:r>
      <w:r w:rsidR="00042C57" w:rsidRPr="00385CDA">
        <w:rPr>
          <w:rFonts w:ascii="Times New Roman" w:eastAsia="Times New Roman" w:hAnsi="Times New Roman" w:cs="Times New Roman"/>
          <w:i/>
          <w:color w:val="000000"/>
          <w:sz w:val="24"/>
          <w:szCs w:val="24"/>
          <w:lang w:eastAsia="en-US"/>
        </w:rPr>
        <w:t>p</w:t>
      </w:r>
      <w:r w:rsidR="00042C57" w:rsidRPr="00F07DEB">
        <w:rPr>
          <w:rFonts w:ascii="Times New Roman" w:eastAsia="Times New Roman" w:hAnsi="Times New Roman" w:cs="Times New Roman"/>
          <w:color w:val="000000"/>
          <w:sz w:val="24"/>
          <w:szCs w:val="24"/>
          <w:lang w:eastAsia="en-US"/>
        </w:rPr>
        <w:t xml:space="preserve"> &lt; 0.001). Sorghum structures exhibited a slightly different hierarchy of </w:t>
      </w:r>
      <w:r>
        <w:rPr>
          <w:rFonts w:ascii="Times New Roman" w:eastAsia="Times New Roman" w:hAnsi="Times New Roman" w:cs="Times New Roman"/>
          <w:color w:val="000000"/>
          <w:sz w:val="24"/>
          <w:szCs w:val="24"/>
          <w:lang w:eastAsia="en-US"/>
        </w:rPr>
        <w:t>K</w:t>
      </w:r>
      <w:r w:rsidR="00042C57" w:rsidRPr="00F07DEB">
        <w:rPr>
          <w:rFonts w:ascii="Times New Roman" w:eastAsia="Times New Roman" w:hAnsi="Times New Roman" w:cs="Times New Roman"/>
          <w:color w:val="000000"/>
          <w:sz w:val="24"/>
          <w:szCs w:val="24"/>
          <w:lang w:eastAsia="en-US"/>
        </w:rPr>
        <w:t xml:space="preserve"> uptake: Leaf = Stalk &gt; Roots &gt; Grain (</w:t>
      </w:r>
      <w:proofErr w:type="gramStart"/>
      <w:r w:rsidR="00042C57" w:rsidRPr="00204C13">
        <w:rPr>
          <w:rFonts w:ascii="Times New Roman" w:eastAsia="Times New Roman" w:hAnsi="Times New Roman" w:cs="Times New Roman"/>
          <w:i/>
          <w:color w:val="000000"/>
          <w:sz w:val="24"/>
          <w:szCs w:val="24"/>
          <w:lang w:eastAsia="en-US"/>
        </w:rPr>
        <w:t>F</w:t>
      </w:r>
      <w:r w:rsidR="00042C57" w:rsidRPr="00F07DEB">
        <w:rPr>
          <w:rFonts w:ascii="Times New Roman" w:eastAsia="Times New Roman" w:hAnsi="Times New Roman" w:cs="Times New Roman"/>
          <w:color w:val="000000"/>
          <w:sz w:val="24"/>
          <w:szCs w:val="24"/>
          <w:lang w:eastAsia="en-US"/>
        </w:rPr>
        <w:t>(</w:t>
      </w:r>
      <w:proofErr w:type="gramEnd"/>
      <w:r w:rsidR="00042C57" w:rsidRPr="00F07DEB">
        <w:rPr>
          <w:rFonts w:ascii="Times New Roman" w:eastAsia="Times New Roman" w:hAnsi="Times New Roman" w:cs="Times New Roman"/>
          <w:color w:val="000000"/>
          <w:sz w:val="24"/>
          <w:szCs w:val="24"/>
          <w:lang w:eastAsia="en-US"/>
        </w:rPr>
        <w:t xml:space="preserve">1.84,18.44) = 86.7, </w:t>
      </w:r>
      <w:r w:rsidR="00042C57" w:rsidRPr="00385CDA">
        <w:rPr>
          <w:rFonts w:ascii="Times New Roman" w:eastAsia="Times New Roman" w:hAnsi="Times New Roman" w:cs="Times New Roman"/>
          <w:i/>
          <w:color w:val="000000"/>
          <w:sz w:val="24"/>
          <w:szCs w:val="24"/>
          <w:lang w:eastAsia="en-US"/>
        </w:rPr>
        <w:t>p</w:t>
      </w:r>
      <w:r w:rsidR="00042C57" w:rsidRPr="00F07DEB">
        <w:rPr>
          <w:rFonts w:ascii="Times New Roman" w:eastAsia="Times New Roman" w:hAnsi="Times New Roman" w:cs="Times New Roman"/>
          <w:color w:val="000000"/>
          <w:sz w:val="24"/>
          <w:szCs w:val="24"/>
          <w:lang w:eastAsia="en-US"/>
        </w:rPr>
        <w:t xml:space="preserve"> &lt; 0.001). Bermuda grass structures accumulated </w:t>
      </w:r>
      <w:r>
        <w:rPr>
          <w:rFonts w:ascii="Times New Roman" w:eastAsia="Times New Roman" w:hAnsi="Times New Roman" w:cs="Times New Roman"/>
          <w:color w:val="000000"/>
          <w:sz w:val="24"/>
          <w:szCs w:val="24"/>
          <w:lang w:eastAsia="en-US"/>
        </w:rPr>
        <w:t>K</w:t>
      </w:r>
      <w:r w:rsidR="00042C57" w:rsidRPr="00F07DEB">
        <w:rPr>
          <w:rFonts w:ascii="Times New Roman" w:eastAsia="Times New Roman" w:hAnsi="Times New Roman" w:cs="Times New Roman"/>
          <w:color w:val="000000"/>
          <w:sz w:val="24"/>
          <w:szCs w:val="24"/>
          <w:lang w:eastAsia="en-US"/>
        </w:rPr>
        <w:t xml:space="preserve"> in the following order: Grass1 &gt; Grass2 &gt; Roots (</w:t>
      </w:r>
      <w:proofErr w:type="gramStart"/>
      <w:r w:rsidR="00042C57" w:rsidRPr="00204C13">
        <w:rPr>
          <w:rFonts w:ascii="Times New Roman" w:eastAsia="Times New Roman" w:hAnsi="Times New Roman" w:cs="Times New Roman"/>
          <w:i/>
          <w:color w:val="000000"/>
          <w:sz w:val="24"/>
          <w:szCs w:val="24"/>
          <w:lang w:eastAsia="en-US"/>
        </w:rPr>
        <w:t>F</w:t>
      </w:r>
      <w:r w:rsidR="00042C57" w:rsidRPr="00F07DEB">
        <w:rPr>
          <w:rFonts w:ascii="Times New Roman" w:eastAsia="Times New Roman" w:hAnsi="Times New Roman" w:cs="Times New Roman"/>
          <w:color w:val="000000"/>
          <w:sz w:val="24"/>
          <w:szCs w:val="24"/>
          <w:lang w:eastAsia="en-US"/>
        </w:rPr>
        <w:t>(</w:t>
      </w:r>
      <w:proofErr w:type="gramEnd"/>
      <w:r w:rsidR="00042C57" w:rsidRPr="00F07DEB">
        <w:rPr>
          <w:rFonts w:ascii="Times New Roman" w:eastAsia="Times New Roman" w:hAnsi="Times New Roman" w:cs="Times New Roman"/>
          <w:color w:val="000000"/>
          <w:sz w:val="24"/>
          <w:szCs w:val="24"/>
          <w:lang w:eastAsia="en-US"/>
        </w:rPr>
        <w:t xml:space="preserve">2,20) = 559, </w:t>
      </w:r>
      <w:r w:rsidR="00042C57" w:rsidRPr="00385CDA">
        <w:rPr>
          <w:rFonts w:ascii="Times New Roman" w:eastAsia="Times New Roman" w:hAnsi="Times New Roman" w:cs="Times New Roman"/>
          <w:i/>
          <w:color w:val="000000"/>
          <w:sz w:val="24"/>
          <w:szCs w:val="24"/>
          <w:lang w:eastAsia="en-US"/>
        </w:rPr>
        <w:t>p</w:t>
      </w:r>
      <w:r w:rsidR="00042C57" w:rsidRPr="00F07DEB">
        <w:rPr>
          <w:rFonts w:ascii="Times New Roman" w:eastAsia="Times New Roman" w:hAnsi="Times New Roman" w:cs="Times New Roman"/>
          <w:color w:val="000000"/>
          <w:sz w:val="24"/>
          <w:szCs w:val="24"/>
          <w:lang w:eastAsia="en-US"/>
        </w:rPr>
        <w:t xml:space="preserve"> &lt; 0.001). The interaction between irrigation treatment and plant structure was not significant for any of the species.</w:t>
      </w:r>
    </w:p>
    <w:p w14:paraId="7FC7F19A" w14:textId="06A6FCC5" w:rsidR="00042C57" w:rsidRPr="00F07DEB" w:rsidRDefault="009678A2" w:rsidP="00042C57">
      <w:pPr>
        <w:spacing w:line="480" w:lineRule="auto"/>
        <w:ind w:firstLine="713"/>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lastRenderedPageBreak/>
        <w:t>Mn</w:t>
      </w:r>
      <w:proofErr w:type="spellEnd"/>
      <w:r w:rsidR="00CE3D29">
        <w:rPr>
          <w:rFonts w:ascii="Times New Roman" w:eastAsia="Times New Roman" w:hAnsi="Times New Roman" w:cs="Times New Roman"/>
          <w:color w:val="000000"/>
          <w:sz w:val="24"/>
          <w:szCs w:val="24"/>
          <w:lang w:eastAsia="en-US"/>
        </w:rPr>
        <w:t xml:space="preserve"> concentrations in</w:t>
      </w:r>
      <w:r w:rsidR="00042C57" w:rsidRPr="00F07DEB">
        <w:rPr>
          <w:rFonts w:ascii="Times New Roman" w:eastAsia="Times New Roman" w:hAnsi="Times New Roman" w:cs="Times New Roman"/>
          <w:color w:val="000000"/>
          <w:sz w:val="24"/>
          <w:szCs w:val="24"/>
          <w:lang w:eastAsia="en-US"/>
        </w:rPr>
        <w:t xml:space="preserve"> mine water- and groundwater-irrigated plants</w:t>
      </w:r>
      <w:r w:rsidR="00CE3D29">
        <w:rPr>
          <w:rFonts w:ascii="Times New Roman" w:eastAsia="Times New Roman" w:hAnsi="Times New Roman" w:cs="Times New Roman"/>
          <w:color w:val="000000"/>
          <w:sz w:val="24"/>
          <w:szCs w:val="24"/>
          <w:lang w:eastAsia="en-US"/>
        </w:rPr>
        <w:t xml:space="preserve">, which are provided in Appendix </w:t>
      </w:r>
      <w:r w:rsidR="009C74A3">
        <w:rPr>
          <w:rFonts w:ascii="Times New Roman" w:eastAsia="Times New Roman" w:hAnsi="Times New Roman" w:cs="Times New Roman"/>
          <w:color w:val="000000"/>
          <w:sz w:val="24"/>
          <w:szCs w:val="24"/>
          <w:lang w:eastAsia="en-US"/>
        </w:rPr>
        <w:t>C</w:t>
      </w:r>
      <w:r w:rsidR="00CE3D29">
        <w:rPr>
          <w:rFonts w:ascii="Times New Roman" w:eastAsia="Times New Roman" w:hAnsi="Times New Roman" w:cs="Times New Roman"/>
          <w:color w:val="000000"/>
          <w:sz w:val="24"/>
          <w:szCs w:val="24"/>
          <w:lang w:eastAsia="en-US"/>
        </w:rPr>
        <w:t>,</w:t>
      </w:r>
      <w:r w:rsidR="00042C57" w:rsidRPr="00F07DEB">
        <w:rPr>
          <w:rFonts w:ascii="Times New Roman" w:eastAsia="Times New Roman" w:hAnsi="Times New Roman" w:cs="Times New Roman"/>
          <w:color w:val="000000"/>
          <w:sz w:val="24"/>
          <w:szCs w:val="24"/>
          <w:lang w:eastAsia="en-US"/>
        </w:rPr>
        <w:t xml:space="preserve"> were not significantly different for any of the three species. Plant structure had a significant main effect on </w:t>
      </w:r>
      <w:proofErr w:type="spellStart"/>
      <w:r>
        <w:rPr>
          <w:rFonts w:ascii="Times New Roman" w:eastAsia="Times New Roman" w:hAnsi="Times New Roman" w:cs="Times New Roman"/>
          <w:color w:val="000000"/>
          <w:sz w:val="24"/>
          <w:szCs w:val="24"/>
          <w:lang w:eastAsia="en-US"/>
        </w:rPr>
        <w:t>Mn</w:t>
      </w:r>
      <w:proofErr w:type="spellEnd"/>
      <w:r w:rsidR="00883783" w:rsidRPr="00F07DEB">
        <w:rPr>
          <w:rFonts w:ascii="Times New Roman" w:eastAsia="Times New Roman" w:hAnsi="Times New Roman" w:cs="Times New Roman"/>
          <w:color w:val="000000"/>
          <w:sz w:val="24"/>
          <w:szCs w:val="24"/>
          <w:lang w:eastAsia="en-US"/>
        </w:rPr>
        <w:t xml:space="preserve"> </w:t>
      </w:r>
      <w:r w:rsidR="00042C57" w:rsidRPr="00F07DEB">
        <w:rPr>
          <w:rFonts w:ascii="Times New Roman" w:eastAsia="Times New Roman" w:hAnsi="Times New Roman" w:cs="Times New Roman"/>
          <w:color w:val="000000"/>
          <w:sz w:val="24"/>
          <w:szCs w:val="24"/>
          <w:lang w:eastAsia="en-US"/>
        </w:rPr>
        <w:t xml:space="preserve">concentrations for corn and sorghum, but not for Bermuda grass. Corn leaves and </w:t>
      </w:r>
      <w:r w:rsidR="00A32D82" w:rsidRPr="00F07DEB">
        <w:rPr>
          <w:rFonts w:ascii="Times New Roman" w:eastAsia="Times New Roman" w:hAnsi="Times New Roman" w:cs="Times New Roman"/>
          <w:color w:val="000000"/>
          <w:sz w:val="24"/>
          <w:szCs w:val="24"/>
          <w:lang w:eastAsia="en-US"/>
        </w:rPr>
        <w:t>roots</w:t>
      </w:r>
      <w:r w:rsidR="00042C57" w:rsidRPr="00F07DEB">
        <w:rPr>
          <w:rFonts w:ascii="Times New Roman" w:eastAsia="Times New Roman" w:hAnsi="Times New Roman" w:cs="Times New Roman"/>
          <w:color w:val="000000"/>
          <w:sz w:val="24"/>
          <w:szCs w:val="24"/>
          <w:lang w:eastAsia="en-US"/>
        </w:rPr>
        <w:t xml:space="preserve"> accumulated highe</w:t>
      </w:r>
      <w:r w:rsidR="0009519C" w:rsidRPr="00F07DEB">
        <w:rPr>
          <w:rFonts w:ascii="Times New Roman" w:eastAsia="Times New Roman" w:hAnsi="Times New Roman" w:cs="Times New Roman"/>
          <w:color w:val="000000"/>
          <w:sz w:val="24"/>
          <w:szCs w:val="24"/>
          <w:lang w:eastAsia="en-US"/>
        </w:rPr>
        <w:t>r</w:t>
      </w:r>
      <w:r w:rsidR="00042C57" w:rsidRPr="00F07DEB">
        <w:rPr>
          <w:rFonts w:ascii="Times New Roman" w:eastAsia="Times New Roman" w:hAnsi="Times New Roman" w:cs="Times New Roman"/>
          <w:color w:val="000000"/>
          <w:sz w:val="24"/>
          <w:szCs w:val="24"/>
          <w:lang w:eastAsia="en-US"/>
        </w:rPr>
        <w:t xml:space="preserve"> concentrations of </w:t>
      </w:r>
      <w:proofErr w:type="spellStart"/>
      <w:r>
        <w:rPr>
          <w:rFonts w:ascii="Times New Roman" w:eastAsia="Times New Roman" w:hAnsi="Times New Roman" w:cs="Times New Roman"/>
          <w:color w:val="000000"/>
          <w:sz w:val="24"/>
          <w:szCs w:val="24"/>
          <w:lang w:eastAsia="en-US"/>
        </w:rPr>
        <w:t>Mn</w:t>
      </w:r>
      <w:proofErr w:type="spellEnd"/>
      <w:r w:rsidR="00A32D82" w:rsidRPr="00F07DEB">
        <w:rPr>
          <w:rFonts w:ascii="Times New Roman" w:eastAsia="Times New Roman" w:hAnsi="Times New Roman" w:cs="Times New Roman"/>
          <w:color w:val="000000"/>
          <w:sz w:val="24"/>
          <w:szCs w:val="24"/>
          <w:lang w:eastAsia="en-US"/>
        </w:rPr>
        <w:t xml:space="preserve"> </w:t>
      </w:r>
      <w:r w:rsidR="0009519C" w:rsidRPr="00F07DEB">
        <w:rPr>
          <w:rFonts w:ascii="Times New Roman" w:eastAsia="Times New Roman" w:hAnsi="Times New Roman" w:cs="Times New Roman"/>
          <w:color w:val="000000"/>
          <w:sz w:val="24"/>
          <w:szCs w:val="24"/>
          <w:lang w:eastAsia="en-US"/>
        </w:rPr>
        <w:t>than were present in husk</w:t>
      </w:r>
      <w:r w:rsidR="001405F5">
        <w:rPr>
          <w:rFonts w:ascii="Times New Roman" w:eastAsia="Times New Roman" w:hAnsi="Times New Roman" w:cs="Times New Roman"/>
          <w:color w:val="000000"/>
          <w:sz w:val="24"/>
          <w:szCs w:val="24"/>
          <w:lang w:eastAsia="en-US"/>
        </w:rPr>
        <w:t>s</w:t>
      </w:r>
      <w:r w:rsidR="0009519C" w:rsidRPr="00F07DEB">
        <w:rPr>
          <w:rFonts w:ascii="Times New Roman" w:eastAsia="Times New Roman" w:hAnsi="Times New Roman" w:cs="Times New Roman"/>
          <w:color w:val="000000"/>
          <w:sz w:val="24"/>
          <w:szCs w:val="24"/>
          <w:lang w:eastAsia="en-US"/>
        </w:rPr>
        <w:t xml:space="preserve">, cobs, and stalks; none of the corn structures contained significantly different </w:t>
      </w:r>
      <w:proofErr w:type="spellStart"/>
      <w:r>
        <w:rPr>
          <w:rFonts w:ascii="Times New Roman" w:eastAsia="Times New Roman" w:hAnsi="Times New Roman" w:cs="Times New Roman"/>
          <w:color w:val="000000"/>
          <w:sz w:val="24"/>
          <w:szCs w:val="24"/>
          <w:lang w:eastAsia="en-US"/>
        </w:rPr>
        <w:t>Mn</w:t>
      </w:r>
      <w:proofErr w:type="spellEnd"/>
      <w:r w:rsidR="0009519C" w:rsidRPr="00F07DEB">
        <w:rPr>
          <w:rFonts w:ascii="Times New Roman" w:eastAsia="Times New Roman" w:hAnsi="Times New Roman" w:cs="Times New Roman"/>
          <w:color w:val="000000"/>
          <w:sz w:val="24"/>
          <w:szCs w:val="24"/>
          <w:lang w:eastAsia="en-US"/>
        </w:rPr>
        <w:t xml:space="preserve"> concentrations from grain, which exhibited middling concentrations but high standard deviations </w:t>
      </w:r>
      <w:r w:rsidR="00042C57" w:rsidRPr="00F07DEB">
        <w:rPr>
          <w:rFonts w:ascii="Times New Roman" w:eastAsia="Times New Roman" w:hAnsi="Times New Roman" w:cs="Times New Roman"/>
          <w:color w:val="000000"/>
          <w:sz w:val="24"/>
          <w:szCs w:val="24"/>
          <w:lang w:eastAsia="en-US"/>
        </w:rPr>
        <w:t>(</w:t>
      </w:r>
      <w:proofErr w:type="gramStart"/>
      <w:r w:rsidR="00042C57" w:rsidRPr="00204C13">
        <w:rPr>
          <w:rFonts w:ascii="Times New Roman" w:eastAsia="Times New Roman" w:hAnsi="Times New Roman" w:cs="Times New Roman"/>
          <w:i/>
          <w:color w:val="000000"/>
          <w:sz w:val="24"/>
          <w:szCs w:val="24"/>
          <w:lang w:eastAsia="en-US"/>
        </w:rPr>
        <w:t>F</w:t>
      </w:r>
      <w:r w:rsidR="00042C57" w:rsidRPr="00F07DEB">
        <w:rPr>
          <w:rFonts w:ascii="Times New Roman" w:eastAsia="Times New Roman" w:hAnsi="Times New Roman" w:cs="Times New Roman"/>
          <w:color w:val="000000"/>
          <w:sz w:val="24"/>
          <w:szCs w:val="24"/>
          <w:lang w:eastAsia="en-US"/>
        </w:rPr>
        <w:t>(</w:t>
      </w:r>
      <w:proofErr w:type="gramEnd"/>
      <w:r w:rsidR="00042C57" w:rsidRPr="00F07DEB">
        <w:rPr>
          <w:rFonts w:ascii="Times New Roman" w:eastAsia="Times New Roman" w:hAnsi="Times New Roman" w:cs="Times New Roman"/>
          <w:color w:val="000000"/>
          <w:sz w:val="24"/>
          <w:szCs w:val="24"/>
          <w:lang w:eastAsia="en-US"/>
        </w:rPr>
        <w:t xml:space="preserve">3.04,30.43) = 18.0, </w:t>
      </w:r>
      <w:r w:rsidR="00042C57" w:rsidRPr="00385CDA">
        <w:rPr>
          <w:rFonts w:ascii="Times New Roman" w:eastAsia="Times New Roman" w:hAnsi="Times New Roman" w:cs="Times New Roman"/>
          <w:i/>
          <w:color w:val="000000"/>
          <w:sz w:val="24"/>
          <w:szCs w:val="24"/>
          <w:lang w:eastAsia="en-US"/>
        </w:rPr>
        <w:t>p</w:t>
      </w:r>
      <w:r w:rsidR="00042C57" w:rsidRPr="00F07DEB">
        <w:rPr>
          <w:rFonts w:ascii="Times New Roman" w:eastAsia="Times New Roman" w:hAnsi="Times New Roman" w:cs="Times New Roman"/>
          <w:color w:val="000000"/>
          <w:sz w:val="24"/>
          <w:szCs w:val="24"/>
          <w:lang w:eastAsia="en-US"/>
        </w:rPr>
        <w:t xml:space="preserve"> &lt; 0.001). Sorghum structures </w:t>
      </w:r>
      <w:r w:rsidR="00A32D82" w:rsidRPr="00F07DEB">
        <w:rPr>
          <w:rFonts w:ascii="Times New Roman" w:eastAsia="Times New Roman" w:hAnsi="Times New Roman" w:cs="Times New Roman"/>
          <w:color w:val="000000"/>
          <w:sz w:val="24"/>
          <w:szCs w:val="24"/>
          <w:lang w:eastAsia="en-US"/>
        </w:rPr>
        <w:t xml:space="preserve">accumulated </w:t>
      </w:r>
      <w:proofErr w:type="spellStart"/>
      <w:r>
        <w:rPr>
          <w:rFonts w:ascii="Times New Roman" w:eastAsia="Times New Roman" w:hAnsi="Times New Roman" w:cs="Times New Roman"/>
          <w:color w:val="000000"/>
          <w:sz w:val="24"/>
          <w:szCs w:val="24"/>
          <w:lang w:eastAsia="en-US"/>
        </w:rPr>
        <w:t>Mn</w:t>
      </w:r>
      <w:proofErr w:type="spellEnd"/>
      <w:r w:rsidR="00A32D82" w:rsidRPr="00F07DEB">
        <w:rPr>
          <w:rFonts w:ascii="Times New Roman" w:eastAsia="Times New Roman" w:hAnsi="Times New Roman" w:cs="Times New Roman"/>
          <w:color w:val="000000"/>
          <w:sz w:val="24"/>
          <w:szCs w:val="24"/>
          <w:lang w:eastAsia="en-US"/>
        </w:rPr>
        <w:t xml:space="preserve"> in the following order</w:t>
      </w:r>
      <w:r w:rsidR="00042C57" w:rsidRPr="00F07DEB">
        <w:rPr>
          <w:rFonts w:ascii="Times New Roman" w:eastAsia="Times New Roman" w:hAnsi="Times New Roman" w:cs="Times New Roman"/>
          <w:color w:val="000000"/>
          <w:sz w:val="24"/>
          <w:szCs w:val="24"/>
          <w:lang w:eastAsia="en-US"/>
        </w:rPr>
        <w:t xml:space="preserve">: </w:t>
      </w:r>
      <w:r w:rsidR="00A32D82" w:rsidRPr="00F07DEB">
        <w:rPr>
          <w:rFonts w:ascii="Times New Roman" w:eastAsia="Times New Roman" w:hAnsi="Times New Roman" w:cs="Times New Roman"/>
          <w:color w:val="000000"/>
          <w:sz w:val="24"/>
          <w:szCs w:val="24"/>
          <w:lang w:eastAsia="en-US"/>
        </w:rPr>
        <w:t>Grain</w:t>
      </w:r>
      <w:r w:rsidR="00042C57" w:rsidRPr="00F07DEB">
        <w:rPr>
          <w:rFonts w:ascii="Times New Roman" w:eastAsia="Times New Roman" w:hAnsi="Times New Roman" w:cs="Times New Roman"/>
          <w:color w:val="000000"/>
          <w:sz w:val="24"/>
          <w:szCs w:val="24"/>
          <w:lang w:eastAsia="en-US"/>
        </w:rPr>
        <w:t xml:space="preserve"> = </w:t>
      </w:r>
      <w:r w:rsidR="00A32D82" w:rsidRPr="00F07DEB">
        <w:rPr>
          <w:rFonts w:ascii="Times New Roman" w:eastAsia="Times New Roman" w:hAnsi="Times New Roman" w:cs="Times New Roman"/>
          <w:color w:val="000000"/>
          <w:sz w:val="24"/>
          <w:szCs w:val="24"/>
          <w:lang w:eastAsia="en-US"/>
        </w:rPr>
        <w:t>Roots</w:t>
      </w:r>
      <w:r w:rsidR="00042C57" w:rsidRPr="00F07DEB">
        <w:rPr>
          <w:rFonts w:ascii="Times New Roman" w:eastAsia="Times New Roman" w:hAnsi="Times New Roman" w:cs="Times New Roman"/>
          <w:color w:val="000000"/>
          <w:sz w:val="24"/>
          <w:szCs w:val="24"/>
          <w:lang w:eastAsia="en-US"/>
        </w:rPr>
        <w:t xml:space="preserve"> &gt; </w:t>
      </w:r>
      <w:r w:rsidR="00A32D82" w:rsidRPr="00F07DEB">
        <w:rPr>
          <w:rFonts w:ascii="Times New Roman" w:eastAsia="Times New Roman" w:hAnsi="Times New Roman" w:cs="Times New Roman"/>
          <w:color w:val="000000"/>
          <w:sz w:val="24"/>
          <w:szCs w:val="24"/>
          <w:lang w:eastAsia="en-US"/>
        </w:rPr>
        <w:t xml:space="preserve">Leaf </w:t>
      </w:r>
      <w:r w:rsidR="00042C57" w:rsidRPr="00F07DEB">
        <w:rPr>
          <w:rFonts w:ascii="Times New Roman" w:eastAsia="Times New Roman" w:hAnsi="Times New Roman" w:cs="Times New Roman"/>
          <w:color w:val="000000"/>
          <w:sz w:val="24"/>
          <w:szCs w:val="24"/>
          <w:lang w:eastAsia="en-US"/>
        </w:rPr>
        <w:t xml:space="preserve">&gt; </w:t>
      </w:r>
      <w:r w:rsidR="00A32D82" w:rsidRPr="00F07DEB">
        <w:rPr>
          <w:rFonts w:ascii="Times New Roman" w:eastAsia="Times New Roman" w:hAnsi="Times New Roman" w:cs="Times New Roman"/>
          <w:color w:val="000000"/>
          <w:sz w:val="24"/>
          <w:szCs w:val="24"/>
          <w:lang w:eastAsia="en-US"/>
        </w:rPr>
        <w:t>Stalk</w:t>
      </w:r>
      <w:r w:rsidR="00042C57" w:rsidRPr="00F07DEB">
        <w:rPr>
          <w:rFonts w:ascii="Times New Roman" w:eastAsia="Times New Roman" w:hAnsi="Times New Roman" w:cs="Times New Roman"/>
          <w:color w:val="000000"/>
          <w:sz w:val="24"/>
          <w:szCs w:val="24"/>
          <w:lang w:eastAsia="en-US"/>
        </w:rPr>
        <w:t xml:space="preserve"> (</w:t>
      </w:r>
      <w:proofErr w:type="gramStart"/>
      <w:r w:rsidR="00042C57" w:rsidRPr="00204C13">
        <w:rPr>
          <w:rFonts w:ascii="Times New Roman" w:eastAsia="Times New Roman" w:hAnsi="Times New Roman" w:cs="Times New Roman"/>
          <w:i/>
          <w:color w:val="000000"/>
          <w:sz w:val="24"/>
          <w:szCs w:val="24"/>
          <w:lang w:eastAsia="en-US"/>
        </w:rPr>
        <w:t>F</w:t>
      </w:r>
      <w:r w:rsidR="00042C57" w:rsidRPr="00F07DEB">
        <w:rPr>
          <w:rFonts w:ascii="Times New Roman" w:eastAsia="Times New Roman" w:hAnsi="Times New Roman" w:cs="Times New Roman"/>
          <w:color w:val="000000"/>
          <w:sz w:val="24"/>
          <w:szCs w:val="24"/>
          <w:lang w:eastAsia="en-US"/>
        </w:rPr>
        <w:t>(</w:t>
      </w:r>
      <w:proofErr w:type="gramEnd"/>
      <w:r w:rsidR="00042C57" w:rsidRPr="00F07DEB">
        <w:rPr>
          <w:rFonts w:ascii="Times New Roman" w:eastAsia="Times New Roman" w:hAnsi="Times New Roman" w:cs="Times New Roman"/>
          <w:color w:val="000000"/>
          <w:sz w:val="24"/>
          <w:szCs w:val="24"/>
          <w:lang w:eastAsia="en-US"/>
        </w:rPr>
        <w:t xml:space="preserve">1.60,16.05) = 55.0, </w:t>
      </w:r>
      <w:r w:rsidR="00042C57" w:rsidRPr="00385CDA">
        <w:rPr>
          <w:rFonts w:ascii="Times New Roman" w:eastAsia="Times New Roman" w:hAnsi="Times New Roman" w:cs="Times New Roman"/>
          <w:i/>
          <w:color w:val="000000"/>
          <w:sz w:val="24"/>
          <w:szCs w:val="24"/>
          <w:lang w:eastAsia="en-US"/>
        </w:rPr>
        <w:t>p</w:t>
      </w:r>
      <w:r w:rsidR="00042C57" w:rsidRPr="00F07DEB">
        <w:rPr>
          <w:rFonts w:ascii="Times New Roman" w:eastAsia="Times New Roman" w:hAnsi="Times New Roman" w:cs="Times New Roman"/>
          <w:color w:val="000000"/>
          <w:sz w:val="24"/>
          <w:szCs w:val="24"/>
          <w:lang w:eastAsia="en-US"/>
        </w:rPr>
        <w:t xml:space="preserve"> &lt; 0.001). The interaction between irrigation treatment and plant structure was not significant for any of the species.</w:t>
      </w:r>
      <w:r w:rsidR="00A32D82" w:rsidRPr="00F07DEB">
        <w:rPr>
          <w:rFonts w:ascii="Times New Roman" w:eastAsia="Times New Roman" w:hAnsi="Times New Roman" w:cs="Times New Roman"/>
          <w:color w:val="000000"/>
          <w:sz w:val="24"/>
          <w:szCs w:val="24"/>
          <w:lang w:eastAsia="en-US"/>
        </w:rPr>
        <w:t xml:space="preserve"> </w:t>
      </w:r>
    </w:p>
    <w:p w14:paraId="16C136C4" w14:textId="27F82257" w:rsidR="00A32D82" w:rsidRDefault="009678A2" w:rsidP="00A32D82">
      <w:pPr>
        <w:spacing w:line="480" w:lineRule="auto"/>
        <w:ind w:firstLine="713"/>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Ni</w:t>
      </w:r>
      <w:r w:rsidR="00CE3D29">
        <w:rPr>
          <w:rFonts w:ascii="Times New Roman" w:eastAsia="Times New Roman" w:hAnsi="Times New Roman" w:cs="Times New Roman"/>
          <w:color w:val="000000"/>
          <w:sz w:val="24"/>
          <w:szCs w:val="24"/>
          <w:lang w:eastAsia="en-US"/>
        </w:rPr>
        <w:t xml:space="preserve"> concentrations in</w:t>
      </w:r>
      <w:r w:rsidR="00A32D82" w:rsidRPr="00F07DEB">
        <w:rPr>
          <w:rFonts w:ascii="Times New Roman" w:eastAsia="Times New Roman" w:hAnsi="Times New Roman" w:cs="Times New Roman"/>
          <w:color w:val="000000"/>
          <w:sz w:val="24"/>
          <w:szCs w:val="24"/>
          <w:lang w:eastAsia="en-US"/>
        </w:rPr>
        <w:t xml:space="preserve"> mine water- and groundwater-irrigated plants</w:t>
      </w:r>
      <w:r w:rsidR="00CE3D29">
        <w:rPr>
          <w:rFonts w:ascii="Times New Roman" w:eastAsia="Times New Roman" w:hAnsi="Times New Roman" w:cs="Times New Roman"/>
          <w:color w:val="000000"/>
          <w:sz w:val="24"/>
          <w:szCs w:val="24"/>
          <w:lang w:eastAsia="en-US"/>
        </w:rPr>
        <w:t xml:space="preserve">, seen </w:t>
      </w:r>
      <w:r w:rsidR="00CE3D29" w:rsidRPr="00CE3D29">
        <w:rPr>
          <w:rFonts w:ascii="Times New Roman" w:eastAsia="Times New Roman" w:hAnsi="Times New Roman" w:cs="Times New Roman"/>
          <w:color w:val="000000"/>
          <w:sz w:val="24"/>
          <w:szCs w:val="24"/>
          <w:lang w:eastAsia="en-US"/>
        </w:rPr>
        <w:t xml:space="preserve">in </w:t>
      </w:r>
      <w:r w:rsidR="00CE3D29" w:rsidRPr="00CE3D29">
        <w:rPr>
          <w:rFonts w:ascii="Times New Roman" w:eastAsia="Times New Roman" w:hAnsi="Times New Roman" w:cs="Times New Roman"/>
          <w:color w:val="000000"/>
          <w:sz w:val="24"/>
          <w:szCs w:val="24"/>
          <w:lang w:eastAsia="en-US"/>
        </w:rPr>
        <w:fldChar w:fldCharType="begin"/>
      </w:r>
      <w:r w:rsidR="00CE3D29" w:rsidRPr="00CE3D29">
        <w:rPr>
          <w:rFonts w:ascii="Times New Roman" w:eastAsia="Times New Roman" w:hAnsi="Times New Roman" w:cs="Times New Roman"/>
          <w:color w:val="000000"/>
          <w:sz w:val="24"/>
          <w:szCs w:val="24"/>
          <w:lang w:eastAsia="en-US"/>
        </w:rPr>
        <w:instrText xml:space="preserve"> REF _Ref56717908 \h  \* MERGEFORMAT </w:instrText>
      </w:r>
      <w:r w:rsidR="00CE3D29" w:rsidRPr="00CE3D29">
        <w:rPr>
          <w:rFonts w:ascii="Times New Roman" w:eastAsia="Times New Roman" w:hAnsi="Times New Roman" w:cs="Times New Roman"/>
          <w:color w:val="000000"/>
          <w:sz w:val="24"/>
          <w:szCs w:val="24"/>
          <w:lang w:eastAsia="en-US"/>
        </w:rPr>
      </w:r>
      <w:r w:rsidR="00CE3D29" w:rsidRPr="00CE3D29">
        <w:rPr>
          <w:rFonts w:ascii="Times New Roman" w:eastAsia="Times New Roman" w:hAnsi="Times New Roman" w:cs="Times New Roman"/>
          <w:color w:val="000000"/>
          <w:sz w:val="24"/>
          <w:szCs w:val="24"/>
          <w:lang w:eastAsia="en-US"/>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32</w:t>
      </w:r>
      <w:r w:rsidR="00CE3D29" w:rsidRPr="00CE3D29">
        <w:rPr>
          <w:rFonts w:ascii="Times New Roman" w:eastAsia="Times New Roman" w:hAnsi="Times New Roman" w:cs="Times New Roman"/>
          <w:color w:val="000000"/>
          <w:sz w:val="24"/>
          <w:szCs w:val="24"/>
          <w:lang w:eastAsia="en-US"/>
        </w:rPr>
        <w:fldChar w:fldCharType="end"/>
      </w:r>
      <w:r w:rsidR="00A32D82" w:rsidRPr="00F07DEB">
        <w:rPr>
          <w:rFonts w:ascii="Times New Roman" w:eastAsia="Times New Roman" w:hAnsi="Times New Roman" w:cs="Times New Roman"/>
          <w:color w:val="000000"/>
          <w:sz w:val="24"/>
          <w:szCs w:val="24"/>
          <w:lang w:eastAsia="en-US"/>
        </w:rPr>
        <w:t xml:space="preserve"> were significantly different for Bermuda grass, but not for corn or sorghum. </w:t>
      </w:r>
      <w:r w:rsidR="002D4D08" w:rsidRPr="00F07DEB">
        <w:rPr>
          <w:rFonts w:ascii="Times New Roman" w:eastAsia="Times New Roman" w:hAnsi="Times New Roman" w:cs="Times New Roman"/>
          <w:color w:val="000000"/>
          <w:sz w:val="24"/>
          <w:szCs w:val="24"/>
          <w:lang w:eastAsia="en-US"/>
        </w:rPr>
        <w:t xml:space="preserve">Bermuda grass irrigated with groundwater contained higher concentrations of </w:t>
      </w:r>
      <w:r>
        <w:rPr>
          <w:rFonts w:ascii="Times New Roman" w:eastAsia="Times New Roman" w:hAnsi="Times New Roman" w:cs="Times New Roman"/>
          <w:color w:val="000000"/>
          <w:sz w:val="24"/>
          <w:szCs w:val="24"/>
          <w:lang w:eastAsia="en-US"/>
        </w:rPr>
        <w:t>Ni</w:t>
      </w:r>
      <w:r w:rsidR="002D4D08" w:rsidRPr="00F07DEB">
        <w:rPr>
          <w:rFonts w:ascii="Times New Roman" w:eastAsia="Times New Roman" w:hAnsi="Times New Roman" w:cs="Times New Roman"/>
          <w:color w:val="000000"/>
          <w:sz w:val="24"/>
          <w:szCs w:val="24"/>
          <w:lang w:eastAsia="en-US"/>
        </w:rPr>
        <w:t xml:space="preserve"> than mine water-irrigated Bermuda grass </w:t>
      </w:r>
      <w:r w:rsidR="00A32D82" w:rsidRPr="00F07DEB">
        <w:rPr>
          <w:rFonts w:ascii="Times New Roman" w:eastAsia="Times New Roman" w:hAnsi="Times New Roman" w:cs="Times New Roman"/>
          <w:color w:val="000000"/>
          <w:sz w:val="24"/>
          <w:szCs w:val="24"/>
          <w:lang w:eastAsia="en-US"/>
        </w:rPr>
        <w:t>(</w:t>
      </w:r>
      <w:proofErr w:type="gramStart"/>
      <w:r w:rsidR="00A32D82" w:rsidRPr="00204C13">
        <w:rPr>
          <w:rFonts w:ascii="Times New Roman" w:eastAsia="Times New Roman" w:hAnsi="Times New Roman" w:cs="Times New Roman"/>
          <w:i/>
          <w:color w:val="000000"/>
          <w:sz w:val="24"/>
          <w:szCs w:val="24"/>
          <w:lang w:eastAsia="en-US"/>
        </w:rPr>
        <w:t>F</w:t>
      </w:r>
      <w:r w:rsidR="00A32D82" w:rsidRPr="00F07DEB">
        <w:rPr>
          <w:rFonts w:ascii="Times New Roman" w:eastAsia="Times New Roman" w:hAnsi="Times New Roman" w:cs="Times New Roman"/>
          <w:color w:val="000000"/>
          <w:sz w:val="24"/>
          <w:szCs w:val="24"/>
          <w:lang w:eastAsia="en-US"/>
        </w:rPr>
        <w:t>(</w:t>
      </w:r>
      <w:proofErr w:type="gramEnd"/>
      <w:r w:rsidR="00A32D82" w:rsidRPr="00F07DEB">
        <w:rPr>
          <w:rFonts w:ascii="Times New Roman" w:eastAsia="Times New Roman" w:hAnsi="Times New Roman" w:cs="Times New Roman"/>
          <w:color w:val="000000"/>
          <w:sz w:val="24"/>
          <w:szCs w:val="24"/>
          <w:lang w:eastAsia="en-US"/>
        </w:rPr>
        <w:t xml:space="preserve">1,10) = 5.69, </w:t>
      </w:r>
      <w:r w:rsidR="00A32D82" w:rsidRPr="00385CDA">
        <w:rPr>
          <w:rFonts w:ascii="Times New Roman" w:eastAsia="Times New Roman" w:hAnsi="Times New Roman" w:cs="Times New Roman"/>
          <w:i/>
          <w:color w:val="000000"/>
          <w:sz w:val="24"/>
          <w:szCs w:val="24"/>
          <w:lang w:eastAsia="en-US"/>
        </w:rPr>
        <w:t>p</w:t>
      </w:r>
      <w:r w:rsidR="00A32D82" w:rsidRPr="00F07DEB">
        <w:rPr>
          <w:rFonts w:ascii="Times New Roman" w:eastAsia="Times New Roman" w:hAnsi="Times New Roman" w:cs="Times New Roman"/>
          <w:color w:val="000000"/>
          <w:sz w:val="24"/>
          <w:szCs w:val="24"/>
          <w:lang w:eastAsia="en-US"/>
        </w:rPr>
        <w:t xml:space="preserve"> = 0.038). Plant structure had a significant main effect on </w:t>
      </w:r>
      <w:r>
        <w:rPr>
          <w:rFonts w:ascii="Times New Roman" w:eastAsia="Times New Roman" w:hAnsi="Times New Roman" w:cs="Times New Roman"/>
          <w:color w:val="000000"/>
          <w:sz w:val="24"/>
          <w:szCs w:val="24"/>
          <w:lang w:eastAsia="en-US"/>
        </w:rPr>
        <w:t>Ni</w:t>
      </w:r>
      <w:r w:rsidR="00A32D82" w:rsidRPr="00F07DEB">
        <w:rPr>
          <w:rFonts w:ascii="Times New Roman" w:eastAsia="Times New Roman" w:hAnsi="Times New Roman" w:cs="Times New Roman"/>
          <w:color w:val="000000"/>
          <w:sz w:val="24"/>
          <w:szCs w:val="24"/>
          <w:lang w:eastAsia="en-US"/>
        </w:rPr>
        <w:t xml:space="preserve"> concentrations for </w:t>
      </w:r>
      <w:r w:rsidR="002D4D08" w:rsidRPr="00F07DEB">
        <w:rPr>
          <w:rFonts w:ascii="Times New Roman" w:eastAsia="Times New Roman" w:hAnsi="Times New Roman" w:cs="Times New Roman"/>
          <w:color w:val="000000"/>
          <w:sz w:val="24"/>
          <w:szCs w:val="24"/>
          <w:lang w:eastAsia="en-US"/>
        </w:rPr>
        <w:t>all species</w:t>
      </w:r>
      <w:r w:rsidR="00A32D82" w:rsidRPr="00F07DEB">
        <w:rPr>
          <w:rFonts w:ascii="Times New Roman" w:eastAsia="Times New Roman" w:hAnsi="Times New Roman" w:cs="Times New Roman"/>
          <w:color w:val="000000"/>
          <w:sz w:val="24"/>
          <w:szCs w:val="24"/>
          <w:lang w:eastAsia="en-US"/>
        </w:rPr>
        <w:t xml:space="preserve">. Corn roots accumulated </w:t>
      </w:r>
      <w:r w:rsidR="0009519C" w:rsidRPr="00F07DEB">
        <w:rPr>
          <w:rFonts w:ascii="Times New Roman" w:eastAsia="Times New Roman" w:hAnsi="Times New Roman" w:cs="Times New Roman"/>
          <w:color w:val="000000"/>
          <w:sz w:val="24"/>
          <w:szCs w:val="24"/>
          <w:lang w:eastAsia="en-US"/>
        </w:rPr>
        <w:t>higher</w:t>
      </w:r>
      <w:r w:rsidR="00A32D82" w:rsidRPr="00F07DEB">
        <w:rPr>
          <w:rFonts w:ascii="Times New Roman" w:eastAsia="Times New Roman" w:hAnsi="Times New Roman" w:cs="Times New Roman"/>
          <w:color w:val="000000"/>
          <w:sz w:val="24"/>
          <w:szCs w:val="24"/>
          <w:lang w:eastAsia="en-US"/>
        </w:rPr>
        <w:t xml:space="preserve"> concentrations of </w:t>
      </w:r>
      <w:r>
        <w:rPr>
          <w:rFonts w:ascii="Times New Roman" w:eastAsia="Times New Roman" w:hAnsi="Times New Roman" w:cs="Times New Roman"/>
          <w:color w:val="000000"/>
          <w:sz w:val="24"/>
          <w:szCs w:val="24"/>
          <w:lang w:eastAsia="en-US"/>
        </w:rPr>
        <w:t>Ni</w:t>
      </w:r>
      <w:r w:rsidR="0009519C" w:rsidRPr="00F07DEB">
        <w:rPr>
          <w:rFonts w:ascii="Times New Roman" w:eastAsia="Times New Roman" w:hAnsi="Times New Roman" w:cs="Times New Roman"/>
          <w:color w:val="000000"/>
          <w:sz w:val="24"/>
          <w:szCs w:val="24"/>
          <w:lang w:eastAsia="en-US"/>
        </w:rPr>
        <w:t xml:space="preserve"> than were found in stalks</w:t>
      </w:r>
      <w:r w:rsidR="00A32D82" w:rsidRPr="00F07DEB">
        <w:rPr>
          <w:rFonts w:ascii="Times New Roman" w:eastAsia="Times New Roman" w:hAnsi="Times New Roman" w:cs="Times New Roman"/>
          <w:color w:val="000000"/>
          <w:sz w:val="24"/>
          <w:szCs w:val="24"/>
          <w:lang w:eastAsia="en-US"/>
        </w:rPr>
        <w:t xml:space="preserve">, </w:t>
      </w:r>
      <w:r w:rsidR="0009519C" w:rsidRPr="00F07DEB">
        <w:rPr>
          <w:rFonts w:ascii="Times New Roman" w:eastAsia="Times New Roman" w:hAnsi="Times New Roman" w:cs="Times New Roman"/>
          <w:color w:val="000000"/>
          <w:sz w:val="24"/>
          <w:szCs w:val="24"/>
          <w:lang w:eastAsia="en-US"/>
        </w:rPr>
        <w:t>but neither the roots nor stalks could be statistically distinguished from the</w:t>
      </w:r>
      <w:r w:rsidR="002D4D08" w:rsidRPr="00F07DEB">
        <w:rPr>
          <w:rFonts w:ascii="Times New Roman" w:eastAsia="Times New Roman" w:hAnsi="Times New Roman" w:cs="Times New Roman"/>
          <w:color w:val="000000"/>
          <w:sz w:val="24"/>
          <w:szCs w:val="24"/>
          <w:lang w:eastAsia="en-US"/>
        </w:rPr>
        <w:t xml:space="preserve"> leaves</w:t>
      </w:r>
      <w:r w:rsidR="00A32D82" w:rsidRPr="00F07DEB">
        <w:rPr>
          <w:rFonts w:ascii="Times New Roman" w:eastAsia="Times New Roman" w:hAnsi="Times New Roman" w:cs="Times New Roman"/>
          <w:color w:val="000000"/>
          <w:sz w:val="24"/>
          <w:szCs w:val="24"/>
          <w:lang w:eastAsia="en-US"/>
        </w:rPr>
        <w:t>,</w:t>
      </w:r>
      <w:r w:rsidR="002D4D08" w:rsidRPr="00F07DEB">
        <w:rPr>
          <w:rFonts w:ascii="Times New Roman" w:eastAsia="Times New Roman" w:hAnsi="Times New Roman" w:cs="Times New Roman"/>
          <w:color w:val="000000"/>
          <w:sz w:val="24"/>
          <w:szCs w:val="24"/>
          <w:lang w:eastAsia="en-US"/>
        </w:rPr>
        <w:t xml:space="preserve"> husk</w:t>
      </w:r>
      <w:r w:rsidR="001405F5">
        <w:rPr>
          <w:rFonts w:ascii="Times New Roman" w:eastAsia="Times New Roman" w:hAnsi="Times New Roman" w:cs="Times New Roman"/>
          <w:color w:val="000000"/>
          <w:sz w:val="24"/>
          <w:szCs w:val="24"/>
          <w:lang w:eastAsia="en-US"/>
        </w:rPr>
        <w:t>s</w:t>
      </w:r>
      <w:r w:rsidR="002D4D08" w:rsidRPr="00F07DEB">
        <w:rPr>
          <w:rFonts w:ascii="Times New Roman" w:eastAsia="Times New Roman" w:hAnsi="Times New Roman" w:cs="Times New Roman"/>
          <w:color w:val="000000"/>
          <w:sz w:val="24"/>
          <w:szCs w:val="24"/>
          <w:lang w:eastAsia="en-US"/>
        </w:rPr>
        <w:t>, grain, and cobs</w:t>
      </w:r>
      <w:r w:rsidR="0009519C" w:rsidRPr="00F07DEB">
        <w:rPr>
          <w:rFonts w:ascii="Times New Roman" w:eastAsia="Times New Roman" w:hAnsi="Times New Roman" w:cs="Times New Roman"/>
          <w:color w:val="000000"/>
          <w:sz w:val="24"/>
          <w:szCs w:val="24"/>
          <w:lang w:eastAsia="en-US"/>
        </w:rPr>
        <w:t xml:space="preserve"> in terms of </w:t>
      </w:r>
      <w:r>
        <w:rPr>
          <w:rFonts w:ascii="Times New Roman" w:eastAsia="Times New Roman" w:hAnsi="Times New Roman" w:cs="Times New Roman"/>
          <w:color w:val="000000"/>
          <w:sz w:val="24"/>
          <w:szCs w:val="24"/>
          <w:lang w:eastAsia="en-US"/>
        </w:rPr>
        <w:t>Ni</w:t>
      </w:r>
      <w:r w:rsidR="0009519C" w:rsidRPr="00F07DEB">
        <w:rPr>
          <w:rFonts w:ascii="Times New Roman" w:eastAsia="Times New Roman" w:hAnsi="Times New Roman" w:cs="Times New Roman"/>
          <w:color w:val="000000"/>
          <w:sz w:val="24"/>
          <w:szCs w:val="24"/>
          <w:lang w:eastAsia="en-US"/>
        </w:rPr>
        <w:t xml:space="preserve"> concentrations</w:t>
      </w:r>
      <w:r w:rsidR="002D4D08" w:rsidRPr="00F07DEB">
        <w:rPr>
          <w:rFonts w:ascii="Times New Roman" w:eastAsia="Times New Roman" w:hAnsi="Times New Roman" w:cs="Times New Roman"/>
          <w:color w:val="000000"/>
          <w:sz w:val="24"/>
          <w:szCs w:val="24"/>
          <w:lang w:eastAsia="en-US"/>
        </w:rPr>
        <w:t xml:space="preserve"> </w:t>
      </w:r>
      <w:r w:rsidR="00A32D82" w:rsidRPr="00F07DEB">
        <w:rPr>
          <w:rFonts w:ascii="Times New Roman" w:eastAsia="Times New Roman" w:hAnsi="Times New Roman" w:cs="Times New Roman"/>
          <w:color w:val="000000"/>
          <w:sz w:val="24"/>
          <w:szCs w:val="24"/>
          <w:lang w:eastAsia="en-US"/>
        </w:rPr>
        <w:t>(</w:t>
      </w:r>
      <w:r w:rsidR="00A32D82" w:rsidRPr="00204C13">
        <w:rPr>
          <w:rFonts w:ascii="Times New Roman" w:eastAsia="Times New Roman" w:hAnsi="Times New Roman" w:cs="Times New Roman"/>
          <w:i/>
          <w:color w:val="000000"/>
          <w:sz w:val="24"/>
          <w:szCs w:val="24"/>
          <w:lang w:eastAsia="en-US"/>
        </w:rPr>
        <w:t>F</w:t>
      </w:r>
      <w:r w:rsidR="00A32D82" w:rsidRPr="00F07DEB">
        <w:rPr>
          <w:rFonts w:ascii="Times New Roman" w:eastAsia="Times New Roman" w:hAnsi="Times New Roman" w:cs="Times New Roman"/>
          <w:color w:val="000000"/>
          <w:sz w:val="24"/>
          <w:szCs w:val="24"/>
          <w:lang w:eastAsia="en-US"/>
        </w:rPr>
        <w:t>(</w:t>
      </w:r>
      <w:r w:rsidR="002D4D08" w:rsidRPr="00F07DEB">
        <w:rPr>
          <w:rFonts w:ascii="Times New Roman" w:eastAsia="Times New Roman" w:hAnsi="Times New Roman" w:cs="Times New Roman"/>
          <w:color w:val="000000"/>
          <w:sz w:val="24"/>
          <w:szCs w:val="24"/>
          <w:lang w:eastAsia="en-US"/>
        </w:rPr>
        <w:t xml:space="preserve">2.44,24.39) = 5.42, </w:t>
      </w:r>
      <w:r w:rsidR="002D4D08" w:rsidRPr="00385CDA">
        <w:rPr>
          <w:rFonts w:ascii="Times New Roman" w:eastAsia="Times New Roman" w:hAnsi="Times New Roman" w:cs="Times New Roman"/>
          <w:i/>
          <w:color w:val="000000"/>
          <w:sz w:val="24"/>
          <w:szCs w:val="24"/>
          <w:lang w:eastAsia="en-US"/>
        </w:rPr>
        <w:t>p</w:t>
      </w:r>
      <w:r w:rsidR="002D4D08" w:rsidRPr="00F07DEB">
        <w:rPr>
          <w:rFonts w:ascii="Times New Roman" w:eastAsia="Times New Roman" w:hAnsi="Times New Roman" w:cs="Times New Roman"/>
          <w:color w:val="000000"/>
          <w:sz w:val="24"/>
          <w:szCs w:val="24"/>
          <w:lang w:eastAsia="en-US"/>
        </w:rPr>
        <w:t xml:space="preserve"> = 0.008)</w:t>
      </w:r>
      <w:r w:rsidR="00A32D82" w:rsidRPr="00F07DEB">
        <w:rPr>
          <w:rFonts w:ascii="Times New Roman" w:eastAsia="Times New Roman" w:hAnsi="Times New Roman" w:cs="Times New Roman"/>
          <w:color w:val="000000"/>
          <w:sz w:val="24"/>
          <w:szCs w:val="24"/>
          <w:lang w:eastAsia="en-US"/>
        </w:rPr>
        <w:t xml:space="preserve">. Sorghum structures </w:t>
      </w:r>
      <w:r w:rsidR="0009519C" w:rsidRPr="00F07DEB">
        <w:rPr>
          <w:rFonts w:ascii="Times New Roman" w:eastAsia="Times New Roman" w:hAnsi="Times New Roman" w:cs="Times New Roman"/>
          <w:color w:val="000000"/>
          <w:sz w:val="24"/>
          <w:szCs w:val="24"/>
          <w:lang w:eastAsia="en-US"/>
        </w:rPr>
        <w:t xml:space="preserve">exhibited similar uncertainties but inverted the hierarchy of </w:t>
      </w:r>
      <w:r>
        <w:rPr>
          <w:rFonts w:ascii="Times New Roman" w:eastAsia="Times New Roman" w:hAnsi="Times New Roman" w:cs="Times New Roman"/>
          <w:color w:val="000000"/>
          <w:sz w:val="24"/>
          <w:szCs w:val="24"/>
          <w:lang w:eastAsia="en-US"/>
        </w:rPr>
        <w:t>Ni</w:t>
      </w:r>
      <w:r w:rsidR="0009519C" w:rsidRPr="00F07DEB">
        <w:rPr>
          <w:rFonts w:ascii="Times New Roman" w:eastAsia="Times New Roman" w:hAnsi="Times New Roman" w:cs="Times New Roman"/>
          <w:color w:val="000000"/>
          <w:sz w:val="24"/>
          <w:szCs w:val="24"/>
          <w:lang w:eastAsia="en-US"/>
        </w:rPr>
        <w:t xml:space="preserve"> accumulation. Sorghum grain accumulated higher </w:t>
      </w:r>
      <w:r>
        <w:rPr>
          <w:rFonts w:ascii="Times New Roman" w:eastAsia="Times New Roman" w:hAnsi="Times New Roman" w:cs="Times New Roman"/>
          <w:color w:val="000000"/>
          <w:sz w:val="24"/>
          <w:szCs w:val="24"/>
          <w:lang w:eastAsia="en-US"/>
        </w:rPr>
        <w:t>Ni</w:t>
      </w:r>
      <w:r w:rsidR="0009519C" w:rsidRPr="00F07DEB">
        <w:rPr>
          <w:rFonts w:ascii="Times New Roman" w:eastAsia="Times New Roman" w:hAnsi="Times New Roman" w:cs="Times New Roman"/>
          <w:color w:val="000000"/>
          <w:sz w:val="24"/>
          <w:szCs w:val="24"/>
          <w:lang w:eastAsia="en-US"/>
        </w:rPr>
        <w:t xml:space="preserve"> concentrations than the leaves, but neither structure could be statistically separated from </w:t>
      </w:r>
      <w:r>
        <w:rPr>
          <w:rFonts w:ascii="Times New Roman" w:eastAsia="Times New Roman" w:hAnsi="Times New Roman" w:cs="Times New Roman"/>
          <w:color w:val="000000"/>
          <w:sz w:val="24"/>
          <w:szCs w:val="24"/>
          <w:lang w:eastAsia="en-US"/>
        </w:rPr>
        <w:t>Ni</w:t>
      </w:r>
      <w:r w:rsidR="0009519C" w:rsidRPr="00F07DEB">
        <w:rPr>
          <w:rFonts w:ascii="Times New Roman" w:eastAsia="Times New Roman" w:hAnsi="Times New Roman" w:cs="Times New Roman"/>
          <w:color w:val="000000"/>
          <w:sz w:val="24"/>
          <w:szCs w:val="24"/>
          <w:lang w:eastAsia="en-US"/>
        </w:rPr>
        <w:t xml:space="preserve"> concentrations in the stalks and roots </w:t>
      </w:r>
      <w:r w:rsidR="00A32D82" w:rsidRPr="00F07DEB">
        <w:rPr>
          <w:rFonts w:ascii="Times New Roman" w:eastAsia="Times New Roman" w:hAnsi="Times New Roman" w:cs="Times New Roman"/>
          <w:color w:val="000000"/>
          <w:sz w:val="24"/>
          <w:szCs w:val="24"/>
          <w:lang w:eastAsia="en-US"/>
        </w:rPr>
        <w:t>(</w:t>
      </w:r>
      <w:proofErr w:type="gramStart"/>
      <w:r w:rsidR="00A32D82" w:rsidRPr="00204C13">
        <w:rPr>
          <w:rFonts w:ascii="Times New Roman" w:eastAsia="Times New Roman" w:hAnsi="Times New Roman" w:cs="Times New Roman"/>
          <w:i/>
          <w:color w:val="000000"/>
          <w:sz w:val="24"/>
          <w:szCs w:val="24"/>
          <w:lang w:eastAsia="en-US"/>
        </w:rPr>
        <w:t>F</w:t>
      </w:r>
      <w:r w:rsidR="00BA5693">
        <w:rPr>
          <w:rFonts w:ascii="Times New Roman" w:eastAsia="Times New Roman" w:hAnsi="Times New Roman" w:cs="Times New Roman"/>
          <w:color w:val="000000"/>
          <w:sz w:val="24"/>
          <w:szCs w:val="24"/>
          <w:lang w:eastAsia="en-US"/>
        </w:rPr>
        <w:t>(</w:t>
      </w:r>
      <w:proofErr w:type="gramEnd"/>
      <w:r w:rsidR="002D4D08" w:rsidRPr="00F07DEB">
        <w:rPr>
          <w:rFonts w:ascii="Times New Roman" w:eastAsia="Times New Roman" w:hAnsi="Times New Roman" w:cs="Times New Roman"/>
          <w:color w:val="000000"/>
          <w:sz w:val="24"/>
          <w:szCs w:val="24"/>
          <w:lang w:eastAsia="en-US"/>
        </w:rPr>
        <w:t xml:space="preserve">2.04,20.43) = 3.73, </w:t>
      </w:r>
      <w:r w:rsidR="002D4D08" w:rsidRPr="00385CDA">
        <w:rPr>
          <w:rFonts w:ascii="Times New Roman" w:eastAsia="Times New Roman" w:hAnsi="Times New Roman" w:cs="Times New Roman"/>
          <w:i/>
          <w:color w:val="000000"/>
          <w:sz w:val="24"/>
          <w:szCs w:val="24"/>
          <w:lang w:eastAsia="en-US"/>
        </w:rPr>
        <w:t>p</w:t>
      </w:r>
      <w:r w:rsidR="002D4D08" w:rsidRPr="00F07DEB">
        <w:rPr>
          <w:rFonts w:ascii="Times New Roman" w:eastAsia="Times New Roman" w:hAnsi="Times New Roman" w:cs="Times New Roman"/>
          <w:color w:val="000000"/>
          <w:sz w:val="24"/>
          <w:szCs w:val="24"/>
          <w:lang w:eastAsia="en-US"/>
        </w:rPr>
        <w:t xml:space="preserve"> = 0.041).</w:t>
      </w:r>
      <w:r w:rsidR="00A32D82" w:rsidRPr="00F07DEB">
        <w:rPr>
          <w:rFonts w:ascii="Times New Roman" w:eastAsia="Times New Roman" w:hAnsi="Times New Roman" w:cs="Times New Roman"/>
          <w:color w:val="000000"/>
          <w:sz w:val="24"/>
          <w:szCs w:val="24"/>
          <w:lang w:eastAsia="en-US"/>
        </w:rPr>
        <w:t xml:space="preserve"> </w:t>
      </w:r>
      <w:r w:rsidR="002D4D08" w:rsidRPr="00F07DEB">
        <w:rPr>
          <w:rFonts w:ascii="Times New Roman" w:eastAsia="Times New Roman" w:hAnsi="Times New Roman" w:cs="Times New Roman"/>
          <w:color w:val="000000"/>
          <w:sz w:val="24"/>
          <w:szCs w:val="24"/>
          <w:lang w:eastAsia="en-US"/>
        </w:rPr>
        <w:t xml:space="preserve">Bermuda grass </w:t>
      </w:r>
      <w:r w:rsidR="0009519C" w:rsidRPr="00F07DEB">
        <w:rPr>
          <w:rFonts w:ascii="Times New Roman" w:eastAsia="Times New Roman" w:hAnsi="Times New Roman" w:cs="Times New Roman"/>
          <w:color w:val="000000"/>
          <w:sz w:val="24"/>
          <w:szCs w:val="24"/>
          <w:lang w:eastAsia="en-US"/>
        </w:rPr>
        <w:t xml:space="preserve">roots contained higher concentrations of </w:t>
      </w:r>
      <w:r>
        <w:rPr>
          <w:rFonts w:ascii="Times New Roman" w:eastAsia="Times New Roman" w:hAnsi="Times New Roman" w:cs="Times New Roman"/>
          <w:color w:val="000000"/>
          <w:sz w:val="24"/>
          <w:szCs w:val="24"/>
          <w:lang w:eastAsia="en-US"/>
        </w:rPr>
        <w:t>Ni</w:t>
      </w:r>
      <w:r w:rsidR="0009519C" w:rsidRPr="00F07DEB">
        <w:rPr>
          <w:rFonts w:ascii="Times New Roman" w:eastAsia="Times New Roman" w:hAnsi="Times New Roman" w:cs="Times New Roman"/>
          <w:color w:val="000000"/>
          <w:sz w:val="24"/>
          <w:szCs w:val="24"/>
          <w:lang w:eastAsia="en-US"/>
        </w:rPr>
        <w:t xml:space="preserve"> than either grass1 or grass2, which accumulated similar concentrations of </w:t>
      </w:r>
      <w:r>
        <w:rPr>
          <w:rFonts w:ascii="Times New Roman" w:eastAsia="Times New Roman" w:hAnsi="Times New Roman" w:cs="Times New Roman"/>
          <w:color w:val="000000"/>
          <w:sz w:val="24"/>
          <w:szCs w:val="24"/>
          <w:lang w:eastAsia="en-US"/>
        </w:rPr>
        <w:t>Ni</w:t>
      </w:r>
      <w:r w:rsidR="0009519C" w:rsidRPr="00F07DEB">
        <w:rPr>
          <w:rFonts w:ascii="Times New Roman" w:eastAsia="Times New Roman" w:hAnsi="Times New Roman" w:cs="Times New Roman"/>
          <w:color w:val="000000"/>
          <w:sz w:val="24"/>
          <w:szCs w:val="24"/>
          <w:lang w:eastAsia="en-US"/>
        </w:rPr>
        <w:t xml:space="preserve"> </w:t>
      </w:r>
      <w:r w:rsidR="002D4D08" w:rsidRPr="00F07DEB">
        <w:rPr>
          <w:rFonts w:ascii="Times New Roman" w:eastAsia="Times New Roman" w:hAnsi="Times New Roman" w:cs="Times New Roman"/>
          <w:color w:val="000000"/>
          <w:sz w:val="24"/>
          <w:szCs w:val="24"/>
          <w:lang w:eastAsia="en-US"/>
        </w:rPr>
        <w:t>(</w:t>
      </w:r>
      <w:proofErr w:type="gramStart"/>
      <w:r w:rsidR="002D4D08" w:rsidRPr="00204C13">
        <w:rPr>
          <w:rFonts w:ascii="Times New Roman" w:eastAsia="Times New Roman" w:hAnsi="Times New Roman" w:cs="Times New Roman"/>
          <w:i/>
          <w:color w:val="000000"/>
          <w:sz w:val="24"/>
          <w:szCs w:val="24"/>
          <w:lang w:eastAsia="en-US"/>
        </w:rPr>
        <w:t>F</w:t>
      </w:r>
      <w:r w:rsidR="002D4D08" w:rsidRPr="00F07DEB">
        <w:rPr>
          <w:rFonts w:ascii="Times New Roman" w:eastAsia="Times New Roman" w:hAnsi="Times New Roman" w:cs="Times New Roman"/>
          <w:color w:val="000000"/>
          <w:sz w:val="24"/>
          <w:szCs w:val="24"/>
          <w:lang w:eastAsia="en-US"/>
        </w:rPr>
        <w:t>(</w:t>
      </w:r>
      <w:proofErr w:type="gramEnd"/>
      <w:r w:rsidR="002D4D08" w:rsidRPr="00F07DEB">
        <w:rPr>
          <w:rFonts w:ascii="Times New Roman" w:eastAsia="Times New Roman" w:hAnsi="Times New Roman" w:cs="Times New Roman"/>
          <w:color w:val="000000"/>
          <w:sz w:val="24"/>
          <w:szCs w:val="24"/>
          <w:lang w:eastAsia="en-US"/>
        </w:rPr>
        <w:t xml:space="preserve">2,20) = 22.0, </w:t>
      </w:r>
      <w:r w:rsidR="002D4D08" w:rsidRPr="00385CDA">
        <w:rPr>
          <w:rFonts w:ascii="Times New Roman" w:eastAsia="Times New Roman" w:hAnsi="Times New Roman" w:cs="Times New Roman"/>
          <w:i/>
          <w:color w:val="000000"/>
          <w:sz w:val="24"/>
          <w:szCs w:val="24"/>
          <w:lang w:eastAsia="en-US"/>
        </w:rPr>
        <w:t>p</w:t>
      </w:r>
      <w:r w:rsidR="002D4D08" w:rsidRPr="00F07DEB">
        <w:rPr>
          <w:rFonts w:ascii="Times New Roman" w:eastAsia="Times New Roman" w:hAnsi="Times New Roman" w:cs="Times New Roman"/>
          <w:color w:val="000000"/>
          <w:sz w:val="24"/>
          <w:szCs w:val="24"/>
          <w:lang w:eastAsia="en-US"/>
        </w:rPr>
        <w:t xml:space="preserve"> &lt; 0.001) </w:t>
      </w:r>
      <w:r w:rsidR="00A32D82" w:rsidRPr="00F07DEB">
        <w:rPr>
          <w:rFonts w:ascii="Times New Roman" w:eastAsia="Times New Roman" w:hAnsi="Times New Roman" w:cs="Times New Roman"/>
          <w:color w:val="000000"/>
          <w:sz w:val="24"/>
          <w:szCs w:val="24"/>
          <w:lang w:eastAsia="en-US"/>
        </w:rPr>
        <w:t xml:space="preserve">The interaction between irrigation treatment and plant structure was not significant for any of the species. </w:t>
      </w:r>
    </w:p>
    <w:p w14:paraId="3A3AFE10" w14:textId="5F4559BB" w:rsidR="00CE3D29" w:rsidRDefault="002E56C1" w:rsidP="00CE3D29">
      <w:pPr>
        <w:keepNext/>
        <w:spacing w:line="480" w:lineRule="auto"/>
      </w:pPr>
      <w:r w:rsidRPr="002E56C1">
        <w:rPr>
          <w:noProof/>
          <w:lang w:eastAsia="en-US"/>
        </w:rPr>
        <w:lastRenderedPageBreak/>
        <w:drawing>
          <wp:inline distT="0" distB="0" distL="0" distR="0" wp14:anchorId="1054640E" wp14:editId="7F4A78D7">
            <wp:extent cx="5943600" cy="2971800"/>
            <wp:effectExtent l="0" t="0" r="0" b="0"/>
            <wp:docPr id="4" name="Picture 4" descr="C:\Users\harper3663\Documents\School\_CREW\Irrigation Project\R\Plots\Plant Metals\Corrected\PlantN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harper3663\Documents\School\_CREW\Irrigation Project\R\Plots\Plant Metals\Corrected\PlantNi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6670342E" w14:textId="6BE1911F" w:rsidR="00CE3D29" w:rsidRDefault="00CE3D29" w:rsidP="00204C13">
      <w:pPr>
        <w:pStyle w:val="Caption"/>
        <w:rPr>
          <w:rFonts w:eastAsia="Times New Roman"/>
          <w:color w:val="000000"/>
          <w:sz w:val="24"/>
          <w:szCs w:val="24"/>
          <w:lang w:eastAsia="en-US"/>
        </w:rPr>
      </w:pPr>
      <w:bookmarkStart w:id="124" w:name="_Ref56717908"/>
      <w:bookmarkStart w:id="125" w:name="_Toc58975242"/>
      <w:r>
        <w:t xml:space="preserve">Figure </w:t>
      </w:r>
      <w:r w:rsidR="0033797C">
        <w:rPr>
          <w:noProof/>
        </w:rPr>
        <w:fldChar w:fldCharType="begin"/>
      </w:r>
      <w:r w:rsidR="0033797C">
        <w:rPr>
          <w:noProof/>
        </w:rPr>
        <w:instrText xml:space="preserve"> SEQ Figure \* ARABIC </w:instrText>
      </w:r>
      <w:r w:rsidR="0033797C">
        <w:rPr>
          <w:noProof/>
        </w:rPr>
        <w:fldChar w:fldCharType="separate"/>
      </w:r>
      <w:r w:rsidR="00E179CA">
        <w:rPr>
          <w:noProof/>
        </w:rPr>
        <w:t>32</w:t>
      </w:r>
      <w:r w:rsidR="0033797C">
        <w:rPr>
          <w:noProof/>
        </w:rPr>
        <w:fldChar w:fldCharType="end"/>
      </w:r>
      <w:bookmarkEnd w:id="124"/>
      <w:r>
        <w:rPr>
          <w:noProof/>
        </w:rPr>
        <w:t xml:space="preserve">: </w:t>
      </w:r>
      <w:r w:rsidRPr="00C67072">
        <w:rPr>
          <w:noProof/>
        </w:rPr>
        <w:t>Box plots of Ni concentrations in each plant and structure in mg/kg</w:t>
      </w:r>
      <w:bookmarkEnd w:id="125"/>
    </w:p>
    <w:p w14:paraId="7ECBF9D0" w14:textId="77777777" w:rsidR="00CE3D29" w:rsidRPr="00F07DEB" w:rsidRDefault="00CE3D29" w:rsidP="00CE3D29">
      <w:pPr>
        <w:spacing w:line="480" w:lineRule="auto"/>
        <w:rPr>
          <w:rFonts w:ascii="Times New Roman" w:eastAsia="Times New Roman" w:hAnsi="Times New Roman" w:cs="Times New Roman"/>
          <w:color w:val="000000"/>
          <w:sz w:val="24"/>
          <w:szCs w:val="24"/>
          <w:lang w:eastAsia="en-US"/>
        </w:rPr>
      </w:pPr>
    </w:p>
    <w:p w14:paraId="6FFE3ED6" w14:textId="4FD90483" w:rsidR="00157A16" w:rsidRDefault="00641A81" w:rsidP="00157A16">
      <w:pPr>
        <w:spacing w:line="480" w:lineRule="auto"/>
        <w:ind w:firstLine="713"/>
        <w:rPr>
          <w:rFonts w:ascii="Times New Roman" w:eastAsia="Times New Roman" w:hAnsi="Times New Roman" w:cs="Times New Roman"/>
          <w:color w:val="000000"/>
          <w:sz w:val="24"/>
          <w:szCs w:val="24"/>
          <w:lang w:eastAsia="en-US"/>
        </w:rPr>
      </w:pPr>
      <w:proofErr w:type="spellStart"/>
      <w:r>
        <w:rPr>
          <w:rFonts w:ascii="Times New Roman" w:eastAsia="Times New Roman" w:hAnsi="Times New Roman" w:cs="Times New Roman"/>
          <w:color w:val="000000"/>
          <w:sz w:val="24"/>
          <w:szCs w:val="24"/>
          <w:lang w:eastAsia="en-US"/>
        </w:rPr>
        <w:t>Pb</w:t>
      </w:r>
      <w:proofErr w:type="spellEnd"/>
      <w:r w:rsidR="00CE3D29">
        <w:rPr>
          <w:rFonts w:ascii="Times New Roman" w:eastAsia="Times New Roman" w:hAnsi="Times New Roman" w:cs="Times New Roman"/>
          <w:color w:val="000000"/>
          <w:sz w:val="24"/>
          <w:szCs w:val="24"/>
          <w:lang w:eastAsia="en-US"/>
        </w:rPr>
        <w:t xml:space="preserve"> concentrations in</w:t>
      </w:r>
      <w:r w:rsidR="00157A16" w:rsidRPr="00F07DEB">
        <w:rPr>
          <w:rFonts w:ascii="Times New Roman" w:eastAsia="Times New Roman" w:hAnsi="Times New Roman" w:cs="Times New Roman"/>
          <w:color w:val="000000"/>
          <w:sz w:val="24"/>
          <w:szCs w:val="24"/>
          <w:lang w:eastAsia="en-US"/>
        </w:rPr>
        <w:t xml:space="preserve"> mine water- and groundwater-irrigated </w:t>
      </w:r>
      <w:r w:rsidR="002514A7" w:rsidRPr="00F07DEB">
        <w:rPr>
          <w:rFonts w:ascii="Times New Roman" w:eastAsia="Times New Roman" w:hAnsi="Times New Roman" w:cs="Times New Roman"/>
          <w:color w:val="000000"/>
          <w:sz w:val="24"/>
          <w:szCs w:val="24"/>
          <w:lang w:eastAsia="en-US"/>
        </w:rPr>
        <w:t>sorghum plants</w:t>
      </w:r>
      <w:r w:rsidR="00CE3D29">
        <w:rPr>
          <w:rFonts w:ascii="Times New Roman" w:eastAsia="Times New Roman" w:hAnsi="Times New Roman" w:cs="Times New Roman"/>
          <w:color w:val="000000"/>
          <w:sz w:val="24"/>
          <w:szCs w:val="24"/>
          <w:lang w:eastAsia="en-US"/>
        </w:rPr>
        <w:t>, plotted</w:t>
      </w:r>
      <w:r w:rsidR="00CE3D29" w:rsidRPr="00CE3D29">
        <w:rPr>
          <w:rFonts w:ascii="Times New Roman" w:eastAsia="Times New Roman" w:hAnsi="Times New Roman" w:cs="Times New Roman"/>
          <w:color w:val="000000"/>
          <w:sz w:val="24"/>
          <w:szCs w:val="24"/>
          <w:lang w:eastAsia="en-US"/>
        </w:rPr>
        <w:t xml:space="preserve"> in </w:t>
      </w:r>
      <w:r w:rsidR="00CE3D29" w:rsidRPr="00CE3D29">
        <w:rPr>
          <w:rFonts w:ascii="Times New Roman" w:eastAsia="Times New Roman" w:hAnsi="Times New Roman" w:cs="Times New Roman"/>
          <w:color w:val="000000"/>
          <w:sz w:val="24"/>
          <w:szCs w:val="24"/>
          <w:lang w:eastAsia="en-US"/>
        </w:rPr>
        <w:fldChar w:fldCharType="begin"/>
      </w:r>
      <w:r w:rsidR="00CE3D29" w:rsidRPr="00CE3D29">
        <w:rPr>
          <w:rFonts w:ascii="Times New Roman" w:eastAsia="Times New Roman" w:hAnsi="Times New Roman" w:cs="Times New Roman"/>
          <w:color w:val="000000"/>
          <w:sz w:val="24"/>
          <w:szCs w:val="24"/>
          <w:lang w:eastAsia="en-US"/>
        </w:rPr>
        <w:instrText xml:space="preserve"> REF _Ref56717926 \h  \* MERGEFORMAT </w:instrText>
      </w:r>
      <w:r w:rsidR="00CE3D29" w:rsidRPr="00CE3D29">
        <w:rPr>
          <w:rFonts w:ascii="Times New Roman" w:eastAsia="Times New Roman" w:hAnsi="Times New Roman" w:cs="Times New Roman"/>
          <w:color w:val="000000"/>
          <w:sz w:val="24"/>
          <w:szCs w:val="24"/>
          <w:lang w:eastAsia="en-US"/>
        </w:rPr>
      </w:r>
      <w:r w:rsidR="00CE3D29" w:rsidRPr="00CE3D29">
        <w:rPr>
          <w:rFonts w:ascii="Times New Roman" w:eastAsia="Times New Roman" w:hAnsi="Times New Roman" w:cs="Times New Roman"/>
          <w:color w:val="000000"/>
          <w:sz w:val="24"/>
          <w:szCs w:val="24"/>
          <w:lang w:eastAsia="en-US"/>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33</w:t>
      </w:r>
      <w:r w:rsidR="00CE3D29" w:rsidRPr="00CE3D29">
        <w:rPr>
          <w:rFonts w:ascii="Times New Roman" w:eastAsia="Times New Roman" w:hAnsi="Times New Roman" w:cs="Times New Roman"/>
          <w:color w:val="000000"/>
          <w:sz w:val="24"/>
          <w:szCs w:val="24"/>
          <w:lang w:eastAsia="en-US"/>
        </w:rPr>
        <w:fldChar w:fldCharType="end"/>
      </w:r>
      <w:r w:rsidR="00791073">
        <w:rPr>
          <w:rFonts w:ascii="Times New Roman" w:eastAsia="Times New Roman" w:hAnsi="Times New Roman" w:cs="Times New Roman"/>
          <w:color w:val="000000"/>
          <w:sz w:val="24"/>
          <w:szCs w:val="24"/>
          <w:lang w:eastAsia="en-US"/>
        </w:rPr>
        <w:t>,</w:t>
      </w:r>
      <w:r w:rsidR="00157A16" w:rsidRPr="00CE3D29">
        <w:rPr>
          <w:rFonts w:ascii="Times New Roman" w:eastAsia="Times New Roman" w:hAnsi="Times New Roman" w:cs="Times New Roman"/>
          <w:color w:val="000000"/>
          <w:sz w:val="24"/>
          <w:szCs w:val="24"/>
          <w:lang w:eastAsia="en-US"/>
        </w:rPr>
        <w:t xml:space="preserve"> were</w:t>
      </w:r>
      <w:r w:rsidR="00157A16" w:rsidRPr="00F07DEB">
        <w:rPr>
          <w:rFonts w:ascii="Times New Roman" w:eastAsia="Times New Roman" w:hAnsi="Times New Roman" w:cs="Times New Roman"/>
          <w:color w:val="000000"/>
          <w:sz w:val="24"/>
          <w:szCs w:val="24"/>
          <w:lang w:eastAsia="en-US"/>
        </w:rPr>
        <w:t xml:space="preserve"> significantly diffe</w:t>
      </w:r>
      <w:r w:rsidR="002514A7" w:rsidRPr="00F07DEB">
        <w:rPr>
          <w:rFonts w:ascii="Times New Roman" w:eastAsia="Times New Roman" w:hAnsi="Times New Roman" w:cs="Times New Roman"/>
          <w:color w:val="000000"/>
          <w:sz w:val="24"/>
          <w:szCs w:val="24"/>
          <w:lang w:eastAsia="en-US"/>
        </w:rPr>
        <w:t>rent</w:t>
      </w:r>
      <w:r w:rsidR="00157A16" w:rsidRPr="00F07DEB">
        <w:rPr>
          <w:rFonts w:ascii="Times New Roman" w:eastAsia="Times New Roman" w:hAnsi="Times New Roman" w:cs="Times New Roman"/>
          <w:color w:val="000000"/>
          <w:sz w:val="24"/>
          <w:szCs w:val="24"/>
          <w:lang w:eastAsia="en-US"/>
        </w:rPr>
        <w:t xml:space="preserve">. </w:t>
      </w:r>
      <w:r w:rsidR="0062788F" w:rsidRPr="00F07DEB">
        <w:rPr>
          <w:rFonts w:ascii="Times New Roman" w:eastAsia="Times New Roman" w:hAnsi="Times New Roman" w:cs="Times New Roman"/>
          <w:color w:val="000000"/>
          <w:sz w:val="24"/>
          <w:szCs w:val="24"/>
          <w:lang w:eastAsia="en-US"/>
        </w:rPr>
        <w:t>Sorghum</w:t>
      </w:r>
      <w:r w:rsidR="00157A16" w:rsidRPr="00F07DEB">
        <w:rPr>
          <w:rFonts w:ascii="Times New Roman" w:eastAsia="Times New Roman" w:hAnsi="Times New Roman" w:cs="Times New Roman"/>
          <w:color w:val="000000"/>
          <w:sz w:val="24"/>
          <w:szCs w:val="24"/>
          <w:lang w:eastAsia="en-US"/>
        </w:rPr>
        <w:t xml:space="preserve"> irrigated with groundwater contained higher concentrations of </w:t>
      </w:r>
      <w:proofErr w:type="spellStart"/>
      <w:r w:rsidR="009678A2">
        <w:rPr>
          <w:rFonts w:ascii="Times New Roman" w:hAnsi="Times New Roman" w:cs="Times New Roman"/>
          <w:sz w:val="24"/>
          <w:szCs w:val="24"/>
        </w:rPr>
        <w:t>Pb</w:t>
      </w:r>
      <w:proofErr w:type="spellEnd"/>
      <w:r w:rsidR="00157A16" w:rsidRPr="00F07DEB">
        <w:rPr>
          <w:rFonts w:ascii="Times New Roman" w:eastAsia="Times New Roman" w:hAnsi="Times New Roman" w:cs="Times New Roman"/>
          <w:color w:val="000000"/>
          <w:sz w:val="24"/>
          <w:szCs w:val="24"/>
          <w:lang w:eastAsia="en-US"/>
        </w:rPr>
        <w:t xml:space="preserve"> than mine water-irrigated </w:t>
      </w:r>
      <w:r w:rsidR="0062788F" w:rsidRPr="00F07DEB">
        <w:rPr>
          <w:rFonts w:ascii="Times New Roman" w:eastAsia="Times New Roman" w:hAnsi="Times New Roman" w:cs="Times New Roman"/>
          <w:color w:val="000000"/>
          <w:sz w:val="24"/>
          <w:szCs w:val="24"/>
          <w:lang w:eastAsia="en-US"/>
        </w:rPr>
        <w:t>sorghum</w:t>
      </w:r>
      <w:r w:rsidR="00157A16" w:rsidRPr="00F07DEB">
        <w:rPr>
          <w:rFonts w:ascii="Times New Roman" w:eastAsia="Times New Roman" w:hAnsi="Times New Roman" w:cs="Times New Roman"/>
          <w:color w:val="000000"/>
          <w:sz w:val="24"/>
          <w:szCs w:val="24"/>
          <w:lang w:eastAsia="en-US"/>
        </w:rPr>
        <w:t xml:space="preserve"> (</w:t>
      </w:r>
      <w:proofErr w:type="gramStart"/>
      <w:r w:rsidR="00157A16" w:rsidRPr="00204C13">
        <w:rPr>
          <w:rFonts w:ascii="Times New Roman" w:eastAsia="Times New Roman" w:hAnsi="Times New Roman" w:cs="Times New Roman"/>
          <w:i/>
          <w:color w:val="000000"/>
          <w:sz w:val="24"/>
          <w:szCs w:val="24"/>
          <w:lang w:eastAsia="en-US"/>
        </w:rPr>
        <w:t>F</w:t>
      </w:r>
      <w:r w:rsidR="00157A16" w:rsidRPr="00F07DEB">
        <w:rPr>
          <w:rFonts w:ascii="Times New Roman" w:eastAsia="Times New Roman" w:hAnsi="Times New Roman" w:cs="Times New Roman"/>
          <w:color w:val="000000"/>
          <w:sz w:val="24"/>
          <w:szCs w:val="24"/>
          <w:lang w:eastAsia="en-US"/>
        </w:rPr>
        <w:t>(</w:t>
      </w:r>
      <w:proofErr w:type="gramEnd"/>
      <w:r w:rsidR="00157A16" w:rsidRPr="00F07DEB">
        <w:rPr>
          <w:rFonts w:ascii="Times New Roman" w:eastAsia="Times New Roman" w:hAnsi="Times New Roman" w:cs="Times New Roman"/>
          <w:color w:val="000000"/>
          <w:sz w:val="24"/>
          <w:szCs w:val="24"/>
          <w:lang w:eastAsia="en-US"/>
        </w:rPr>
        <w:t xml:space="preserve">1,10) = </w:t>
      </w:r>
      <w:r w:rsidR="0062788F" w:rsidRPr="00F07DEB">
        <w:rPr>
          <w:rFonts w:ascii="Times New Roman" w:eastAsia="Times New Roman" w:hAnsi="Times New Roman" w:cs="Times New Roman"/>
          <w:color w:val="000000"/>
          <w:sz w:val="24"/>
          <w:szCs w:val="24"/>
          <w:lang w:eastAsia="en-US"/>
        </w:rPr>
        <w:t>9.91, p = 0.010</w:t>
      </w:r>
      <w:r w:rsidR="00157A16" w:rsidRPr="00F07DEB">
        <w:rPr>
          <w:rFonts w:ascii="Times New Roman" w:eastAsia="Times New Roman" w:hAnsi="Times New Roman" w:cs="Times New Roman"/>
          <w:color w:val="000000"/>
          <w:sz w:val="24"/>
          <w:szCs w:val="24"/>
          <w:lang w:eastAsia="en-US"/>
        </w:rPr>
        <w:t xml:space="preserve">). Plant structure had a significant main effect on </w:t>
      </w:r>
      <w:proofErr w:type="spellStart"/>
      <w:r w:rsidR="009678A2">
        <w:rPr>
          <w:rFonts w:ascii="Times New Roman" w:hAnsi="Times New Roman" w:cs="Times New Roman"/>
          <w:sz w:val="24"/>
          <w:szCs w:val="24"/>
        </w:rPr>
        <w:t>Pb</w:t>
      </w:r>
      <w:proofErr w:type="spellEnd"/>
      <w:r w:rsidR="00157A16" w:rsidRPr="00F07DEB">
        <w:rPr>
          <w:rFonts w:ascii="Times New Roman" w:eastAsia="Times New Roman" w:hAnsi="Times New Roman" w:cs="Times New Roman"/>
          <w:color w:val="000000"/>
          <w:sz w:val="24"/>
          <w:szCs w:val="24"/>
          <w:lang w:eastAsia="en-US"/>
        </w:rPr>
        <w:t xml:space="preserve"> concentrations </w:t>
      </w:r>
      <w:r w:rsidR="0062788F" w:rsidRPr="00F07DEB">
        <w:rPr>
          <w:rFonts w:ascii="Times New Roman" w:eastAsia="Times New Roman" w:hAnsi="Times New Roman" w:cs="Times New Roman"/>
          <w:color w:val="000000"/>
          <w:sz w:val="24"/>
          <w:szCs w:val="24"/>
          <w:lang w:eastAsia="en-US"/>
        </w:rPr>
        <w:t>in sorghum but not corn</w:t>
      </w:r>
      <w:r w:rsidR="00157A16" w:rsidRPr="00F07DEB">
        <w:rPr>
          <w:rFonts w:ascii="Times New Roman" w:eastAsia="Times New Roman" w:hAnsi="Times New Roman" w:cs="Times New Roman"/>
          <w:color w:val="000000"/>
          <w:sz w:val="24"/>
          <w:szCs w:val="24"/>
          <w:lang w:eastAsia="en-US"/>
        </w:rPr>
        <w:t xml:space="preserve">. </w:t>
      </w:r>
      <w:r w:rsidR="00B01B81" w:rsidRPr="00F07DEB">
        <w:rPr>
          <w:rFonts w:ascii="Times New Roman" w:eastAsia="Times New Roman" w:hAnsi="Times New Roman" w:cs="Times New Roman"/>
          <w:color w:val="000000"/>
          <w:sz w:val="24"/>
          <w:szCs w:val="24"/>
          <w:lang w:eastAsia="en-US"/>
        </w:rPr>
        <w:t xml:space="preserve">Sorghum grain </w:t>
      </w:r>
      <w:proofErr w:type="spellStart"/>
      <w:r w:rsidR="009678A2">
        <w:rPr>
          <w:rFonts w:ascii="Times New Roman" w:hAnsi="Times New Roman" w:cs="Times New Roman"/>
          <w:sz w:val="24"/>
          <w:szCs w:val="24"/>
        </w:rPr>
        <w:t>Pb</w:t>
      </w:r>
      <w:proofErr w:type="spellEnd"/>
      <w:r w:rsidR="00B01B81" w:rsidRPr="00F07DEB">
        <w:rPr>
          <w:rFonts w:ascii="Times New Roman" w:eastAsia="Times New Roman" w:hAnsi="Times New Roman" w:cs="Times New Roman"/>
          <w:color w:val="000000"/>
          <w:sz w:val="24"/>
          <w:szCs w:val="24"/>
          <w:lang w:eastAsia="en-US"/>
        </w:rPr>
        <w:t xml:space="preserve"> concentrations were higher than leaf and stalk </w:t>
      </w:r>
      <w:proofErr w:type="spellStart"/>
      <w:r w:rsidR="009678A2">
        <w:rPr>
          <w:rFonts w:ascii="Times New Roman" w:hAnsi="Times New Roman" w:cs="Times New Roman"/>
          <w:sz w:val="24"/>
          <w:szCs w:val="24"/>
        </w:rPr>
        <w:t>Pb</w:t>
      </w:r>
      <w:proofErr w:type="spellEnd"/>
      <w:r w:rsidR="00B323D9">
        <w:rPr>
          <w:rFonts w:ascii="Times New Roman" w:eastAsia="Times New Roman" w:hAnsi="Times New Roman" w:cs="Times New Roman"/>
          <w:color w:val="000000"/>
          <w:sz w:val="24"/>
          <w:szCs w:val="24"/>
          <w:lang w:eastAsia="en-US"/>
        </w:rPr>
        <w:t xml:space="preserve"> concentrations</w:t>
      </w:r>
      <w:r w:rsidR="00B01B81" w:rsidRPr="00F07DEB">
        <w:rPr>
          <w:rFonts w:ascii="Times New Roman" w:eastAsia="Times New Roman" w:hAnsi="Times New Roman" w:cs="Times New Roman"/>
          <w:color w:val="000000"/>
          <w:sz w:val="24"/>
          <w:szCs w:val="24"/>
          <w:lang w:eastAsia="en-US"/>
        </w:rPr>
        <w:t xml:space="preserve"> but were not significantly different from </w:t>
      </w:r>
      <w:proofErr w:type="spellStart"/>
      <w:r w:rsidR="009678A2">
        <w:rPr>
          <w:rFonts w:ascii="Times New Roman" w:hAnsi="Times New Roman" w:cs="Times New Roman"/>
          <w:sz w:val="24"/>
          <w:szCs w:val="24"/>
        </w:rPr>
        <w:t>Pb</w:t>
      </w:r>
      <w:proofErr w:type="spellEnd"/>
      <w:r w:rsidR="00B01B81" w:rsidRPr="00F07DEB">
        <w:rPr>
          <w:rFonts w:ascii="Times New Roman" w:eastAsia="Times New Roman" w:hAnsi="Times New Roman" w:cs="Times New Roman"/>
          <w:color w:val="000000"/>
          <w:sz w:val="24"/>
          <w:szCs w:val="24"/>
          <w:lang w:eastAsia="en-US"/>
        </w:rPr>
        <w:t xml:space="preserve"> concentrations in the roots (</w:t>
      </w:r>
      <w:proofErr w:type="gramStart"/>
      <w:r w:rsidR="00B01B81" w:rsidRPr="00204C13">
        <w:rPr>
          <w:rFonts w:ascii="Times New Roman" w:eastAsia="Times New Roman" w:hAnsi="Times New Roman" w:cs="Times New Roman"/>
          <w:i/>
          <w:color w:val="000000"/>
          <w:sz w:val="24"/>
          <w:szCs w:val="24"/>
          <w:lang w:eastAsia="en-US"/>
        </w:rPr>
        <w:t>F</w:t>
      </w:r>
      <w:r w:rsidR="00B01B81" w:rsidRPr="00F07DEB">
        <w:rPr>
          <w:rFonts w:ascii="Times New Roman" w:eastAsia="Times New Roman" w:hAnsi="Times New Roman" w:cs="Times New Roman"/>
          <w:color w:val="000000"/>
          <w:sz w:val="24"/>
          <w:szCs w:val="24"/>
          <w:lang w:eastAsia="en-US"/>
        </w:rPr>
        <w:t>(</w:t>
      </w:r>
      <w:proofErr w:type="gramEnd"/>
      <w:r w:rsidR="00B01B81" w:rsidRPr="00F07DEB">
        <w:rPr>
          <w:rFonts w:ascii="Times New Roman" w:eastAsia="Times New Roman" w:hAnsi="Times New Roman" w:cs="Times New Roman"/>
          <w:color w:val="000000"/>
          <w:sz w:val="24"/>
          <w:szCs w:val="24"/>
          <w:lang w:eastAsia="en-US"/>
        </w:rPr>
        <w:t xml:space="preserve">2.16,21.64) = 26.37, </w:t>
      </w:r>
      <w:r w:rsidR="00B01B81" w:rsidRPr="00385CDA">
        <w:rPr>
          <w:rFonts w:ascii="Times New Roman" w:eastAsia="Times New Roman" w:hAnsi="Times New Roman" w:cs="Times New Roman"/>
          <w:i/>
          <w:color w:val="000000"/>
          <w:sz w:val="24"/>
          <w:szCs w:val="24"/>
          <w:lang w:eastAsia="en-US"/>
        </w:rPr>
        <w:t>p</w:t>
      </w:r>
      <w:r w:rsidR="00B01B81" w:rsidRPr="00F07DEB">
        <w:rPr>
          <w:rFonts w:ascii="Times New Roman" w:eastAsia="Times New Roman" w:hAnsi="Times New Roman" w:cs="Times New Roman"/>
          <w:color w:val="000000"/>
          <w:sz w:val="24"/>
          <w:szCs w:val="24"/>
          <w:lang w:eastAsia="en-US"/>
        </w:rPr>
        <w:t xml:space="preserve"> &lt; 0.001). There was a significant interaction between irrigation treatment and plant structure for Bermuda grass (</w:t>
      </w:r>
      <w:proofErr w:type="gramStart"/>
      <w:r w:rsidR="00B01B81" w:rsidRPr="00204C13">
        <w:rPr>
          <w:rFonts w:ascii="Times New Roman" w:eastAsia="Times New Roman" w:hAnsi="Times New Roman" w:cs="Times New Roman"/>
          <w:i/>
          <w:color w:val="000000"/>
          <w:sz w:val="24"/>
          <w:szCs w:val="24"/>
          <w:lang w:eastAsia="en-US"/>
        </w:rPr>
        <w:t>F</w:t>
      </w:r>
      <w:r w:rsidR="00B01B81" w:rsidRPr="00F07DEB">
        <w:rPr>
          <w:rFonts w:ascii="Times New Roman" w:eastAsia="Times New Roman" w:hAnsi="Times New Roman" w:cs="Times New Roman"/>
          <w:color w:val="000000"/>
          <w:sz w:val="24"/>
          <w:szCs w:val="24"/>
          <w:lang w:eastAsia="en-US"/>
        </w:rPr>
        <w:t>(</w:t>
      </w:r>
      <w:proofErr w:type="gramEnd"/>
      <w:r w:rsidR="00B01B81" w:rsidRPr="00F07DEB">
        <w:rPr>
          <w:rFonts w:ascii="Times New Roman" w:eastAsia="Times New Roman" w:hAnsi="Times New Roman" w:cs="Times New Roman"/>
          <w:color w:val="000000"/>
          <w:sz w:val="24"/>
          <w:szCs w:val="24"/>
          <w:lang w:eastAsia="en-US"/>
        </w:rPr>
        <w:t xml:space="preserve">2,20) = 3.92, </w:t>
      </w:r>
      <w:r w:rsidR="00B01B81" w:rsidRPr="00385CDA">
        <w:rPr>
          <w:rFonts w:ascii="Times New Roman" w:eastAsia="Times New Roman" w:hAnsi="Times New Roman" w:cs="Times New Roman"/>
          <w:i/>
          <w:color w:val="000000"/>
          <w:sz w:val="24"/>
          <w:szCs w:val="24"/>
          <w:lang w:eastAsia="en-US"/>
        </w:rPr>
        <w:t>p</w:t>
      </w:r>
      <w:r w:rsidR="00B01B81" w:rsidRPr="00F07DEB">
        <w:rPr>
          <w:rFonts w:ascii="Times New Roman" w:eastAsia="Times New Roman" w:hAnsi="Times New Roman" w:cs="Times New Roman"/>
          <w:color w:val="000000"/>
          <w:sz w:val="24"/>
          <w:szCs w:val="24"/>
          <w:lang w:eastAsia="en-US"/>
        </w:rPr>
        <w:t xml:space="preserve"> = 0.037). </w:t>
      </w:r>
      <w:r w:rsidR="002514A7" w:rsidRPr="00F07DEB">
        <w:rPr>
          <w:rFonts w:ascii="Times New Roman" w:eastAsia="Times New Roman" w:hAnsi="Times New Roman" w:cs="Times New Roman"/>
          <w:color w:val="000000"/>
          <w:sz w:val="24"/>
          <w:szCs w:val="24"/>
          <w:lang w:eastAsia="en-US"/>
        </w:rPr>
        <w:t xml:space="preserve">Bermuda roots accumulated higher </w:t>
      </w:r>
      <w:proofErr w:type="spellStart"/>
      <w:r w:rsidR="009678A2">
        <w:rPr>
          <w:rFonts w:ascii="Times New Roman" w:hAnsi="Times New Roman" w:cs="Times New Roman"/>
          <w:sz w:val="24"/>
          <w:szCs w:val="24"/>
        </w:rPr>
        <w:t>Pb</w:t>
      </w:r>
      <w:proofErr w:type="spellEnd"/>
      <w:r w:rsidR="002514A7" w:rsidRPr="00F07DEB">
        <w:rPr>
          <w:rFonts w:ascii="Times New Roman" w:eastAsia="Times New Roman" w:hAnsi="Times New Roman" w:cs="Times New Roman"/>
          <w:color w:val="000000"/>
          <w:sz w:val="24"/>
          <w:szCs w:val="24"/>
          <w:lang w:eastAsia="en-US"/>
        </w:rPr>
        <w:t xml:space="preserve"> concentrations than the grasses under both groundwater and mine water irrigation, and </w:t>
      </w:r>
      <w:proofErr w:type="spellStart"/>
      <w:r w:rsidR="009678A2">
        <w:rPr>
          <w:rFonts w:ascii="Times New Roman" w:hAnsi="Times New Roman" w:cs="Times New Roman"/>
          <w:sz w:val="24"/>
          <w:szCs w:val="24"/>
        </w:rPr>
        <w:t>Pb</w:t>
      </w:r>
      <w:proofErr w:type="spellEnd"/>
      <w:r w:rsidR="002514A7" w:rsidRPr="00F07DEB">
        <w:rPr>
          <w:rFonts w:ascii="Times New Roman" w:eastAsia="Times New Roman" w:hAnsi="Times New Roman" w:cs="Times New Roman"/>
          <w:color w:val="000000"/>
          <w:sz w:val="24"/>
          <w:szCs w:val="24"/>
          <w:lang w:eastAsia="en-US"/>
        </w:rPr>
        <w:t xml:space="preserve"> concentrations in groundwater-irrigated roots and grass2 were higher than their mine water-irrigated counterparts. </w:t>
      </w:r>
    </w:p>
    <w:p w14:paraId="61D2C85A" w14:textId="02903347" w:rsidR="00CE3D29" w:rsidRDefault="002E56C1" w:rsidP="00CE3D29">
      <w:pPr>
        <w:keepNext/>
        <w:spacing w:line="480" w:lineRule="auto"/>
      </w:pPr>
      <w:r w:rsidRPr="002E56C1">
        <w:rPr>
          <w:noProof/>
          <w:lang w:eastAsia="en-US"/>
        </w:rPr>
        <w:lastRenderedPageBreak/>
        <w:drawing>
          <wp:inline distT="0" distB="0" distL="0" distR="0" wp14:anchorId="34707F64" wp14:editId="0C13FC0A">
            <wp:extent cx="5943600" cy="2971800"/>
            <wp:effectExtent l="0" t="0" r="0" b="0"/>
            <wp:docPr id="5" name="Picture 5" descr="C:\Users\harper3663\Documents\School\_CREW\Irrigation Project\R\Plots\Plant Metals\Corrected\PlantP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arper3663\Documents\School\_CREW\Irrigation Project\R\Plots\Plant Metals\Corrected\PlantPb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2BA61D9B" w14:textId="5C41FF66" w:rsidR="00CE3D29" w:rsidRDefault="00CE3D29" w:rsidP="00204C13">
      <w:pPr>
        <w:pStyle w:val="Caption"/>
        <w:rPr>
          <w:noProof/>
        </w:rPr>
      </w:pPr>
      <w:bookmarkStart w:id="126" w:name="_Ref56717926"/>
      <w:bookmarkStart w:id="127" w:name="_Toc58975243"/>
      <w:r>
        <w:t xml:space="preserve">Figure </w:t>
      </w:r>
      <w:r w:rsidR="0033797C">
        <w:rPr>
          <w:noProof/>
        </w:rPr>
        <w:fldChar w:fldCharType="begin"/>
      </w:r>
      <w:r w:rsidR="0033797C">
        <w:rPr>
          <w:noProof/>
        </w:rPr>
        <w:instrText xml:space="preserve"> SEQ Figure \* ARABIC </w:instrText>
      </w:r>
      <w:r w:rsidR="0033797C">
        <w:rPr>
          <w:noProof/>
        </w:rPr>
        <w:fldChar w:fldCharType="separate"/>
      </w:r>
      <w:r w:rsidR="00E179CA">
        <w:rPr>
          <w:noProof/>
        </w:rPr>
        <w:t>33</w:t>
      </w:r>
      <w:r w:rsidR="0033797C">
        <w:rPr>
          <w:noProof/>
        </w:rPr>
        <w:fldChar w:fldCharType="end"/>
      </w:r>
      <w:bookmarkEnd w:id="126"/>
      <w:r>
        <w:rPr>
          <w:noProof/>
        </w:rPr>
        <w:t xml:space="preserve">: </w:t>
      </w:r>
      <w:r w:rsidRPr="00CB2B75">
        <w:rPr>
          <w:noProof/>
        </w:rPr>
        <w:t>Box plots of Pb concentrations in each plant and structure in mg/kg</w:t>
      </w:r>
      <w:bookmarkEnd w:id="127"/>
    </w:p>
    <w:p w14:paraId="28105453" w14:textId="77777777" w:rsidR="00CE3D29" w:rsidRPr="00CE3D29" w:rsidRDefault="00CE3D29" w:rsidP="00CE3D29"/>
    <w:p w14:paraId="5DBA5894" w14:textId="521F13B8" w:rsidR="002514A7" w:rsidRDefault="009678A2" w:rsidP="002514A7">
      <w:pPr>
        <w:spacing w:line="480" w:lineRule="auto"/>
        <w:ind w:firstLine="713"/>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Zn</w:t>
      </w:r>
      <w:r w:rsidR="00CE3D29">
        <w:rPr>
          <w:rFonts w:ascii="Times New Roman" w:eastAsia="Times New Roman" w:hAnsi="Times New Roman" w:cs="Times New Roman"/>
          <w:color w:val="000000"/>
          <w:sz w:val="24"/>
          <w:szCs w:val="24"/>
          <w:lang w:eastAsia="en-US"/>
        </w:rPr>
        <w:t xml:space="preserve"> concentrations in</w:t>
      </w:r>
      <w:r w:rsidR="002514A7" w:rsidRPr="00F07DEB">
        <w:rPr>
          <w:rFonts w:ascii="Times New Roman" w:eastAsia="Times New Roman" w:hAnsi="Times New Roman" w:cs="Times New Roman"/>
          <w:color w:val="000000"/>
          <w:sz w:val="24"/>
          <w:szCs w:val="24"/>
          <w:lang w:eastAsia="en-US"/>
        </w:rPr>
        <w:t xml:space="preserve"> mine water- and groundwater-irrigated sorghum plants</w:t>
      </w:r>
      <w:r w:rsidR="00CE3D29">
        <w:rPr>
          <w:rFonts w:ascii="Times New Roman" w:eastAsia="Times New Roman" w:hAnsi="Times New Roman" w:cs="Times New Roman"/>
          <w:color w:val="000000"/>
          <w:sz w:val="24"/>
          <w:szCs w:val="24"/>
          <w:lang w:eastAsia="en-US"/>
        </w:rPr>
        <w:t xml:space="preserve">, provided </w:t>
      </w:r>
      <w:r w:rsidR="00CE3D29" w:rsidRPr="00CE3D29">
        <w:rPr>
          <w:rFonts w:ascii="Times New Roman" w:eastAsia="Times New Roman" w:hAnsi="Times New Roman" w:cs="Times New Roman"/>
          <w:color w:val="000000"/>
          <w:sz w:val="24"/>
          <w:szCs w:val="24"/>
          <w:lang w:eastAsia="en-US"/>
        </w:rPr>
        <w:t xml:space="preserve">in </w:t>
      </w:r>
      <w:r w:rsidR="00CE3D29" w:rsidRPr="00CE3D29">
        <w:rPr>
          <w:rFonts w:ascii="Times New Roman" w:eastAsia="Times New Roman" w:hAnsi="Times New Roman" w:cs="Times New Roman"/>
          <w:color w:val="000000"/>
          <w:sz w:val="24"/>
          <w:szCs w:val="24"/>
          <w:lang w:eastAsia="en-US"/>
        </w:rPr>
        <w:fldChar w:fldCharType="begin"/>
      </w:r>
      <w:r w:rsidR="00CE3D29" w:rsidRPr="00CE3D29">
        <w:rPr>
          <w:rFonts w:ascii="Times New Roman" w:eastAsia="Times New Roman" w:hAnsi="Times New Roman" w:cs="Times New Roman"/>
          <w:color w:val="000000"/>
          <w:sz w:val="24"/>
          <w:szCs w:val="24"/>
          <w:lang w:eastAsia="en-US"/>
        </w:rPr>
        <w:instrText xml:space="preserve"> REF _Ref56717964 \h  \* MERGEFORMAT </w:instrText>
      </w:r>
      <w:r w:rsidR="00CE3D29" w:rsidRPr="00CE3D29">
        <w:rPr>
          <w:rFonts w:ascii="Times New Roman" w:eastAsia="Times New Roman" w:hAnsi="Times New Roman" w:cs="Times New Roman"/>
          <w:color w:val="000000"/>
          <w:sz w:val="24"/>
          <w:szCs w:val="24"/>
          <w:lang w:eastAsia="en-US"/>
        </w:rPr>
      </w:r>
      <w:r w:rsidR="00CE3D29" w:rsidRPr="00CE3D29">
        <w:rPr>
          <w:rFonts w:ascii="Times New Roman" w:eastAsia="Times New Roman" w:hAnsi="Times New Roman" w:cs="Times New Roman"/>
          <w:color w:val="000000"/>
          <w:sz w:val="24"/>
          <w:szCs w:val="24"/>
          <w:lang w:eastAsia="en-US"/>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34</w:t>
      </w:r>
      <w:r w:rsidR="00CE3D29" w:rsidRPr="00CE3D29">
        <w:rPr>
          <w:rFonts w:ascii="Times New Roman" w:eastAsia="Times New Roman" w:hAnsi="Times New Roman" w:cs="Times New Roman"/>
          <w:color w:val="000000"/>
          <w:sz w:val="24"/>
          <w:szCs w:val="24"/>
          <w:lang w:eastAsia="en-US"/>
        </w:rPr>
        <w:fldChar w:fldCharType="end"/>
      </w:r>
      <w:r w:rsidR="00791073">
        <w:rPr>
          <w:rFonts w:ascii="Times New Roman" w:eastAsia="Times New Roman" w:hAnsi="Times New Roman" w:cs="Times New Roman"/>
          <w:color w:val="000000"/>
          <w:sz w:val="24"/>
          <w:szCs w:val="24"/>
          <w:lang w:eastAsia="en-US"/>
        </w:rPr>
        <w:t>,</w:t>
      </w:r>
      <w:r w:rsidR="002514A7" w:rsidRPr="00F07DEB">
        <w:rPr>
          <w:rFonts w:ascii="Times New Roman" w:eastAsia="Times New Roman" w:hAnsi="Times New Roman" w:cs="Times New Roman"/>
          <w:color w:val="000000"/>
          <w:sz w:val="24"/>
          <w:szCs w:val="24"/>
          <w:lang w:eastAsia="en-US"/>
        </w:rPr>
        <w:t xml:space="preserve"> were significantly different. Sorghum irrigated with groundwater contained higher concentrations of </w:t>
      </w:r>
      <w:r>
        <w:rPr>
          <w:rFonts w:ascii="Times New Roman" w:eastAsia="Times New Roman" w:hAnsi="Times New Roman" w:cs="Times New Roman"/>
          <w:color w:val="000000"/>
          <w:sz w:val="24"/>
          <w:szCs w:val="24"/>
          <w:lang w:eastAsia="en-US"/>
        </w:rPr>
        <w:t>Zn</w:t>
      </w:r>
      <w:r w:rsidR="002514A7" w:rsidRPr="00F07DEB">
        <w:rPr>
          <w:rFonts w:ascii="Times New Roman" w:eastAsia="Times New Roman" w:hAnsi="Times New Roman" w:cs="Times New Roman"/>
          <w:color w:val="000000"/>
          <w:sz w:val="24"/>
          <w:szCs w:val="24"/>
          <w:lang w:eastAsia="en-US"/>
        </w:rPr>
        <w:t xml:space="preserve"> than mine water-irrigated sorghum (</w:t>
      </w:r>
      <w:proofErr w:type="gramStart"/>
      <w:r w:rsidR="002514A7" w:rsidRPr="00EC0629">
        <w:rPr>
          <w:rFonts w:ascii="Times New Roman" w:eastAsia="Times New Roman" w:hAnsi="Times New Roman" w:cs="Times New Roman"/>
          <w:i/>
          <w:color w:val="000000"/>
          <w:sz w:val="24"/>
          <w:szCs w:val="24"/>
          <w:lang w:eastAsia="en-US"/>
        </w:rPr>
        <w:t>F</w:t>
      </w:r>
      <w:r w:rsidR="002514A7" w:rsidRPr="00F07DEB">
        <w:rPr>
          <w:rFonts w:ascii="Times New Roman" w:eastAsia="Times New Roman" w:hAnsi="Times New Roman" w:cs="Times New Roman"/>
          <w:color w:val="000000"/>
          <w:sz w:val="24"/>
          <w:szCs w:val="24"/>
          <w:lang w:eastAsia="en-US"/>
        </w:rPr>
        <w:t>(</w:t>
      </w:r>
      <w:proofErr w:type="gramEnd"/>
      <w:r w:rsidR="002514A7" w:rsidRPr="00F07DEB">
        <w:rPr>
          <w:rFonts w:ascii="Times New Roman" w:eastAsia="Times New Roman" w:hAnsi="Times New Roman" w:cs="Times New Roman"/>
          <w:color w:val="000000"/>
          <w:sz w:val="24"/>
          <w:szCs w:val="24"/>
          <w:lang w:eastAsia="en-US"/>
        </w:rPr>
        <w:t xml:space="preserve">1,10) = 5.12, </w:t>
      </w:r>
      <w:r w:rsidR="002514A7" w:rsidRPr="00385CDA">
        <w:rPr>
          <w:rFonts w:ascii="Times New Roman" w:eastAsia="Times New Roman" w:hAnsi="Times New Roman" w:cs="Times New Roman"/>
          <w:i/>
          <w:color w:val="000000"/>
          <w:sz w:val="24"/>
          <w:szCs w:val="24"/>
          <w:lang w:eastAsia="en-US"/>
        </w:rPr>
        <w:t>p</w:t>
      </w:r>
      <w:r w:rsidR="002514A7" w:rsidRPr="00F07DEB">
        <w:rPr>
          <w:rFonts w:ascii="Times New Roman" w:eastAsia="Times New Roman" w:hAnsi="Times New Roman" w:cs="Times New Roman"/>
          <w:color w:val="000000"/>
          <w:sz w:val="24"/>
          <w:szCs w:val="24"/>
          <w:lang w:eastAsia="en-US"/>
        </w:rPr>
        <w:t xml:space="preserve"> = 0.047). Plant structure had a significant main effect on </w:t>
      </w:r>
      <w:r>
        <w:rPr>
          <w:rFonts w:ascii="Times New Roman" w:eastAsia="Times New Roman" w:hAnsi="Times New Roman" w:cs="Times New Roman"/>
          <w:color w:val="000000"/>
          <w:sz w:val="24"/>
          <w:szCs w:val="24"/>
          <w:lang w:eastAsia="en-US"/>
        </w:rPr>
        <w:t>Zn</w:t>
      </w:r>
      <w:r w:rsidR="00883783" w:rsidRPr="00F07DEB">
        <w:rPr>
          <w:rFonts w:ascii="Times New Roman" w:eastAsia="Times New Roman" w:hAnsi="Times New Roman" w:cs="Times New Roman"/>
          <w:color w:val="000000"/>
          <w:sz w:val="24"/>
          <w:szCs w:val="24"/>
          <w:lang w:eastAsia="en-US"/>
        </w:rPr>
        <w:t xml:space="preserve"> </w:t>
      </w:r>
      <w:r w:rsidR="002514A7" w:rsidRPr="00F07DEB">
        <w:rPr>
          <w:rFonts w:ascii="Times New Roman" w:eastAsia="Times New Roman" w:hAnsi="Times New Roman" w:cs="Times New Roman"/>
          <w:color w:val="000000"/>
          <w:sz w:val="24"/>
          <w:szCs w:val="24"/>
          <w:lang w:eastAsia="en-US"/>
        </w:rPr>
        <w:t xml:space="preserve">concentrations in corn and sorghum. </w:t>
      </w:r>
      <w:r w:rsidR="00EC4EE4" w:rsidRPr="00F07DEB">
        <w:rPr>
          <w:rFonts w:ascii="Times New Roman" w:eastAsia="Times New Roman" w:hAnsi="Times New Roman" w:cs="Times New Roman"/>
          <w:color w:val="000000"/>
          <w:sz w:val="24"/>
          <w:szCs w:val="24"/>
          <w:lang w:eastAsia="en-US"/>
        </w:rPr>
        <w:t xml:space="preserve">Corn structures accumulated </w:t>
      </w:r>
      <w:r>
        <w:rPr>
          <w:rFonts w:ascii="Times New Roman" w:eastAsia="Times New Roman" w:hAnsi="Times New Roman" w:cs="Times New Roman"/>
          <w:color w:val="000000"/>
          <w:sz w:val="24"/>
          <w:szCs w:val="24"/>
          <w:lang w:eastAsia="en-US"/>
        </w:rPr>
        <w:t>Zn</w:t>
      </w:r>
      <w:r w:rsidR="00EC4EE4" w:rsidRPr="00F07DEB">
        <w:rPr>
          <w:rFonts w:ascii="Times New Roman" w:eastAsia="Times New Roman" w:hAnsi="Times New Roman" w:cs="Times New Roman"/>
          <w:color w:val="000000"/>
          <w:sz w:val="24"/>
          <w:szCs w:val="24"/>
          <w:lang w:eastAsia="en-US"/>
        </w:rPr>
        <w:t xml:space="preserve"> along a gradient of concentrations that resulted in many statistically similar nearest neighbors. This gradient, which included some non-significant differences between adjacent structures but generally reflected decreasing mean concentrations of </w:t>
      </w:r>
      <w:r>
        <w:rPr>
          <w:rFonts w:ascii="Times New Roman" w:eastAsia="Times New Roman" w:hAnsi="Times New Roman" w:cs="Times New Roman"/>
          <w:color w:val="000000"/>
          <w:sz w:val="24"/>
          <w:szCs w:val="24"/>
          <w:lang w:eastAsia="en-US"/>
        </w:rPr>
        <w:t>Zn</w:t>
      </w:r>
      <w:r w:rsidR="00EC4EE4" w:rsidRPr="00F07DEB">
        <w:rPr>
          <w:rFonts w:ascii="Times New Roman" w:eastAsia="Times New Roman" w:hAnsi="Times New Roman" w:cs="Times New Roman"/>
          <w:color w:val="000000"/>
          <w:sz w:val="24"/>
          <w:szCs w:val="24"/>
          <w:lang w:eastAsia="en-US"/>
        </w:rPr>
        <w:t>, was as fol</w:t>
      </w:r>
      <w:r w:rsidR="001405F5">
        <w:rPr>
          <w:rFonts w:ascii="Times New Roman" w:eastAsia="Times New Roman" w:hAnsi="Times New Roman" w:cs="Times New Roman"/>
          <w:color w:val="000000"/>
          <w:sz w:val="24"/>
          <w:szCs w:val="24"/>
          <w:lang w:eastAsia="en-US"/>
        </w:rPr>
        <w:t xml:space="preserve">lows: Grain &gt; Cob &gt; Leaf = Husks </w:t>
      </w:r>
      <w:r w:rsidR="00EC4EE4" w:rsidRPr="00F07DEB">
        <w:rPr>
          <w:rFonts w:ascii="Times New Roman" w:eastAsia="Times New Roman" w:hAnsi="Times New Roman" w:cs="Times New Roman"/>
          <w:color w:val="000000"/>
          <w:sz w:val="24"/>
          <w:szCs w:val="24"/>
          <w:lang w:eastAsia="en-US"/>
        </w:rPr>
        <w:t>= Roots &gt; Stalk (</w:t>
      </w:r>
      <w:r w:rsidR="00EC4EE4" w:rsidRPr="00EC0629">
        <w:rPr>
          <w:rFonts w:ascii="Times New Roman" w:eastAsia="Times New Roman" w:hAnsi="Times New Roman" w:cs="Times New Roman"/>
          <w:i/>
          <w:color w:val="000000"/>
          <w:sz w:val="24"/>
          <w:szCs w:val="24"/>
          <w:lang w:eastAsia="en-US"/>
        </w:rPr>
        <w:t>F</w:t>
      </w:r>
      <w:r w:rsidR="00EC4EE4" w:rsidRPr="00F07DEB">
        <w:rPr>
          <w:rFonts w:ascii="Times New Roman" w:eastAsia="Times New Roman" w:hAnsi="Times New Roman" w:cs="Times New Roman"/>
          <w:color w:val="000000"/>
          <w:sz w:val="24"/>
          <w:szCs w:val="24"/>
          <w:lang w:eastAsia="en-US"/>
        </w:rPr>
        <w:t xml:space="preserve">(1.88,18.79) = 34.0, </w:t>
      </w:r>
      <w:r w:rsidR="00EC4EE4" w:rsidRPr="00385CDA">
        <w:rPr>
          <w:rFonts w:ascii="Times New Roman" w:eastAsia="Times New Roman" w:hAnsi="Times New Roman" w:cs="Times New Roman"/>
          <w:i/>
          <w:color w:val="000000"/>
          <w:sz w:val="24"/>
          <w:szCs w:val="24"/>
          <w:lang w:eastAsia="en-US"/>
        </w:rPr>
        <w:t>p</w:t>
      </w:r>
      <w:r w:rsidR="00EC4EE4" w:rsidRPr="00F07DEB">
        <w:rPr>
          <w:rFonts w:ascii="Times New Roman" w:eastAsia="Times New Roman" w:hAnsi="Times New Roman" w:cs="Times New Roman"/>
          <w:color w:val="000000"/>
          <w:sz w:val="24"/>
          <w:szCs w:val="24"/>
          <w:lang w:eastAsia="en-US"/>
        </w:rPr>
        <w:t xml:space="preserve"> &lt; 0.001).</w:t>
      </w:r>
      <w:r w:rsidR="002514A7" w:rsidRPr="00F07DEB">
        <w:rPr>
          <w:rFonts w:ascii="Times New Roman" w:eastAsia="Times New Roman" w:hAnsi="Times New Roman" w:cs="Times New Roman"/>
          <w:color w:val="000000"/>
          <w:sz w:val="24"/>
          <w:szCs w:val="24"/>
          <w:lang w:eastAsia="en-US"/>
        </w:rPr>
        <w:t xml:space="preserve"> Sorghum grain </w:t>
      </w:r>
      <w:r>
        <w:rPr>
          <w:rFonts w:ascii="Times New Roman" w:eastAsia="Times New Roman" w:hAnsi="Times New Roman" w:cs="Times New Roman"/>
          <w:color w:val="000000"/>
          <w:sz w:val="24"/>
          <w:szCs w:val="24"/>
          <w:lang w:eastAsia="en-US"/>
        </w:rPr>
        <w:t>Zn</w:t>
      </w:r>
      <w:r w:rsidR="002514A7" w:rsidRPr="00F07DEB">
        <w:rPr>
          <w:rFonts w:ascii="Times New Roman" w:eastAsia="Times New Roman" w:hAnsi="Times New Roman" w:cs="Times New Roman"/>
          <w:color w:val="000000"/>
          <w:sz w:val="24"/>
          <w:szCs w:val="24"/>
          <w:lang w:eastAsia="en-US"/>
        </w:rPr>
        <w:t xml:space="preserve"> concentrations were higher than </w:t>
      </w:r>
      <w:r w:rsidR="00A7348B" w:rsidRPr="00F07DEB">
        <w:rPr>
          <w:rFonts w:ascii="Times New Roman" w:eastAsia="Times New Roman" w:hAnsi="Times New Roman" w:cs="Times New Roman"/>
          <w:color w:val="000000"/>
          <w:sz w:val="24"/>
          <w:szCs w:val="24"/>
          <w:lang w:eastAsia="en-US"/>
        </w:rPr>
        <w:t>leaf, stalk, and root concentrations</w:t>
      </w:r>
      <w:r w:rsidR="002514A7" w:rsidRPr="00F07DEB">
        <w:rPr>
          <w:rFonts w:ascii="Times New Roman" w:eastAsia="Times New Roman" w:hAnsi="Times New Roman" w:cs="Times New Roman"/>
          <w:color w:val="000000"/>
          <w:sz w:val="24"/>
          <w:szCs w:val="24"/>
          <w:lang w:eastAsia="en-US"/>
        </w:rPr>
        <w:t xml:space="preserve"> (</w:t>
      </w:r>
      <w:proofErr w:type="gramStart"/>
      <w:r w:rsidR="002514A7" w:rsidRPr="00EC0629">
        <w:rPr>
          <w:rFonts w:ascii="Times New Roman" w:eastAsia="Times New Roman" w:hAnsi="Times New Roman" w:cs="Times New Roman"/>
          <w:i/>
          <w:color w:val="000000"/>
          <w:sz w:val="24"/>
          <w:szCs w:val="24"/>
          <w:lang w:eastAsia="en-US"/>
        </w:rPr>
        <w:t>F</w:t>
      </w:r>
      <w:r w:rsidR="002514A7" w:rsidRPr="00F07DEB">
        <w:rPr>
          <w:rFonts w:ascii="Times New Roman" w:eastAsia="Times New Roman" w:hAnsi="Times New Roman" w:cs="Times New Roman"/>
          <w:color w:val="000000"/>
          <w:sz w:val="24"/>
          <w:szCs w:val="24"/>
          <w:lang w:eastAsia="en-US"/>
        </w:rPr>
        <w:t>(</w:t>
      </w:r>
      <w:proofErr w:type="gramEnd"/>
      <w:r w:rsidR="002514A7" w:rsidRPr="00F07DEB">
        <w:rPr>
          <w:rFonts w:ascii="Times New Roman" w:eastAsia="Times New Roman" w:hAnsi="Times New Roman" w:cs="Times New Roman"/>
          <w:color w:val="000000"/>
          <w:sz w:val="24"/>
          <w:szCs w:val="24"/>
          <w:lang w:eastAsia="en-US"/>
        </w:rPr>
        <w:t xml:space="preserve">1.75,17.45) = 109, </w:t>
      </w:r>
      <w:r w:rsidR="002514A7" w:rsidRPr="00385CDA">
        <w:rPr>
          <w:rFonts w:ascii="Times New Roman" w:eastAsia="Times New Roman" w:hAnsi="Times New Roman" w:cs="Times New Roman"/>
          <w:i/>
          <w:color w:val="000000"/>
          <w:sz w:val="24"/>
          <w:szCs w:val="24"/>
          <w:lang w:eastAsia="en-US"/>
        </w:rPr>
        <w:t>p</w:t>
      </w:r>
      <w:r w:rsidR="002514A7" w:rsidRPr="00F07DEB">
        <w:rPr>
          <w:rFonts w:ascii="Times New Roman" w:eastAsia="Times New Roman" w:hAnsi="Times New Roman" w:cs="Times New Roman"/>
          <w:color w:val="000000"/>
          <w:sz w:val="24"/>
          <w:szCs w:val="24"/>
          <w:lang w:eastAsia="en-US"/>
        </w:rPr>
        <w:t xml:space="preserve"> &lt; 0.001). There was a significant interaction between irrigation treatment and plant structure for Bermuda grass (</w:t>
      </w:r>
      <w:proofErr w:type="gramStart"/>
      <w:r w:rsidR="002514A7" w:rsidRPr="00EC0629">
        <w:rPr>
          <w:rFonts w:ascii="Times New Roman" w:eastAsia="Times New Roman" w:hAnsi="Times New Roman" w:cs="Times New Roman"/>
          <w:i/>
          <w:color w:val="000000"/>
          <w:sz w:val="24"/>
          <w:szCs w:val="24"/>
          <w:lang w:eastAsia="en-US"/>
        </w:rPr>
        <w:t>F</w:t>
      </w:r>
      <w:r w:rsidR="002514A7" w:rsidRPr="00F07DEB">
        <w:rPr>
          <w:rFonts w:ascii="Times New Roman" w:eastAsia="Times New Roman" w:hAnsi="Times New Roman" w:cs="Times New Roman"/>
          <w:color w:val="000000"/>
          <w:sz w:val="24"/>
          <w:szCs w:val="24"/>
          <w:lang w:eastAsia="en-US"/>
        </w:rPr>
        <w:t>(</w:t>
      </w:r>
      <w:proofErr w:type="gramEnd"/>
      <w:r w:rsidR="002514A7" w:rsidRPr="00F07DEB">
        <w:rPr>
          <w:rFonts w:ascii="Times New Roman" w:eastAsia="Times New Roman" w:hAnsi="Times New Roman" w:cs="Times New Roman"/>
          <w:color w:val="000000"/>
          <w:sz w:val="24"/>
          <w:szCs w:val="24"/>
          <w:lang w:eastAsia="en-US"/>
        </w:rPr>
        <w:t xml:space="preserve">1.26,12.58) = 5.10, </w:t>
      </w:r>
      <w:r w:rsidR="002514A7" w:rsidRPr="00385CDA">
        <w:rPr>
          <w:rFonts w:ascii="Times New Roman" w:eastAsia="Times New Roman" w:hAnsi="Times New Roman" w:cs="Times New Roman"/>
          <w:i/>
          <w:color w:val="000000"/>
          <w:sz w:val="24"/>
          <w:szCs w:val="24"/>
          <w:lang w:eastAsia="en-US"/>
        </w:rPr>
        <w:t>p</w:t>
      </w:r>
      <w:r w:rsidR="002514A7" w:rsidRPr="00F07DEB">
        <w:rPr>
          <w:rFonts w:ascii="Times New Roman" w:eastAsia="Times New Roman" w:hAnsi="Times New Roman" w:cs="Times New Roman"/>
          <w:color w:val="000000"/>
          <w:sz w:val="24"/>
          <w:szCs w:val="24"/>
          <w:lang w:eastAsia="en-US"/>
        </w:rPr>
        <w:t xml:space="preserve"> = 0.036). </w:t>
      </w:r>
      <w:r w:rsidR="00A7348B" w:rsidRPr="00F07DEB">
        <w:rPr>
          <w:rFonts w:ascii="Times New Roman" w:eastAsia="Times New Roman" w:hAnsi="Times New Roman" w:cs="Times New Roman"/>
          <w:color w:val="000000"/>
          <w:sz w:val="24"/>
          <w:szCs w:val="24"/>
          <w:lang w:eastAsia="en-US"/>
        </w:rPr>
        <w:t>Groundwater-irrigated B</w:t>
      </w:r>
      <w:r w:rsidR="002514A7" w:rsidRPr="00F07DEB">
        <w:rPr>
          <w:rFonts w:ascii="Times New Roman" w:eastAsia="Times New Roman" w:hAnsi="Times New Roman" w:cs="Times New Roman"/>
          <w:color w:val="000000"/>
          <w:sz w:val="24"/>
          <w:szCs w:val="24"/>
          <w:lang w:eastAsia="en-US"/>
        </w:rPr>
        <w:t xml:space="preserve">ermuda </w:t>
      </w:r>
      <w:r w:rsidR="00A7348B" w:rsidRPr="00F07DEB">
        <w:rPr>
          <w:rFonts w:ascii="Times New Roman" w:eastAsia="Times New Roman" w:hAnsi="Times New Roman" w:cs="Times New Roman"/>
          <w:color w:val="000000"/>
          <w:sz w:val="24"/>
          <w:szCs w:val="24"/>
          <w:lang w:eastAsia="en-US"/>
        </w:rPr>
        <w:t xml:space="preserve">grass accumulated </w:t>
      </w:r>
      <w:r>
        <w:rPr>
          <w:rFonts w:ascii="Times New Roman" w:eastAsia="Times New Roman" w:hAnsi="Times New Roman" w:cs="Times New Roman"/>
          <w:color w:val="000000"/>
          <w:sz w:val="24"/>
          <w:szCs w:val="24"/>
          <w:lang w:eastAsia="en-US"/>
        </w:rPr>
        <w:t>Zn</w:t>
      </w:r>
      <w:r w:rsidR="00A7348B" w:rsidRPr="00F07DEB">
        <w:rPr>
          <w:rFonts w:ascii="Times New Roman" w:eastAsia="Times New Roman" w:hAnsi="Times New Roman" w:cs="Times New Roman"/>
          <w:color w:val="000000"/>
          <w:sz w:val="24"/>
          <w:szCs w:val="24"/>
          <w:lang w:eastAsia="en-US"/>
        </w:rPr>
        <w:t xml:space="preserve"> concentrations such that Grass1 &gt; Roots &gt; Grass2, whereas mine water-irrigated </w:t>
      </w:r>
      <w:r w:rsidR="00A7348B" w:rsidRPr="00F07DEB">
        <w:rPr>
          <w:rFonts w:ascii="Times New Roman" w:eastAsia="Times New Roman" w:hAnsi="Times New Roman" w:cs="Times New Roman"/>
          <w:color w:val="000000"/>
          <w:sz w:val="24"/>
          <w:szCs w:val="24"/>
          <w:lang w:eastAsia="en-US"/>
        </w:rPr>
        <w:lastRenderedPageBreak/>
        <w:t xml:space="preserve">Bermuda grass accumulated </w:t>
      </w:r>
      <w:r>
        <w:rPr>
          <w:rFonts w:ascii="Times New Roman" w:eastAsia="Times New Roman" w:hAnsi="Times New Roman" w:cs="Times New Roman"/>
          <w:color w:val="000000"/>
          <w:sz w:val="24"/>
          <w:szCs w:val="24"/>
          <w:lang w:eastAsia="en-US"/>
        </w:rPr>
        <w:t>Zn</w:t>
      </w:r>
      <w:r w:rsidR="00A7348B" w:rsidRPr="00F07DEB">
        <w:rPr>
          <w:rFonts w:ascii="Times New Roman" w:eastAsia="Times New Roman" w:hAnsi="Times New Roman" w:cs="Times New Roman"/>
          <w:color w:val="000000"/>
          <w:sz w:val="24"/>
          <w:szCs w:val="24"/>
          <w:lang w:eastAsia="en-US"/>
        </w:rPr>
        <w:t xml:space="preserve"> concentrations in the following hierarchy: Grass1 &gt; Grass2 &gt; R</w:t>
      </w:r>
      <w:r w:rsidR="002514A7" w:rsidRPr="00F07DEB">
        <w:rPr>
          <w:rFonts w:ascii="Times New Roman" w:eastAsia="Times New Roman" w:hAnsi="Times New Roman" w:cs="Times New Roman"/>
          <w:color w:val="000000"/>
          <w:sz w:val="24"/>
          <w:szCs w:val="24"/>
          <w:lang w:eastAsia="en-US"/>
        </w:rPr>
        <w:t>oots</w:t>
      </w:r>
      <w:r w:rsidR="00A7348B" w:rsidRPr="00F07DEB">
        <w:rPr>
          <w:rFonts w:ascii="Times New Roman" w:eastAsia="Times New Roman" w:hAnsi="Times New Roman" w:cs="Times New Roman"/>
          <w:color w:val="000000"/>
          <w:sz w:val="24"/>
          <w:szCs w:val="24"/>
          <w:lang w:eastAsia="en-US"/>
        </w:rPr>
        <w:t xml:space="preserve">. Groundwater irrigation produced higher root </w:t>
      </w:r>
      <w:r>
        <w:rPr>
          <w:rFonts w:ascii="Times New Roman" w:eastAsia="Times New Roman" w:hAnsi="Times New Roman" w:cs="Times New Roman"/>
          <w:color w:val="000000"/>
          <w:sz w:val="24"/>
          <w:szCs w:val="24"/>
          <w:lang w:eastAsia="en-US"/>
        </w:rPr>
        <w:t>Zn</w:t>
      </w:r>
      <w:r w:rsidR="00A7348B" w:rsidRPr="00F07DEB">
        <w:rPr>
          <w:rFonts w:ascii="Times New Roman" w:eastAsia="Times New Roman" w:hAnsi="Times New Roman" w:cs="Times New Roman"/>
          <w:color w:val="000000"/>
          <w:sz w:val="24"/>
          <w:szCs w:val="24"/>
          <w:lang w:eastAsia="en-US"/>
        </w:rPr>
        <w:t xml:space="preserve"> concentrations than mine water irrigation, but irrigation treatments did not produce significantly different </w:t>
      </w:r>
      <w:r>
        <w:rPr>
          <w:rFonts w:ascii="Times New Roman" w:eastAsia="Times New Roman" w:hAnsi="Times New Roman" w:cs="Times New Roman"/>
          <w:color w:val="000000"/>
          <w:sz w:val="24"/>
          <w:szCs w:val="24"/>
          <w:lang w:eastAsia="en-US"/>
        </w:rPr>
        <w:t>Zn</w:t>
      </w:r>
      <w:r w:rsidR="00A7348B" w:rsidRPr="00F07DEB">
        <w:rPr>
          <w:rFonts w:ascii="Times New Roman" w:eastAsia="Times New Roman" w:hAnsi="Times New Roman" w:cs="Times New Roman"/>
          <w:color w:val="000000"/>
          <w:sz w:val="24"/>
          <w:szCs w:val="24"/>
          <w:lang w:eastAsia="en-US"/>
        </w:rPr>
        <w:t xml:space="preserve"> concentrations in either set of grass samples.</w:t>
      </w:r>
      <w:r w:rsidR="00527CF1" w:rsidRPr="00F07DEB">
        <w:rPr>
          <w:rFonts w:ascii="Times New Roman" w:eastAsia="Times New Roman" w:hAnsi="Times New Roman" w:cs="Times New Roman"/>
          <w:color w:val="000000"/>
          <w:sz w:val="24"/>
          <w:szCs w:val="24"/>
          <w:lang w:eastAsia="en-US"/>
        </w:rPr>
        <w:t xml:space="preserve"> </w:t>
      </w:r>
    </w:p>
    <w:p w14:paraId="787F9AA9" w14:textId="703DE485" w:rsidR="00CE3D29" w:rsidRDefault="002E56C1" w:rsidP="00CE3D29">
      <w:pPr>
        <w:keepNext/>
        <w:spacing w:line="480" w:lineRule="auto"/>
      </w:pPr>
      <w:r w:rsidRPr="002E56C1">
        <w:rPr>
          <w:noProof/>
          <w:lang w:eastAsia="en-US"/>
        </w:rPr>
        <w:drawing>
          <wp:inline distT="0" distB="0" distL="0" distR="0" wp14:anchorId="13C49D3E" wp14:editId="6F7808A3">
            <wp:extent cx="5943600" cy="2971800"/>
            <wp:effectExtent l="0" t="0" r="0" b="0"/>
            <wp:docPr id="7" name="Picture 7" descr="C:\Users\harper3663\Documents\School\_CREW\Irrigation Project\R\Plots\Plant Metals\Corrected\PlantZ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arper3663\Documents\School\_CREW\Irrigation Project\R\Plots\Plant Metals\Corrected\PlantZn1.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4138BA94" w14:textId="4104FFD7" w:rsidR="00CE3D29" w:rsidRDefault="00CE3D29" w:rsidP="00204C13">
      <w:pPr>
        <w:pStyle w:val="Caption"/>
        <w:rPr>
          <w:rFonts w:eastAsia="Times New Roman"/>
          <w:color w:val="000000"/>
          <w:sz w:val="24"/>
          <w:szCs w:val="24"/>
          <w:lang w:eastAsia="en-US"/>
        </w:rPr>
      </w:pPr>
      <w:bookmarkStart w:id="128" w:name="_Ref56717964"/>
      <w:bookmarkStart w:id="129" w:name="_Toc58975244"/>
      <w:r>
        <w:t xml:space="preserve">Figure </w:t>
      </w:r>
      <w:r w:rsidR="0033797C">
        <w:rPr>
          <w:noProof/>
        </w:rPr>
        <w:fldChar w:fldCharType="begin"/>
      </w:r>
      <w:r w:rsidR="0033797C">
        <w:rPr>
          <w:noProof/>
        </w:rPr>
        <w:instrText xml:space="preserve"> SEQ Figure \* ARABIC </w:instrText>
      </w:r>
      <w:r w:rsidR="0033797C">
        <w:rPr>
          <w:noProof/>
        </w:rPr>
        <w:fldChar w:fldCharType="separate"/>
      </w:r>
      <w:r w:rsidR="00E179CA">
        <w:rPr>
          <w:noProof/>
        </w:rPr>
        <w:t>34</w:t>
      </w:r>
      <w:r w:rsidR="0033797C">
        <w:rPr>
          <w:noProof/>
        </w:rPr>
        <w:fldChar w:fldCharType="end"/>
      </w:r>
      <w:bookmarkEnd w:id="128"/>
      <w:r>
        <w:rPr>
          <w:noProof/>
        </w:rPr>
        <w:t xml:space="preserve">: </w:t>
      </w:r>
      <w:r w:rsidRPr="00EE5398">
        <w:rPr>
          <w:noProof/>
        </w:rPr>
        <w:t>Box plots of Zn concentrations in each plant and structure in mg/kg</w:t>
      </w:r>
      <w:bookmarkEnd w:id="129"/>
    </w:p>
    <w:p w14:paraId="498275D6" w14:textId="77777777" w:rsidR="00CE3D29" w:rsidRPr="00F07DEB" w:rsidRDefault="00CE3D29" w:rsidP="00CE3D29">
      <w:pPr>
        <w:spacing w:line="480" w:lineRule="auto"/>
        <w:rPr>
          <w:rFonts w:ascii="Times New Roman" w:eastAsia="Times New Roman" w:hAnsi="Times New Roman" w:cs="Times New Roman"/>
          <w:color w:val="000000"/>
          <w:sz w:val="24"/>
          <w:szCs w:val="24"/>
          <w:lang w:eastAsia="en-US"/>
        </w:rPr>
      </w:pPr>
    </w:p>
    <w:p w14:paraId="79DD8943" w14:textId="2B5D23CB" w:rsidR="00527CF1" w:rsidRPr="00F07DEB" w:rsidRDefault="009678A2" w:rsidP="002514A7">
      <w:pPr>
        <w:spacing w:line="480" w:lineRule="auto"/>
        <w:ind w:firstLine="713"/>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Fe</w:t>
      </w:r>
      <w:r w:rsidR="00C876AD" w:rsidRPr="00F07DE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Zn</w:t>
      </w:r>
      <w:r w:rsidR="00C876AD" w:rsidRPr="00F07DEB">
        <w:rPr>
          <w:rFonts w:ascii="Times New Roman" w:eastAsia="Times New Roman" w:hAnsi="Times New Roman" w:cs="Times New Roman"/>
          <w:color w:val="000000"/>
          <w:sz w:val="24"/>
          <w:szCs w:val="24"/>
          <w:lang w:eastAsia="en-US"/>
        </w:rPr>
        <w:t xml:space="preserve">, and </w:t>
      </w:r>
      <w:proofErr w:type="spellStart"/>
      <w:r>
        <w:rPr>
          <w:rFonts w:ascii="Times New Roman" w:hAnsi="Times New Roman" w:cs="Times New Roman"/>
          <w:sz w:val="24"/>
          <w:szCs w:val="24"/>
        </w:rPr>
        <w:t>Pb</w:t>
      </w:r>
      <w:proofErr w:type="spellEnd"/>
      <w:r w:rsidR="00C876AD" w:rsidRPr="00F07DEB">
        <w:rPr>
          <w:rFonts w:ascii="Times New Roman" w:eastAsia="Times New Roman" w:hAnsi="Times New Roman" w:cs="Times New Roman"/>
          <w:color w:val="000000"/>
          <w:sz w:val="24"/>
          <w:szCs w:val="24"/>
          <w:lang w:eastAsia="en-US"/>
        </w:rPr>
        <w:t xml:space="preserve"> </w:t>
      </w:r>
      <w:r w:rsidR="0084133F" w:rsidRPr="00F07DEB">
        <w:rPr>
          <w:rFonts w:ascii="Times New Roman" w:eastAsia="Times New Roman" w:hAnsi="Times New Roman" w:cs="Times New Roman"/>
          <w:color w:val="000000"/>
          <w:sz w:val="24"/>
          <w:szCs w:val="24"/>
          <w:lang w:eastAsia="en-US"/>
        </w:rPr>
        <w:t>are</w:t>
      </w:r>
      <w:r w:rsidR="00C876AD" w:rsidRPr="00F07DEB">
        <w:rPr>
          <w:rFonts w:ascii="Times New Roman" w:eastAsia="Times New Roman" w:hAnsi="Times New Roman" w:cs="Times New Roman"/>
          <w:color w:val="000000"/>
          <w:sz w:val="24"/>
          <w:szCs w:val="24"/>
          <w:lang w:eastAsia="en-US"/>
        </w:rPr>
        <w:t xml:space="preserve"> three</w:t>
      </w:r>
      <w:r w:rsidR="00914F3A" w:rsidRPr="00F07DEB">
        <w:rPr>
          <w:rFonts w:ascii="Times New Roman" w:eastAsia="Times New Roman" w:hAnsi="Times New Roman" w:cs="Times New Roman"/>
          <w:color w:val="000000"/>
          <w:sz w:val="24"/>
          <w:szCs w:val="24"/>
          <w:lang w:eastAsia="en-US"/>
        </w:rPr>
        <w:t xml:space="preserve"> of the four trace metals that are primarily targeted for removal at the MRPTS</w:t>
      </w:r>
      <w:r w:rsidR="00C876AD" w:rsidRPr="00F07DE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Fe </w:t>
      </w:r>
      <w:r w:rsidR="00C876AD" w:rsidRPr="00F07DEB">
        <w:rPr>
          <w:rFonts w:ascii="Times New Roman" w:eastAsia="Times New Roman" w:hAnsi="Times New Roman" w:cs="Times New Roman"/>
          <w:color w:val="000000"/>
          <w:sz w:val="24"/>
          <w:szCs w:val="24"/>
          <w:lang w:eastAsia="en-US"/>
        </w:rPr>
        <w:t>concentrations in plant biomass irrigated with groundwater or mine water were</w:t>
      </w:r>
      <w:r w:rsidR="00914F3A" w:rsidRPr="00F07DEB">
        <w:rPr>
          <w:rFonts w:ascii="Times New Roman" w:eastAsia="Times New Roman" w:hAnsi="Times New Roman" w:cs="Times New Roman"/>
          <w:color w:val="000000"/>
          <w:sz w:val="24"/>
          <w:szCs w:val="24"/>
          <w:lang w:eastAsia="en-US"/>
        </w:rPr>
        <w:t xml:space="preserve"> not </w:t>
      </w:r>
      <w:r w:rsidR="00C876AD" w:rsidRPr="00F07DEB">
        <w:rPr>
          <w:rFonts w:ascii="Times New Roman" w:eastAsia="Times New Roman" w:hAnsi="Times New Roman" w:cs="Times New Roman"/>
          <w:color w:val="000000"/>
          <w:sz w:val="24"/>
          <w:szCs w:val="24"/>
          <w:lang w:eastAsia="en-US"/>
        </w:rPr>
        <w:t>significantly different.</w:t>
      </w:r>
      <w:r w:rsidR="00DB6AAE" w:rsidRPr="00F07DEB">
        <w:rPr>
          <w:rFonts w:ascii="Times New Roman" w:eastAsia="Times New Roman" w:hAnsi="Times New Roman" w:cs="Times New Roman"/>
          <w:color w:val="000000"/>
          <w:sz w:val="24"/>
          <w:szCs w:val="24"/>
          <w:lang w:eastAsia="en-US"/>
        </w:rPr>
        <w:t xml:space="preserve"> </w:t>
      </w:r>
      <w:r w:rsidR="00F22943" w:rsidRPr="00F07DEB">
        <w:rPr>
          <w:rFonts w:ascii="Times New Roman" w:eastAsia="Times New Roman" w:hAnsi="Times New Roman" w:cs="Times New Roman"/>
          <w:color w:val="000000"/>
          <w:sz w:val="24"/>
          <w:szCs w:val="24"/>
          <w:lang w:eastAsia="en-US"/>
        </w:rPr>
        <w:t xml:space="preserve">Furthermore, mean </w:t>
      </w:r>
      <w:r>
        <w:rPr>
          <w:rFonts w:ascii="Times New Roman" w:eastAsia="Times New Roman" w:hAnsi="Times New Roman" w:cs="Times New Roman"/>
          <w:color w:val="000000"/>
          <w:sz w:val="24"/>
          <w:szCs w:val="24"/>
          <w:lang w:eastAsia="en-US"/>
        </w:rPr>
        <w:t xml:space="preserve">Fe </w:t>
      </w:r>
      <w:r w:rsidR="00F22943" w:rsidRPr="00F07DEB">
        <w:rPr>
          <w:rFonts w:ascii="Times New Roman" w:eastAsia="Times New Roman" w:hAnsi="Times New Roman" w:cs="Times New Roman"/>
          <w:color w:val="000000"/>
          <w:sz w:val="24"/>
          <w:szCs w:val="24"/>
          <w:lang w:eastAsia="en-US"/>
        </w:rPr>
        <w:t xml:space="preserve">concentrations in the leaves of all species were above 66 mg/kg Fe, the critical deficiency concentration for the leaves of C4 plants, but were not so high that toxicity was a concern </w:t>
      </w:r>
      <w:r w:rsidR="00F22943" w:rsidRPr="00F07DEB">
        <w:rPr>
          <w:rFonts w:ascii="Times New Roman" w:eastAsia="Times New Roman" w:hAnsi="Times New Roman" w:cs="Times New Roman"/>
          <w:color w:val="000000"/>
          <w:sz w:val="24"/>
          <w:szCs w:val="24"/>
          <w:lang w:eastAsia="en-US"/>
        </w:rPr>
        <w:fldChar w:fldCharType="begin"/>
      </w:r>
      <w:r w:rsidR="00BA49C2">
        <w:rPr>
          <w:rFonts w:ascii="Times New Roman" w:eastAsia="Times New Roman" w:hAnsi="Times New Roman" w:cs="Times New Roman"/>
          <w:color w:val="000000"/>
          <w:sz w:val="24"/>
          <w:szCs w:val="24"/>
          <w:lang w:eastAsia="en-US"/>
        </w:rPr>
        <w:instrText xml:space="preserve"> ADDIN ZOTERO_ITEM CSL_CITATION {"citationID":"SUptHy9W","properties":{"formattedCitation":"(Broadley, Brown, Cakmak, Rengel, et al., 2012)","plainCitation":"(Broadley, Brown, Cakmak, Rengel, et al., 2012)","dontUpdate":true,"noteIndex":0},"citationItems":[{"id":858,"uris":["http://zotero.org/users/5446453/items/MDBJDJQG"],"uri":["http://zotero.org/users/5446453/items/MDBJDJQG"],"itemData":{"id":858,"type":"chapter","abstract":"This chapter focuses on the functions of iron, manganese, copper, zinc, nickel, molybdenum, boron, and chlorine in plants and describes the effects of their deficiency and toxicity. Iron (Fe) plays a crucial role in redox systems in cells and in various enzymes. In dicotyledonous and monocotyledonous plant species, Fe deficiency is associated with the formation of rhizodermal transfer cells, which is a part of a their strategy to enhance iron uptake. Manganese (Mn) and copper (Cu) are important for redox systems, as activators of various enzymes including those involved in the detoxification of superoxide radicals, and for the synthesis of lignin. In dicotyledonous plants, intercostal chlorosis of the younger leaves is the most distinct symptom of Mn deficiency, whereas in cereals, greenish grey spots on the older leaves are the major symptoms. Stunted growth, distortion of young leaves, chlorosis/ necrosis starting at the apical meristem extending down to the leaf margins, bleaching of young leaves, and/or “summer dieback” in trees are typical visible symptoms of Cu deficiency. Zinc (Zn) plays a role in the detoxification of superoxide radicals, membrane integrity, as well as the synthesis of proteins and the phytohormone IAA. Nickel (Ni) is involved in N metabolism as a metal component of the enzyme urease, whereas molybdenum (Mo) helps in N metabolism by acting as a metal component of the nitrogenase (N2 fixation) and nitrate reductase enzymes. Boron (B) is crucial for cell wall and membrane integrity, whereas chlorine plays a role in osmoregulation and stomata movement.","container-title":"Marschner's Mineral Nutrition of Higher Plants (Third Edition)","event-place":"San Diego","ISBN":"978-0-12-384905-2","language":"en","note":"DOI: 10.1016/B978-0-12-384905-2.00007-8","page":"191-248","publisher":"Academic Press","publisher-place":"San Diego","source":"ScienceDirect","title":"Chapter 7 - Function of Nutrients: Micronutrients","title-short":"Chapter 7 - Function of Nutrients","URL":"http://www.sciencedirect.com/science/article/pii/B9780123849052000078","author":[{"family":"Broadley","given":"Martin"},{"family":"Brown","given":"Patrick"},{"family":"Cakmak","given":"Ismail"},{"family":"Rengel","given":"Zed"},{"family":"Zhao","given":"Fangjie"}],"editor":[{"family":"Marschner","given":"Petra"}],"accessed":{"date-parts":[["2020",11,13]]},"issued":{"date-parts":[["2012"]]}}}],"schema":"https://github.com/citation-style-language/schema/raw/master/csl-citation.json"} </w:instrText>
      </w:r>
      <w:r w:rsidR="00F22943" w:rsidRPr="00F07DEB">
        <w:rPr>
          <w:rFonts w:ascii="Times New Roman" w:eastAsia="Times New Roman" w:hAnsi="Times New Roman" w:cs="Times New Roman"/>
          <w:color w:val="000000"/>
          <w:sz w:val="24"/>
          <w:szCs w:val="24"/>
          <w:lang w:eastAsia="en-US"/>
        </w:rPr>
        <w:fldChar w:fldCharType="separate"/>
      </w:r>
      <w:r w:rsidR="006811C1" w:rsidRPr="00F07DEB">
        <w:rPr>
          <w:rFonts w:ascii="Times New Roman" w:hAnsi="Times New Roman" w:cs="Times New Roman"/>
          <w:sz w:val="24"/>
        </w:rPr>
        <w:t>(Broadley et al., 2012</w:t>
      </w:r>
      <w:r w:rsidR="00375B31">
        <w:rPr>
          <w:rFonts w:ascii="Times New Roman" w:hAnsi="Times New Roman" w:cs="Times New Roman"/>
          <w:sz w:val="24"/>
        </w:rPr>
        <w:t>a</w:t>
      </w:r>
      <w:r w:rsidR="006811C1" w:rsidRPr="00F07DEB">
        <w:rPr>
          <w:rFonts w:ascii="Times New Roman" w:hAnsi="Times New Roman" w:cs="Times New Roman"/>
          <w:sz w:val="24"/>
        </w:rPr>
        <w:t>)</w:t>
      </w:r>
      <w:r w:rsidR="00F22943" w:rsidRPr="00F07DEB">
        <w:rPr>
          <w:rFonts w:ascii="Times New Roman" w:eastAsia="Times New Roman" w:hAnsi="Times New Roman" w:cs="Times New Roman"/>
          <w:color w:val="000000"/>
          <w:sz w:val="24"/>
          <w:szCs w:val="24"/>
          <w:lang w:eastAsia="en-US"/>
        </w:rPr>
        <w:fldChar w:fldCharType="end"/>
      </w:r>
      <w:r w:rsidR="00F22943" w:rsidRPr="00F07DEB">
        <w:rPr>
          <w:rFonts w:ascii="Times New Roman" w:eastAsia="Times New Roman" w:hAnsi="Times New Roman" w:cs="Times New Roman"/>
          <w:color w:val="000000"/>
          <w:sz w:val="24"/>
          <w:szCs w:val="24"/>
          <w:lang w:eastAsia="en-US"/>
        </w:rPr>
        <w:t xml:space="preserve">. </w:t>
      </w:r>
      <w:r w:rsidR="00DB6AAE" w:rsidRPr="00F07DEB">
        <w:rPr>
          <w:rFonts w:ascii="Times New Roman" w:eastAsia="Times New Roman" w:hAnsi="Times New Roman" w:cs="Times New Roman"/>
          <w:color w:val="000000"/>
          <w:sz w:val="24"/>
          <w:szCs w:val="24"/>
          <w:lang w:eastAsia="en-US"/>
        </w:rPr>
        <w:t xml:space="preserve">Additionally, </w:t>
      </w:r>
      <w:r>
        <w:rPr>
          <w:rFonts w:ascii="Times New Roman" w:eastAsia="Times New Roman" w:hAnsi="Times New Roman" w:cs="Times New Roman"/>
          <w:color w:val="000000"/>
          <w:sz w:val="24"/>
          <w:szCs w:val="24"/>
          <w:lang w:eastAsia="en-US"/>
        </w:rPr>
        <w:t>Zn</w:t>
      </w:r>
      <w:r w:rsidR="00C876AD" w:rsidRPr="00F07DEB">
        <w:rPr>
          <w:rFonts w:ascii="Times New Roman" w:eastAsia="Times New Roman" w:hAnsi="Times New Roman" w:cs="Times New Roman"/>
          <w:color w:val="000000"/>
          <w:sz w:val="24"/>
          <w:szCs w:val="24"/>
          <w:lang w:eastAsia="en-US"/>
        </w:rPr>
        <w:t xml:space="preserve"> and </w:t>
      </w:r>
      <w:proofErr w:type="spellStart"/>
      <w:r>
        <w:rPr>
          <w:rFonts w:ascii="Times New Roman" w:hAnsi="Times New Roman" w:cs="Times New Roman"/>
          <w:sz w:val="24"/>
          <w:szCs w:val="24"/>
        </w:rPr>
        <w:t>Pb</w:t>
      </w:r>
      <w:proofErr w:type="spellEnd"/>
      <w:r w:rsidR="00C876AD" w:rsidRPr="00F07DEB">
        <w:rPr>
          <w:rFonts w:ascii="Times New Roman" w:eastAsia="Times New Roman" w:hAnsi="Times New Roman" w:cs="Times New Roman"/>
          <w:color w:val="000000"/>
          <w:sz w:val="24"/>
          <w:szCs w:val="24"/>
          <w:lang w:eastAsia="en-US"/>
        </w:rPr>
        <w:t xml:space="preserve"> concentrations</w:t>
      </w:r>
      <w:r w:rsidR="00914F3A" w:rsidRPr="00F07DEB">
        <w:rPr>
          <w:rFonts w:ascii="Times New Roman" w:eastAsia="Times New Roman" w:hAnsi="Times New Roman" w:cs="Times New Roman"/>
          <w:color w:val="000000"/>
          <w:sz w:val="24"/>
          <w:szCs w:val="24"/>
          <w:lang w:eastAsia="en-US"/>
        </w:rPr>
        <w:t xml:space="preserve"> </w:t>
      </w:r>
      <w:r w:rsidR="00C876AD" w:rsidRPr="00F07DEB">
        <w:rPr>
          <w:rFonts w:ascii="Times New Roman" w:eastAsia="Times New Roman" w:hAnsi="Times New Roman" w:cs="Times New Roman"/>
          <w:color w:val="000000"/>
          <w:sz w:val="24"/>
          <w:szCs w:val="24"/>
          <w:lang w:eastAsia="en-US"/>
        </w:rPr>
        <w:t xml:space="preserve">were </w:t>
      </w:r>
      <w:r w:rsidR="002930C3" w:rsidRPr="00F07DEB">
        <w:rPr>
          <w:rFonts w:ascii="Times New Roman" w:eastAsia="Times New Roman" w:hAnsi="Times New Roman" w:cs="Times New Roman"/>
          <w:color w:val="000000"/>
          <w:sz w:val="24"/>
          <w:szCs w:val="24"/>
          <w:lang w:eastAsia="en-US"/>
        </w:rPr>
        <w:t>significantly higher in groundwater-irri</w:t>
      </w:r>
      <w:r w:rsidR="00C876AD" w:rsidRPr="00F07DEB">
        <w:rPr>
          <w:rFonts w:ascii="Times New Roman" w:eastAsia="Times New Roman" w:hAnsi="Times New Roman" w:cs="Times New Roman"/>
          <w:color w:val="000000"/>
          <w:sz w:val="24"/>
          <w:szCs w:val="24"/>
          <w:lang w:eastAsia="en-US"/>
        </w:rPr>
        <w:t>gated sorghum and Bermuda grass.</w:t>
      </w:r>
      <w:r w:rsidR="004300D6" w:rsidRPr="00F07DE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Zn</w:t>
      </w:r>
      <w:r w:rsidR="004300D6" w:rsidRPr="00F07DEB">
        <w:rPr>
          <w:rFonts w:ascii="Times New Roman" w:eastAsia="Times New Roman" w:hAnsi="Times New Roman" w:cs="Times New Roman"/>
          <w:color w:val="000000"/>
          <w:sz w:val="24"/>
          <w:szCs w:val="24"/>
          <w:lang w:eastAsia="en-US"/>
        </w:rPr>
        <w:t xml:space="preserve"> </w:t>
      </w:r>
      <w:r w:rsidR="006459E9" w:rsidRPr="00F07DEB">
        <w:rPr>
          <w:rFonts w:ascii="Times New Roman" w:eastAsia="Times New Roman" w:hAnsi="Times New Roman" w:cs="Times New Roman"/>
          <w:color w:val="000000"/>
          <w:sz w:val="24"/>
          <w:szCs w:val="24"/>
          <w:lang w:eastAsia="en-US"/>
        </w:rPr>
        <w:t xml:space="preserve">concentrations </w:t>
      </w:r>
      <w:r w:rsidR="004300D6" w:rsidRPr="00F07DEB">
        <w:rPr>
          <w:rFonts w:ascii="Times New Roman" w:eastAsia="Times New Roman" w:hAnsi="Times New Roman" w:cs="Times New Roman"/>
          <w:color w:val="000000"/>
          <w:sz w:val="24"/>
          <w:szCs w:val="24"/>
          <w:lang w:eastAsia="en-US"/>
        </w:rPr>
        <w:t xml:space="preserve">were contributed </w:t>
      </w:r>
      <w:r w:rsidR="0084133F" w:rsidRPr="00F07DEB">
        <w:rPr>
          <w:rFonts w:ascii="Times New Roman" w:eastAsia="Times New Roman" w:hAnsi="Times New Roman" w:cs="Times New Roman"/>
          <w:color w:val="000000"/>
          <w:sz w:val="24"/>
          <w:szCs w:val="24"/>
          <w:lang w:eastAsia="en-US"/>
        </w:rPr>
        <w:t xml:space="preserve">predominantly </w:t>
      </w:r>
      <w:r w:rsidR="00377139" w:rsidRPr="00F07DEB">
        <w:rPr>
          <w:rFonts w:ascii="Times New Roman" w:eastAsia="Times New Roman" w:hAnsi="Times New Roman" w:cs="Times New Roman"/>
          <w:color w:val="000000"/>
          <w:sz w:val="24"/>
          <w:szCs w:val="24"/>
          <w:lang w:eastAsia="en-US"/>
        </w:rPr>
        <w:t>by the fertilizer</w:t>
      </w:r>
      <w:r w:rsidR="00355EFC" w:rsidRPr="00F07DEB">
        <w:rPr>
          <w:rFonts w:ascii="Times New Roman" w:eastAsia="Times New Roman" w:hAnsi="Times New Roman" w:cs="Times New Roman"/>
          <w:color w:val="000000"/>
          <w:sz w:val="24"/>
          <w:szCs w:val="24"/>
          <w:lang w:eastAsia="en-US"/>
        </w:rPr>
        <w:t xml:space="preserve"> and were not significantly different in the irrigation waters. Therefore,</w:t>
      </w:r>
      <w:r w:rsidR="00377139" w:rsidRPr="00F07DEB">
        <w:rPr>
          <w:rFonts w:ascii="Times New Roman" w:eastAsia="Times New Roman" w:hAnsi="Times New Roman" w:cs="Times New Roman"/>
          <w:color w:val="000000"/>
          <w:sz w:val="24"/>
          <w:szCs w:val="24"/>
          <w:lang w:eastAsia="en-US"/>
        </w:rPr>
        <w:t xml:space="preserve"> the significant main effect of irrigation treatment </w:t>
      </w:r>
      <w:r w:rsidR="00355EFC" w:rsidRPr="00F07DEB">
        <w:rPr>
          <w:rFonts w:ascii="Times New Roman" w:eastAsia="Times New Roman" w:hAnsi="Times New Roman" w:cs="Times New Roman"/>
          <w:color w:val="000000"/>
          <w:sz w:val="24"/>
          <w:szCs w:val="24"/>
          <w:lang w:eastAsia="en-US"/>
        </w:rPr>
        <w:t xml:space="preserve">on </w:t>
      </w:r>
      <w:r>
        <w:rPr>
          <w:rFonts w:ascii="Times New Roman" w:eastAsia="Times New Roman" w:hAnsi="Times New Roman" w:cs="Times New Roman"/>
          <w:color w:val="000000"/>
          <w:sz w:val="24"/>
          <w:szCs w:val="24"/>
          <w:lang w:eastAsia="en-US"/>
        </w:rPr>
        <w:lastRenderedPageBreak/>
        <w:t>Zn</w:t>
      </w:r>
      <w:r w:rsidR="00355EFC" w:rsidRPr="00F07DEB">
        <w:rPr>
          <w:rFonts w:ascii="Times New Roman" w:eastAsia="Times New Roman" w:hAnsi="Times New Roman" w:cs="Times New Roman"/>
          <w:color w:val="000000"/>
          <w:sz w:val="24"/>
          <w:szCs w:val="24"/>
          <w:lang w:eastAsia="en-US"/>
        </w:rPr>
        <w:t xml:space="preserve"> concentrations could indicate that the </w:t>
      </w:r>
      <w:r w:rsidR="00DB6AAE" w:rsidRPr="00F07DEB">
        <w:rPr>
          <w:rFonts w:ascii="Times New Roman" w:eastAsia="Times New Roman" w:hAnsi="Times New Roman" w:cs="Times New Roman"/>
          <w:color w:val="000000"/>
          <w:sz w:val="24"/>
          <w:szCs w:val="24"/>
          <w:lang w:eastAsia="en-US"/>
        </w:rPr>
        <w:t>groundwater</w:t>
      </w:r>
      <w:r w:rsidR="00355EFC" w:rsidRPr="00F07DEB">
        <w:rPr>
          <w:rFonts w:ascii="Times New Roman" w:eastAsia="Times New Roman" w:hAnsi="Times New Roman" w:cs="Times New Roman"/>
          <w:color w:val="000000"/>
          <w:sz w:val="24"/>
          <w:szCs w:val="24"/>
          <w:lang w:eastAsia="en-US"/>
        </w:rPr>
        <w:t xml:space="preserve"> chemistry promotes uptake of </w:t>
      </w:r>
      <w:r>
        <w:rPr>
          <w:rFonts w:ascii="Times New Roman" w:eastAsia="Times New Roman" w:hAnsi="Times New Roman" w:cs="Times New Roman"/>
          <w:color w:val="000000"/>
          <w:sz w:val="24"/>
          <w:szCs w:val="24"/>
          <w:lang w:eastAsia="en-US"/>
        </w:rPr>
        <w:t>Zn</w:t>
      </w:r>
      <w:r w:rsidR="00355EFC" w:rsidRPr="00F07DEB">
        <w:rPr>
          <w:rFonts w:ascii="Times New Roman" w:eastAsia="Times New Roman" w:hAnsi="Times New Roman" w:cs="Times New Roman"/>
          <w:color w:val="000000"/>
          <w:sz w:val="24"/>
          <w:szCs w:val="24"/>
          <w:lang w:eastAsia="en-US"/>
        </w:rPr>
        <w:t xml:space="preserve"> from the fertilizer, water, or </w:t>
      </w:r>
      <w:r w:rsidR="00DB6AAE" w:rsidRPr="00F07DEB">
        <w:rPr>
          <w:rFonts w:ascii="Times New Roman" w:eastAsia="Times New Roman" w:hAnsi="Times New Roman" w:cs="Times New Roman"/>
          <w:color w:val="000000"/>
          <w:sz w:val="24"/>
          <w:szCs w:val="24"/>
          <w:lang w:eastAsia="en-US"/>
        </w:rPr>
        <w:t>substrate</w:t>
      </w:r>
      <w:r w:rsidR="00355EFC" w:rsidRPr="00F07DEB">
        <w:rPr>
          <w:rFonts w:ascii="Times New Roman" w:eastAsia="Times New Roman" w:hAnsi="Times New Roman" w:cs="Times New Roman"/>
          <w:color w:val="000000"/>
          <w:sz w:val="24"/>
          <w:szCs w:val="24"/>
          <w:lang w:eastAsia="en-US"/>
        </w:rPr>
        <w:t xml:space="preserve"> more efficiently than the </w:t>
      </w:r>
      <w:r w:rsidR="00DB6AAE" w:rsidRPr="00F07DEB">
        <w:rPr>
          <w:rFonts w:ascii="Times New Roman" w:eastAsia="Times New Roman" w:hAnsi="Times New Roman" w:cs="Times New Roman"/>
          <w:color w:val="000000"/>
          <w:sz w:val="24"/>
          <w:szCs w:val="24"/>
          <w:lang w:eastAsia="en-US"/>
        </w:rPr>
        <w:t>mine water</w:t>
      </w:r>
      <w:r w:rsidR="00355EFC" w:rsidRPr="00F07DEB">
        <w:rPr>
          <w:rFonts w:ascii="Times New Roman" w:eastAsia="Times New Roman" w:hAnsi="Times New Roman" w:cs="Times New Roman"/>
          <w:color w:val="000000"/>
          <w:sz w:val="24"/>
          <w:szCs w:val="24"/>
          <w:lang w:eastAsia="en-US"/>
        </w:rPr>
        <w:t xml:space="preserve"> chemistry</w:t>
      </w:r>
      <w:r w:rsidR="00DA1138">
        <w:rPr>
          <w:rFonts w:ascii="Times New Roman" w:eastAsia="Times New Roman" w:hAnsi="Times New Roman" w:cs="Times New Roman"/>
          <w:color w:val="000000"/>
          <w:sz w:val="24"/>
          <w:szCs w:val="24"/>
          <w:lang w:eastAsia="en-US"/>
        </w:rPr>
        <w:t xml:space="preserve">; one possibility is that higher mean </w:t>
      </w:r>
      <w:r w:rsidR="00DA1138" w:rsidRPr="00DA1138">
        <w:rPr>
          <w:rFonts w:ascii="Times New Roman" w:eastAsia="Times New Roman" w:hAnsi="Times New Roman" w:cs="Times New Roman"/>
          <w:color w:val="000000"/>
          <w:sz w:val="24"/>
          <w:szCs w:val="24"/>
          <w:lang w:eastAsia="en-US"/>
        </w:rPr>
        <w:t>PO</w:t>
      </w:r>
      <w:r w:rsidR="00DA1138" w:rsidRPr="00DA1138">
        <w:rPr>
          <w:rFonts w:ascii="Times New Roman" w:eastAsia="Times New Roman" w:hAnsi="Times New Roman" w:cs="Times New Roman"/>
          <w:color w:val="000000"/>
          <w:sz w:val="24"/>
          <w:szCs w:val="24"/>
          <w:vertAlign w:val="subscript"/>
          <w:lang w:eastAsia="en-US"/>
        </w:rPr>
        <w:t>4</w:t>
      </w:r>
      <w:r w:rsidR="00DA1138" w:rsidRPr="00DA1138">
        <w:rPr>
          <w:rFonts w:ascii="Times New Roman" w:eastAsia="Times New Roman" w:hAnsi="Times New Roman" w:cs="Times New Roman"/>
          <w:color w:val="000000"/>
          <w:sz w:val="24"/>
          <w:szCs w:val="24"/>
          <w:vertAlign w:val="superscript"/>
          <w:lang w:eastAsia="en-US"/>
        </w:rPr>
        <w:t>3-</w:t>
      </w:r>
      <w:r w:rsidR="00DA1138">
        <w:rPr>
          <w:rFonts w:ascii="Times New Roman" w:eastAsia="Times New Roman" w:hAnsi="Times New Roman" w:cs="Times New Roman"/>
          <w:color w:val="000000"/>
          <w:sz w:val="24"/>
          <w:szCs w:val="24"/>
          <w:lang w:eastAsia="en-US"/>
        </w:rPr>
        <w:t xml:space="preserve"> concentrations in mine water le</w:t>
      </w:r>
      <w:r>
        <w:rPr>
          <w:rFonts w:ascii="Times New Roman" w:eastAsia="Times New Roman" w:hAnsi="Times New Roman" w:cs="Times New Roman"/>
          <w:color w:val="000000"/>
          <w:sz w:val="24"/>
          <w:szCs w:val="24"/>
          <w:lang w:eastAsia="en-US"/>
        </w:rPr>
        <w:t>d</w:t>
      </w:r>
      <w:r w:rsidR="00DA1138">
        <w:rPr>
          <w:rFonts w:ascii="Times New Roman" w:eastAsia="Times New Roman" w:hAnsi="Times New Roman" w:cs="Times New Roman"/>
          <w:color w:val="000000"/>
          <w:sz w:val="24"/>
          <w:szCs w:val="24"/>
          <w:lang w:eastAsia="en-US"/>
        </w:rPr>
        <w:t xml:space="preserve"> to greater P uptake and decreased Zn translocation, although this mechanism is not fully understood </w:t>
      </w:r>
      <w:r w:rsidR="00DA1138">
        <w:rPr>
          <w:rFonts w:ascii="Times New Roman" w:eastAsia="Times New Roman" w:hAnsi="Times New Roman" w:cs="Times New Roman"/>
          <w:color w:val="000000"/>
          <w:sz w:val="24"/>
          <w:szCs w:val="24"/>
          <w:lang w:eastAsia="en-US"/>
        </w:rPr>
        <w:fldChar w:fldCharType="begin"/>
      </w:r>
      <w:r w:rsidR="00641E6D">
        <w:rPr>
          <w:rFonts w:ascii="Times New Roman" w:eastAsia="Times New Roman" w:hAnsi="Times New Roman" w:cs="Times New Roman"/>
          <w:color w:val="000000"/>
          <w:sz w:val="24"/>
          <w:szCs w:val="24"/>
          <w:lang w:eastAsia="en-US"/>
        </w:rPr>
        <w:instrText xml:space="preserve"> ADDIN ZOTERO_ITEM CSL_CITATION {"citationID":"40l83Dvc","properties":{"formattedCitation":"(Broadley, Brown, Cakmak, Rengel, et al., 2012)","plainCitation":"(Broadley, Brown, Cakmak, Rengel, et al., 2012)","dontUpdate":true,"noteIndex":0},"citationItems":[{"id":858,"uris":["http://zotero.org/users/5446453/items/MDBJDJQG"],"uri":["http://zotero.org/users/5446453/items/MDBJDJQG"],"itemData":{"id":858,"type":"chapter","abstract":"This chapter focuses on the functions of iron, manganese, copper, zinc, nickel, molybdenum, boron, and chlorine in plants and describes the effects of their deficiency and toxicity. Iron (Fe) plays a crucial role in redox systems in cells and in various enzymes. In dicotyledonous and monocotyledonous plant species, Fe deficiency is associated with the formation of rhizodermal transfer cells, which is a part of a their strategy to enhance iron uptake. Manganese (Mn) and copper (Cu) are important for redox systems, as activators of various enzymes including those involved in the detoxification of superoxide radicals, and for the synthesis of lignin. In dicotyledonous plants, intercostal chlorosis of the younger leaves is the most distinct symptom of Mn deficiency, whereas in cereals, greenish grey spots on the older leaves are the major symptoms. Stunted growth, distortion of young leaves, chlorosis/ necrosis starting at the apical meristem extending down to the leaf margins, bleaching of young leaves, and/or “summer dieback” in trees are typical visible symptoms of Cu deficiency. Zinc (Zn) plays a role in the detoxification of superoxide radicals, membrane integrity, as well as the synthesis of proteins and the phytohormone IAA. Nickel (Ni) is involved in N metabolism as a metal component of the enzyme urease, whereas molybdenum (Mo) helps in N metabolism by acting as a metal component of the nitrogenase (N2 fixation) and nitrate reductase enzymes. Boron (B) is crucial for cell wall and membrane integrity, whereas chlorine plays a role in osmoregulation and stomata movement.","container-title":"Marschner's Mineral Nutrition of Higher Plants (Third Edition)","event-place":"San Diego","ISBN":"978-0-12-384905-2","language":"en","note":"DOI: 10.1016/B978-0-12-384905-2.00007-8","page":"191-248","publisher":"Academic Press","publisher-place":"San Diego","source":"ScienceDirect","title":"Chapter 7 - Function of Nutrients: Micronutrients","title-short":"Chapter 7 - Function of Nutrients","URL":"http://www.sciencedirect.com/science/article/pii/B9780123849052000078","author":[{"family":"Broadley","given":"Martin"},{"family":"Brown","given":"Patrick"},{"family":"Cakmak","given":"Ismail"},{"family":"Rengel","given":"Zed"},{"family":"Zhao","given":"Fangjie"}],"editor":[{"family":"Marschner","given":"Petra"}],"accessed":{"date-parts":[["2020",11,13]]},"issued":{"date-parts":[["2012"]]}}}],"schema":"https://github.com/citation-style-language/schema/raw/master/csl-citation.json"} </w:instrText>
      </w:r>
      <w:r w:rsidR="00DA1138">
        <w:rPr>
          <w:rFonts w:ascii="Times New Roman" w:eastAsia="Times New Roman" w:hAnsi="Times New Roman" w:cs="Times New Roman"/>
          <w:color w:val="000000"/>
          <w:sz w:val="24"/>
          <w:szCs w:val="24"/>
          <w:lang w:eastAsia="en-US"/>
        </w:rPr>
        <w:fldChar w:fldCharType="separate"/>
      </w:r>
      <w:r w:rsidR="00DA1138" w:rsidRPr="00DA1138">
        <w:rPr>
          <w:rFonts w:ascii="Times New Roman" w:hAnsi="Times New Roman" w:cs="Times New Roman"/>
          <w:sz w:val="24"/>
        </w:rPr>
        <w:t>(Broadley et al., 2012</w:t>
      </w:r>
      <w:r w:rsidR="00375B31">
        <w:rPr>
          <w:rFonts w:ascii="Times New Roman" w:hAnsi="Times New Roman" w:cs="Times New Roman"/>
          <w:sz w:val="24"/>
        </w:rPr>
        <w:t>b</w:t>
      </w:r>
      <w:r w:rsidR="00DA1138" w:rsidRPr="00DA1138">
        <w:rPr>
          <w:rFonts w:ascii="Times New Roman" w:hAnsi="Times New Roman" w:cs="Times New Roman"/>
          <w:sz w:val="24"/>
        </w:rPr>
        <w:t>)</w:t>
      </w:r>
      <w:r w:rsidR="00DA1138">
        <w:rPr>
          <w:rFonts w:ascii="Times New Roman" w:eastAsia="Times New Roman" w:hAnsi="Times New Roman" w:cs="Times New Roman"/>
          <w:color w:val="000000"/>
          <w:sz w:val="24"/>
          <w:szCs w:val="24"/>
          <w:lang w:eastAsia="en-US"/>
        </w:rPr>
        <w:fldChar w:fldCharType="end"/>
      </w:r>
      <w:r w:rsidR="00355EFC" w:rsidRPr="00F07DEB">
        <w:rPr>
          <w:rFonts w:ascii="Times New Roman" w:eastAsia="Times New Roman" w:hAnsi="Times New Roman" w:cs="Times New Roman"/>
          <w:color w:val="000000"/>
          <w:sz w:val="24"/>
          <w:szCs w:val="24"/>
          <w:lang w:eastAsia="en-US"/>
        </w:rPr>
        <w:t>.</w:t>
      </w:r>
      <w:r w:rsidR="00374887" w:rsidRPr="00F07DE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Fe</w:t>
      </w:r>
      <w:r w:rsidR="00C16870" w:rsidRPr="00F07DE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Ni</w:t>
      </w:r>
      <w:r w:rsidR="00C16870" w:rsidRPr="00F07DEB">
        <w:rPr>
          <w:rFonts w:ascii="Times New Roman" w:eastAsia="Times New Roman" w:hAnsi="Times New Roman" w:cs="Times New Roman"/>
          <w:color w:val="000000"/>
          <w:sz w:val="24"/>
          <w:szCs w:val="24"/>
          <w:lang w:eastAsia="en-US"/>
        </w:rPr>
        <w:t xml:space="preserve">, </w:t>
      </w:r>
      <w:proofErr w:type="spellStart"/>
      <w:r>
        <w:rPr>
          <w:rFonts w:ascii="Times New Roman" w:hAnsi="Times New Roman" w:cs="Times New Roman"/>
          <w:sz w:val="24"/>
          <w:szCs w:val="24"/>
        </w:rPr>
        <w:t>Pb</w:t>
      </w:r>
      <w:proofErr w:type="spellEnd"/>
      <w:r w:rsidR="00C16870" w:rsidRPr="00F07DEB">
        <w:rPr>
          <w:rFonts w:ascii="Times New Roman" w:eastAsia="Times New Roman" w:hAnsi="Times New Roman" w:cs="Times New Roman"/>
          <w:color w:val="000000"/>
          <w:sz w:val="24"/>
          <w:szCs w:val="24"/>
          <w:lang w:eastAsia="en-US"/>
        </w:rPr>
        <w:t xml:space="preserve">, and </w:t>
      </w:r>
      <w:proofErr w:type="spellStart"/>
      <w:r>
        <w:rPr>
          <w:rFonts w:ascii="Times New Roman" w:eastAsia="Times New Roman" w:hAnsi="Times New Roman" w:cs="Times New Roman"/>
          <w:color w:val="000000"/>
          <w:sz w:val="24"/>
          <w:szCs w:val="24"/>
          <w:lang w:eastAsia="en-US"/>
        </w:rPr>
        <w:t>Mn</w:t>
      </w:r>
      <w:proofErr w:type="spellEnd"/>
      <w:r w:rsidR="00C16870" w:rsidRPr="00F07DEB">
        <w:rPr>
          <w:rFonts w:ascii="Times New Roman" w:eastAsia="Times New Roman" w:hAnsi="Times New Roman" w:cs="Times New Roman"/>
          <w:color w:val="000000"/>
          <w:sz w:val="24"/>
          <w:szCs w:val="24"/>
          <w:lang w:eastAsia="en-US"/>
        </w:rPr>
        <w:t xml:space="preserve"> tended to accumulate in the roots</w:t>
      </w:r>
      <w:r w:rsidR="00C72C56">
        <w:rPr>
          <w:rFonts w:ascii="Times New Roman" w:eastAsia="Times New Roman" w:hAnsi="Times New Roman" w:cs="Times New Roman"/>
          <w:color w:val="000000"/>
          <w:sz w:val="24"/>
          <w:szCs w:val="24"/>
          <w:lang w:eastAsia="en-US"/>
        </w:rPr>
        <w:t xml:space="preserve"> – an avoidance strategy of excluder plants that can reduce translocation by complexing excess metals with </w:t>
      </w:r>
      <w:proofErr w:type="spellStart"/>
      <w:r w:rsidR="00C72C56">
        <w:rPr>
          <w:rFonts w:ascii="Times New Roman" w:eastAsia="Times New Roman" w:hAnsi="Times New Roman" w:cs="Times New Roman"/>
          <w:color w:val="000000"/>
          <w:sz w:val="24"/>
          <w:szCs w:val="24"/>
          <w:lang w:eastAsia="en-US"/>
        </w:rPr>
        <w:t>phytochelatins</w:t>
      </w:r>
      <w:proofErr w:type="spellEnd"/>
      <w:r w:rsidR="00C72C56">
        <w:rPr>
          <w:rFonts w:ascii="Times New Roman" w:eastAsia="Times New Roman" w:hAnsi="Times New Roman" w:cs="Times New Roman"/>
          <w:color w:val="000000"/>
          <w:sz w:val="24"/>
          <w:szCs w:val="24"/>
          <w:lang w:eastAsia="en-US"/>
        </w:rPr>
        <w:t xml:space="preserve">, sequestering metals with root-bound transporters, and preventing root uptake through root exudate metal chelation in the rhizosphere – </w:t>
      </w:r>
      <w:r w:rsidR="00C16870" w:rsidRPr="00F07DEB">
        <w:rPr>
          <w:rFonts w:ascii="Times New Roman" w:eastAsia="Times New Roman" w:hAnsi="Times New Roman" w:cs="Times New Roman"/>
          <w:color w:val="000000"/>
          <w:sz w:val="24"/>
          <w:szCs w:val="24"/>
          <w:lang w:eastAsia="en-US"/>
        </w:rPr>
        <w:t xml:space="preserve">whereas </w:t>
      </w:r>
      <w:r>
        <w:rPr>
          <w:rFonts w:ascii="Times New Roman" w:eastAsia="Times New Roman" w:hAnsi="Times New Roman" w:cs="Times New Roman"/>
          <w:color w:val="000000"/>
          <w:sz w:val="24"/>
          <w:szCs w:val="24"/>
          <w:lang w:eastAsia="en-US"/>
        </w:rPr>
        <w:t>Zn</w:t>
      </w:r>
      <w:r w:rsidR="00C16870" w:rsidRPr="00F07DEB">
        <w:rPr>
          <w:rFonts w:ascii="Times New Roman" w:eastAsia="Times New Roman" w:hAnsi="Times New Roman" w:cs="Times New Roman"/>
          <w:color w:val="000000"/>
          <w:sz w:val="24"/>
          <w:szCs w:val="24"/>
          <w:lang w:eastAsia="en-US"/>
        </w:rPr>
        <w:t xml:space="preserve"> and </w:t>
      </w:r>
      <w:r>
        <w:rPr>
          <w:rFonts w:ascii="Times New Roman" w:eastAsia="Times New Roman" w:hAnsi="Times New Roman" w:cs="Times New Roman"/>
          <w:color w:val="000000"/>
          <w:sz w:val="24"/>
          <w:szCs w:val="24"/>
          <w:lang w:eastAsia="en-US"/>
        </w:rPr>
        <w:t>K</w:t>
      </w:r>
      <w:r w:rsidR="00C16870" w:rsidRPr="00F07DEB">
        <w:rPr>
          <w:rFonts w:ascii="Times New Roman" w:eastAsia="Times New Roman" w:hAnsi="Times New Roman" w:cs="Times New Roman"/>
          <w:color w:val="000000"/>
          <w:sz w:val="24"/>
          <w:szCs w:val="24"/>
          <w:lang w:eastAsia="en-US"/>
        </w:rPr>
        <w:t xml:space="preserve"> were more prevalent in aboveground biomass</w:t>
      </w:r>
      <w:r w:rsidR="0092150B">
        <w:rPr>
          <w:rFonts w:ascii="Times New Roman" w:eastAsia="Times New Roman" w:hAnsi="Times New Roman" w:cs="Times New Roman"/>
          <w:color w:val="000000"/>
          <w:sz w:val="24"/>
          <w:szCs w:val="24"/>
          <w:lang w:eastAsia="en-US"/>
        </w:rPr>
        <w:t xml:space="preserve"> </w:t>
      </w:r>
      <w:r w:rsidR="0092150B">
        <w:rPr>
          <w:rFonts w:ascii="Times New Roman" w:eastAsia="Times New Roman" w:hAnsi="Times New Roman" w:cs="Times New Roman"/>
          <w:color w:val="000000"/>
          <w:sz w:val="24"/>
          <w:szCs w:val="24"/>
          <w:lang w:eastAsia="en-US"/>
        </w:rPr>
        <w:fldChar w:fldCharType="begin"/>
      </w:r>
      <w:r w:rsidR="00641E6D">
        <w:rPr>
          <w:rFonts w:ascii="Times New Roman" w:eastAsia="Times New Roman" w:hAnsi="Times New Roman" w:cs="Times New Roman"/>
          <w:color w:val="000000"/>
          <w:sz w:val="24"/>
          <w:szCs w:val="24"/>
          <w:lang w:eastAsia="en-US"/>
        </w:rPr>
        <w:instrText xml:space="preserve"> ADDIN ZOTERO_ITEM CSL_CITATION {"citationID":"a6lad9ase","properties":{"formattedCitation":"(Mehes-Smith et al., 2013)","plainCitation":"(Mehes-Smith et al., 2013)","noteIndex":0},"citationItems":[{"id":953,"uris":["http://zotero.org/users/5446453/items/9ZVC4SLI"],"uri":["http://zotero.org/users/5446453/items/9ZVC4SLI"],"itemData":{"id":953,"type":"article-journal","abstract":"Open access peer-reviewed chapter","container-title":"Environmental Change and Sustainability","DOI":"10.5772/55124","language":"en","note":"publisher: IntechOpen","source":"www.intechopen.com","title":"Coping Mechanisms of Plants to Metal Contaminated Soil","URL":"https://www.intechopen.com/books/environmental-change-and-sustainability/coping-mechanisms-of-plants-to-metal-contaminated-soil","author":[{"family":"Mehes-Smith","given":"Melanie"},{"family":"Nkongolo","given":"Kabwe"},{"family":"Cholewa","given":"Ewa"}],"accessed":{"date-parts":[["2020",12,15]]},"issued":{"date-parts":[["2013",5,8]]}}}],"schema":"https://github.com/citation-style-language/schema/raw/master/csl-citation.json"} </w:instrText>
      </w:r>
      <w:r w:rsidR="0092150B">
        <w:rPr>
          <w:rFonts w:ascii="Times New Roman" w:eastAsia="Times New Roman" w:hAnsi="Times New Roman" w:cs="Times New Roman"/>
          <w:color w:val="000000"/>
          <w:sz w:val="24"/>
          <w:szCs w:val="24"/>
          <w:lang w:eastAsia="en-US"/>
        </w:rPr>
        <w:fldChar w:fldCharType="separate"/>
      </w:r>
      <w:r w:rsidR="00641E6D" w:rsidRPr="00641E6D">
        <w:rPr>
          <w:rFonts w:ascii="Times New Roman" w:hAnsi="Times New Roman" w:cs="Times New Roman"/>
          <w:sz w:val="24"/>
          <w:szCs w:val="24"/>
        </w:rPr>
        <w:t>(Mehes-Smith et al., 2013)</w:t>
      </w:r>
      <w:r w:rsidR="0092150B">
        <w:rPr>
          <w:rFonts w:ascii="Times New Roman" w:eastAsia="Times New Roman" w:hAnsi="Times New Roman" w:cs="Times New Roman"/>
          <w:color w:val="000000"/>
          <w:sz w:val="24"/>
          <w:szCs w:val="24"/>
          <w:lang w:eastAsia="en-US"/>
        </w:rPr>
        <w:fldChar w:fldCharType="end"/>
      </w:r>
      <w:r w:rsidR="00C16870" w:rsidRPr="00F07DE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Zn</w:t>
      </w:r>
      <w:r w:rsidR="00374887" w:rsidRPr="00F07DEB">
        <w:rPr>
          <w:rFonts w:ascii="Times New Roman" w:eastAsia="Times New Roman" w:hAnsi="Times New Roman" w:cs="Times New Roman"/>
          <w:color w:val="000000"/>
          <w:sz w:val="24"/>
          <w:szCs w:val="24"/>
          <w:lang w:eastAsia="en-US"/>
        </w:rPr>
        <w:t xml:space="preserve"> concentrations in the roots of grass species approach</w:t>
      </w:r>
      <w:r w:rsidR="00DA1138">
        <w:rPr>
          <w:rFonts w:ascii="Times New Roman" w:eastAsia="Times New Roman" w:hAnsi="Times New Roman" w:cs="Times New Roman"/>
          <w:color w:val="000000"/>
          <w:sz w:val="24"/>
          <w:szCs w:val="24"/>
          <w:lang w:eastAsia="en-US"/>
        </w:rPr>
        <w:t>ed</w:t>
      </w:r>
      <w:r w:rsidR="00374887" w:rsidRPr="00F07DEB">
        <w:rPr>
          <w:rFonts w:ascii="Times New Roman" w:eastAsia="Times New Roman" w:hAnsi="Times New Roman" w:cs="Times New Roman"/>
          <w:color w:val="000000"/>
          <w:sz w:val="24"/>
          <w:szCs w:val="24"/>
          <w:lang w:eastAsia="en-US"/>
        </w:rPr>
        <w:t xml:space="preserve"> nutrient deficiency between 10-15 mg/kg; the mean </w:t>
      </w:r>
      <w:r>
        <w:rPr>
          <w:rFonts w:ascii="Times New Roman" w:eastAsia="Times New Roman" w:hAnsi="Times New Roman" w:cs="Times New Roman"/>
          <w:color w:val="000000"/>
          <w:sz w:val="24"/>
          <w:szCs w:val="24"/>
          <w:lang w:eastAsia="en-US"/>
        </w:rPr>
        <w:t>Zn</w:t>
      </w:r>
      <w:r w:rsidR="00374887" w:rsidRPr="00F07DEB">
        <w:rPr>
          <w:rFonts w:ascii="Times New Roman" w:eastAsia="Times New Roman" w:hAnsi="Times New Roman" w:cs="Times New Roman"/>
          <w:color w:val="000000"/>
          <w:sz w:val="24"/>
          <w:szCs w:val="24"/>
          <w:lang w:eastAsia="en-US"/>
        </w:rPr>
        <w:t xml:space="preserve"> concentrations in corn and sorghum roots were within or just above this range for both treatments</w:t>
      </w:r>
      <w:r w:rsidR="003D78B4" w:rsidRPr="00F07DEB">
        <w:rPr>
          <w:rFonts w:ascii="Times New Roman" w:eastAsia="Times New Roman" w:hAnsi="Times New Roman" w:cs="Times New Roman"/>
          <w:color w:val="000000"/>
          <w:sz w:val="24"/>
          <w:szCs w:val="24"/>
          <w:lang w:eastAsia="en-US"/>
        </w:rPr>
        <w:t xml:space="preserve"> </w:t>
      </w:r>
      <w:r w:rsidR="003D78B4" w:rsidRPr="00F07DEB">
        <w:rPr>
          <w:rFonts w:ascii="Times New Roman" w:eastAsia="Times New Roman" w:hAnsi="Times New Roman" w:cs="Times New Roman"/>
          <w:color w:val="000000"/>
          <w:sz w:val="24"/>
          <w:szCs w:val="24"/>
          <w:lang w:eastAsia="en-US"/>
        </w:rPr>
        <w:fldChar w:fldCharType="begin"/>
      </w:r>
      <w:r w:rsidR="00641E6D">
        <w:rPr>
          <w:rFonts w:ascii="Times New Roman" w:eastAsia="Times New Roman" w:hAnsi="Times New Roman" w:cs="Times New Roman"/>
          <w:color w:val="000000"/>
          <w:sz w:val="24"/>
          <w:szCs w:val="24"/>
          <w:lang w:eastAsia="en-US"/>
        </w:rPr>
        <w:instrText xml:space="preserve"> ADDIN ZOTERO_ITEM CSL_CITATION {"citationID":"3WMhIFKY","properties":{"formattedCitation":"(Marschner, 1993)","plainCitation":"(Marschner, 1993)","noteIndex":0},"citationItems":[{"id":853,"uris":["http://zotero.org/users/5446453/items/SDZMD6DR"],"uri":["http://zotero.org/users/5446453/items/SDZMD6DR"],"itemData":{"id":853,"type":"chapter","abstract":"Characterizing zinc availability by soil testing provides important information on the pool size of zinc potentially available for uptake. Concentrations of zinc in soil solution, particularly at high soil pH, however, are very low and mobility and transport to the root surface are usually rate limiting factors of soil supply. Utilization of potentially available zinc is thus mainly or exclusively confined to rhizosphere soil. Root-induced changes in the rhizosphere are of particular imporatance for zinc uptake from soils. In soils of high pH, rhizosphere acidification by supply of ammonium nitrogen, or for legumes by N2 fixation, are effective mechanisms in enhancing zinc mobilization. The same holds true for rhizosphere acidification or enhanced excretion of organic acids and chelators as root responses to deficiency of phosphorus or iron. Root colonization by VA mycorrhizae increases spatial availability of zinc similarly to that of phosphorus. Mycorrhizal plants usually have higher zinc contents in the shoot dry matter and are less sensitive to zinc deficiency than non-mycorrhizal plants. As a rule, all factors which impair root colonization by VA mycorrhizae, including high levels of soil or fertilizer phosphorus, tend to decrease zinc contents in plants and increase the risk of zinc deficiency in plants grown on soils low in extractable zinc. Marked genotypical differences in zinc efficiency are usually caused by differences in zinc acquisition from soils. In lowland rice zinc deficiency is widespread in neutral and alkaline soils. Elevated bicarbonate concentrations are the major factor responsible for low zinc contents in rice plants grown on high pH soils, high in organic matter. In such soils the high bicarbonate concentrations impair zinc uptake by direct inhibition of root growth and activtiy.","collection-title":"Developments in Plant and Soil Sciences","container-title":"Zinc in Soils and Plants: Proceedings of the International Symposium on ‘Zinc in Soils and Plants’ held at The University of Western Australia, 27–28 September, 1993","event-place":"Dordrecht","ISBN":"978-94-011-0878-2","language":"en","note":"DOI: 10.1007/978-94-011-0878-2_5","page":"59-77","publisher":"Springer Netherlands","publisher-place":"Dordrecht","source":"Springer Link","title":"Zinc Uptake from Soils","URL":"https://doi.org/10.1007/978-94-011-0878-2_5","author":[{"family":"Marschner","given":"H."}],"editor":[{"family":"Robson","given":"A. D."}],"accessed":{"date-parts":[["2020",11,13]]},"issued":{"date-parts":[["1993"]]}}}],"schema":"https://github.com/citation-style-language/schema/raw/master/csl-citation.json"} </w:instrText>
      </w:r>
      <w:r w:rsidR="003D78B4" w:rsidRPr="00F07DEB">
        <w:rPr>
          <w:rFonts w:ascii="Times New Roman" w:eastAsia="Times New Roman" w:hAnsi="Times New Roman" w:cs="Times New Roman"/>
          <w:color w:val="000000"/>
          <w:sz w:val="24"/>
          <w:szCs w:val="24"/>
          <w:lang w:eastAsia="en-US"/>
        </w:rPr>
        <w:fldChar w:fldCharType="separate"/>
      </w:r>
      <w:r w:rsidR="00641E6D" w:rsidRPr="00641E6D">
        <w:rPr>
          <w:rFonts w:ascii="Times New Roman" w:hAnsi="Times New Roman" w:cs="Times New Roman"/>
          <w:sz w:val="24"/>
        </w:rPr>
        <w:t>(Marschner, 1993)</w:t>
      </w:r>
      <w:r w:rsidR="003D78B4" w:rsidRPr="00F07DEB">
        <w:rPr>
          <w:rFonts w:ascii="Times New Roman" w:eastAsia="Times New Roman" w:hAnsi="Times New Roman" w:cs="Times New Roman"/>
          <w:color w:val="000000"/>
          <w:sz w:val="24"/>
          <w:szCs w:val="24"/>
          <w:lang w:eastAsia="en-US"/>
        </w:rPr>
        <w:fldChar w:fldCharType="end"/>
      </w:r>
      <w:r w:rsidR="00374887" w:rsidRPr="00F07DEB">
        <w:rPr>
          <w:rFonts w:ascii="Times New Roman" w:eastAsia="Times New Roman" w:hAnsi="Times New Roman" w:cs="Times New Roman"/>
          <w:color w:val="000000"/>
          <w:sz w:val="24"/>
          <w:szCs w:val="24"/>
          <w:lang w:eastAsia="en-US"/>
        </w:rPr>
        <w:t xml:space="preserve">. Bermuda grass roots averaged 30.7 mg/kg Zn in groundwater pots and 23.5 mg/kg Zn in mine water pots, presumably because Bermuda grass </w:t>
      </w:r>
      <w:r w:rsidR="00DB6AAE" w:rsidRPr="00F07DEB">
        <w:rPr>
          <w:rFonts w:ascii="Times New Roman" w:eastAsia="Times New Roman" w:hAnsi="Times New Roman" w:cs="Times New Roman"/>
          <w:color w:val="000000"/>
          <w:sz w:val="24"/>
          <w:szCs w:val="24"/>
          <w:lang w:eastAsia="en-US"/>
        </w:rPr>
        <w:t>elemental concentrations were not diluted by the substantial biomass generation characteristic of sorghum and corn</w:t>
      </w:r>
      <w:r w:rsidR="00374887" w:rsidRPr="00F07DEB">
        <w:rPr>
          <w:rFonts w:ascii="Times New Roman" w:eastAsia="Times New Roman" w:hAnsi="Times New Roman" w:cs="Times New Roman"/>
          <w:color w:val="000000"/>
          <w:sz w:val="24"/>
          <w:szCs w:val="24"/>
          <w:lang w:eastAsia="en-US"/>
        </w:rPr>
        <w:t>.</w:t>
      </w:r>
      <w:r w:rsidR="00DB6AAE" w:rsidRPr="00F07DE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Zn</w:t>
      </w:r>
      <w:r w:rsidR="00DB6AAE" w:rsidRPr="00F07DEB">
        <w:rPr>
          <w:rFonts w:ascii="Times New Roman" w:eastAsia="Times New Roman" w:hAnsi="Times New Roman" w:cs="Times New Roman"/>
          <w:color w:val="000000"/>
          <w:sz w:val="24"/>
          <w:szCs w:val="24"/>
          <w:lang w:eastAsia="en-US"/>
        </w:rPr>
        <w:t xml:space="preserve"> deficiency was</w:t>
      </w:r>
      <w:r w:rsidR="003D78B4" w:rsidRPr="00F07DEB">
        <w:rPr>
          <w:rFonts w:ascii="Times New Roman" w:eastAsia="Times New Roman" w:hAnsi="Times New Roman" w:cs="Times New Roman"/>
          <w:color w:val="000000"/>
          <w:sz w:val="24"/>
          <w:szCs w:val="24"/>
          <w:lang w:eastAsia="en-US"/>
        </w:rPr>
        <w:t xml:space="preserve"> a greater concern than </w:t>
      </w:r>
      <w:r>
        <w:rPr>
          <w:rFonts w:ascii="Times New Roman" w:eastAsia="Times New Roman" w:hAnsi="Times New Roman" w:cs="Times New Roman"/>
          <w:color w:val="000000"/>
          <w:sz w:val="24"/>
          <w:szCs w:val="24"/>
          <w:lang w:eastAsia="en-US"/>
        </w:rPr>
        <w:t>Zn</w:t>
      </w:r>
      <w:r w:rsidR="003D78B4" w:rsidRPr="00F07DEB">
        <w:rPr>
          <w:rFonts w:ascii="Times New Roman" w:eastAsia="Times New Roman" w:hAnsi="Times New Roman" w:cs="Times New Roman"/>
          <w:color w:val="000000"/>
          <w:sz w:val="24"/>
          <w:szCs w:val="24"/>
          <w:lang w:eastAsia="en-US"/>
        </w:rPr>
        <w:t xml:space="preserve"> toxicity for these irrigation waters. The characteristic interveinal chlorosis in </w:t>
      </w:r>
      <w:r>
        <w:rPr>
          <w:rFonts w:ascii="Times New Roman" w:eastAsia="Times New Roman" w:hAnsi="Times New Roman" w:cs="Times New Roman"/>
          <w:color w:val="000000"/>
          <w:sz w:val="24"/>
          <w:szCs w:val="24"/>
          <w:lang w:eastAsia="en-US"/>
        </w:rPr>
        <w:t>Zn</w:t>
      </w:r>
      <w:r w:rsidR="003D78B4" w:rsidRPr="00F07DEB">
        <w:rPr>
          <w:rFonts w:ascii="Times New Roman" w:eastAsia="Times New Roman" w:hAnsi="Times New Roman" w:cs="Times New Roman"/>
          <w:color w:val="000000"/>
          <w:sz w:val="24"/>
          <w:szCs w:val="24"/>
          <w:lang w:eastAsia="en-US"/>
        </w:rPr>
        <w:t>-deficient leaves was not recor</w:t>
      </w:r>
      <w:r w:rsidR="000B718C" w:rsidRPr="00F07DEB">
        <w:rPr>
          <w:rFonts w:ascii="Times New Roman" w:eastAsia="Times New Roman" w:hAnsi="Times New Roman" w:cs="Times New Roman"/>
          <w:color w:val="000000"/>
          <w:sz w:val="24"/>
          <w:szCs w:val="24"/>
          <w:lang w:eastAsia="en-US"/>
        </w:rPr>
        <w:t>ded in any plants,</w:t>
      </w:r>
      <w:r w:rsidR="003D78B4" w:rsidRPr="00F07DEB">
        <w:rPr>
          <w:rFonts w:ascii="Times New Roman" w:eastAsia="Times New Roman" w:hAnsi="Times New Roman" w:cs="Times New Roman"/>
          <w:color w:val="000000"/>
          <w:sz w:val="24"/>
          <w:szCs w:val="24"/>
          <w:lang w:eastAsia="en-US"/>
        </w:rPr>
        <w:t xml:space="preserve"> but lower concentrations of </w:t>
      </w:r>
      <w:r>
        <w:rPr>
          <w:rFonts w:ascii="Times New Roman" w:eastAsia="Times New Roman" w:hAnsi="Times New Roman" w:cs="Times New Roman"/>
          <w:color w:val="000000"/>
          <w:sz w:val="24"/>
          <w:szCs w:val="24"/>
          <w:lang w:eastAsia="en-US"/>
        </w:rPr>
        <w:t>Zn</w:t>
      </w:r>
      <w:r w:rsidR="003D78B4" w:rsidRPr="00F07DEB">
        <w:rPr>
          <w:rFonts w:ascii="Times New Roman" w:eastAsia="Times New Roman" w:hAnsi="Times New Roman" w:cs="Times New Roman"/>
          <w:color w:val="000000"/>
          <w:sz w:val="24"/>
          <w:szCs w:val="24"/>
          <w:lang w:eastAsia="en-US"/>
        </w:rPr>
        <w:t xml:space="preserve"> in mine water-irrigated sorghum could have prevented tiller</w:t>
      </w:r>
      <w:r w:rsidR="000B718C" w:rsidRPr="00F07DEB">
        <w:rPr>
          <w:rFonts w:ascii="Times New Roman" w:eastAsia="Times New Roman" w:hAnsi="Times New Roman" w:cs="Times New Roman"/>
          <w:color w:val="000000"/>
          <w:sz w:val="24"/>
          <w:szCs w:val="24"/>
          <w:lang w:eastAsia="en-US"/>
        </w:rPr>
        <w:t xml:space="preserve"> growth, a sign of vigor that was completely absent under mine water irrigation but present in multiple groundwater-irrigated sorghum plants</w:t>
      </w:r>
      <w:r w:rsidR="0002341E" w:rsidRPr="00F07DEB">
        <w:rPr>
          <w:rFonts w:ascii="Times New Roman" w:eastAsia="Times New Roman" w:hAnsi="Times New Roman" w:cs="Times New Roman"/>
          <w:color w:val="000000"/>
          <w:sz w:val="24"/>
          <w:szCs w:val="24"/>
          <w:lang w:eastAsia="en-US"/>
        </w:rPr>
        <w:t xml:space="preserve"> </w:t>
      </w:r>
      <w:r w:rsidR="0002341E" w:rsidRPr="00F07DEB">
        <w:rPr>
          <w:rFonts w:ascii="Times New Roman" w:eastAsia="Times New Roman" w:hAnsi="Times New Roman" w:cs="Times New Roman"/>
          <w:color w:val="000000"/>
          <w:sz w:val="24"/>
          <w:szCs w:val="24"/>
          <w:lang w:eastAsia="en-US"/>
        </w:rPr>
        <w:fldChar w:fldCharType="begin"/>
      </w:r>
      <w:r w:rsidR="0002341E" w:rsidRPr="00F07DEB">
        <w:rPr>
          <w:rFonts w:ascii="Times New Roman" w:eastAsia="Times New Roman" w:hAnsi="Times New Roman" w:cs="Times New Roman"/>
          <w:color w:val="000000"/>
          <w:sz w:val="24"/>
          <w:szCs w:val="24"/>
          <w:lang w:eastAsia="en-US"/>
        </w:rPr>
        <w:instrText xml:space="preserve"> ADDIN ZOTERO_ITEM CSL_CITATION {"citationID":"jb3xfQoa","properties":{"formattedCitation":"(McCauley et al., 2011)","plainCitation":"(McCauley et al., 2011)","noteIndex":0},"citationItems":[{"id":825,"uris":["http://zotero.org/users/5446453/items/J6IRDEQA"],"uri":["http://zotero.org/users/5446453/items/J6IRDEQA"],"itemData":{"id":825,"type":"article","language":"en","publisher":"Montana State University Extension","source":"Zotero","title":"Functions and Deficiency and Toxicity Symptoms","author":[{"family":"McCauley","given":"Ann"},{"family":"Jones","given":"Clain"},{"family":"Jacobsen","given":"Jeff"}],"issued":{"date-parts":[["2011",6]]}}}],"schema":"https://github.com/citation-style-language/schema/raw/master/csl-citation.json"} </w:instrText>
      </w:r>
      <w:r w:rsidR="0002341E" w:rsidRPr="00F07DEB">
        <w:rPr>
          <w:rFonts w:ascii="Times New Roman" w:eastAsia="Times New Roman" w:hAnsi="Times New Roman" w:cs="Times New Roman"/>
          <w:color w:val="000000"/>
          <w:sz w:val="24"/>
          <w:szCs w:val="24"/>
          <w:lang w:eastAsia="en-US"/>
        </w:rPr>
        <w:fldChar w:fldCharType="separate"/>
      </w:r>
      <w:r w:rsidR="00234033" w:rsidRPr="00234033">
        <w:rPr>
          <w:rFonts w:ascii="Times New Roman" w:hAnsi="Times New Roman" w:cs="Times New Roman"/>
          <w:sz w:val="24"/>
        </w:rPr>
        <w:t>(McCauley et al., 2011)</w:t>
      </w:r>
      <w:r w:rsidR="0002341E" w:rsidRPr="00F07DEB">
        <w:rPr>
          <w:rFonts w:ascii="Times New Roman" w:eastAsia="Times New Roman" w:hAnsi="Times New Roman" w:cs="Times New Roman"/>
          <w:color w:val="000000"/>
          <w:sz w:val="24"/>
          <w:szCs w:val="24"/>
          <w:lang w:eastAsia="en-US"/>
        </w:rPr>
        <w:fldChar w:fldCharType="end"/>
      </w:r>
      <w:r w:rsidR="000B718C" w:rsidRPr="00F07DEB">
        <w:rPr>
          <w:rFonts w:ascii="Times New Roman" w:eastAsia="Times New Roman" w:hAnsi="Times New Roman" w:cs="Times New Roman"/>
          <w:color w:val="000000"/>
          <w:sz w:val="24"/>
          <w:szCs w:val="24"/>
          <w:lang w:eastAsia="en-US"/>
        </w:rPr>
        <w:t>.</w:t>
      </w:r>
      <w:r w:rsidR="00B732FE" w:rsidRPr="00F07DEB">
        <w:rPr>
          <w:rFonts w:ascii="Times New Roman" w:eastAsia="Times New Roman" w:hAnsi="Times New Roman" w:cs="Times New Roman"/>
          <w:color w:val="000000"/>
          <w:sz w:val="24"/>
          <w:szCs w:val="24"/>
          <w:lang w:eastAsia="en-US"/>
        </w:rPr>
        <w:t xml:space="preserve"> </w:t>
      </w:r>
      <w:r w:rsidR="00DB6AAE" w:rsidRPr="00F07DEB">
        <w:rPr>
          <w:rFonts w:ascii="Times New Roman" w:eastAsia="Times New Roman" w:hAnsi="Times New Roman" w:cs="Times New Roman"/>
          <w:color w:val="000000"/>
          <w:sz w:val="24"/>
          <w:szCs w:val="24"/>
          <w:lang w:eastAsia="en-US"/>
        </w:rPr>
        <w:t>However,</w:t>
      </w:r>
      <w:r w:rsidR="00EE4A8C" w:rsidRPr="00F07DEB">
        <w:rPr>
          <w:rFonts w:ascii="Times New Roman" w:eastAsia="Times New Roman" w:hAnsi="Times New Roman" w:cs="Times New Roman"/>
          <w:color w:val="000000"/>
          <w:sz w:val="24"/>
          <w:szCs w:val="24"/>
          <w:lang w:eastAsia="en-US"/>
        </w:rPr>
        <w:t xml:space="preserve"> because late-flowering tillers can delay harvests and reduce grain quality, some farmers might prefer nutrient-regulated tiller suppression when the alternative is laborious destruction of unwanted tillers </w:t>
      </w:r>
      <w:r w:rsidR="00EE4A8C" w:rsidRPr="00F07DEB">
        <w:rPr>
          <w:rFonts w:ascii="Times New Roman" w:eastAsia="Times New Roman" w:hAnsi="Times New Roman" w:cs="Times New Roman"/>
          <w:color w:val="000000"/>
          <w:sz w:val="24"/>
          <w:szCs w:val="24"/>
          <w:lang w:eastAsia="en-US"/>
        </w:rPr>
        <w:fldChar w:fldCharType="begin"/>
      </w:r>
      <w:r w:rsidR="00EE4A8C" w:rsidRPr="00F07DEB">
        <w:rPr>
          <w:rFonts w:ascii="Times New Roman" w:eastAsia="Times New Roman" w:hAnsi="Times New Roman" w:cs="Times New Roman"/>
          <w:color w:val="000000"/>
          <w:sz w:val="24"/>
          <w:szCs w:val="24"/>
          <w:lang w:eastAsia="en-US"/>
        </w:rPr>
        <w:instrText xml:space="preserve"> ADDIN ZOTERO_ITEM CSL_CITATION {"citationID":"rkyoYo7S","properties":{"formattedCitation":"(Gerik et al., 2003)","plainCitation":"(Gerik et al., 2003)","noteIndex":0},"citationItems":[{"id":782,"uris":["http://zotero.org/users/5446453/items/WPMXLKJH"],"uri":["http://zotero.org/users/5446453/items/WPMXLKJH"],"itemData":{"id":782,"type":"report","language":"en","number":"B-6137 7-03","page":"8","publisher":"Texas A&amp;M University","source":"Zotero","title":"Sorghum Growth and Development","author":[{"family":"Gerik","given":"Thomas"},{"family":"Bean","given":"Brent"},{"family":"Vanderlip","given":"Richard"}],"issued":{"date-parts":[["2003"]]}}}],"schema":"https://github.com/citation-style-language/schema/raw/master/csl-citation.json"} </w:instrText>
      </w:r>
      <w:r w:rsidR="00EE4A8C" w:rsidRPr="00F07DEB">
        <w:rPr>
          <w:rFonts w:ascii="Times New Roman" w:eastAsia="Times New Roman" w:hAnsi="Times New Roman" w:cs="Times New Roman"/>
          <w:color w:val="000000"/>
          <w:sz w:val="24"/>
          <w:szCs w:val="24"/>
          <w:lang w:eastAsia="en-US"/>
        </w:rPr>
        <w:fldChar w:fldCharType="separate"/>
      </w:r>
      <w:r w:rsidR="00234033" w:rsidRPr="00234033">
        <w:rPr>
          <w:rFonts w:ascii="Times New Roman" w:hAnsi="Times New Roman" w:cs="Times New Roman"/>
          <w:sz w:val="24"/>
        </w:rPr>
        <w:t>(Gerik et al., 2003)</w:t>
      </w:r>
      <w:r w:rsidR="00EE4A8C" w:rsidRPr="00F07DEB">
        <w:rPr>
          <w:rFonts w:ascii="Times New Roman" w:eastAsia="Times New Roman" w:hAnsi="Times New Roman" w:cs="Times New Roman"/>
          <w:color w:val="000000"/>
          <w:sz w:val="24"/>
          <w:szCs w:val="24"/>
          <w:lang w:eastAsia="en-US"/>
        </w:rPr>
        <w:fldChar w:fldCharType="end"/>
      </w:r>
      <w:r w:rsidR="00EE4A8C" w:rsidRPr="00F07DEB">
        <w:rPr>
          <w:rFonts w:ascii="Times New Roman" w:eastAsia="Times New Roman" w:hAnsi="Times New Roman" w:cs="Times New Roman"/>
          <w:color w:val="000000"/>
          <w:sz w:val="24"/>
          <w:szCs w:val="24"/>
          <w:lang w:eastAsia="en-US"/>
        </w:rPr>
        <w:t xml:space="preserve">. </w:t>
      </w:r>
      <w:r w:rsidR="00C420BC" w:rsidRPr="00F07DEB">
        <w:rPr>
          <w:rFonts w:ascii="Times New Roman" w:eastAsia="Times New Roman" w:hAnsi="Times New Roman" w:cs="Times New Roman"/>
          <w:color w:val="000000"/>
          <w:sz w:val="24"/>
          <w:szCs w:val="24"/>
          <w:lang w:eastAsia="en-US"/>
        </w:rPr>
        <w:t xml:space="preserve">Lead concentrations in the irrigation waters, which contributed substantially more </w:t>
      </w:r>
      <w:proofErr w:type="spellStart"/>
      <w:r>
        <w:rPr>
          <w:rFonts w:ascii="Times New Roman" w:hAnsi="Times New Roman" w:cs="Times New Roman"/>
          <w:sz w:val="24"/>
          <w:szCs w:val="24"/>
        </w:rPr>
        <w:t>Pb</w:t>
      </w:r>
      <w:proofErr w:type="spellEnd"/>
      <w:r w:rsidR="00C420BC" w:rsidRPr="00F07DEB">
        <w:rPr>
          <w:rFonts w:ascii="Times New Roman" w:eastAsia="Times New Roman" w:hAnsi="Times New Roman" w:cs="Times New Roman"/>
          <w:color w:val="000000"/>
          <w:sz w:val="24"/>
          <w:szCs w:val="24"/>
          <w:lang w:eastAsia="en-US"/>
        </w:rPr>
        <w:t xml:space="preserve"> than the fertilizer mass loading, were well below criteria and not significantly different</w:t>
      </w:r>
      <w:r w:rsidR="00B80595" w:rsidRPr="00F07DEB">
        <w:rPr>
          <w:rFonts w:ascii="Times New Roman" w:eastAsia="Times New Roman" w:hAnsi="Times New Roman" w:cs="Times New Roman"/>
          <w:color w:val="000000"/>
          <w:sz w:val="24"/>
          <w:szCs w:val="24"/>
          <w:lang w:eastAsia="en-US"/>
        </w:rPr>
        <w:t xml:space="preserve">. And yet, </w:t>
      </w:r>
      <w:proofErr w:type="spellStart"/>
      <w:r>
        <w:rPr>
          <w:rFonts w:ascii="Times New Roman" w:hAnsi="Times New Roman" w:cs="Times New Roman"/>
          <w:sz w:val="24"/>
          <w:szCs w:val="24"/>
        </w:rPr>
        <w:t>Pb</w:t>
      </w:r>
      <w:proofErr w:type="spellEnd"/>
      <w:r w:rsidR="00B80595" w:rsidRPr="00F07DEB">
        <w:rPr>
          <w:rFonts w:ascii="Times New Roman" w:eastAsia="Times New Roman" w:hAnsi="Times New Roman" w:cs="Times New Roman"/>
          <w:color w:val="000000"/>
          <w:sz w:val="24"/>
          <w:szCs w:val="24"/>
          <w:lang w:eastAsia="en-US"/>
        </w:rPr>
        <w:t xml:space="preserve"> concentrations in groundwater-irrigated plants matched or </w:t>
      </w:r>
      <w:r w:rsidR="00B80595" w:rsidRPr="00F07DEB">
        <w:rPr>
          <w:rFonts w:ascii="Times New Roman" w:eastAsia="Times New Roman" w:hAnsi="Times New Roman" w:cs="Times New Roman"/>
          <w:color w:val="000000"/>
          <w:sz w:val="24"/>
          <w:szCs w:val="24"/>
          <w:lang w:eastAsia="en-US"/>
        </w:rPr>
        <w:lastRenderedPageBreak/>
        <w:t xml:space="preserve">exceeded the human and livestock consumption limits, which range from 1.33 to 3.33 mg/kg on a dry </w:t>
      </w:r>
      <w:r w:rsidR="005B1473">
        <w:rPr>
          <w:rFonts w:ascii="Times New Roman" w:eastAsia="Times New Roman" w:hAnsi="Times New Roman" w:cs="Times New Roman"/>
          <w:color w:val="000000"/>
          <w:sz w:val="24"/>
          <w:szCs w:val="24"/>
          <w:lang w:eastAsia="en-US"/>
        </w:rPr>
        <w:t>weight (DW</w:t>
      </w:r>
      <w:r w:rsidR="00F430E6" w:rsidRPr="00F07DEB">
        <w:rPr>
          <w:rFonts w:ascii="Times New Roman" w:eastAsia="Times New Roman" w:hAnsi="Times New Roman" w:cs="Times New Roman"/>
          <w:color w:val="000000"/>
          <w:sz w:val="24"/>
          <w:szCs w:val="24"/>
          <w:lang w:eastAsia="en-US"/>
        </w:rPr>
        <w:t>)</w:t>
      </w:r>
      <w:r w:rsidR="00B80595" w:rsidRPr="00F07DEB">
        <w:rPr>
          <w:rFonts w:ascii="Times New Roman" w:eastAsia="Times New Roman" w:hAnsi="Times New Roman" w:cs="Times New Roman"/>
          <w:color w:val="000000"/>
          <w:sz w:val="24"/>
          <w:szCs w:val="24"/>
          <w:lang w:eastAsia="en-US"/>
        </w:rPr>
        <w:t xml:space="preserve"> basis </w:t>
      </w:r>
      <w:r w:rsidR="00B80595" w:rsidRPr="00F07DEB">
        <w:rPr>
          <w:rFonts w:ascii="Times New Roman" w:eastAsia="Times New Roman" w:hAnsi="Times New Roman" w:cs="Times New Roman"/>
          <w:color w:val="000000"/>
          <w:sz w:val="24"/>
          <w:szCs w:val="24"/>
          <w:lang w:eastAsia="en-US"/>
        </w:rPr>
        <w:fldChar w:fldCharType="begin"/>
      </w:r>
      <w:r w:rsidR="00B80595" w:rsidRPr="00F07DEB">
        <w:rPr>
          <w:rFonts w:ascii="Times New Roman" w:eastAsia="Times New Roman" w:hAnsi="Times New Roman" w:cs="Times New Roman"/>
          <w:color w:val="000000"/>
          <w:sz w:val="24"/>
          <w:szCs w:val="24"/>
          <w:lang w:eastAsia="en-US"/>
        </w:rPr>
        <w:instrText xml:space="preserve"> ADDIN ZOTERO_ITEM CSL_CITATION {"citationID":"o2UyDpN2","properties":{"formattedCitation":"(Armienta et al., 2020)","plainCitation":"(Armienta et al., 2020)","noteIndex":0},"citationItems":[{"id":869,"uris":["http://zotero.org/users/5446453/items/3HP465Q4"],"uri":["http://zotero.org/users/5446453/items/3HP465Q4"],"itemData":{"id":869,"type":"article-journal","container-title":"Environmental Geochemistry and Health","DOI":"10.1007/s10653-019-00424-1","ISSN":"0269-4042, 1573-2983","issue":"8","journalAbbreviation":"Environ Geochem Health","language":"en","page":"2361-2375","source":"DOI.org (Crossref)","title":"Heavy metal assimilation in maize (Zea mays L.) plants growing near mine tailings","volume":"42","author":[{"family":"Armienta","given":"María Aurora"},{"family":"Beltrán","given":"Margarita"},{"family":"Martínez","given":"Sarayth"},{"family":"Labastida","given":"Israel"}],"issued":{"date-parts":[["2020",8]]}}}],"schema":"https://github.com/citation-style-language/schema/raw/master/csl-citation.json"} </w:instrText>
      </w:r>
      <w:r w:rsidR="00B80595" w:rsidRPr="00F07DEB">
        <w:rPr>
          <w:rFonts w:ascii="Times New Roman" w:eastAsia="Times New Roman" w:hAnsi="Times New Roman" w:cs="Times New Roman"/>
          <w:color w:val="000000"/>
          <w:sz w:val="24"/>
          <w:szCs w:val="24"/>
          <w:lang w:eastAsia="en-US"/>
        </w:rPr>
        <w:fldChar w:fldCharType="separate"/>
      </w:r>
      <w:r w:rsidR="00234033" w:rsidRPr="00234033">
        <w:rPr>
          <w:rFonts w:ascii="Times New Roman" w:hAnsi="Times New Roman" w:cs="Times New Roman"/>
          <w:sz w:val="24"/>
        </w:rPr>
        <w:t>(Armienta et al., 2020)</w:t>
      </w:r>
      <w:r w:rsidR="00B80595" w:rsidRPr="00F07DEB">
        <w:rPr>
          <w:rFonts w:ascii="Times New Roman" w:eastAsia="Times New Roman" w:hAnsi="Times New Roman" w:cs="Times New Roman"/>
          <w:color w:val="000000"/>
          <w:sz w:val="24"/>
          <w:szCs w:val="24"/>
          <w:lang w:eastAsia="en-US"/>
        </w:rPr>
        <w:fldChar w:fldCharType="end"/>
      </w:r>
      <w:r w:rsidR="00B80595" w:rsidRPr="00F07DEB">
        <w:rPr>
          <w:rFonts w:ascii="Times New Roman" w:eastAsia="Times New Roman" w:hAnsi="Times New Roman" w:cs="Times New Roman"/>
          <w:color w:val="000000"/>
          <w:sz w:val="24"/>
          <w:szCs w:val="24"/>
          <w:lang w:eastAsia="en-US"/>
        </w:rPr>
        <w:t>. The vegetative portions of most mine water-irrigated plants barely pass</w:t>
      </w:r>
      <w:r w:rsidR="008C237F" w:rsidRPr="00F07DEB">
        <w:rPr>
          <w:rFonts w:ascii="Times New Roman" w:eastAsia="Times New Roman" w:hAnsi="Times New Roman" w:cs="Times New Roman"/>
          <w:color w:val="000000"/>
          <w:sz w:val="24"/>
          <w:szCs w:val="24"/>
          <w:lang w:eastAsia="en-US"/>
        </w:rPr>
        <w:t>e</w:t>
      </w:r>
      <w:r w:rsidR="00B80595" w:rsidRPr="00F07DEB">
        <w:rPr>
          <w:rFonts w:ascii="Times New Roman" w:eastAsia="Times New Roman" w:hAnsi="Times New Roman" w:cs="Times New Roman"/>
          <w:color w:val="000000"/>
          <w:sz w:val="24"/>
          <w:szCs w:val="24"/>
          <w:lang w:eastAsia="en-US"/>
        </w:rPr>
        <w:t xml:space="preserve">d these criteria, but grain </w:t>
      </w:r>
      <w:proofErr w:type="spellStart"/>
      <w:r>
        <w:rPr>
          <w:rFonts w:ascii="Times New Roman" w:hAnsi="Times New Roman" w:cs="Times New Roman"/>
          <w:sz w:val="24"/>
          <w:szCs w:val="24"/>
        </w:rPr>
        <w:t>Pb</w:t>
      </w:r>
      <w:proofErr w:type="spellEnd"/>
      <w:r w:rsidR="00B80595" w:rsidRPr="00F07DEB">
        <w:rPr>
          <w:rFonts w:ascii="Times New Roman" w:eastAsia="Times New Roman" w:hAnsi="Times New Roman" w:cs="Times New Roman"/>
          <w:color w:val="000000"/>
          <w:sz w:val="24"/>
          <w:szCs w:val="24"/>
          <w:lang w:eastAsia="en-US"/>
        </w:rPr>
        <w:t xml:space="preserve"> concentrations violated regulatory levels regardless of species or treatment.</w:t>
      </w:r>
    </w:p>
    <w:p w14:paraId="0EFCED72" w14:textId="4E118634" w:rsidR="006459E9" w:rsidRDefault="006459E9" w:rsidP="002514A7">
      <w:pPr>
        <w:spacing w:line="480" w:lineRule="auto"/>
        <w:ind w:firstLine="713"/>
        <w:rPr>
          <w:rFonts w:ascii="Times New Roman" w:eastAsia="Times New Roman" w:hAnsi="Times New Roman" w:cs="Times New Roman"/>
          <w:color w:val="000000"/>
          <w:sz w:val="24"/>
          <w:szCs w:val="24"/>
          <w:lang w:eastAsia="en-US"/>
        </w:rPr>
      </w:pPr>
      <w:r w:rsidRPr="00F07DEB">
        <w:rPr>
          <w:rFonts w:ascii="Times New Roman" w:eastAsia="Times New Roman" w:hAnsi="Times New Roman" w:cs="Times New Roman"/>
          <w:color w:val="000000"/>
          <w:sz w:val="24"/>
          <w:szCs w:val="24"/>
          <w:lang w:eastAsia="en-US"/>
        </w:rPr>
        <w:t xml:space="preserve">Despite </w:t>
      </w:r>
      <w:r w:rsidR="009678A2">
        <w:rPr>
          <w:rFonts w:ascii="Times New Roman" w:eastAsia="Times New Roman" w:hAnsi="Times New Roman" w:cs="Times New Roman"/>
          <w:color w:val="000000"/>
          <w:sz w:val="24"/>
          <w:szCs w:val="24"/>
          <w:lang w:eastAsia="en-US"/>
        </w:rPr>
        <w:t>Ni</w:t>
      </w:r>
      <w:r w:rsidRPr="00F07DEB">
        <w:rPr>
          <w:rFonts w:ascii="Times New Roman" w:eastAsia="Times New Roman" w:hAnsi="Times New Roman" w:cs="Times New Roman"/>
          <w:color w:val="000000"/>
          <w:sz w:val="24"/>
          <w:szCs w:val="24"/>
          <w:lang w:eastAsia="en-US"/>
        </w:rPr>
        <w:t xml:space="preserve"> concentrations in the treated mine water being significantly higher than </w:t>
      </w:r>
      <w:r w:rsidR="009678A2">
        <w:rPr>
          <w:rFonts w:ascii="Times New Roman" w:eastAsia="Times New Roman" w:hAnsi="Times New Roman" w:cs="Times New Roman"/>
          <w:color w:val="000000"/>
          <w:sz w:val="24"/>
          <w:szCs w:val="24"/>
          <w:lang w:eastAsia="en-US"/>
        </w:rPr>
        <w:t>Ni</w:t>
      </w:r>
      <w:r w:rsidRPr="00F07DEB">
        <w:rPr>
          <w:rFonts w:ascii="Times New Roman" w:eastAsia="Times New Roman" w:hAnsi="Times New Roman" w:cs="Times New Roman"/>
          <w:color w:val="000000"/>
          <w:sz w:val="24"/>
          <w:szCs w:val="24"/>
          <w:lang w:eastAsia="en-US"/>
        </w:rPr>
        <w:t xml:space="preserve"> levels in groundwater, it was groundwater irrigation that increased </w:t>
      </w:r>
      <w:r w:rsidR="009678A2">
        <w:rPr>
          <w:rFonts w:ascii="Times New Roman" w:eastAsia="Times New Roman" w:hAnsi="Times New Roman" w:cs="Times New Roman"/>
          <w:color w:val="000000"/>
          <w:sz w:val="24"/>
          <w:szCs w:val="24"/>
          <w:lang w:eastAsia="en-US"/>
        </w:rPr>
        <w:t>Ni</w:t>
      </w:r>
      <w:r w:rsidRPr="00F07DEB">
        <w:rPr>
          <w:rFonts w:ascii="Times New Roman" w:eastAsia="Times New Roman" w:hAnsi="Times New Roman" w:cs="Times New Roman"/>
          <w:color w:val="000000"/>
          <w:sz w:val="24"/>
          <w:szCs w:val="24"/>
          <w:lang w:eastAsia="en-US"/>
        </w:rPr>
        <w:t xml:space="preserve"> concentrations in Bermuda grass; mine water irrigation did not increase concentrations of Fe, </w:t>
      </w:r>
      <w:proofErr w:type="spellStart"/>
      <w:r w:rsidRPr="00F07DEB">
        <w:rPr>
          <w:rFonts w:ascii="Times New Roman" w:eastAsia="Times New Roman" w:hAnsi="Times New Roman" w:cs="Times New Roman"/>
          <w:color w:val="000000"/>
          <w:sz w:val="24"/>
          <w:szCs w:val="24"/>
          <w:lang w:eastAsia="en-US"/>
        </w:rPr>
        <w:t>Mn</w:t>
      </w:r>
      <w:proofErr w:type="spellEnd"/>
      <w:r w:rsidRPr="00F07DEB">
        <w:rPr>
          <w:rFonts w:ascii="Times New Roman" w:eastAsia="Times New Roman" w:hAnsi="Times New Roman" w:cs="Times New Roman"/>
          <w:color w:val="000000"/>
          <w:sz w:val="24"/>
          <w:szCs w:val="24"/>
          <w:lang w:eastAsia="en-US"/>
        </w:rPr>
        <w:t xml:space="preserve">, Zn, K, Ni, or </w:t>
      </w:r>
      <w:proofErr w:type="spellStart"/>
      <w:r w:rsidRPr="00F07DEB">
        <w:rPr>
          <w:rFonts w:ascii="Times New Roman" w:eastAsia="Times New Roman" w:hAnsi="Times New Roman" w:cs="Times New Roman"/>
          <w:color w:val="000000"/>
          <w:sz w:val="24"/>
          <w:szCs w:val="24"/>
          <w:lang w:eastAsia="en-US"/>
        </w:rPr>
        <w:t>Pb</w:t>
      </w:r>
      <w:proofErr w:type="spellEnd"/>
      <w:r w:rsidRPr="00F07DEB">
        <w:rPr>
          <w:rFonts w:ascii="Times New Roman" w:eastAsia="Times New Roman" w:hAnsi="Times New Roman" w:cs="Times New Roman"/>
          <w:color w:val="000000"/>
          <w:sz w:val="24"/>
          <w:szCs w:val="24"/>
          <w:lang w:eastAsia="en-US"/>
        </w:rPr>
        <w:t xml:space="preserve"> in any of the three species. </w:t>
      </w:r>
      <w:r w:rsidR="009678A2">
        <w:rPr>
          <w:rFonts w:ascii="Times New Roman" w:eastAsia="Times New Roman" w:hAnsi="Times New Roman" w:cs="Times New Roman"/>
          <w:color w:val="000000"/>
          <w:sz w:val="24"/>
          <w:szCs w:val="24"/>
          <w:lang w:eastAsia="en-US"/>
        </w:rPr>
        <w:t>Ni</w:t>
      </w:r>
      <w:r w:rsidR="00F430E6" w:rsidRPr="00F07DEB">
        <w:rPr>
          <w:rFonts w:ascii="Times New Roman" w:eastAsia="Times New Roman" w:hAnsi="Times New Roman" w:cs="Times New Roman"/>
          <w:color w:val="000000"/>
          <w:sz w:val="24"/>
          <w:szCs w:val="24"/>
          <w:lang w:eastAsia="en-US"/>
        </w:rPr>
        <w:t xml:space="preserve"> plays an important role in germination as a micronutrient</w:t>
      </w:r>
      <w:r w:rsidR="007271F3" w:rsidRPr="00F07DEB">
        <w:rPr>
          <w:rFonts w:ascii="Times New Roman" w:eastAsia="Times New Roman" w:hAnsi="Times New Roman" w:cs="Times New Roman"/>
          <w:color w:val="000000"/>
          <w:sz w:val="24"/>
          <w:szCs w:val="24"/>
          <w:lang w:eastAsia="en-US"/>
        </w:rPr>
        <w:t>, and is typically found in healthy plants at concentration</w:t>
      </w:r>
      <w:r w:rsidR="00421B82">
        <w:rPr>
          <w:rFonts w:ascii="Times New Roman" w:eastAsia="Times New Roman" w:hAnsi="Times New Roman" w:cs="Times New Roman"/>
          <w:color w:val="000000"/>
          <w:sz w:val="24"/>
          <w:szCs w:val="24"/>
          <w:lang w:eastAsia="en-US"/>
        </w:rPr>
        <w:t>s between 0.01 and 10.0 mg/kg DW</w:t>
      </w:r>
      <w:r w:rsidR="007271F3" w:rsidRPr="00F07DEB">
        <w:rPr>
          <w:rFonts w:ascii="Times New Roman" w:eastAsia="Times New Roman" w:hAnsi="Times New Roman" w:cs="Times New Roman"/>
          <w:color w:val="000000"/>
          <w:sz w:val="24"/>
          <w:szCs w:val="24"/>
          <w:lang w:eastAsia="en-US"/>
        </w:rPr>
        <w:t xml:space="preserve"> </w:t>
      </w:r>
      <w:r w:rsidR="00F430E6" w:rsidRPr="00F07DEB">
        <w:rPr>
          <w:rFonts w:ascii="Times New Roman" w:eastAsia="Times New Roman" w:hAnsi="Times New Roman" w:cs="Times New Roman"/>
          <w:color w:val="000000"/>
          <w:sz w:val="24"/>
          <w:szCs w:val="24"/>
          <w:lang w:eastAsia="en-US"/>
        </w:rPr>
        <w:fldChar w:fldCharType="begin"/>
      </w:r>
      <w:r w:rsidR="00BA49C2">
        <w:rPr>
          <w:rFonts w:ascii="Times New Roman" w:eastAsia="Times New Roman" w:hAnsi="Times New Roman" w:cs="Times New Roman"/>
          <w:color w:val="000000"/>
          <w:sz w:val="24"/>
          <w:szCs w:val="24"/>
          <w:lang w:eastAsia="en-US"/>
        </w:rPr>
        <w:instrText xml:space="preserve"> ADDIN ZOTERO_ITEM CSL_CITATION {"citationID":"M0XiF7aG","properties":{"formattedCitation":"(Broadley, Brown, Cakmak, Rengel, et al., 2012; McCauley et al., 2011)","plainCitation":"(Broadley, Brown, Cakmak, Rengel, et al., 2012; McCauley et al., 2011)","dontUpdate":true,"noteIndex":0},"citationItems":[{"id":858,"uris":["http://zotero.org/users/5446453/items/MDBJDJQG"],"uri":["http://zotero.org/users/5446453/items/MDBJDJQG"],"itemData":{"id":858,"type":"chapter","abstract":"This chapter focuses on the functions of iron, manganese, copper, zinc, nickel, molybdenum, boron, and chlorine in plants and describes the effects of their deficiency and toxicity. Iron (Fe) plays a crucial role in redox systems in cells and in various enzymes. In dicotyledonous and monocotyledonous plant species, Fe deficiency is associated with the formation of rhizodermal transfer cells, which is a part of a their strategy to enhance iron uptake. Manganese (Mn) and copper (Cu) are important for redox systems, as activators of various enzymes including those involved in the detoxification of superoxide radicals, and for the synthesis of lignin. In dicotyledonous plants, intercostal chlorosis of the younger leaves is the most distinct symptom of Mn deficiency, whereas in cereals, greenish grey spots on the older leaves are the major symptoms. Stunted growth, distortion of young leaves, chlorosis/ necrosis starting at the apical meristem extending down to the leaf margins, bleaching of young leaves, and/or “summer dieback” in trees are typical visible symptoms of Cu deficiency. Zinc (Zn) plays a role in the detoxification of superoxide radicals, membrane integrity, as well as the synthesis of proteins and the phytohormone IAA. Nickel (Ni) is involved in N metabolism as a metal component of the enzyme urease, whereas molybdenum (Mo) helps in N metabolism by acting as a metal component of the nitrogenase (N2 fixation) and nitrate reductase enzymes. Boron (B) is crucial for cell wall and membrane integrity, whereas chlorine plays a role in osmoregulation and stomata movement.","container-title":"Marschner's Mineral Nutrition of Higher Plants (Third Edition)","event-place":"San Diego","ISBN":"978-0-12-384905-2","language":"en","note":"DOI: 10.1016/B978-0-12-384905-2.00007-8","page":"191-248","publisher":"Academic Press","publisher-place":"San Diego","source":"ScienceDirect","title":"Chapter 7 - Function of Nutrients: Micronutrients","title-short":"Chapter 7 - Function of Nutrients","URL":"http://www.sciencedirect.com/science/article/pii/B9780123849052000078","author":[{"family":"Broadley","given":"Martin"},{"family":"Brown","given":"Patrick"},{"family":"Cakmak","given":"Ismail"},{"family":"Rengel","given":"Zed"},{"family":"Zhao","given":"Fangjie"}],"editor":[{"family":"Marschner","given":"Petra"}],"accessed":{"date-parts":[["2020",11,13]]},"issued":{"date-parts":[["2012"]]}}},{"id":825,"uris":["http://zotero.org/users/5446453/items/J6IRDEQA"],"uri":["http://zotero.org/users/5446453/items/J6IRDEQA"],"itemData":{"id":825,"type":"article","language":"en","publisher":"Montana State University Extension","source":"Zotero","title":"Functions and Deficiency and Toxicity Symptoms","author":[{"family":"McCauley","given":"Ann"},{"family":"Jones","given":"Clain"},{"family":"Jacobsen","given":"Jeff"}],"issued":{"date-parts":[["2011",6]]}}}],"schema":"https://github.com/citation-style-language/schema/raw/master/csl-citation.json"} </w:instrText>
      </w:r>
      <w:r w:rsidR="00F430E6" w:rsidRPr="00F07DEB">
        <w:rPr>
          <w:rFonts w:ascii="Times New Roman" w:eastAsia="Times New Roman" w:hAnsi="Times New Roman" w:cs="Times New Roman"/>
          <w:color w:val="000000"/>
          <w:sz w:val="24"/>
          <w:szCs w:val="24"/>
          <w:lang w:eastAsia="en-US"/>
        </w:rPr>
        <w:fldChar w:fldCharType="separate"/>
      </w:r>
      <w:r w:rsidR="00D76F3F">
        <w:rPr>
          <w:rFonts w:ascii="Times New Roman" w:hAnsi="Times New Roman" w:cs="Times New Roman"/>
          <w:sz w:val="24"/>
        </w:rPr>
        <w:t>(Broadley</w:t>
      </w:r>
      <w:r w:rsidR="006811C1" w:rsidRPr="00F07DEB">
        <w:rPr>
          <w:rFonts w:ascii="Times New Roman" w:hAnsi="Times New Roman" w:cs="Times New Roman"/>
          <w:sz w:val="24"/>
        </w:rPr>
        <w:t xml:space="preserve"> et al., 2012</w:t>
      </w:r>
      <w:r w:rsidR="00375B31">
        <w:rPr>
          <w:rFonts w:ascii="Times New Roman" w:hAnsi="Times New Roman" w:cs="Times New Roman"/>
          <w:sz w:val="24"/>
        </w:rPr>
        <w:t>b</w:t>
      </w:r>
      <w:r w:rsidR="006811C1" w:rsidRPr="00F07DEB">
        <w:rPr>
          <w:rFonts w:ascii="Times New Roman" w:hAnsi="Times New Roman" w:cs="Times New Roman"/>
          <w:sz w:val="24"/>
        </w:rPr>
        <w:t>; McCauley et al., 2011)</w:t>
      </w:r>
      <w:r w:rsidR="00F430E6" w:rsidRPr="00F07DEB">
        <w:rPr>
          <w:rFonts w:ascii="Times New Roman" w:eastAsia="Times New Roman" w:hAnsi="Times New Roman" w:cs="Times New Roman"/>
          <w:color w:val="000000"/>
          <w:sz w:val="24"/>
          <w:szCs w:val="24"/>
          <w:lang w:eastAsia="en-US"/>
        </w:rPr>
        <w:fldChar w:fldCharType="end"/>
      </w:r>
      <w:r w:rsidR="00F430E6" w:rsidRPr="00F07DEB">
        <w:rPr>
          <w:rFonts w:ascii="Times New Roman" w:eastAsia="Times New Roman" w:hAnsi="Times New Roman" w:cs="Times New Roman"/>
          <w:color w:val="000000"/>
          <w:sz w:val="24"/>
          <w:szCs w:val="24"/>
          <w:lang w:eastAsia="en-US"/>
        </w:rPr>
        <w:t xml:space="preserve">. </w:t>
      </w:r>
      <w:r w:rsidR="007271F3" w:rsidRPr="00F07DEB">
        <w:rPr>
          <w:rFonts w:ascii="Times New Roman" w:eastAsia="Times New Roman" w:hAnsi="Times New Roman" w:cs="Times New Roman"/>
          <w:color w:val="000000"/>
          <w:sz w:val="24"/>
          <w:szCs w:val="24"/>
          <w:lang w:eastAsia="en-US"/>
        </w:rPr>
        <w:t xml:space="preserve">The mean Ni concentration in every plant structure analyzed during this study falls within that range. </w:t>
      </w:r>
      <w:r w:rsidR="009678A2">
        <w:rPr>
          <w:rFonts w:ascii="Times New Roman" w:eastAsia="Times New Roman" w:hAnsi="Times New Roman" w:cs="Times New Roman"/>
          <w:color w:val="000000"/>
          <w:sz w:val="24"/>
          <w:szCs w:val="24"/>
          <w:lang w:eastAsia="en-US"/>
        </w:rPr>
        <w:t>K</w:t>
      </w:r>
      <w:r w:rsidR="007271F3" w:rsidRPr="00F07DEB">
        <w:rPr>
          <w:rFonts w:ascii="Times New Roman" w:eastAsia="Times New Roman" w:hAnsi="Times New Roman" w:cs="Times New Roman"/>
          <w:color w:val="000000"/>
          <w:sz w:val="24"/>
          <w:szCs w:val="24"/>
          <w:lang w:eastAsia="en-US"/>
        </w:rPr>
        <w:t>, a macronutrient, is needed for vegetative growth at</w:t>
      </w:r>
      <w:r w:rsidR="002504F4">
        <w:rPr>
          <w:rFonts w:ascii="Times New Roman" w:eastAsia="Times New Roman" w:hAnsi="Times New Roman" w:cs="Times New Roman"/>
          <w:color w:val="000000"/>
          <w:sz w:val="24"/>
          <w:szCs w:val="24"/>
          <w:lang w:eastAsia="en-US"/>
        </w:rPr>
        <w:t xml:space="preserve"> concentrations of 20-50 g/kg DW</w:t>
      </w:r>
      <w:r w:rsidR="007271F3" w:rsidRPr="00F07DEB">
        <w:rPr>
          <w:rFonts w:ascii="Times New Roman" w:eastAsia="Times New Roman" w:hAnsi="Times New Roman" w:cs="Times New Roman"/>
          <w:color w:val="000000"/>
          <w:sz w:val="24"/>
          <w:szCs w:val="24"/>
          <w:lang w:eastAsia="en-US"/>
        </w:rPr>
        <w:t xml:space="preserve">, although </w:t>
      </w:r>
      <w:r w:rsidR="009678A2">
        <w:rPr>
          <w:rFonts w:ascii="Times New Roman" w:eastAsia="Times New Roman" w:hAnsi="Times New Roman" w:cs="Times New Roman"/>
          <w:color w:val="000000"/>
          <w:sz w:val="24"/>
          <w:szCs w:val="24"/>
          <w:lang w:eastAsia="en-US"/>
        </w:rPr>
        <w:t>Na</w:t>
      </w:r>
      <w:r w:rsidR="007271F3" w:rsidRPr="00F07DEB">
        <w:rPr>
          <w:rFonts w:ascii="Times New Roman" w:eastAsia="Times New Roman" w:hAnsi="Times New Roman" w:cs="Times New Roman"/>
          <w:color w:val="000000"/>
          <w:sz w:val="24"/>
          <w:szCs w:val="24"/>
          <w:lang w:eastAsia="en-US"/>
        </w:rPr>
        <w:t xml:space="preserve"> can sometimes compensate for </w:t>
      </w:r>
      <w:r w:rsidR="009678A2">
        <w:rPr>
          <w:rFonts w:ascii="Times New Roman" w:eastAsia="Times New Roman" w:hAnsi="Times New Roman" w:cs="Times New Roman"/>
          <w:color w:val="000000"/>
          <w:sz w:val="24"/>
          <w:szCs w:val="24"/>
          <w:lang w:eastAsia="en-US"/>
        </w:rPr>
        <w:t>K</w:t>
      </w:r>
      <w:r w:rsidR="007271F3" w:rsidRPr="00F07DEB">
        <w:rPr>
          <w:rFonts w:ascii="Times New Roman" w:eastAsia="Times New Roman" w:hAnsi="Times New Roman" w:cs="Times New Roman"/>
          <w:color w:val="000000"/>
          <w:sz w:val="24"/>
          <w:szCs w:val="24"/>
          <w:lang w:eastAsia="en-US"/>
        </w:rPr>
        <w:t xml:space="preserve"> deficiencies </w:t>
      </w:r>
      <w:r w:rsidR="007271F3" w:rsidRPr="00F07DEB">
        <w:rPr>
          <w:rFonts w:ascii="Times New Roman" w:eastAsia="Times New Roman" w:hAnsi="Times New Roman" w:cs="Times New Roman"/>
          <w:color w:val="000000"/>
          <w:sz w:val="24"/>
          <w:szCs w:val="24"/>
          <w:lang w:eastAsia="en-US"/>
        </w:rPr>
        <w:fldChar w:fldCharType="begin"/>
      </w:r>
      <w:r w:rsidR="007271F3" w:rsidRPr="00F07DEB">
        <w:rPr>
          <w:rFonts w:ascii="Times New Roman" w:eastAsia="Times New Roman" w:hAnsi="Times New Roman" w:cs="Times New Roman"/>
          <w:color w:val="000000"/>
          <w:sz w:val="24"/>
          <w:szCs w:val="24"/>
          <w:lang w:eastAsia="en-US"/>
        </w:rPr>
        <w:instrText xml:space="preserve"> ADDIN ZOTERO_ITEM CSL_CITATION {"citationID":"cy4k4tlS","properties":{"formattedCitation":"(Hawkesford et al., 2012)","plainCitation":"(Hawkesford et al., 2012)","noteIndex":0},"citationItems":[{"id":856,"uris":["http://zotero.org/users/5446453/items/DM5ELELU"],"uri":["http://zotero.org/users/5446453/items/DM5ELELU"],"itemData":{"id":856,"type":"chapter","abstract":"This chapter focuses on the role played by various macronutrients such as nitrogen (N), sulfur (S), phosphorus (P), magnesium (Mg), calcium (Ca), and potassium (K) in plant metabolism and growth and describes the symptoms of deficiency and toxicity of these macronutrients. N is the most essential element required after carbon, and it plays a central role in plant metabolism as a constituent of proteins, nucleic acids, chlorophyll, coenzymes, phytohormones, and secondary metabolites. When it is taken as ammonium or nitrate, it is assimilated into amino acids either in the roots or shoots and within the plant, it is translocated as nitrate or amino acids. Sulfur is taken up as sulphate and assimilated into S-containing amino acids such as cysteine that are used to synthesize S-containing enzymes and coenzymes as well as secondary compounds such as phytochelatins (detoxification of metals) or aliins and glucosinolates (feeding deterrents). Phosphorus is a structural element in nucleic acids, and as a component of adenosine phosphates, it plays an important role in energy transfer, and it is also essential for transfer of carbohydrates in leaf cells. Magnesium is a component of chlorophyll, and it is required for photosynthesis and protein synthesis. Calcium is important for cell wall and membrane stabilization, osmoregulation, and as second messenger, thereby allowing plants to regulate developmental processes in response to environmental stimuli. The main role of K is osmoregulation, which is important for cell extension and stomata movement, and it affects loading of sucrose and the rate of mass flow-driven solute movement within the plant.","container-title":"Marschner's Mineral Nutrition of Higher Plants (Third Edition)","event-place":"San Diego","ISBN":"978-0-12-384905-2","language":"en","note":"DOI: 10.1016/B978-0-12-384905-2.00006-6","page":"135-189","publisher":"Academic Press","publisher-place":"San Diego","source":"ScienceDirect","title":"Chapter 6 - Functions of Macronutrients","URL":"http://www.sciencedirect.com/science/article/pii/B9780123849052000066","author":[{"family":"Hawkesford","given":"Malcolm"},{"family":"Horst","given":"Walter"},{"family":"Kichey","given":"Thomas"},{"family":"Lambers","given":"Hans"},{"family":"Schjoerring","given":"Jan"},{"family":"Møller","given":"Inge Skrumsager"},{"family":"White","given":"Philip"}],"editor":[{"family":"Marschner","given":"Petra"}],"accessed":{"date-parts":[["2020",11,13]]},"issued":{"date-parts":[["2012",1,1]]}}}],"schema":"https://github.com/citation-style-language/schema/raw/master/csl-citation.json"} </w:instrText>
      </w:r>
      <w:r w:rsidR="007271F3" w:rsidRPr="00F07DEB">
        <w:rPr>
          <w:rFonts w:ascii="Times New Roman" w:eastAsia="Times New Roman" w:hAnsi="Times New Roman" w:cs="Times New Roman"/>
          <w:color w:val="000000"/>
          <w:sz w:val="24"/>
          <w:szCs w:val="24"/>
          <w:lang w:eastAsia="en-US"/>
        </w:rPr>
        <w:fldChar w:fldCharType="separate"/>
      </w:r>
      <w:r w:rsidR="00234033" w:rsidRPr="00234033">
        <w:rPr>
          <w:rFonts w:ascii="Times New Roman" w:hAnsi="Times New Roman" w:cs="Times New Roman"/>
          <w:sz w:val="24"/>
        </w:rPr>
        <w:t>(Hawkesford et al., 2012)</w:t>
      </w:r>
      <w:r w:rsidR="007271F3" w:rsidRPr="00F07DEB">
        <w:rPr>
          <w:rFonts w:ascii="Times New Roman" w:eastAsia="Times New Roman" w:hAnsi="Times New Roman" w:cs="Times New Roman"/>
          <w:color w:val="000000"/>
          <w:sz w:val="24"/>
          <w:szCs w:val="24"/>
          <w:lang w:eastAsia="en-US"/>
        </w:rPr>
        <w:fldChar w:fldCharType="end"/>
      </w:r>
      <w:r w:rsidR="00A378AA" w:rsidRPr="00F07DEB">
        <w:rPr>
          <w:rFonts w:ascii="Times New Roman" w:eastAsia="Times New Roman" w:hAnsi="Times New Roman" w:cs="Times New Roman"/>
          <w:color w:val="000000"/>
          <w:sz w:val="24"/>
          <w:szCs w:val="24"/>
          <w:lang w:eastAsia="en-US"/>
        </w:rPr>
        <w:t xml:space="preserve">. Average </w:t>
      </w:r>
      <w:r w:rsidR="009678A2">
        <w:rPr>
          <w:rFonts w:ascii="Times New Roman" w:eastAsia="Times New Roman" w:hAnsi="Times New Roman" w:cs="Times New Roman"/>
          <w:color w:val="000000"/>
          <w:sz w:val="24"/>
          <w:szCs w:val="24"/>
          <w:lang w:eastAsia="en-US"/>
        </w:rPr>
        <w:t>K</w:t>
      </w:r>
      <w:r w:rsidR="007271F3" w:rsidRPr="00F07DEB">
        <w:rPr>
          <w:rFonts w:ascii="Times New Roman" w:eastAsia="Times New Roman" w:hAnsi="Times New Roman" w:cs="Times New Roman"/>
          <w:color w:val="000000"/>
          <w:sz w:val="24"/>
          <w:szCs w:val="24"/>
          <w:lang w:eastAsia="en-US"/>
        </w:rPr>
        <w:t xml:space="preserve"> concentrations in the leaves and stems of the experimental subject</w:t>
      </w:r>
      <w:r w:rsidR="00421B82">
        <w:rPr>
          <w:rFonts w:ascii="Times New Roman" w:eastAsia="Times New Roman" w:hAnsi="Times New Roman" w:cs="Times New Roman"/>
          <w:color w:val="000000"/>
          <w:sz w:val="24"/>
          <w:szCs w:val="24"/>
          <w:lang w:eastAsia="en-US"/>
        </w:rPr>
        <w:t>s were between 15 and 20 g/kg DW</w:t>
      </w:r>
      <w:r w:rsidR="007271F3" w:rsidRPr="00F07DEB">
        <w:rPr>
          <w:rFonts w:ascii="Times New Roman" w:eastAsia="Times New Roman" w:hAnsi="Times New Roman" w:cs="Times New Roman"/>
          <w:color w:val="000000"/>
          <w:sz w:val="24"/>
          <w:szCs w:val="24"/>
          <w:lang w:eastAsia="en-US"/>
        </w:rPr>
        <w:t xml:space="preserve"> with the exception of the first harvest of Bermuda grass.</w:t>
      </w:r>
      <w:r w:rsidR="003E7B9A" w:rsidRPr="00F07DEB">
        <w:rPr>
          <w:rFonts w:ascii="Times New Roman" w:eastAsia="Times New Roman" w:hAnsi="Times New Roman" w:cs="Times New Roman"/>
          <w:color w:val="000000"/>
          <w:sz w:val="24"/>
          <w:szCs w:val="24"/>
          <w:lang w:eastAsia="en-US"/>
        </w:rPr>
        <w:t xml:space="preserve"> </w:t>
      </w:r>
      <w:r w:rsidR="00E03DE5">
        <w:rPr>
          <w:rFonts w:ascii="Times New Roman" w:eastAsia="Times New Roman" w:hAnsi="Times New Roman" w:cs="Times New Roman"/>
          <w:color w:val="000000"/>
          <w:sz w:val="24"/>
          <w:szCs w:val="24"/>
          <w:lang w:eastAsia="en-US"/>
        </w:rPr>
        <w:t>As</w:t>
      </w:r>
      <w:r w:rsidR="003E7B9A" w:rsidRPr="00F07DEB">
        <w:rPr>
          <w:rFonts w:ascii="Times New Roman" w:eastAsia="Times New Roman" w:hAnsi="Times New Roman" w:cs="Times New Roman"/>
          <w:color w:val="000000"/>
          <w:sz w:val="24"/>
          <w:szCs w:val="24"/>
          <w:lang w:eastAsia="en-US"/>
        </w:rPr>
        <w:t xml:space="preserve"> the recoverable </w:t>
      </w:r>
      <w:r w:rsidR="009678A2">
        <w:rPr>
          <w:rFonts w:ascii="Times New Roman" w:eastAsia="Times New Roman" w:hAnsi="Times New Roman" w:cs="Times New Roman"/>
          <w:color w:val="000000"/>
          <w:sz w:val="24"/>
          <w:szCs w:val="24"/>
          <w:lang w:eastAsia="en-US"/>
        </w:rPr>
        <w:t>K</w:t>
      </w:r>
      <w:r w:rsidR="003E7B9A" w:rsidRPr="00F07DEB">
        <w:rPr>
          <w:rFonts w:ascii="Times New Roman" w:eastAsia="Times New Roman" w:hAnsi="Times New Roman" w:cs="Times New Roman"/>
          <w:color w:val="000000"/>
          <w:sz w:val="24"/>
          <w:szCs w:val="24"/>
          <w:lang w:eastAsia="en-US"/>
        </w:rPr>
        <w:t xml:space="preserve"> concentrations reported in this study wer</w:t>
      </w:r>
      <w:r w:rsidR="00A378AA" w:rsidRPr="00F07DEB">
        <w:rPr>
          <w:rFonts w:ascii="Times New Roman" w:eastAsia="Times New Roman" w:hAnsi="Times New Roman" w:cs="Times New Roman"/>
          <w:color w:val="000000"/>
          <w:sz w:val="24"/>
          <w:szCs w:val="24"/>
          <w:lang w:eastAsia="en-US"/>
        </w:rPr>
        <w:t xml:space="preserve">e lower than the plants’ total </w:t>
      </w:r>
      <w:r w:rsidR="009678A2">
        <w:rPr>
          <w:rFonts w:ascii="Times New Roman" w:eastAsia="Times New Roman" w:hAnsi="Times New Roman" w:cs="Times New Roman"/>
          <w:color w:val="000000"/>
          <w:sz w:val="24"/>
          <w:szCs w:val="24"/>
          <w:lang w:eastAsia="en-US"/>
        </w:rPr>
        <w:t>K</w:t>
      </w:r>
      <w:r w:rsidR="00A378AA" w:rsidRPr="00F07DEB">
        <w:rPr>
          <w:rFonts w:ascii="Times New Roman" w:eastAsia="Times New Roman" w:hAnsi="Times New Roman" w:cs="Times New Roman"/>
          <w:color w:val="000000"/>
          <w:sz w:val="24"/>
          <w:szCs w:val="24"/>
          <w:lang w:eastAsia="en-US"/>
        </w:rPr>
        <w:t xml:space="preserve"> </w:t>
      </w:r>
      <w:r w:rsidR="003E7B9A" w:rsidRPr="00F07DEB">
        <w:rPr>
          <w:rFonts w:ascii="Times New Roman" w:eastAsia="Times New Roman" w:hAnsi="Times New Roman" w:cs="Times New Roman"/>
          <w:color w:val="000000"/>
          <w:sz w:val="24"/>
          <w:szCs w:val="24"/>
          <w:lang w:eastAsia="en-US"/>
        </w:rPr>
        <w:t>concentrations on which the critical deficiency concentration is based, p</w:t>
      </w:r>
      <w:r w:rsidR="007271F3" w:rsidRPr="00F07DEB">
        <w:rPr>
          <w:rFonts w:ascii="Times New Roman" w:eastAsia="Times New Roman" w:hAnsi="Times New Roman" w:cs="Times New Roman"/>
          <w:color w:val="000000"/>
          <w:sz w:val="24"/>
          <w:szCs w:val="24"/>
          <w:lang w:eastAsia="en-US"/>
        </w:rPr>
        <w:t>otenti</w:t>
      </w:r>
      <w:r w:rsidR="00A378AA" w:rsidRPr="00F07DEB">
        <w:rPr>
          <w:rFonts w:ascii="Times New Roman" w:eastAsia="Times New Roman" w:hAnsi="Times New Roman" w:cs="Times New Roman"/>
          <w:color w:val="000000"/>
          <w:sz w:val="24"/>
          <w:szCs w:val="24"/>
          <w:lang w:eastAsia="en-US"/>
        </w:rPr>
        <w:t xml:space="preserve">al </w:t>
      </w:r>
      <w:r w:rsidR="009678A2">
        <w:rPr>
          <w:rFonts w:ascii="Times New Roman" w:eastAsia="Times New Roman" w:hAnsi="Times New Roman" w:cs="Times New Roman"/>
          <w:color w:val="000000"/>
          <w:sz w:val="24"/>
          <w:szCs w:val="24"/>
          <w:lang w:eastAsia="en-US"/>
        </w:rPr>
        <w:t>K</w:t>
      </w:r>
      <w:r w:rsidR="007271F3" w:rsidRPr="00F07DEB">
        <w:rPr>
          <w:rFonts w:ascii="Times New Roman" w:eastAsia="Times New Roman" w:hAnsi="Times New Roman" w:cs="Times New Roman"/>
          <w:color w:val="000000"/>
          <w:sz w:val="24"/>
          <w:szCs w:val="24"/>
          <w:vertAlign w:val="superscript"/>
          <w:lang w:eastAsia="en-US"/>
        </w:rPr>
        <w:t xml:space="preserve"> </w:t>
      </w:r>
      <w:r w:rsidR="007271F3" w:rsidRPr="00F07DEB">
        <w:rPr>
          <w:rFonts w:ascii="Times New Roman" w:eastAsia="Times New Roman" w:hAnsi="Times New Roman" w:cs="Times New Roman"/>
          <w:color w:val="000000"/>
          <w:sz w:val="24"/>
          <w:szCs w:val="24"/>
          <w:lang w:eastAsia="en-US"/>
        </w:rPr>
        <w:t>deficiencies might have suppressed growth</w:t>
      </w:r>
      <w:r w:rsidR="003E7B9A" w:rsidRPr="00F07DEB">
        <w:rPr>
          <w:rFonts w:ascii="Times New Roman" w:eastAsia="Times New Roman" w:hAnsi="Times New Roman" w:cs="Times New Roman"/>
          <w:color w:val="000000"/>
          <w:sz w:val="24"/>
          <w:szCs w:val="24"/>
          <w:lang w:eastAsia="en-US"/>
        </w:rPr>
        <w:t xml:space="preserve"> and reduced drought tolerance; this c</w:t>
      </w:r>
      <w:r w:rsidR="007271F3" w:rsidRPr="00F07DEB">
        <w:rPr>
          <w:rFonts w:ascii="Times New Roman" w:eastAsia="Times New Roman" w:hAnsi="Times New Roman" w:cs="Times New Roman"/>
          <w:color w:val="000000"/>
          <w:sz w:val="24"/>
          <w:szCs w:val="24"/>
          <w:lang w:eastAsia="en-US"/>
        </w:rPr>
        <w:t xml:space="preserve">ould help explain the rolling corn leaves and slow development. </w:t>
      </w:r>
      <w:proofErr w:type="spellStart"/>
      <w:r w:rsidR="009678A2">
        <w:rPr>
          <w:rFonts w:ascii="Times New Roman" w:eastAsia="Times New Roman" w:hAnsi="Times New Roman" w:cs="Times New Roman"/>
          <w:color w:val="000000"/>
          <w:sz w:val="24"/>
          <w:szCs w:val="24"/>
          <w:lang w:eastAsia="en-US"/>
        </w:rPr>
        <w:t>Mn</w:t>
      </w:r>
      <w:proofErr w:type="spellEnd"/>
      <w:r w:rsidR="007271F3" w:rsidRPr="00F07DEB">
        <w:rPr>
          <w:rFonts w:ascii="Times New Roman" w:eastAsia="Times New Roman" w:hAnsi="Times New Roman" w:cs="Times New Roman"/>
          <w:color w:val="000000"/>
          <w:sz w:val="24"/>
          <w:szCs w:val="24"/>
          <w:lang w:eastAsia="en-US"/>
        </w:rPr>
        <w:t xml:space="preserve"> </w:t>
      </w:r>
      <w:r w:rsidR="000C173C" w:rsidRPr="00F07DEB">
        <w:rPr>
          <w:rFonts w:ascii="Times New Roman" w:eastAsia="Times New Roman" w:hAnsi="Times New Roman" w:cs="Times New Roman"/>
          <w:color w:val="000000"/>
          <w:sz w:val="24"/>
          <w:szCs w:val="24"/>
          <w:lang w:eastAsia="en-US"/>
        </w:rPr>
        <w:t>deficiency takes place when leaf concentr</w:t>
      </w:r>
      <w:r w:rsidR="00421B82">
        <w:rPr>
          <w:rFonts w:ascii="Times New Roman" w:eastAsia="Times New Roman" w:hAnsi="Times New Roman" w:cs="Times New Roman"/>
          <w:color w:val="000000"/>
          <w:sz w:val="24"/>
          <w:szCs w:val="24"/>
          <w:lang w:eastAsia="en-US"/>
        </w:rPr>
        <w:t>ations drop below 10-20 mg/kg DW</w:t>
      </w:r>
      <w:r w:rsidR="000C173C" w:rsidRPr="00F07DEB">
        <w:rPr>
          <w:rFonts w:ascii="Times New Roman" w:eastAsia="Times New Roman" w:hAnsi="Times New Roman" w:cs="Times New Roman"/>
          <w:color w:val="000000"/>
          <w:sz w:val="24"/>
          <w:szCs w:val="24"/>
          <w:lang w:eastAsia="en-US"/>
        </w:rPr>
        <w:t>, whereas toxicity i</w:t>
      </w:r>
      <w:r w:rsidR="00421B82">
        <w:rPr>
          <w:rFonts w:ascii="Times New Roman" w:eastAsia="Times New Roman" w:hAnsi="Times New Roman" w:cs="Times New Roman"/>
          <w:color w:val="000000"/>
          <w:sz w:val="24"/>
          <w:szCs w:val="24"/>
          <w:lang w:eastAsia="en-US"/>
        </w:rPr>
        <w:t>n corn occurs above 200 mg/kg DW</w:t>
      </w:r>
      <w:r w:rsidR="000C173C" w:rsidRPr="00F07DEB">
        <w:rPr>
          <w:rFonts w:ascii="Times New Roman" w:eastAsia="Times New Roman" w:hAnsi="Times New Roman" w:cs="Times New Roman"/>
          <w:color w:val="000000"/>
          <w:sz w:val="24"/>
          <w:szCs w:val="24"/>
          <w:lang w:eastAsia="en-US"/>
        </w:rPr>
        <w:t xml:space="preserve"> </w:t>
      </w:r>
      <w:r w:rsidR="000C173C" w:rsidRPr="00F07DEB">
        <w:rPr>
          <w:rFonts w:ascii="Times New Roman" w:eastAsia="Times New Roman" w:hAnsi="Times New Roman" w:cs="Times New Roman"/>
          <w:color w:val="000000"/>
          <w:sz w:val="24"/>
          <w:szCs w:val="24"/>
          <w:lang w:eastAsia="en-US"/>
        </w:rPr>
        <w:fldChar w:fldCharType="begin"/>
      </w:r>
      <w:r w:rsidR="00BA49C2">
        <w:rPr>
          <w:rFonts w:ascii="Times New Roman" w:eastAsia="Times New Roman" w:hAnsi="Times New Roman" w:cs="Times New Roman"/>
          <w:color w:val="000000"/>
          <w:sz w:val="24"/>
          <w:szCs w:val="24"/>
          <w:lang w:eastAsia="en-US"/>
        </w:rPr>
        <w:instrText xml:space="preserve"> ADDIN ZOTERO_ITEM CSL_CITATION {"citationID":"mjZmmA5V","properties":{"formattedCitation":"(Broadley, Brown, Cakmak, Rengel, et al., 2012)","plainCitation":"(Broadley, Brown, Cakmak, Rengel, et al., 2012)","dontUpdate":true,"noteIndex":0},"citationItems":[{"id":858,"uris":["http://zotero.org/users/5446453/items/MDBJDJQG"],"uri":["http://zotero.org/users/5446453/items/MDBJDJQG"],"itemData":{"id":858,"type":"chapter","abstract":"This chapter focuses on the functions of iron, manganese, copper, zinc, nickel, molybdenum, boron, and chlorine in plants and describes the effects of their deficiency and toxicity. Iron (Fe) plays a crucial role in redox systems in cells and in various enzymes. In dicotyledonous and monocotyledonous plant species, Fe deficiency is associated with the formation of rhizodermal transfer cells, which is a part of a their strategy to enhance iron uptake. Manganese (Mn) and copper (Cu) are important for redox systems, as activators of various enzymes including those involved in the detoxification of superoxide radicals, and for the synthesis of lignin. In dicotyledonous plants, intercostal chlorosis of the younger leaves is the most distinct symptom of Mn deficiency, whereas in cereals, greenish grey spots on the older leaves are the major symptoms. Stunted growth, distortion of young leaves, chlorosis/ necrosis starting at the apical meristem extending down to the leaf margins, bleaching of young leaves, and/or “summer dieback” in trees are typical visible symptoms of Cu deficiency. Zinc (Zn) plays a role in the detoxification of superoxide radicals, membrane integrity, as well as the synthesis of proteins and the phytohormone IAA. Nickel (Ni) is involved in N metabolism as a metal component of the enzyme urease, whereas molybdenum (Mo) helps in N metabolism by acting as a metal component of the nitrogenase (N2 fixation) and nitrate reductase enzymes. Boron (B) is crucial for cell wall and membrane integrity, whereas chlorine plays a role in osmoregulation and stomata movement.","container-title":"Marschner's Mineral Nutrition of Higher Plants (Third Edition)","event-place":"San Diego","ISBN":"978-0-12-384905-2","language":"en","note":"DOI: 10.1016/B978-0-12-384905-2.00007-8","page":"191-248","publisher":"Academic Press","publisher-place":"San Diego","source":"ScienceDirect","title":"Chapter 7 - Function of Nutrients: Micronutrients","title-short":"Chapter 7 - Function of Nutrients","URL":"http://www.sciencedirect.com/science/article/pii/B9780123849052000078","author":[{"family":"Broadley","given":"Martin"},{"family":"Brown","given":"Patrick"},{"family":"Cakmak","given":"Ismail"},{"family":"Rengel","given":"Zed"},{"family":"Zhao","given":"Fangjie"}],"editor":[{"family":"Marschner","given":"Petra"}],"accessed":{"date-parts":[["2020",11,13]]},"issued":{"date-parts":[["2012"]]}}}],"schema":"https://github.com/citation-style-language/schema/raw/master/csl-citation.json"} </w:instrText>
      </w:r>
      <w:r w:rsidR="000C173C" w:rsidRPr="00F07DEB">
        <w:rPr>
          <w:rFonts w:ascii="Times New Roman" w:eastAsia="Times New Roman" w:hAnsi="Times New Roman" w:cs="Times New Roman"/>
          <w:color w:val="000000"/>
          <w:sz w:val="24"/>
          <w:szCs w:val="24"/>
          <w:lang w:eastAsia="en-US"/>
        </w:rPr>
        <w:fldChar w:fldCharType="separate"/>
      </w:r>
      <w:r w:rsidR="006811C1" w:rsidRPr="00F07DEB">
        <w:rPr>
          <w:rFonts w:ascii="Times New Roman" w:hAnsi="Times New Roman" w:cs="Times New Roman"/>
          <w:sz w:val="24"/>
        </w:rPr>
        <w:t>(Broadley et al., 2012</w:t>
      </w:r>
      <w:r w:rsidR="00375B31">
        <w:rPr>
          <w:rFonts w:ascii="Times New Roman" w:hAnsi="Times New Roman" w:cs="Times New Roman"/>
          <w:sz w:val="24"/>
        </w:rPr>
        <w:t>b</w:t>
      </w:r>
      <w:r w:rsidR="006811C1" w:rsidRPr="00F07DEB">
        <w:rPr>
          <w:rFonts w:ascii="Times New Roman" w:hAnsi="Times New Roman" w:cs="Times New Roman"/>
          <w:sz w:val="24"/>
        </w:rPr>
        <w:t>)</w:t>
      </w:r>
      <w:r w:rsidR="000C173C" w:rsidRPr="00F07DEB">
        <w:rPr>
          <w:rFonts w:ascii="Times New Roman" w:eastAsia="Times New Roman" w:hAnsi="Times New Roman" w:cs="Times New Roman"/>
          <w:color w:val="000000"/>
          <w:sz w:val="24"/>
          <w:szCs w:val="24"/>
          <w:lang w:eastAsia="en-US"/>
        </w:rPr>
        <w:fldChar w:fldCharType="end"/>
      </w:r>
      <w:r w:rsidR="00A76FC9" w:rsidRPr="00F07DEB">
        <w:rPr>
          <w:rFonts w:ascii="Times New Roman" w:eastAsia="Times New Roman" w:hAnsi="Times New Roman" w:cs="Times New Roman"/>
          <w:color w:val="000000"/>
          <w:sz w:val="24"/>
          <w:szCs w:val="24"/>
          <w:lang w:eastAsia="en-US"/>
        </w:rPr>
        <w:t xml:space="preserve">. Leaf and stem </w:t>
      </w:r>
      <w:proofErr w:type="spellStart"/>
      <w:r w:rsidR="00A76FC9" w:rsidRPr="00F07DEB">
        <w:rPr>
          <w:rFonts w:ascii="Times New Roman" w:eastAsia="Times New Roman" w:hAnsi="Times New Roman" w:cs="Times New Roman"/>
          <w:color w:val="000000"/>
          <w:sz w:val="24"/>
          <w:szCs w:val="24"/>
          <w:lang w:eastAsia="en-US"/>
        </w:rPr>
        <w:t>Mn</w:t>
      </w:r>
      <w:proofErr w:type="spellEnd"/>
      <w:r w:rsidR="00A76FC9" w:rsidRPr="00F07DEB">
        <w:rPr>
          <w:rFonts w:ascii="Times New Roman" w:eastAsia="Times New Roman" w:hAnsi="Times New Roman" w:cs="Times New Roman"/>
          <w:color w:val="000000"/>
          <w:sz w:val="24"/>
          <w:szCs w:val="24"/>
          <w:lang w:eastAsia="en-US"/>
        </w:rPr>
        <w:t xml:space="preserve"> concentrations were a</w:t>
      </w:r>
      <w:r w:rsidR="00421B82">
        <w:rPr>
          <w:rFonts w:ascii="Times New Roman" w:eastAsia="Times New Roman" w:hAnsi="Times New Roman" w:cs="Times New Roman"/>
          <w:color w:val="000000"/>
          <w:sz w:val="24"/>
          <w:szCs w:val="24"/>
          <w:lang w:eastAsia="en-US"/>
        </w:rPr>
        <w:t>s low as a mean of 15.7 mg/kg DW</w:t>
      </w:r>
      <w:r w:rsidR="00A76FC9" w:rsidRPr="00F07DEB">
        <w:rPr>
          <w:rFonts w:ascii="Times New Roman" w:eastAsia="Times New Roman" w:hAnsi="Times New Roman" w:cs="Times New Roman"/>
          <w:color w:val="000000"/>
          <w:sz w:val="24"/>
          <w:szCs w:val="24"/>
          <w:lang w:eastAsia="en-US"/>
        </w:rPr>
        <w:t xml:space="preserve"> in mine water-irrigated sorghum l</w:t>
      </w:r>
      <w:r w:rsidR="002E56C1">
        <w:rPr>
          <w:rFonts w:ascii="Times New Roman" w:eastAsia="Times New Roman" w:hAnsi="Times New Roman" w:cs="Times New Roman"/>
          <w:color w:val="000000"/>
          <w:sz w:val="24"/>
          <w:szCs w:val="24"/>
          <w:lang w:eastAsia="en-US"/>
        </w:rPr>
        <w:t>eaves and</w:t>
      </w:r>
      <w:r w:rsidR="00421B82">
        <w:rPr>
          <w:rFonts w:ascii="Times New Roman" w:eastAsia="Times New Roman" w:hAnsi="Times New Roman" w:cs="Times New Roman"/>
          <w:color w:val="000000"/>
          <w:sz w:val="24"/>
          <w:szCs w:val="24"/>
          <w:lang w:eastAsia="en-US"/>
        </w:rPr>
        <w:t xml:space="preserve"> a</w:t>
      </w:r>
      <w:r w:rsidR="00571EA2">
        <w:rPr>
          <w:rFonts w:ascii="Times New Roman" w:eastAsia="Times New Roman" w:hAnsi="Times New Roman" w:cs="Times New Roman"/>
          <w:color w:val="000000"/>
          <w:sz w:val="24"/>
          <w:szCs w:val="24"/>
          <w:lang w:eastAsia="en-US"/>
        </w:rPr>
        <w:t>s</w:t>
      </w:r>
      <w:r w:rsidR="00421B82">
        <w:rPr>
          <w:rFonts w:ascii="Times New Roman" w:eastAsia="Times New Roman" w:hAnsi="Times New Roman" w:cs="Times New Roman"/>
          <w:color w:val="000000"/>
          <w:sz w:val="24"/>
          <w:szCs w:val="24"/>
          <w:lang w:eastAsia="en-US"/>
        </w:rPr>
        <w:t xml:space="preserve"> high </w:t>
      </w:r>
      <w:r w:rsidR="00571EA2">
        <w:rPr>
          <w:rFonts w:ascii="Times New Roman" w:eastAsia="Times New Roman" w:hAnsi="Times New Roman" w:cs="Times New Roman"/>
          <w:color w:val="000000"/>
          <w:sz w:val="24"/>
          <w:szCs w:val="24"/>
          <w:lang w:eastAsia="en-US"/>
        </w:rPr>
        <w:t xml:space="preserve">as a mean </w:t>
      </w:r>
      <w:r w:rsidR="00421B82">
        <w:rPr>
          <w:rFonts w:ascii="Times New Roman" w:eastAsia="Times New Roman" w:hAnsi="Times New Roman" w:cs="Times New Roman"/>
          <w:color w:val="000000"/>
          <w:sz w:val="24"/>
          <w:szCs w:val="24"/>
          <w:lang w:eastAsia="en-US"/>
        </w:rPr>
        <w:t>of 76.8 mg/kg DW</w:t>
      </w:r>
      <w:r w:rsidR="00A76FC9" w:rsidRPr="00F07DEB">
        <w:rPr>
          <w:rFonts w:ascii="Times New Roman" w:eastAsia="Times New Roman" w:hAnsi="Times New Roman" w:cs="Times New Roman"/>
          <w:color w:val="000000"/>
          <w:sz w:val="24"/>
          <w:szCs w:val="24"/>
          <w:lang w:eastAsia="en-US"/>
        </w:rPr>
        <w:t xml:space="preserve"> in mine water-irrigated Bermuda grass from the first harvest. In any case, </w:t>
      </w:r>
      <w:proofErr w:type="spellStart"/>
      <w:r w:rsidR="009678A2">
        <w:rPr>
          <w:rFonts w:ascii="Times New Roman" w:eastAsia="Times New Roman" w:hAnsi="Times New Roman" w:cs="Times New Roman"/>
          <w:color w:val="000000"/>
          <w:sz w:val="24"/>
          <w:szCs w:val="24"/>
          <w:lang w:eastAsia="en-US"/>
        </w:rPr>
        <w:t>Mn</w:t>
      </w:r>
      <w:proofErr w:type="spellEnd"/>
      <w:r w:rsidR="00A76FC9" w:rsidRPr="00F07DEB">
        <w:rPr>
          <w:rFonts w:ascii="Times New Roman" w:eastAsia="Times New Roman" w:hAnsi="Times New Roman" w:cs="Times New Roman"/>
          <w:color w:val="000000"/>
          <w:sz w:val="24"/>
          <w:szCs w:val="24"/>
          <w:lang w:eastAsia="en-US"/>
        </w:rPr>
        <w:t xml:space="preserve"> was neither toxic nor deficient in the sampled plants. </w:t>
      </w:r>
    </w:p>
    <w:p w14:paraId="099BCFC8" w14:textId="5E3FF694" w:rsidR="00A5313B" w:rsidRPr="00F07DEB" w:rsidRDefault="00641E6D" w:rsidP="002514A7">
      <w:pPr>
        <w:spacing w:line="480" w:lineRule="auto"/>
        <w:ind w:firstLine="713"/>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 xml:space="preserve">The increased accumulations of Ni, </w:t>
      </w:r>
      <w:proofErr w:type="spellStart"/>
      <w:r>
        <w:rPr>
          <w:rFonts w:ascii="Times New Roman" w:eastAsia="Times New Roman" w:hAnsi="Times New Roman" w:cs="Times New Roman"/>
          <w:color w:val="000000"/>
          <w:sz w:val="24"/>
          <w:szCs w:val="24"/>
          <w:lang w:eastAsia="en-US"/>
        </w:rPr>
        <w:t>Pb</w:t>
      </w:r>
      <w:proofErr w:type="spellEnd"/>
      <w:r>
        <w:rPr>
          <w:rFonts w:ascii="Times New Roman" w:eastAsia="Times New Roman" w:hAnsi="Times New Roman" w:cs="Times New Roman"/>
          <w:color w:val="000000"/>
          <w:sz w:val="24"/>
          <w:szCs w:val="24"/>
          <w:lang w:eastAsia="en-US"/>
        </w:rPr>
        <w:t xml:space="preserve">, and Zn in some structures as a result of groundwater irrigation despite statistically similar or, in the case of Ni, greater concentrations in mine water could be explained by the irrigation water salinities. A study of salt-tolerant plant species found that moderately saline irrigation waters increased bioaccumulation of Cd, Cr, Ni, and Na relative to the non-salinized control, whereas high salinity waters apparently activated an exclusionary mechanism that reduced metal uptake and translocation </w:t>
      </w:r>
      <w:r>
        <w:rPr>
          <w:rFonts w:ascii="Times New Roman" w:eastAsia="Times New Roman" w:hAnsi="Times New Roman" w:cs="Times New Roman"/>
          <w:color w:val="000000"/>
          <w:sz w:val="24"/>
          <w:szCs w:val="24"/>
          <w:lang w:eastAsia="en-US"/>
        </w:rPr>
        <w:fldChar w:fldCharType="begin"/>
      </w:r>
      <w:r w:rsidR="00375B31">
        <w:rPr>
          <w:rFonts w:ascii="Times New Roman" w:eastAsia="Times New Roman" w:hAnsi="Times New Roman" w:cs="Times New Roman"/>
          <w:color w:val="000000"/>
          <w:sz w:val="24"/>
          <w:szCs w:val="24"/>
          <w:lang w:eastAsia="en-US"/>
        </w:rPr>
        <w:instrText xml:space="preserve"> ADDIN ZOTERO_ITEM CSL_CITATION {"citationID":"a1l7h1i0qps","properties":{"formattedCitation":"(Zurayk et al., 2001, p.)","plainCitation":"(Zurayk et al., 2001, p.)","dontUpdate":true,"noteIndex":0},"citationItems":[{"id":956,"uris":["http://zotero.org/users/5446453/items/SB8VJNVB"],"uri":["http://zotero.org/users/5446453/items/SB8VJNVB"],"itemData":{"id":956,"type":"article-journal","abstract":"The concurrent effect of NaCl salinity and heavy metals [cadmium (Cd), chromium (Cr) and nickel (Ni)] on growth, sodium (Na), and heavy metal accumulation was assessed in four salt tolerant plant species. These were: barley (Hordeum vulgare L.), purslane (Portulaca oleracea L.), Inula crithmoides L., and Plantago coronopus L., all of which have documented potential for use in saline agriculture. Plants were grown in perlite and irrigated with salinized and non-salinized nutrient solutions (9 dS m−1 and 18 dS m−1) containing 2 ppm Cd, 4 ppm Cr, 10 ppm Ni, and a non-metal control. Salinity, Cd, and Ni caused a significant decrease in the dry biomass accumulation of P. oleracea, but had no effects on other plant species. Sodium accumulation was highest in P. coronopus and I. crithmoides, indicating pronounced halophytic properties. The presence of heavy metals reduced Na accumulation in H. vulgare and P. oleracea, but had no effect on P. coronopus and I. crithmoides, indicating that the Na-heavy metal interaction is plant-specific. Metal accumulation in the four plant species was generally enhanced by the 9 dS m−1 treatment, but not by the 18 dS m−1 treatment. This could indicate the presence of an ionic exclusion mechanism operating at high salinity levels that would operate indiscriminately on Na as well as on Cd, Cr, and Ni","container-title":"Journal of Plant Nutrition","DOI":"10.1081/PLN-100107311","ISSN":"0190-4167","issue":"11","note":"publisher: Taylor &amp; Francis\n_eprint: https://doi.org/10.1081/PLN-100107311","page":"1773-1786","source":"Taylor and Francis+NEJM","title":"Salinity-Heavy Metal Interactions in Four Salt-Tolerant Plant Species","volume":"24","author":[{"family":"Zurayk","given":"R. A."},{"family":"Khoury","given":"N. F."},{"family":"Talhouk","given":"S. N."},{"family":"Baalbaki","given":"R. Z."}],"issued":{"date-parts":[["2001",12,31]]}},"locator":"-"}],"schema":"https://github.com/citation-style-language/schema/raw/master/csl-citation.json"} </w:instrText>
      </w:r>
      <w:r>
        <w:rPr>
          <w:rFonts w:ascii="Times New Roman" w:eastAsia="Times New Roman" w:hAnsi="Times New Roman" w:cs="Times New Roman"/>
          <w:color w:val="000000"/>
          <w:sz w:val="24"/>
          <w:szCs w:val="24"/>
          <w:lang w:eastAsia="en-US"/>
        </w:rPr>
        <w:fldChar w:fldCharType="separate"/>
      </w:r>
      <w:r w:rsidRPr="00641E6D">
        <w:rPr>
          <w:rFonts w:ascii="Times New Roman" w:hAnsi="Times New Roman" w:cs="Times New Roman"/>
          <w:sz w:val="24"/>
          <w:szCs w:val="24"/>
        </w:rPr>
        <w:t>(Zurayk et al., 2001)</w:t>
      </w:r>
      <w:r>
        <w:rPr>
          <w:rFonts w:ascii="Times New Roman" w:eastAsia="Times New Roman" w:hAnsi="Times New Roman" w:cs="Times New Roman"/>
          <w:color w:val="000000"/>
          <w:sz w:val="24"/>
          <w:szCs w:val="24"/>
          <w:lang w:eastAsia="en-US"/>
        </w:rPr>
        <w:fldChar w:fldCharType="end"/>
      </w:r>
      <w:r>
        <w:rPr>
          <w:rFonts w:ascii="Times New Roman" w:eastAsia="Times New Roman" w:hAnsi="Times New Roman" w:cs="Times New Roman"/>
          <w:color w:val="000000"/>
          <w:sz w:val="24"/>
          <w:szCs w:val="24"/>
          <w:lang w:eastAsia="en-US"/>
        </w:rPr>
        <w:t xml:space="preserve">. The authors theorized that the purported chemical or biological adjustment to elevated soil water salinity was intended to restrict Na accumulation but incidentally excluded the other metals </w:t>
      </w:r>
      <w:r>
        <w:rPr>
          <w:rFonts w:ascii="Times New Roman" w:eastAsia="Times New Roman" w:hAnsi="Times New Roman" w:cs="Times New Roman"/>
          <w:color w:val="000000"/>
          <w:sz w:val="24"/>
          <w:szCs w:val="24"/>
          <w:lang w:eastAsia="en-US"/>
        </w:rPr>
        <w:fldChar w:fldCharType="begin"/>
      </w:r>
      <w:r w:rsidR="00375B31">
        <w:rPr>
          <w:rFonts w:ascii="Times New Roman" w:eastAsia="Times New Roman" w:hAnsi="Times New Roman" w:cs="Times New Roman"/>
          <w:color w:val="000000"/>
          <w:sz w:val="24"/>
          <w:szCs w:val="24"/>
          <w:lang w:eastAsia="en-US"/>
        </w:rPr>
        <w:instrText xml:space="preserve"> ADDIN ZOTERO_ITEM CSL_CITATION {"citationID":"a2517o6a7i8","properties":{"formattedCitation":"(Zurayk et al., 2001)","plainCitation":"(Zurayk et al., 2001)","noteIndex":0},"citationItems":[{"id":956,"uris":["http://zotero.org/users/5446453/items/SB8VJNVB"],"uri":["http://zotero.org/users/5446453/items/SB8VJNVB"],"itemData":{"id":956,"type":"article-journal","abstract":"The concurrent effect of NaCl salinity and heavy metals [cadmium (Cd), chromium (Cr) and nickel (Ni)] on growth, sodium (Na), and heavy metal accumulation was assessed in four salt tolerant plant species. These were: barley (Hordeum vulgare L.), purslane (Portulaca oleracea L.), Inula crithmoides L., and Plantago coronopus L., all of which have documented potential for use in saline agriculture. Plants were grown in perlite and irrigated with salinized and non-salinized nutrient solutions (9 dS m−1 and 18 dS m−1) containing 2 ppm Cd, 4 ppm Cr, 10 ppm Ni, and a non-metal control. Salinity, Cd, and Ni caused a significant decrease in the dry biomass accumulation of P. oleracea, but had no effects on other plant species. Sodium accumulation was highest in P. coronopus and I. crithmoides, indicating pronounced halophytic properties. The presence of heavy metals reduced Na accumulation in H. vulgare and P. oleracea, but had no effect on P. coronopus and I. crithmoides, indicating that the Na-heavy metal interaction is plant-specific. Metal accumulation in the four plant species was generally enhanced by the 9 dS m−1 treatment, but not by the 18 dS m−1 treatment. This could indicate the presence of an ionic exclusion mechanism operating at high salinity levels that would operate indiscriminately on Na as well as on Cd, Cr, and Ni","container-title":"Journal of Plant Nutrition","DOI":"10.1081/PLN-100107311","ISSN":"0190-4167","issue":"11","note":"publisher: Taylor &amp; Francis\n_eprint: https://doi.org/10.1081/PLN-100107311","page":"1773-1786","source":"Taylor and Francis+NEJM","title":"Salinity-Heavy Metal Interactions in Four Salt-Tolerant Plant Species","volume":"24","author":[{"family":"Zurayk","given":"R. A."},{"family":"Khoury","given":"N. F."},{"family":"Talhouk","given":"S. N."},{"family":"Baalbaki","given":"R. Z."}],"issued":{"date-parts":[["2001",12,31]]}}}],"schema":"https://github.com/citation-style-language/schema/raw/master/csl-citation.json"} </w:instrText>
      </w:r>
      <w:r>
        <w:rPr>
          <w:rFonts w:ascii="Times New Roman" w:eastAsia="Times New Roman" w:hAnsi="Times New Roman" w:cs="Times New Roman"/>
          <w:color w:val="000000"/>
          <w:sz w:val="24"/>
          <w:szCs w:val="24"/>
          <w:lang w:eastAsia="en-US"/>
        </w:rPr>
        <w:fldChar w:fldCharType="separate"/>
      </w:r>
      <w:r w:rsidR="00375B31" w:rsidRPr="00375B31">
        <w:rPr>
          <w:rFonts w:ascii="Times New Roman" w:hAnsi="Times New Roman" w:cs="Times New Roman"/>
          <w:sz w:val="24"/>
          <w:szCs w:val="24"/>
        </w:rPr>
        <w:t>(Zurayk et al., 2001)</w:t>
      </w:r>
      <w:r>
        <w:rPr>
          <w:rFonts w:ascii="Times New Roman" w:eastAsia="Times New Roman" w:hAnsi="Times New Roman" w:cs="Times New Roman"/>
          <w:color w:val="000000"/>
          <w:sz w:val="24"/>
          <w:szCs w:val="24"/>
          <w:lang w:eastAsia="en-US"/>
        </w:rPr>
        <w:fldChar w:fldCharType="end"/>
      </w:r>
      <w:r>
        <w:rPr>
          <w:rFonts w:ascii="Times New Roman" w:eastAsia="Times New Roman" w:hAnsi="Times New Roman" w:cs="Times New Roman"/>
          <w:color w:val="000000"/>
          <w:sz w:val="24"/>
          <w:szCs w:val="24"/>
          <w:lang w:eastAsia="en-US"/>
        </w:rPr>
        <w:t xml:space="preserve">. </w:t>
      </w:r>
      <w:r w:rsidR="008072BF">
        <w:rPr>
          <w:rFonts w:ascii="Times New Roman" w:eastAsia="Times New Roman" w:hAnsi="Times New Roman" w:cs="Times New Roman"/>
          <w:color w:val="000000"/>
          <w:sz w:val="24"/>
          <w:szCs w:val="24"/>
          <w:lang w:eastAsia="en-US"/>
        </w:rPr>
        <w:t xml:space="preserve">Perhaps then the increased Ni, </w:t>
      </w:r>
      <w:proofErr w:type="spellStart"/>
      <w:r w:rsidR="008072BF">
        <w:rPr>
          <w:rFonts w:ascii="Times New Roman" w:eastAsia="Times New Roman" w:hAnsi="Times New Roman" w:cs="Times New Roman"/>
          <w:color w:val="000000"/>
          <w:sz w:val="24"/>
          <w:szCs w:val="24"/>
          <w:lang w:eastAsia="en-US"/>
        </w:rPr>
        <w:t>Pb</w:t>
      </w:r>
      <w:proofErr w:type="spellEnd"/>
      <w:r w:rsidR="008072BF">
        <w:rPr>
          <w:rFonts w:ascii="Times New Roman" w:eastAsia="Times New Roman" w:hAnsi="Times New Roman" w:cs="Times New Roman"/>
          <w:color w:val="000000"/>
          <w:sz w:val="24"/>
          <w:szCs w:val="24"/>
          <w:lang w:eastAsia="en-US"/>
        </w:rPr>
        <w:t>, and Zn accumulations under groundwater irrigation would be better reframed as decreased accumulations during irrigation with high salinity mine water.</w:t>
      </w:r>
    </w:p>
    <w:p w14:paraId="15BBBECD" w14:textId="74C04D92" w:rsidR="00527CF1" w:rsidRPr="00F07DEB" w:rsidRDefault="00527CF1">
      <w:pPr>
        <w:rPr>
          <w:rFonts w:ascii="Times New Roman" w:eastAsia="Times New Roman" w:hAnsi="Times New Roman" w:cs="Times New Roman"/>
          <w:color w:val="000000"/>
          <w:sz w:val="24"/>
          <w:szCs w:val="24"/>
          <w:lang w:eastAsia="en-US"/>
        </w:rPr>
      </w:pPr>
    </w:p>
    <w:p w14:paraId="2786CFC5" w14:textId="77777777" w:rsidR="002514A7" w:rsidRPr="00F07DEB" w:rsidRDefault="002514A7" w:rsidP="00157A16">
      <w:pPr>
        <w:spacing w:line="480" w:lineRule="auto"/>
        <w:ind w:firstLine="713"/>
        <w:rPr>
          <w:rFonts w:ascii="Times New Roman" w:eastAsia="Times New Roman" w:hAnsi="Times New Roman" w:cs="Times New Roman"/>
          <w:color w:val="000000"/>
          <w:sz w:val="24"/>
          <w:szCs w:val="24"/>
          <w:lang w:eastAsia="en-US"/>
        </w:rPr>
      </w:pPr>
    </w:p>
    <w:p w14:paraId="791AC184" w14:textId="447C0CCD" w:rsidR="00042C57" w:rsidRPr="00F07DEB" w:rsidRDefault="00042C57" w:rsidP="00527CF1">
      <w:pPr>
        <w:rPr>
          <w:rFonts w:ascii="Times New Roman" w:eastAsia="Times New Roman" w:hAnsi="Times New Roman" w:cs="Times New Roman"/>
          <w:color w:val="000000"/>
          <w:sz w:val="24"/>
          <w:szCs w:val="24"/>
          <w:lang w:eastAsia="en-US"/>
        </w:rPr>
        <w:sectPr w:rsidR="00042C57" w:rsidRPr="00F07DEB" w:rsidSect="00FF5DF8">
          <w:pgSz w:w="12240" w:h="15840"/>
          <w:pgMar w:top="1440" w:right="1440" w:bottom="1440" w:left="1440" w:header="720" w:footer="720" w:gutter="0"/>
          <w:cols w:space="720"/>
          <w:docGrid w:linePitch="360"/>
        </w:sectPr>
      </w:pPr>
    </w:p>
    <w:p w14:paraId="16820C48" w14:textId="7EF2C632" w:rsidR="00267E65" w:rsidRPr="00F07DEB" w:rsidRDefault="00267E65" w:rsidP="00204C13">
      <w:pPr>
        <w:pStyle w:val="Caption"/>
      </w:pPr>
      <w:bookmarkStart w:id="130" w:name="_Ref56140022"/>
      <w:bookmarkStart w:id="131" w:name="_Toc58975202"/>
      <w:r w:rsidRPr="00F07DEB">
        <w:lastRenderedPageBreak/>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16</w:t>
      </w:r>
      <w:r w:rsidR="00DE3B90" w:rsidRPr="00F07DEB">
        <w:rPr>
          <w:noProof/>
        </w:rPr>
        <w:fldChar w:fldCharType="end"/>
      </w:r>
      <w:bookmarkEnd w:id="130"/>
      <w:r w:rsidRPr="00F07DEB">
        <w:rPr>
          <w:noProof/>
        </w:rPr>
        <w:t xml:space="preserve">: </w:t>
      </w:r>
      <w:r w:rsidR="000B31CB" w:rsidRPr="00F07DEB">
        <w:rPr>
          <w:noProof/>
        </w:rPr>
        <w:t>Mixed ANOVA m</w:t>
      </w:r>
      <w:r w:rsidRPr="00F07DEB">
        <w:rPr>
          <w:noProof/>
        </w:rPr>
        <w:t xml:space="preserve">ain effects and interaction effects </w:t>
      </w:r>
      <w:r w:rsidR="00174B08" w:rsidRPr="00F07DEB">
        <w:rPr>
          <w:noProof/>
        </w:rPr>
        <w:t>of treatment and plant structure on corn metal uptake</w:t>
      </w:r>
      <w:bookmarkEnd w:id="131"/>
    </w:p>
    <w:tbl>
      <w:tblPr>
        <w:tblW w:w="13021" w:type="dxa"/>
        <w:tblLook w:val="04A0" w:firstRow="1" w:lastRow="0" w:firstColumn="1" w:lastColumn="0" w:noHBand="0" w:noVBand="1"/>
      </w:tblPr>
      <w:tblGrid>
        <w:gridCol w:w="1163"/>
        <w:gridCol w:w="700"/>
        <w:gridCol w:w="672"/>
        <w:gridCol w:w="893"/>
        <w:gridCol w:w="1124"/>
        <w:gridCol w:w="266"/>
        <w:gridCol w:w="1200"/>
        <w:gridCol w:w="774"/>
        <w:gridCol w:w="930"/>
        <w:gridCol w:w="1124"/>
        <w:gridCol w:w="266"/>
        <w:gridCol w:w="1234"/>
        <w:gridCol w:w="672"/>
        <w:gridCol w:w="879"/>
        <w:gridCol w:w="1124"/>
      </w:tblGrid>
      <w:tr w:rsidR="00C570FD" w:rsidRPr="00F07DEB" w14:paraId="1252084B" w14:textId="77777777" w:rsidTr="005E78D9">
        <w:trPr>
          <w:trHeight w:val="292"/>
        </w:trPr>
        <w:tc>
          <w:tcPr>
            <w:tcW w:w="1163" w:type="dxa"/>
            <w:tcBorders>
              <w:top w:val="single" w:sz="8" w:space="0" w:color="auto"/>
              <w:left w:val="nil"/>
              <w:bottom w:val="nil"/>
              <w:right w:val="nil"/>
            </w:tcBorders>
            <w:shd w:val="clear" w:color="auto" w:fill="auto"/>
            <w:noWrap/>
            <w:vAlign w:val="center"/>
            <w:hideMark/>
          </w:tcPr>
          <w:p w14:paraId="3B550A56" w14:textId="1C624B51" w:rsidR="009102CB" w:rsidRPr="00F07DEB" w:rsidRDefault="009102CB" w:rsidP="009102CB">
            <w:pPr>
              <w:spacing w:after="0" w:line="240" w:lineRule="auto"/>
              <w:rPr>
                <w:rFonts w:ascii="Times New Roman" w:eastAsia="Times New Roman" w:hAnsi="Times New Roman" w:cs="Times New Roman"/>
                <w:sz w:val="24"/>
                <w:szCs w:val="24"/>
                <w:lang w:eastAsia="en-US"/>
              </w:rPr>
            </w:pPr>
          </w:p>
        </w:tc>
        <w:tc>
          <w:tcPr>
            <w:tcW w:w="3389" w:type="dxa"/>
            <w:gridSpan w:val="4"/>
            <w:tcBorders>
              <w:top w:val="single" w:sz="8" w:space="0" w:color="auto"/>
              <w:left w:val="nil"/>
              <w:bottom w:val="single" w:sz="8" w:space="0" w:color="auto"/>
              <w:right w:val="nil"/>
            </w:tcBorders>
            <w:shd w:val="clear" w:color="auto" w:fill="auto"/>
            <w:noWrap/>
            <w:vAlign w:val="center"/>
            <w:hideMark/>
          </w:tcPr>
          <w:p w14:paraId="487A472E" w14:textId="77777777" w:rsidR="009102CB" w:rsidRPr="00F07DEB" w:rsidRDefault="009102CB" w:rsidP="009102CB">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Treatment</w:t>
            </w:r>
          </w:p>
        </w:tc>
        <w:tc>
          <w:tcPr>
            <w:tcW w:w="266" w:type="dxa"/>
            <w:tcBorders>
              <w:top w:val="single" w:sz="8" w:space="0" w:color="auto"/>
              <w:left w:val="nil"/>
              <w:bottom w:val="nil"/>
              <w:right w:val="nil"/>
            </w:tcBorders>
            <w:shd w:val="clear" w:color="auto" w:fill="auto"/>
            <w:noWrap/>
            <w:vAlign w:val="center"/>
            <w:hideMark/>
          </w:tcPr>
          <w:p w14:paraId="1609838F" w14:textId="77777777" w:rsidR="009102CB" w:rsidRPr="00F07DEB" w:rsidRDefault="009102CB" w:rsidP="009102CB">
            <w:pPr>
              <w:spacing w:after="0" w:line="240" w:lineRule="auto"/>
              <w:jc w:val="center"/>
              <w:rPr>
                <w:rFonts w:ascii="Times New Roman" w:eastAsia="Times New Roman" w:hAnsi="Times New Roman" w:cs="Times New Roman"/>
                <w:color w:val="000000"/>
                <w:sz w:val="20"/>
                <w:szCs w:val="20"/>
                <w:lang w:eastAsia="en-US"/>
              </w:rPr>
            </w:pPr>
          </w:p>
        </w:tc>
        <w:tc>
          <w:tcPr>
            <w:tcW w:w="4028" w:type="dxa"/>
            <w:gridSpan w:val="4"/>
            <w:tcBorders>
              <w:top w:val="single" w:sz="8" w:space="0" w:color="auto"/>
              <w:left w:val="nil"/>
              <w:bottom w:val="single" w:sz="8" w:space="0" w:color="auto"/>
              <w:right w:val="nil"/>
            </w:tcBorders>
            <w:shd w:val="clear" w:color="auto" w:fill="auto"/>
            <w:noWrap/>
            <w:vAlign w:val="center"/>
            <w:hideMark/>
          </w:tcPr>
          <w:p w14:paraId="0608C23F" w14:textId="48C4CA55" w:rsidR="009102CB" w:rsidRPr="00F07DEB" w:rsidRDefault="007A6D40" w:rsidP="009102CB">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Structure</w:t>
            </w:r>
          </w:p>
        </w:tc>
        <w:tc>
          <w:tcPr>
            <w:tcW w:w="266" w:type="dxa"/>
            <w:tcBorders>
              <w:top w:val="single" w:sz="8" w:space="0" w:color="auto"/>
              <w:left w:val="nil"/>
              <w:bottom w:val="nil"/>
              <w:right w:val="nil"/>
            </w:tcBorders>
            <w:shd w:val="clear" w:color="auto" w:fill="auto"/>
            <w:noWrap/>
            <w:vAlign w:val="center"/>
            <w:hideMark/>
          </w:tcPr>
          <w:p w14:paraId="19108E55" w14:textId="77777777" w:rsidR="009102CB" w:rsidRPr="00F07DEB" w:rsidRDefault="009102CB" w:rsidP="009102CB">
            <w:pPr>
              <w:spacing w:after="0" w:line="240" w:lineRule="auto"/>
              <w:jc w:val="center"/>
              <w:rPr>
                <w:rFonts w:ascii="Times New Roman" w:eastAsia="Times New Roman" w:hAnsi="Times New Roman" w:cs="Times New Roman"/>
                <w:color w:val="000000"/>
                <w:sz w:val="20"/>
                <w:szCs w:val="20"/>
                <w:lang w:eastAsia="en-US"/>
              </w:rPr>
            </w:pPr>
          </w:p>
        </w:tc>
        <w:tc>
          <w:tcPr>
            <w:tcW w:w="3909" w:type="dxa"/>
            <w:gridSpan w:val="4"/>
            <w:tcBorders>
              <w:top w:val="single" w:sz="8" w:space="0" w:color="auto"/>
              <w:left w:val="nil"/>
              <w:bottom w:val="single" w:sz="8" w:space="0" w:color="auto"/>
              <w:right w:val="nil"/>
            </w:tcBorders>
            <w:shd w:val="clear" w:color="auto" w:fill="auto"/>
            <w:noWrap/>
            <w:vAlign w:val="center"/>
            <w:hideMark/>
          </w:tcPr>
          <w:p w14:paraId="2B310322" w14:textId="40930635" w:rsidR="009102CB" w:rsidRPr="00F07DEB" w:rsidRDefault="0027109A" w:rsidP="007A6D4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Treatment </w:t>
            </w:r>
            <m:oMath>
              <m:r>
                <w:rPr>
                  <w:rFonts w:ascii="Cambria Math" w:eastAsia="Times New Roman" w:hAnsi="Cambria Math" w:cs="Times New Roman"/>
                  <w:color w:val="000000"/>
                  <w:sz w:val="20"/>
                  <w:szCs w:val="20"/>
                  <w:lang w:eastAsia="en-US"/>
                </w:rPr>
                <m:t>×</m:t>
              </m:r>
            </m:oMath>
            <w:r w:rsidRPr="00F07DEB">
              <w:rPr>
                <w:rFonts w:ascii="Times New Roman" w:eastAsia="Times New Roman" w:hAnsi="Times New Roman" w:cs="Times New Roman"/>
                <w:color w:val="000000"/>
                <w:sz w:val="20"/>
                <w:szCs w:val="20"/>
                <w:lang w:eastAsia="en-US"/>
              </w:rPr>
              <w:t xml:space="preserve"> </w:t>
            </w:r>
            <w:r w:rsidR="007A6D40" w:rsidRPr="00F07DEB">
              <w:rPr>
                <w:rFonts w:ascii="Times New Roman" w:eastAsia="Times New Roman" w:hAnsi="Times New Roman" w:cs="Times New Roman"/>
                <w:color w:val="000000"/>
                <w:sz w:val="20"/>
                <w:szCs w:val="20"/>
                <w:lang w:eastAsia="en-US"/>
              </w:rPr>
              <w:t>Structure</w:t>
            </w:r>
          </w:p>
        </w:tc>
      </w:tr>
      <w:tr w:rsidR="009102CB" w:rsidRPr="00F07DEB" w14:paraId="011BDABB" w14:textId="77777777" w:rsidTr="005E78D9">
        <w:trPr>
          <w:trHeight w:val="292"/>
        </w:trPr>
        <w:tc>
          <w:tcPr>
            <w:tcW w:w="1163" w:type="dxa"/>
            <w:tcBorders>
              <w:top w:val="nil"/>
              <w:left w:val="nil"/>
              <w:bottom w:val="single" w:sz="8" w:space="0" w:color="auto"/>
              <w:right w:val="nil"/>
            </w:tcBorders>
            <w:shd w:val="clear" w:color="auto" w:fill="auto"/>
            <w:noWrap/>
            <w:vAlign w:val="center"/>
            <w:hideMark/>
          </w:tcPr>
          <w:p w14:paraId="7014F006" w14:textId="77777777" w:rsidR="009102CB" w:rsidRPr="00F07DEB" w:rsidRDefault="009102CB" w:rsidP="009102CB">
            <w:pPr>
              <w:spacing w:after="0" w:line="240" w:lineRule="auto"/>
              <w:rPr>
                <w:rFonts w:ascii="Times New Roman" w:eastAsia="Times New Roman" w:hAnsi="Times New Roman" w:cs="Times New Roman"/>
                <w:color w:val="000000"/>
                <w:lang w:eastAsia="en-US"/>
              </w:rPr>
            </w:pPr>
            <w:r w:rsidRPr="00F07DEB">
              <w:rPr>
                <w:rFonts w:ascii="Times New Roman" w:eastAsia="Times New Roman" w:hAnsi="Times New Roman" w:cs="Times New Roman"/>
                <w:color w:val="000000"/>
                <w:lang w:eastAsia="en-US"/>
              </w:rPr>
              <w:t>Parameter</w:t>
            </w:r>
          </w:p>
        </w:tc>
        <w:tc>
          <w:tcPr>
            <w:tcW w:w="700" w:type="dxa"/>
            <w:tcBorders>
              <w:top w:val="nil"/>
              <w:left w:val="nil"/>
              <w:bottom w:val="single" w:sz="8" w:space="0" w:color="auto"/>
              <w:right w:val="nil"/>
            </w:tcBorders>
            <w:shd w:val="clear" w:color="auto" w:fill="auto"/>
            <w:noWrap/>
            <w:vAlign w:val="center"/>
            <w:hideMark/>
          </w:tcPr>
          <w:p w14:paraId="6E48FAA8" w14:textId="77777777" w:rsidR="009102CB" w:rsidRPr="00F07DEB" w:rsidRDefault="009102CB" w:rsidP="009102CB">
            <w:pPr>
              <w:spacing w:after="0" w:line="240" w:lineRule="auto"/>
              <w:rPr>
                <w:rFonts w:ascii="Times New Roman" w:eastAsia="Times New Roman" w:hAnsi="Times New Roman" w:cs="Times New Roman"/>
                <w:i/>
                <w:iCs/>
                <w:color w:val="000000"/>
                <w:sz w:val="20"/>
                <w:szCs w:val="20"/>
                <w:lang w:eastAsia="en-US"/>
              </w:rPr>
            </w:pPr>
            <w:proofErr w:type="spellStart"/>
            <w:r w:rsidRPr="00F07DEB">
              <w:rPr>
                <w:rFonts w:ascii="Times New Roman" w:eastAsia="Times New Roman" w:hAnsi="Times New Roman" w:cs="Times New Roman"/>
                <w:i/>
                <w:iCs/>
                <w:color w:val="000000"/>
                <w:sz w:val="20"/>
                <w:szCs w:val="20"/>
                <w:lang w:eastAsia="en-US"/>
              </w:rPr>
              <w:t>df</w:t>
            </w:r>
            <w:proofErr w:type="spellEnd"/>
          </w:p>
        </w:tc>
        <w:tc>
          <w:tcPr>
            <w:tcW w:w="672" w:type="dxa"/>
            <w:tcBorders>
              <w:top w:val="nil"/>
              <w:left w:val="nil"/>
              <w:bottom w:val="single" w:sz="8" w:space="0" w:color="auto"/>
              <w:right w:val="nil"/>
            </w:tcBorders>
            <w:shd w:val="clear" w:color="auto" w:fill="auto"/>
            <w:noWrap/>
            <w:vAlign w:val="center"/>
            <w:hideMark/>
          </w:tcPr>
          <w:p w14:paraId="00C4EF34" w14:textId="77777777" w:rsidR="009102CB" w:rsidRPr="00F07DEB" w:rsidRDefault="009102CB" w:rsidP="009102CB">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F</w:t>
            </w:r>
          </w:p>
        </w:tc>
        <w:tc>
          <w:tcPr>
            <w:tcW w:w="893" w:type="dxa"/>
            <w:tcBorders>
              <w:top w:val="nil"/>
              <w:left w:val="nil"/>
              <w:bottom w:val="single" w:sz="8" w:space="0" w:color="auto"/>
              <w:right w:val="nil"/>
            </w:tcBorders>
            <w:shd w:val="clear" w:color="auto" w:fill="auto"/>
            <w:noWrap/>
            <w:vAlign w:val="center"/>
            <w:hideMark/>
          </w:tcPr>
          <w:p w14:paraId="1E194E39" w14:textId="77777777" w:rsidR="009102CB" w:rsidRPr="00F07DEB" w:rsidRDefault="009102CB" w:rsidP="009102CB">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124" w:type="dxa"/>
            <w:tcBorders>
              <w:top w:val="nil"/>
              <w:left w:val="nil"/>
              <w:bottom w:val="single" w:sz="8" w:space="0" w:color="auto"/>
              <w:right w:val="nil"/>
            </w:tcBorders>
            <w:shd w:val="clear" w:color="auto" w:fill="auto"/>
            <w:noWrap/>
            <w:vAlign w:val="center"/>
            <w:hideMark/>
          </w:tcPr>
          <w:p w14:paraId="4BDA9A41" w14:textId="77777777" w:rsidR="009102CB" w:rsidRPr="00F07DEB" w:rsidRDefault="009102CB" w:rsidP="009102CB">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c>
          <w:tcPr>
            <w:tcW w:w="266" w:type="dxa"/>
            <w:tcBorders>
              <w:top w:val="nil"/>
              <w:left w:val="nil"/>
              <w:bottom w:val="single" w:sz="8" w:space="0" w:color="auto"/>
              <w:right w:val="nil"/>
            </w:tcBorders>
            <w:shd w:val="clear" w:color="auto" w:fill="auto"/>
            <w:noWrap/>
            <w:vAlign w:val="center"/>
            <w:hideMark/>
          </w:tcPr>
          <w:p w14:paraId="1C5C81C6" w14:textId="77777777" w:rsidR="009102CB" w:rsidRPr="00F07DEB" w:rsidRDefault="009102CB" w:rsidP="009102CB">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00" w:type="dxa"/>
            <w:tcBorders>
              <w:top w:val="nil"/>
              <w:left w:val="nil"/>
              <w:bottom w:val="single" w:sz="8" w:space="0" w:color="auto"/>
              <w:right w:val="nil"/>
            </w:tcBorders>
            <w:shd w:val="clear" w:color="auto" w:fill="auto"/>
            <w:noWrap/>
            <w:vAlign w:val="center"/>
            <w:hideMark/>
          </w:tcPr>
          <w:p w14:paraId="23EB561C" w14:textId="77777777" w:rsidR="009102CB" w:rsidRPr="00F07DEB" w:rsidRDefault="009102CB" w:rsidP="009102CB">
            <w:pPr>
              <w:spacing w:after="0" w:line="240" w:lineRule="auto"/>
              <w:rPr>
                <w:rFonts w:ascii="Times New Roman" w:eastAsia="Times New Roman" w:hAnsi="Times New Roman" w:cs="Times New Roman"/>
                <w:i/>
                <w:iCs/>
                <w:color w:val="000000"/>
                <w:sz w:val="20"/>
                <w:szCs w:val="20"/>
                <w:lang w:eastAsia="en-US"/>
              </w:rPr>
            </w:pPr>
            <w:proofErr w:type="spellStart"/>
            <w:r w:rsidRPr="00F07DEB">
              <w:rPr>
                <w:rFonts w:ascii="Times New Roman" w:eastAsia="Times New Roman" w:hAnsi="Times New Roman" w:cs="Times New Roman"/>
                <w:i/>
                <w:iCs/>
                <w:color w:val="000000"/>
                <w:sz w:val="20"/>
                <w:szCs w:val="20"/>
                <w:lang w:eastAsia="en-US"/>
              </w:rPr>
              <w:t>df</w:t>
            </w:r>
            <w:proofErr w:type="spellEnd"/>
          </w:p>
        </w:tc>
        <w:tc>
          <w:tcPr>
            <w:tcW w:w="774" w:type="dxa"/>
            <w:tcBorders>
              <w:top w:val="nil"/>
              <w:left w:val="nil"/>
              <w:bottom w:val="single" w:sz="8" w:space="0" w:color="auto"/>
              <w:right w:val="nil"/>
            </w:tcBorders>
            <w:shd w:val="clear" w:color="auto" w:fill="auto"/>
            <w:noWrap/>
            <w:vAlign w:val="center"/>
            <w:hideMark/>
          </w:tcPr>
          <w:p w14:paraId="16532719" w14:textId="77777777" w:rsidR="009102CB" w:rsidRPr="00F07DEB" w:rsidRDefault="009102CB" w:rsidP="009102CB">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F</w:t>
            </w:r>
          </w:p>
        </w:tc>
        <w:tc>
          <w:tcPr>
            <w:tcW w:w="930" w:type="dxa"/>
            <w:tcBorders>
              <w:top w:val="nil"/>
              <w:left w:val="nil"/>
              <w:bottom w:val="single" w:sz="8" w:space="0" w:color="auto"/>
              <w:right w:val="nil"/>
            </w:tcBorders>
            <w:shd w:val="clear" w:color="auto" w:fill="auto"/>
            <w:noWrap/>
            <w:vAlign w:val="center"/>
            <w:hideMark/>
          </w:tcPr>
          <w:p w14:paraId="0F0FA308" w14:textId="77777777" w:rsidR="009102CB" w:rsidRPr="00F07DEB" w:rsidRDefault="009102CB" w:rsidP="009102CB">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124" w:type="dxa"/>
            <w:tcBorders>
              <w:top w:val="nil"/>
              <w:left w:val="nil"/>
              <w:bottom w:val="single" w:sz="8" w:space="0" w:color="auto"/>
              <w:right w:val="nil"/>
            </w:tcBorders>
            <w:shd w:val="clear" w:color="auto" w:fill="auto"/>
            <w:noWrap/>
            <w:vAlign w:val="center"/>
            <w:hideMark/>
          </w:tcPr>
          <w:p w14:paraId="65EE1F2E" w14:textId="77777777" w:rsidR="009102CB" w:rsidRPr="00F07DEB" w:rsidRDefault="009102CB" w:rsidP="009102CB">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c>
          <w:tcPr>
            <w:tcW w:w="266" w:type="dxa"/>
            <w:tcBorders>
              <w:top w:val="nil"/>
              <w:left w:val="nil"/>
              <w:bottom w:val="single" w:sz="8" w:space="0" w:color="auto"/>
              <w:right w:val="nil"/>
            </w:tcBorders>
            <w:shd w:val="clear" w:color="auto" w:fill="auto"/>
            <w:noWrap/>
            <w:vAlign w:val="center"/>
            <w:hideMark/>
          </w:tcPr>
          <w:p w14:paraId="7B2F072B" w14:textId="77777777" w:rsidR="009102CB" w:rsidRPr="00F07DEB" w:rsidRDefault="009102CB" w:rsidP="009102CB">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34" w:type="dxa"/>
            <w:tcBorders>
              <w:top w:val="nil"/>
              <w:left w:val="nil"/>
              <w:bottom w:val="single" w:sz="8" w:space="0" w:color="auto"/>
              <w:right w:val="nil"/>
            </w:tcBorders>
            <w:shd w:val="clear" w:color="auto" w:fill="auto"/>
            <w:noWrap/>
            <w:vAlign w:val="center"/>
            <w:hideMark/>
          </w:tcPr>
          <w:p w14:paraId="5632E632" w14:textId="77777777" w:rsidR="009102CB" w:rsidRPr="00F07DEB" w:rsidRDefault="009102CB" w:rsidP="009102CB">
            <w:pPr>
              <w:spacing w:after="0" w:line="240" w:lineRule="auto"/>
              <w:rPr>
                <w:rFonts w:ascii="Times New Roman" w:eastAsia="Times New Roman" w:hAnsi="Times New Roman" w:cs="Times New Roman"/>
                <w:i/>
                <w:iCs/>
                <w:color w:val="000000"/>
                <w:sz w:val="20"/>
                <w:szCs w:val="20"/>
                <w:lang w:eastAsia="en-US"/>
              </w:rPr>
            </w:pPr>
            <w:proofErr w:type="spellStart"/>
            <w:r w:rsidRPr="00F07DEB">
              <w:rPr>
                <w:rFonts w:ascii="Times New Roman" w:eastAsia="Times New Roman" w:hAnsi="Times New Roman" w:cs="Times New Roman"/>
                <w:i/>
                <w:iCs/>
                <w:color w:val="000000"/>
                <w:sz w:val="20"/>
                <w:szCs w:val="20"/>
                <w:lang w:eastAsia="en-US"/>
              </w:rPr>
              <w:t>df</w:t>
            </w:r>
            <w:proofErr w:type="spellEnd"/>
          </w:p>
        </w:tc>
        <w:tc>
          <w:tcPr>
            <w:tcW w:w="672" w:type="dxa"/>
            <w:tcBorders>
              <w:top w:val="nil"/>
              <w:left w:val="nil"/>
              <w:bottom w:val="single" w:sz="8" w:space="0" w:color="auto"/>
              <w:right w:val="nil"/>
            </w:tcBorders>
            <w:shd w:val="clear" w:color="auto" w:fill="auto"/>
            <w:noWrap/>
            <w:vAlign w:val="center"/>
            <w:hideMark/>
          </w:tcPr>
          <w:p w14:paraId="79B5E374" w14:textId="77777777" w:rsidR="009102CB" w:rsidRPr="00F07DEB" w:rsidRDefault="009102CB" w:rsidP="009102CB">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F</w:t>
            </w:r>
          </w:p>
        </w:tc>
        <w:tc>
          <w:tcPr>
            <w:tcW w:w="879" w:type="dxa"/>
            <w:tcBorders>
              <w:top w:val="nil"/>
              <w:left w:val="nil"/>
              <w:bottom w:val="single" w:sz="8" w:space="0" w:color="auto"/>
              <w:right w:val="nil"/>
            </w:tcBorders>
            <w:shd w:val="clear" w:color="auto" w:fill="auto"/>
            <w:noWrap/>
            <w:vAlign w:val="center"/>
            <w:hideMark/>
          </w:tcPr>
          <w:p w14:paraId="51E3CA6E" w14:textId="77777777" w:rsidR="009102CB" w:rsidRPr="00F07DEB" w:rsidRDefault="009102CB" w:rsidP="009102CB">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124" w:type="dxa"/>
            <w:tcBorders>
              <w:top w:val="nil"/>
              <w:left w:val="nil"/>
              <w:bottom w:val="single" w:sz="8" w:space="0" w:color="auto"/>
              <w:right w:val="nil"/>
            </w:tcBorders>
            <w:shd w:val="clear" w:color="auto" w:fill="auto"/>
            <w:noWrap/>
            <w:vAlign w:val="center"/>
            <w:hideMark/>
          </w:tcPr>
          <w:p w14:paraId="2AD9D061" w14:textId="77777777" w:rsidR="009102CB" w:rsidRPr="00F07DEB" w:rsidRDefault="009102CB" w:rsidP="009102CB">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r>
      <w:tr w:rsidR="002C0B8A" w:rsidRPr="00F07DEB" w14:paraId="1CC0291A" w14:textId="77777777" w:rsidTr="000D21DD">
        <w:trPr>
          <w:trHeight w:val="292"/>
        </w:trPr>
        <w:tc>
          <w:tcPr>
            <w:tcW w:w="1163" w:type="dxa"/>
            <w:tcBorders>
              <w:top w:val="nil"/>
              <w:left w:val="nil"/>
              <w:bottom w:val="nil"/>
              <w:right w:val="nil"/>
            </w:tcBorders>
            <w:shd w:val="clear" w:color="auto" w:fill="auto"/>
            <w:noWrap/>
            <w:vAlign w:val="center"/>
            <w:hideMark/>
          </w:tcPr>
          <w:p w14:paraId="24A2E1F8" w14:textId="77777777" w:rsidR="002C0B8A" w:rsidRPr="00F07DEB" w:rsidRDefault="002C0B8A" w:rsidP="000D21DD">
            <w:pPr>
              <w:spacing w:after="0" w:line="240" w:lineRule="auto"/>
              <w:rPr>
                <w:rFonts w:ascii="Times New Roman" w:eastAsia="Times New Roman" w:hAnsi="Times New Roman" w:cs="Times New Roman"/>
                <w:color w:val="000000"/>
                <w:lang w:eastAsia="en-US"/>
              </w:rPr>
            </w:pPr>
            <w:r w:rsidRPr="00F07DEB">
              <w:rPr>
                <w:rFonts w:ascii="Times New Roman" w:eastAsia="Times New Roman" w:hAnsi="Times New Roman" w:cs="Times New Roman"/>
                <w:color w:val="000000"/>
                <w:lang w:eastAsia="en-US"/>
              </w:rPr>
              <w:t>Ca</w:t>
            </w:r>
          </w:p>
        </w:tc>
        <w:tc>
          <w:tcPr>
            <w:tcW w:w="700" w:type="dxa"/>
            <w:tcBorders>
              <w:top w:val="nil"/>
              <w:left w:val="nil"/>
              <w:bottom w:val="nil"/>
              <w:right w:val="nil"/>
            </w:tcBorders>
            <w:shd w:val="clear" w:color="auto" w:fill="auto"/>
            <w:noWrap/>
            <w:vAlign w:val="center"/>
            <w:hideMark/>
          </w:tcPr>
          <w:p w14:paraId="17C3BD1E" w14:textId="11ADC926"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4B3AD498" w14:textId="5564D23F"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2.60</w:t>
            </w:r>
          </w:p>
        </w:tc>
        <w:tc>
          <w:tcPr>
            <w:tcW w:w="893" w:type="dxa"/>
            <w:tcBorders>
              <w:top w:val="nil"/>
              <w:left w:val="nil"/>
              <w:bottom w:val="nil"/>
              <w:right w:val="nil"/>
            </w:tcBorders>
            <w:shd w:val="clear" w:color="auto" w:fill="auto"/>
            <w:noWrap/>
            <w:vAlign w:val="center"/>
            <w:hideMark/>
          </w:tcPr>
          <w:p w14:paraId="2AFA9F41" w14:textId="69372356"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0.138</w:t>
            </w:r>
          </w:p>
        </w:tc>
        <w:tc>
          <w:tcPr>
            <w:tcW w:w="1124" w:type="dxa"/>
            <w:tcBorders>
              <w:top w:val="nil"/>
              <w:left w:val="nil"/>
              <w:bottom w:val="nil"/>
              <w:right w:val="nil"/>
            </w:tcBorders>
            <w:shd w:val="clear" w:color="auto" w:fill="auto"/>
            <w:noWrap/>
            <w:vAlign w:val="center"/>
            <w:hideMark/>
          </w:tcPr>
          <w:p w14:paraId="6BBC3C1B" w14:textId="379B4D22"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0.206</w:t>
            </w:r>
          </w:p>
        </w:tc>
        <w:tc>
          <w:tcPr>
            <w:tcW w:w="266" w:type="dxa"/>
            <w:tcBorders>
              <w:top w:val="nil"/>
              <w:left w:val="nil"/>
              <w:bottom w:val="nil"/>
              <w:right w:val="nil"/>
            </w:tcBorders>
            <w:shd w:val="clear" w:color="auto" w:fill="auto"/>
            <w:noWrap/>
            <w:vAlign w:val="center"/>
            <w:hideMark/>
          </w:tcPr>
          <w:p w14:paraId="2F5ABA31"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46A5B04F" w14:textId="5C39D766"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(1.72,17.16)</w:t>
            </w:r>
          </w:p>
        </w:tc>
        <w:tc>
          <w:tcPr>
            <w:tcW w:w="774" w:type="dxa"/>
            <w:tcBorders>
              <w:top w:val="nil"/>
              <w:left w:val="nil"/>
              <w:bottom w:val="nil"/>
              <w:right w:val="nil"/>
            </w:tcBorders>
            <w:shd w:val="clear" w:color="auto" w:fill="auto"/>
            <w:noWrap/>
            <w:vAlign w:val="center"/>
            <w:hideMark/>
          </w:tcPr>
          <w:p w14:paraId="5D699D9D" w14:textId="2B30227B"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93.76</w:t>
            </w:r>
          </w:p>
        </w:tc>
        <w:tc>
          <w:tcPr>
            <w:tcW w:w="930" w:type="dxa"/>
            <w:tcBorders>
              <w:top w:val="nil"/>
              <w:left w:val="nil"/>
              <w:bottom w:val="nil"/>
              <w:right w:val="nil"/>
            </w:tcBorders>
            <w:shd w:val="clear" w:color="auto" w:fill="auto"/>
            <w:noWrap/>
            <w:vAlign w:val="center"/>
            <w:hideMark/>
          </w:tcPr>
          <w:p w14:paraId="37D084D9" w14:textId="67D999F5"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5585597D" w14:textId="2FD81012"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0.904</w:t>
            </w:r>
          </w:p>
        </w:tc>
        <w:tc>
          <w:tcPr>
            <w:tcW w:w="266" w:type="dxa"/>
            <w:tcBorders>
              <w:top w:val="nil"/>
              <w:left w:val="nil"/>
              <w:bottom w:val="nil"/>
              <w:right w:val="nil"/>
            </w:tcBorders>
            <w:shd w:val="clear" w:color="auto" w:fill="auto"/>
            <w:noWrap/>
            <w:vAlign w:val="center"/>
            <w:hideMark/>
          </w:tcPr>
          <w:p w14:paraId="77C6F662"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26E715F9" w14:textId="41E41396"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(1.72,17.16)</w:t>
            </w:r>
          </w:p>
        </w:tc>
        <w:tc>
          <w:tcPr>
            <w:tcW w:w="672" w:type="dxa"/>
            <w:tcBorders>
              <w:top w:val="nil"/>
              <w:left w:val="nil"/>
              <w:bottom w:val="nil"/>
              <w:right w:val="nil"/>
            </w:tcBorders>
            <w:shd w:val="clear" w:color="auto" w:fill="auto"/>
            <w:noWrap/>
            <w:vAlign w:val="center"/>
            <w:hideMark/>
          </w:tcPr>
          <w:p w14:paraId="0A42BB6A" w14:textId="7DB81D9F"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4.43</w:t>
            </w:r>
          </w:p>
        </w:tc>
        <w:tc>
          <w:tcPr>
            <w:tcW w:w="879" w:type="dxa"/>
            <w:tcBorders>
              <w:top w:val="nil"/>
              <w:left w:val="nil"/>
              <w:bottom w:val="nil"/>
              <w:right w:val="nil"/>
            </w:tcBorders>
            <w:shd w:val="clear" w:color="auto" w:fill="auto"/>
            <w:noWrap/>
            <w:vAlign w:val="center"/>
            <w:hideMark/>
          </w:tcPr>
          <w:p w14:paraId="3D1C8FB3" w14:textId="32BA1A0D"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0.033</w:t>
            </w:r>
          </w:p>
        </w:tc>
        <w:tc>
          <w:tcPr>
            <w:tcW w:w="1124" w:type="dxa"/>
            <w:tcBorders>
              <w:top w:val="nil"/>
              <w:left w:val="nil"/>
              <w:bottom w:val="nil"/>
              <w:right w:val="nil"/>
            </w:tcBorders>
            <w:shd w:val="clear" w:color="auto" w:fill="auto"/>
            <w:noWrap/>
            <w:vAlign w:val="center"/>
            <w:hideMark/>
          </w:tcPr>
          <w:p w14:paraId="0BC196BB" w14:textId="3EB0E7CA"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0.307</w:t>
            </w:r>
          </w:p>
        </w:tc>
      </w:tr>
      <w:tr w:rsidR="002C0B8A" w:rsidRPr="00F07DEB" w14:paraId="198022DE" w14:textId="77777777" w:rsidTr="000D21DD">
        <w:trPr>
          <w:trHeight w:val="292"/>
        </w:trPr>
        <w:tc>
          <w:tcPr>
            <w:tcW w:w="1163" w:type="dxa"/>
            <w:tcBorders>
              <w:top w:val="nil"/>
              <w:left w:val="nil"/>
              <w:bottom w:val="nil"/>
              <w:right w:val="nil"/>
            </w:tcBorders>
            <w:shd w:val="clear" w:color="auto" w:fill="auto"/>
            <w:noWrap/>
            <w:vAlign w:val="center"/>
            <w:hideMark/>
          </w:tcPr>
          <w:p w14:paraId="12F58185" w14:textId="77777777" w:rsidR="002C0B8A" w:rsidRPr="00F07DEB" w:rsidRDefault="002C0B8A" w:rsidP="000D21DD">
            <w:pPr>
              <w:spacing w:after="0" w:line="240" w:lineRule="auto"/>
              <w:rPr>
                <w:rFonts w:ascii="Times New Roman" w:eastAsia="Times New Roman" w:hAnsi="Times New Roman" w:cs="Times New Roman"/>
                <w:color w:val="000000"/>
                <w:lang w:eastAsia="en-US"/>
              </w:rPr>
            </w:pPr>
            <w:r w:rsidRPr="00F07DEB">
              <w:rPr>
                <w:rFonts w:ascii="Times New Roman" w:eastAsia="Times New Roman" w:hAnsi="Times New Roman" w:cs="Times New Roman"/>
                <w:color w:val="000000"/>
                <w:lang w:eastAsia="en-US"/>
              </w:rPr>
              <w:t>Cd</w:t>
            </w:r>
          </w:p>
        </w:tc>
        <w:tc>
          <w:tcPr>
            <w:tcW w:w="700" w:type="dxa"/>
            <w:tcBorders>
              <w:top w:val="nil"/>
              <w:left w:val="nil"/>
              <w:bottom w:val="nil"/>
              <w:right w:val="nil"/>
            </w:tcBorders>
            <w:shd w:val="clear" w:color="auto" w:fill="auto"/>
            <w:noWrap/>
            <w:vAlign w:val="center"/>
            <w:hideMark/>
          </w:tcPr>
          <w:p w14:paraId="6F769232" w14:textId="0D4598D2"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32D381EC" w14:textId="3F936F6F"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0.04</w:t>
            </w:r>
          </w:p>
        </w:tc>
        <w:tc>
          <w:tcPr>
            <w:tcW w:w="893" w:type="dxa"/>
            <w:tcBorders>
              <w:top w:val="nil"/>
              <w:left w:val="nil"/>
              <w:bottom w:val="nil"/>
              <w:right w:val="nil"/>
            </w:tcBorders>
            <w:shd w:val="clear" w:color="auto" w:fill="auto"/>
            <w:noWrap/>
            <w:vAlign w:val="center"/>
            <w:hideMark/>
          </w:tcPr>
          <w:p w14:paraId="772C1B04" w14:textId="681784C0"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0.848</w:t>
            </w:r>
          </w:p>
        </w:tc>
        <w:tc>
          <w:tcPr>
            <w:tcW w:w="1124" w:type="dxa"/>
            <w:tcBorders>
              <w:top w:val="nil"/>
              <w:left w:val="nil"/>
              <w:bottom w:val="nil"/>
              <w:right w:val="nil"/>
            </w:tcBorders>
            <w:shd w:val="clear" w:color="auto" w:fill="auto"/>
            <w:noWrap/>
            <w:vAlign w:val="center"/>
            <w:hideMark/>
          </w:tcPr>
          <w:p w14:paraId="721551F3" w14:textId="3B67A6C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0.004</w:t>
            </w:r>
          </w:p>
        </w:tc>
        <w:tc>
          <w:tcPr>
            <w:tcW w:w="266" w:type="dxa"/>
            <w:tcBorders>
              <w:top w:val="nil"/>
              <w:left w:val="nil"/>
              <w:bottom w:val="nil"/>
              <w:right w:val="nil"/>
            </w:tcBorders>
            <w:shd w:val="clear" w:color="auto" w:fill="auto"/>
            <w:noWrap/>
            <w:vAlign w:val="center"/>
            <w:hideMark/>
          </w:tcPr>
          <w:p w14:paraId="36F5CDE4"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0EE86BFD" w14:textId="4FA882F3"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(2.77,27.71)</w:t>
            </w:r>
          </w:p>
        </w:tc>
        <w:tc>
          <w:tcPr>
            <w:tcW w:w="774" w:type="dxa"/>
            <w:tcBorders>
              <w:top w:val="nil"/>
              <w:left w:val="nil"/>
              <w:bottom w:val="nil"/>
              <w:right w:val="nil"/>
            </w:tcBorders>
            <w:shd w:val="clear" w:color="auto" w:fill="auto"/>
            <w:noWrap/>
            <w:vAlign w:val="center"/>
            <w:hideMark/>
          </w:tcPr>
          <w:p w14:paraId="05837951" w14:textId="3F31613B"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50.22</w:t>
            </w:r>
          </w:p>
        </w:tc>
        <w:tc>
          <w:tcPr>
            <w:tcW w:w="930" w:type="dxa"/>
            <w:tcBorders>
              <w:top w:val="nil"/>
              <w:left w:val="nil"/>
              <w:bottom w:val="nil"/>
              <w:right w:val="nil"/>
            </w:tcBorders>
            <w:shd w:val="clear" w:color="auto" w:fill="auto"/>
            <w:noWrap/>
            <w:vAlign w:val="center"/>
            <w:hideMark/>
          </w:tcPr>
          <w:p w14:paraId="1FD1D8F1" w14:textId="1D24D3A5"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507C5816" w14:textId="075FDE58"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0.834</w:t>
            </w:r>
          </w:p>
        </w:tc>
        <w:tc>
          <w:tcPr>
            <w:tcW w:w="266" w:type="dxa"/>
            <w:tcBorders>
              <w:top w:val="nil"/>
              <w:left w:val="nil"/>
              <w:bottom w:val="nil"/>
              <w:right w:val="nil"/>
            </w:tcBorders>
            <w:shd w:val="clear" w:color="auto" w:fill="auto"/>
            <w:noWrap/>
            <w:vAlign w:val="center"/>
            <w:hideMark/>
          </w:tcPr>
          <w:p w14:paraId="4D4C2938"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7DD63264" w14:textId="7FC43C2D"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(2.77,27.71)</w:t>
            </w:r>
          </w:p>
        </w:tc>
        <w:tc>
          <w:tcPr>
            <w:tcW w:w="672" w:type="dxa"/>
            <w:tcBorders>
              <w:top w:val="nil"/>
              <w:left w:val="nil"/>
              <w:bottom w:val="nil"/>
              <w:right w:val="nil"/>
            </w:tcBorders>
            <w:shd w:val="clear" w:color="auto" w:fill="auto"/>
            <w:noWrap/>
            <w:vAlign w:val="center"/>
            <w:hideMark/>
          </w:tcPr>
          <w:p w14:paraId="1D58197F" w14:textId="539683C4"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3.59</w:t>
            </w:r>
          </w:p>
        </w:tc>
        <w:tc>
          <w:tcPr>
            <w:tcW w:w="879" w:type="dxa"/>
            <w:tcBorders>
              <w:top w:val="nil"/>
              <w:left w:val="nil"/>
              <w:bottom w:val="nil"/>
              <w:right w:val="nil"/>
            </w:tcBorders>
            <w:shd w:val="clear" w:color="auto" w:fill="auto"/>
            <w:noWrap/>
            <w:vAlign w:val="center"/>
            <w:hideMark/>
          </w:tcPr>
          <w:p w14:paraId="57D6D7A8" w14:textId="3CB61109"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0.029</w:t>
            </w:r>
          </w:p>
        </w:tc>
        <w:tc>
          <w:tcPr>
            <w:tcW w:w="1124" w:type="dxa"/>
            <w:tcBorders>
              <w:top w:val="nil"/>
              <w:left w:val="nil"/>
              <w:bottom w:val="nil"/>
              <w:right w:val="nil"/>
            </w:tcBorders>
            <w:shd w:val="clear" w:color="auto" w:fill="auto"/>
            <w:noWrap/>
            <w:vAlign w:val="center"/>
            <w:hideMark/>
          </w:tcPr>
          <w:p w14:paraId="681C1C8C" w14:textId="5062B74C"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0.264</w:t>
            </w:r>
          </w:p>
        </w:tc>
      </w:tr>
      <w:tr w:rsidR="002C0B8A" w:rsidRPr="00F07DEB" w14:paraId="4272DD86" w14:textId="77777777" w:rsidTr="000D21DD">
        <w:trPr>
          <w:trHeight w:val="292"/>
        </w:trPr>
        <w:tc>
          <w:tcPr>
            <w:tcW w:w="1163" w:type="dxa"/>
            <w:tcBorders>
              <w:top w:val="nil"/>
              <w:left w:val="nil"/>
              <w:bottom w:val="nil"/>
              <w:right w:val="nil"/>
            </w:tcBorders>
            <w:shd w:val="clear" w:color="auto" w:fill="auto"/>
            <w:noWrap/>
            <w:vAlign w:val="center"/>
            <w:hideMark/>
          </w:tcPr>
          <w:p w14:paraId="63C669BA" w14:textId="77777777" w:rsidR="002C0B8A" w:rsidRPr="00F07DEB" w:rsidRDefault="002C0B8A" w:rsidP="000D21DD">
            <w:pPr>
              <w:spacing w:after="0" w:line="240" w:lineRule="auto"/>
              <w:rPr>
                <w:rFonts w:ascii="Times New Roman" w:eastAsia="Times New Roman" w:hAnsi="Times New Roman" w:cs="Times New Roman"/>
                <w:color w:val="000000"/>
                <w:lang w:eastAsia="en-US"/>
              </w:rPr>
            </w:pPr>
            <w:r w:rsidRPr="00F07DEB">
              <w:rPr>
                <w:rFonts w:ascii="Times New Roman" w:eastAsia="Times New Roman" w:hAnsi="Times New Roman" w:cs="Times New Roman"/>
                <w:color w:val="000000"/>
                <w:lang w:eastAsia="en-US"/>
              </w:rPr>
              <w:t>Fe</w:t>
            </w:r>
          </w:p>
        </w:tc>
        <w:tc>
          <w:tcPr>
            <w:tcW w:w="700" w:type="dxa"/>
            <w:tcBorders>
              <w:top w:val="nil"/>
              <w:left w:val="nil"/>
              <w:bottom w:val="nil"/>
              <w:right w:val="nil"/>
            </w:tcBorders>
            <w:shd w:val="clear" w:color="auto" w:fill="auto"/>
            <w:noWrap/>
            <w:vAlign w:val="center"/>
            <w:hideMark/>
          </w:tcPr>
          <w:p w14:paraId="4DD2DE8F" w14:textId="16DB5FD1"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2DB0F38F" w14:textId="4F6BB8B9"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3.65</w:t>
            </w:r>
          </w:p>
        </w:tc>
        <w:tc>
          <w:tcPr>
            <w:tcW w:w="893" w:type="dxa"/>
            <w:tcBorders>
              <w:top w:val="nil"/>
              <w:left w:val="nil"/>
              <w:bottom w:val="nil"/>
              <w:right w:val="nil"/>
            </w:tcBorders>
            <w:shd w:val="clear" w:color="auto" w:fill="auto"/>
            <w:noWrap/>
            <w:vAlign w:val="center"/>
            <w:hideMark/>
          </w:tcPr>
          <w:p w14:paraId="787C8618" w14:textId="27F58973"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color w:val="000000"/>
                <w:sz w:val="20"/>
                <w:szCs w:val="20"/>
              </w:rPr>
              <w:t>0.085</w:t>
            </w:r>
          </w:p>
        </w:tc>
        <w:tc>
          <w:tcPr>
            <w:tcW w:w="1124" w:type="dxa"/>
            <w:tcBorders>
              <w:top w:val="nil"/>
              <w:left w:val="nil"/>
              <w:bottom w:val="nil"/>
              <w:right w:val="nil"/>
            </w:tcBorders>
            <w:shd w:val="clear" w:color="auto" w:fill="auto"/>
            <w:noWrap/>
            <w:vAlign w:val="center"/>
            <w:hideMark/>
          </w:tcPr>
          <w:p w14:paraId="5C313C0E" w14:textId="451E5F1C"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0.267</w:t>
            </w:r>
          </w:p>
        </w:tc>
        <w:tc>
          <w:tcPr>
            <w:tcW w:w="266" w:type="dxa"/>
            <w:tcBorders>
              <w:top w:val="nil"/>
              <w:left w:val="nil"/>
              <w:bottom w:val="nil"/>
              <w:right w:val="nil"/>
            </w:tcBorders>
            <w:shd w:val="clear" w:color="auto" w:fill="auto"/>
            <w:noWrap/>
            <w:vAlign w:val="center"/>
            <w:hideMark/>
          </w:tcPr>
          <w:p w14:paraId="67D9D04E"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2A193DC4" w14:textId="0B556881"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(2.81,28.08)</w:t>
            </w:r>
          </w:p>
        </w:tc>
        <w:tc>
          <w:tcPr>
            <w:tcW w:w="774" w:type="dxa"/>
            <w:tcBorders>
              <w:top w:val="nil"/>
              <w:left w:val="nil"/>
              <w:bottom w:val="nil"/>
              <w:right w:val="nil"/>
            </w:tcBorders>
            <w:shd w:val="clear" w:color="auto" w:fill="auto"/>
            <w:noWrap/>
            <w:vAlign w:val="center"/>
            <w:hideMark/>
          </w:tcPr>
          <w:p w14:paraId="25636497" w14:textId="448F5696"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83.33</w:t>
            </w:r>
          </w:p>
        </w:tc>
        <w:tc>
          <w:tcPr>
            <w:tcW w:w="930" w:type="dxa"/>
            <w:tcBorders>
              <w:top w:val="nil"/>
              <w:left w:val="nil"/>
              <w:bottom w:val="nil"/>
              <w:right w:val="nil"/>
            </w:tcBorders>
            <w:shd w:val="clear" w:color="auto" w:fill="auto"/>
            <w:noWrap/>
            <w:vAlign w:val="center"/>
            <w:hideMark/>
          </w:tcPr>
          <w:p w14:paraId="7116CD45" w14:textId="054A65BF"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&lt;0.001</w:t>
            </w:r>
          </w:p>
        </w:tc>
        <w:tc>
          <w:tcPr>
            <w:tcW w:w="1124" w:type="dxa"/>
            <w:tcBorders>
              <w:top w:val="nil"/>
              <w:left w:val="nil"/>
              <w:bottom w:val="nil"/>
              <w:right w:val="nil"/>
            </w:tcBorders>
            <w:shd w:val="clear" w:color="auto" w:fill="auto"/>
            <w:noWrap/>
            <w:vAlign w:val="center"/>
            <w:hideMark/>
          </w:tcPr>
          <w:p w14:paraId="12CDB6CC" w14:textId="0A068A95"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0.893</w:t>
            </w:r>
          </w:p>
        </w:tc>
        <w:tc>
          <w:tcPr>
            <w:tcW w:w="266" w:type="dxa"/>
            <w:tcBorders>
              <w:top w:val="nil"/>
              <w:left w:val="nil"/>
              <w:bottom w:val="nil"/>
              <w:right w:val="nil"/>
            </w:tcBorders>
            <w:shd w:val="clear" w:color="auto" w:fill="auto"/>
            <w:noWrap/>
            <w:vAlign w:val="center"/>
            <w:hideMark/>
          </w:tcPr>
          <w:p w14:paraId="78EA64C8"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53294118" w14:textId="52E6313D"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(2.81,28.08)</w:t>
            </w:r>
          </w:p>
        </w:tc>
        <w:tc>
          <w:tcPr>
            <w:tcW w:w="672" w:type="dxa"/>
            <w:tcBorders>
              <w:top w:val="nil"/>
              <w:left w:val="nil"/>
              <w:bottom w:val="nil"/>
              <w:right w:val="nil"/>
            </w:tcBorders>
            <w:shd w:val="clear" w:color="auto" w:fill="auto"/>
            <w:noWrap/>
            <w:vAlign w:val="center"/>
            <w:hideMark/>
          </w:tcPr>
          <w:p w14:paraId="70B31A0C" w14:textId="4ED28339"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1.92</w:t>
            </w:r>
          </w:p>
        </w:tc>
        <w:tc>
          <w:tcPr>
            <w:tcW w:w="879" w:type="dxa"/>
            <w:tcBorders>
              <w:top w:val="nil"/>
              <w:left w:val="nil"/>
              <w:bottom w:val="nil"/>
              <w:right w:val="nil"/>
            </w:tcBorders>
            <w:shd w:val="clear" w:color="auto" w:fill="auto"/>
            <w:noWrap/>
            <w:vAlign w:val="center"/>
            <w:hideMark/>
          </w:tcPr>
          <w:p w14:paraId="21FB2085" w14:textId="28B0C7B1"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0.152</w:t>
            </w:r>
          </w:p>
        </w:tc>
        <w:tc>
          <w:tcPr>
            <w:tcW w:w="1124" w:type="dxa"/>
            <w:tcBorders>
              <w:top w:val="nil"/>
              <w:left w:val="nil"/>
              <w:bottom w:val="nil"/>
              <w:right w:val="nil"/>
            </w:tcBorders>
            <w:shd w:val="clear" w:color="auto" w:fill="auto"/>
            <w:noWrap/>
            <w:vAlign w:val="center"/>
            <w:hideMark/>
          </w:tcPr>
          <w:p w14:paraId="3A1B3FFF" w14:textId="3A161246"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0.161</w:t>
            </w:r>
          </w:p>
        </w:tc>
      </w:tr>
      <w:tr w:rsidR="002C0B8A" w:rsidRPr="00F07DEB" w14:paraId="6BE564F7" w14:textId="77777777" w:rsidTr="000D21DD">
        <w:trPr>
          <w:trHeight w:val="292"/>
        </w:trPr>
        <w:tc>
          <w:tcPr>
            <w:tcW w:w="1163" w:type="dxa"/>
            <w:tcBorders>
              <w:top w:val="nil"/>
              <w:left w:val="nil"/>
              <w:bottom w:val="nil"/>
              <w:right w:val="nil"/>
            </w:tcBorders>
            <w:shd w:val="clear" w:color="auto" w:fill="auto"/>
            <w:noWrap/>
            <w:vAlign w:val="center"/>
            <w:hideMark/>
          </w:tcPr>
          <w:p w14:paraId="4BA926E2" w14:textId="77777777" w:rsidR="002C0B8A" w:rsidRPr="00F07DEB" w:rsidRDefault="002C0B8A" w:rsidP="000D21DD">
            <w:pPr>
              <w:spacing w:after="0" w:line="240" w:lineRule="auto"/>
              <w:rPr>
                <w:rFonts w:ascii="Times New Roman" w:eastAsia="Times New Roman" w:hAnsi="Times New Roman" w:cs="Times New Roman"/>
                <w:color w:val="000000"/>
                <w:lang w:eastAsia="en-US"/>
              </w:rPr>
            </w:pPr>
            <w:r w:rsidRPr="00F07DEB">
              <w:rPr>
                <w:rFonts w:ascii="Times New Roman" w:eastAsia="Times New Roman" w:hAnsi="Times New Roman" w:cs="Times New Roman"/>
                <w:color w:val="000000"/>
                <w:lang w:eastAsia="en-US"/>
              </w:rPr>
              <w:t>K</w:t>
            </w:r>
          </w:p>
        </w:tc>
        <w:tc>
          <w:tcPr>
            <w:tcW w:w="700" w:type="dxa"/>
            <w:tcBorders>
              <w:top w:val="nil"/>
              <w:left w:val="nil"/>
              <w:bottom w:val="nil"/>
              <w:right w:val="nil"/>
            </w:tcBorders>
            <w:shd w:val="clear" w:color="auto" w:fill="auto"/>
            <w:noWrap/>
            <w:vAlign w:val="center"/>
            <w:hideMark/>
          </w:tcPr>
          <w:p w14:paraId="334597B3" w14:textId="3F9B1469"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0FD98193" w14:textId="0AE3851F"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0.76</w:t>
            </w:r>
          </w:p>
        </w:tc>
        <w:tc>
          <w:tcPr>
            <w:tcW w:w="893" w:type="dxa"/>
            <w:tcBorders>
              <w:top w:val="nil"/>
              <w:left w:val="nil"/>
              <w:bottom w:val="nil"/>
              <w:right w:val="nil"/>
            </w:tcBorders>
            <w:shd w:val="clear" w:color="auto" w:fill="auto"/>
            <w:noWrap/>
            <w:vAlign w:val="center"/>
            <w:hideMark/>
          </w:tcPr>
          <w:p w14:paraId="264CAC2F" w14:textId="46433359"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0.404</w:t>
            </w:r>
          </w:p>
        </w:tc>
        <w:tc>
          <w:tcPr>
            <w:tcW w:w="1124" w:type="dxa"/>
            <w:tcBorders>
              <w:top w:val="nil"/>
              <w:left w:val="nil"/>
              <w:bottom w:val="nil"/>
              <w:right w:val="nil"/>
            </w:tcBorders>
            <w:shd w:val="clear" w:color="auto" w:fill="auto"/>
            <w:noWrap/>
            <w:vAlign w:val="center"/>
            <w:hideMark/>
          </w:tcPr>
          <w:p w14:paraId="6676615C" w14:textId="298E76C3"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0.070</w:t>
            </w:r>
          </w:p>
        </w:tc>
        <w:tc>
          <w:tcPr>
            <w:tcW w:w="266" w:type="dxa"/>
            <w:tcBorders>
              <w:top w:val="nil"/>
              <w:left w:val="nil"/>
              <w:bottom w:val="nil"/>
              <w:right w:val="nil"/>
            </w:tcBorders>
            <w:shd w:val="clear" w:color="auto" w:fill="auto"/>
            <w:noWrap/>
            <w:vAlign w:val="center"/>
            <w:hideMark/>
          </w:tcPr>
          <w:p w14:paraId="668201E7"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248FE1F2" w14:textId="103C5313"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(1.89,18.90)</w:t>
            </w:r>
          </w:p>
        </w:tc>
        <w:tc>
          <w:tcPr>
            <w:tcW w:w="774" w:type="dxa"/>
            <w:tcBorders>
              <w:top w:val="nil"/>
              <w:left w:val="nil"/>
              <w:bottom w:val="nil"/>
              <w:right w:val="nil"/>
            </w:tcBorders>
            <w:shd w:val="clear" w:color="auto" w:fill="auto"/>
            <w:noWrap/>
            <w:vAlign w:val="center"/>
            <w:hideMark/>
          </w:tcPr>
          <w:p w14:paraId="3EDBD163" w14:textId="76F641D6"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9.45</w:t>
            </w:r>
          </w:p>
        </w:tc>
        <w:tc>
          <w:tcPr>
            <w:tcW w:w="930" w:type="dxa"/>
            <w:tcBorders>
              <w:top w:val="nil"/>
              <w:left w:val="nil"/>
              <w:bottom w:val="nil"/>
              <w:right w:val="nil"/>
            </w:tcBorders>
            <w:shd w:val="clear" w:color="auto" w:fill="auto"/>
            <w:noWrap/>
            <w:vAlign w:val="center"/>
            <w:hideMark/>
          </w:tcPr>
          <w:p w14:paraId="11FC9FF4" w14:textId="5BB1F698"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0.002</w:t>
            </w:r>
          </w:p>
        </w:tc>
        <w:tc>
          <w:tcPr>
            <w:tcW w:w="1124" w:type="dxa"/>
            <w:tcBorders>
              <w:top w:val="nil"/>
              <w:left w:val="nil"/>
              <w:bottom w:val="nil"/>
              <w:right w:val="nil"/>
            </w:tcBorders>
            <w:shd w:val="clear" w:color="auto" w:fill="auto"/>
            <w:noWrap/>
            <w:vAlign w:val="center"/>
            <w:hideMark/>
          </w:tcPr>
          <w:p w14:paraId="23911714" w14:textId="310A1CE6"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0.486</w:t>
            </w:r>
          </w:p>
        </w:tc>
        <w:tc>
          <w:tcPr>
            <w:tcW w:w="266" w:type="dxa"/>
            <w:tcBorders>
              <w:top w:val="nil"/>
              <w:left w:val="nil"/>
              <w:bottom w:val="nil"/>
              <w:right w:val="nil"/>
            </w:tcBorders>
            <w:shd w:val="clear" w:color="auto" w:fill="auto"/>
            <w:noWrap/>
            <w:vAlign w:val="center"/>
            <w:hideMark/>
          </w:tcPr>
          <w:p w14:paraId="102F2007"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7AEC6423" w14:textId="5D9DB579"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(1.89,18.90)</w:t>
            </w:r>
          </w:p>
        </w:tc>
        <w:tc>
          <w:tcPr>
            <w:tcW w:w="672" w:type="dxa"/>
            <w:tcBorders>
              <w:top w:val="nil"/>
              <w:left w:val="nil"/>
              <w:bottom w:val="nil"/>
              <w:right w:val="nil"/>
            </w:tcBorders>
            <w:shd w:val="clear" w:color="auto" w:fill="auto"/>
            <w:noWrap/>
            <w:vAlign w:val="center"/>
            <w:hideMark/>
          </w:tcPr>
          <w:p w14:paraId="59CA8A60" w14:textId="0BA692D1"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1.75</w:t>
            </w:r>
          </w:p>
        </w:tc>
        <w:tc>
          <w:tcPr>
            <w:tcW w:w="879" w:type="dxa"/>
            <w:tcBorders>
              <w:top w:val="nil"/>
              <w:left w:val="nil"/>
              <w:bottom w:val="nil"/>
              <w:right w:val="nil"/>
            </w:tcBorders>
            <w:shd w:val="clear" w:color="auto" w:fill="auto"/>
            <w:noWrap/>
            <w:vAlign w:val="center"/>
            <w:hideMark/>
          </w:tcPr>
          <w:p w14:paraId="4A2B61DC" w14:textId="0FFD7902"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0.201</w:t>
            </w:r>
          </w:p>
        </w:tc>
        <w:tc>
          <w:tcPr>
            <w:tcW w:w="1124" w:type="dxa"/>
            <w:tcBorders>
              <w:top w:val="nil"/>
              <w:left w:val="nil"/>
              <w:bottom w:val="nil"/>
              <w:right w:val="nil"/>
            </w:tcBorders>
            <w:shd w:val="clear" w:color="auto" w:fill="auto"/>
            <w:noWrap/>
            <w:vAlign w:val="center"/>
            <w:hideMark/>
          </w:tcPr>
          <w:p w14:paraId="7D561EB8" w14:textId="548E18E8"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0.149</w:t>
            </w:r>
          </w:p>
        </w:tc>
      </w:tr>
      <w:tr w:rsidR="002C0B8A" w:rsidRPr="00F07DEB" w14:paraId="08EF61B0" w14:textId="77777777" w:rsidTr="000D21DD">
        <w:trPr>
          <w:trHeight w:val="292"/>
        </w:trPr>
        <w:tc>
          <w:tcPr>
            <w:tcW w:w="1163" w:type="dxa"/>
            <w:tcBorders>
              <w:top w:val="nil"/>
              <w:left w:val="nil"/>
              <w:bottom w:val="nil"/>
              <w:right w:val="nil"/>
            </w:tcBorders>
            <w:shd w:val="clear" w:color="auto" w:fill="auto"/>
            <w:noWrap/>
            <w:vAlign w:val="center"/>
            <w:hideMark/>
          </w:tcPr>
          <w:p w14:paraId="5A5F35C4" w14:textId="77777777" w:rsidR="002C0B8A" w:rsidRPr="00F07DEB" w:rsidRDefault="002C0B8A" w:rsidP="000D21DD">
            <w:pPr>
              <w:spacing w:after="0" w:line="240" w:lineRule="auto"/>
              <w:rPr>
                <w:rFonts w:ascii="Times New Roman" w:eastAsia="Times New Roman" w:hAnsi="Times New Roman" w:cs="Times New Roman"/>
                <w:color w:val="000000"/>
                <w:lang w:eastAsia="en-US"/>
              </w:rPr>
            </w:pPr>
            <w:r w:rsidRPr="00F07DEB">
              <w:rPr>
                <w:rFonts w:ascii="Times New Roman" w:eastAsia="Times New Roman" w:hAnsi="Times New Roman" w:cs="Times New Roman"/>
                <w:color w:val="000000"/>
                <w:lang w:eastAsia="en-US"/>
              </w:rPr>
              <w:t>Mg</w:t>
            </w:r>
          </w:p>
        </w:tc>
        <w:tc>
          <w:tcPr>
            <w:tcW w:w="700" w:type="dxa"/>
            <w:tcBorders>
              <w:top w:val="nil"/>
              <w:left w:val="nil"/>
              <w:bottom w:val="nil"/>
              <w:right w:val="nil"/>
            </w:tcBorders>
            <w:shd w:val="clear" w:color="auto" w:fill="auto"/>
            <w:noWrap/>
            <w:vAlign w:val="center"/>
            <w:hideMark/>
          </w:tcPr>
          <w:p w14:paraId="119E788C" w14:textId="40CCECEA"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07834C42" w14:textId="59558EC7"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21.42</w:t>
            </w:r>
          </w:p>
        </w:tc>
        <w:tc>
          <w:tcPr>
            <w:tcW w:w="893" w:type="dxa"/>
            <w:tcBorders>
              <w:top w:val="nil"/>
              <w:left w:val="nil"/>
              <w:bottom w:val="nil"/>
              <w:right w:val="nil"/>
            </w:tcBorders>
            <w:shd w:val="clear" w:color="auto" w:fill="auto"/>
            <w:noWrap/>
            <w:vAlign w:val="center"/>
            <w:hideMark/>
          </w:tcPr>
          <w:p w14:paraId="531138B2" w14:textId="0EC6A7E8"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56B8F1C2" w14:textId="648CB02E"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0.682</w:t>
            </w:r>
          </w:p>
        </w:tc>
        <w:tc>
          <w:tcPr>
            <w:tcW w:w="266" w:type="dxa"/>
            <w:tcBorders>
              <w:top w:val="nil"/>
              <w:left w:val="nil"/>
              <w:bottom w:val="nil"/>
              <w:right w:val="nil"/>
            </w:tcBorders>
            <w:shd w:val="clear" w:color="auto" w:fill="auto"/>
            <w:noWrap/>
            <w:vAlign w:val="center"/>
            <w:hideMark/>
          </w:tcPr>
          <w:p w14:paraId="101F8B4D"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252FCB10" w14:textId="02270F09"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(2.24,22.43)</w:t>
            </w:r>
          </w:p>
        </w:tc>
        <w:tc>
          <w:tcPr>
            <w:tcW w:w="774" w:type="dxa"/>
            <w:tcBorders>
              <w:top w:val="nil"/>
              <w:left w:val="nil"/>
              <w:bottom w:val="nil"/>
              <w:right w:val="nil"/>
            </w:tcBorders>
            <w:shd w:val="clear" w:color="auto" w:fill="auto"/>
            <w:noWrap/>
            <w:vAlign w:val="center"/>
            <w:hideMark/>
          </w:tcPr>
          <w:p w14:paraId="358DE03B" w14:textId="39EF74E9"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20.52</w:t>
            </w:r>
          </w:p>
        </w:tc>
        <w:tc>
          <w:tcPr>
            <w:tcW w:w="930" w:type="dxa"/>
            <w:tcBorders>
              <w:top w:val="nil"/>
              <w:left w:val="nil"/>
              <w:bottom w:val="nil"/>
              <w:right w:val="nil"/>
            </w:tcBorders>
            <w:shd w:val="clear" w:color="auto" w:fill="auto"/>
            <w:noWrap/>
            <w:vAlign w:val="center"/>
            <w:hideMark/>
          </w:tcPr>
          <w:p w14:paraId="1EE012D9" w14:textId="637CD720"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153FD963" w14:textId="3F9A48D8"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0.672</w:t>
            </w:r>
          </w:p>
        </w:tc>
        <w:tc>
          <w:tcPr>
            <w:tcW w:w="266" w:type="dxa"/>
            <w:tcBorders>
              <w:top w:val="nil"/>
              <w:left w:val="nil"/>
              <w:bottom w:val="nil"/>
              <w:right w:val="nil"/>
            </w:tcBorders>
            <w:shd w:val="clear" w:color="auto" w:fill="auto"/>
            <w:noWrap/>
            <w:vAlign w:val="center"/>
            <w:hideMark/>
          </w:tcPr>
          <w:p w14:paraId="4D837A8A"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4800D63A" w14:textId="3DD342E2"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(2.24,22.43)</w:t>
            </w:r>
          </w:p>
        </w:tc>
        <w:tc>
          <w:tcPr>
            <w:tcW w:w="672" w:type="dxa"/>
            <w:tcBorders>
              <w:top w:val="nil"/>
              <w:left w:val="nil"/>
              <w:bottom w:val="nil"/>
              <w:right w:val="nil"/>
            </w:tcBorders>
            <w:shd w:val="clear" w:color="auto" w:fill="auto"/>
            <w:noWrap/>
            <w:vAlign w:val="center"/>
            <w:hideMark/>
          </w:tcPr>
          <w:p w14:paraId="63273D98" w14:textId="2AFA9B94"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6.42</w:t>
            </w:r>
          </w:p>
        </w:tc>
        <w:tc>
          <w:tcPr>
            <w:tcW w:w="879" w:type="dxa"/>
            <w:tcBorders>
              <w:top w:val="nil"/>
              <w:left w:val="nil"/>
              <w:bottom w:val="nil"/>
              <w:right w:val="nil"/>
            </w:tcBorders>
            <w:shd w:val="clear" w:color="auto" w:fill="auto"/>
            <w:noWrap/>
            <w:vAlign w:val="center"/>
            <w:hideMark/>
          </w:tcPr>
          <w:p w14:paraId="7372D7D7" w14:textId="0EF56E32"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0.005</w:t>
            </w:r>
          </w:p>
        </w:tc>
        <w:tc>
          <w:tcPr>
            <w:tcW w:w="1124" w:type="dxa"/>
            <w:tcBorders>
              <w:top w:val="nil"/>
              <w:left w:val="nil"/>
              <w:bottom w:val="nil"/>
              <w:right w:val="nil"/>
            </w:tcBorders>
            <w:shd w:val="clear" w:color="auto" w:fill="auto"/>
            <w:noWrap/>
            <w:vAlign w:val="center"/>
            <w:hideMark/>
          </w:tcPr>
          <w:p w14:paraId="17CF5B54" w14:textId="74120B9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0.391</w:t>
            </w:r>
          </w:p>
        </w:tc>
      </w:tr>
      <w:tr w:rsidR="002C0B8A" w:rsidRPr="00F07DEB" w14:paraId="02827575" w14:textId="77777777" w:rsidTr="000D21DD">
        <w:trPr>
          <w:trHeight w:val="292"/>
        </w:trPr>
        <w:tc>
          <w:tcPr>
            <w:tcW w:w="1163" w:type="dxa"/>
            <w:tcBorders>
              <w:top w:val="nil"/>
              <w:left w:val="nil"/>
              <w:bottom w:val="nil"/>
              <w:right w:val="nil"/>
            </w:tcBorders>
            <w:shd w:val="clear" w:color="auto" w:fill="auto"/>
            <w:noWrap/>
            <w:vAlign w:val="center"/>
            <w:hideMark/>
          </w:tcPr>
          <w:p w14:paraId="62834AF1" w14:textId="77777777" w:rsidR="002C0B8A" w:rsidRPr="00F07DEB" w:rsidRDefault="002C0B8A" w:rsidP="000D21DD">
            <w:pPr>
              <w:spacing w:after="0" w:line="240" w:lineRule="auto"/>
              <w:rPr>
                <w:rFonts w:ascii="Times New Roman" w:eastAsia="Times New Roman" w:hAnsi="Times New Roman" w:cs="Times New Roman"/>
                <w:color w:val="000000"/>
                <w:lang w:eastAsia="en-US"/>
              </w:rPr>
            </w:pPr>
            <w:proofErr w:type="spellStart"/>
            <w:r w:rsidRPr="00F07DEB">
              <w:rPr>
                <w:rFonts w:ascii="Times New Roman" w:eastAsia="Times New Roman" w:hAnsi="Times New Roman" w:cs="Times New Roman"/>
                <w:color w:val="000000"/>
                <w:lang w:eastAsia="en-US"/>
              </w:rPr>
              <w:t>Mn</w:t>
            </w:r>
            <w:proofErr w:type="spellEnd"/>
          </w:p>
        </w:tc>
        <w:tc>
          <w:tcPr>
            <w:tcW w:w="700" w:type="dxa"/>
            <w:tcBorders>
              <w:top w:val="nil"/>
              <w:left w:val="nil"/>
              <w:bottom w:val="nil"/>
              <w:right w:val="nil"/>
            </w:tcBorders>
            <w:shd w:val="clear" w:color="auto" w:fill="auto"/>
            <w:noWrap/>
            <w:vAlign w:val="center"/>
            <w:hideMark/>
          </w:tcPr>
          <w:p w14:paraId="61DEED9E" w14:textId="6AE828EB"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404EC015" w14:textId="4D956AB5"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0.92</w:t>
            </w:r>
          </w:p>
        </w:tc>
        <w:tc>
          <w:tcPr>
            <w:tcW w:w="893" w:type="dxa"/>
            <w:tcBorders>
              <w:top w:val="nil"/>
              <w:left w:val="nil"/>
              <w:bottom w:val="nil"/>
              <w:right w:val="nil"/>
            </w:tcBorders>
            <w:shd w:val="clear" w:color="auto" w:fill="auto"/>
            <w:noWrap/>
            <w:vAlign w:val="center"/>
            <w:hideMark/>
          </w:tcPr>
          <w:p w14:paraId="282BBEDF" w14:textId="3648725E"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0.361</w:t>
            </w:r>
          </w:p>
        </w:tc>
        <w:tc>
          <w:tcPr>
            <w:tcW w:w="1124" w:type="dxa"/>
            <w:tcBorders>
              <w:top w:val="nil"/>
              <w:left w:val="nil"/>
              <w:bottom w:val="nil"/>
              <w:right w:val="nil"/>
            </w:tcBorders>
            <w:shd w:val="clear" w:color="auto" w:fill="auto"/>
            <w:noWrap/>
            <w:vAlign w:val="center"/>
            <w:hideMark/>
          </w:tcPr>
          <w:p w14:paraId="3146314D" w14:textId="1ABAE505"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0.084</w:t>
            </w:r>
          </w:p>
        </w:tc>
        <w:tc>
          <w:tcPr>
            <w:tcW w:w="266" w:type="dxa"/>
            <w:tcBorders>
              <w:top w:val="nil"/>
              <w:left w:val="nil"/>
              <w:bottom w:val="nil"/>
              <w:right w:val="nil"/>
            </w:tcBorders>
            <w:shd w:val="clear" w:color="auto" w:fill="auto"/>
            <w:noWrap/>
            <w:vAlign w:val="center"/>
            <w:hideMark/>
          </w:tcPr>
          <w:p w14:paraId="6CDE2AF7"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22233753" w14:textId="40A22581"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(3.04,30.43)</w:t>
            </w:r>
          </w:p>
        </w:tc>
        <w:tc>
          <w:tcPr>
            <w:tcW w:w="774" w:type="dxa"/>
            <w:tcBorders>
              <w:top w:val="nil"/>
              <w:left w:val="nil"/>
              <w:bottom w:val="nil"/>
              <w:right w:val="nil"/>
            </w:tcBorders>
            <w:shd w:val="clear" w:color="auto" w:fill="auto"/>
            <w:noWrap/>
            <w:vAlign w:val="center"/>
            <w:hideMark/>
          </w:tcPr>
          <w:p w14:paraId="3C0E2CB7" w14:textId="4D15C502"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17.95</w:t>
            </w:r>
          </w:p>
        </w:tc>
        <w:tc>
          <w:tcPr>
            <w:tcW w:w="930" w:type="dxa"/>
            <w:tcBorders>
              <w:top w:val="nil"/>
              <w:left w:val="nil"/>
              <w:bottom w:val="nil"/>
              <w:right w:val="nil"/>
            </w:tcBorders>
            <w:shd w:val="clear" w:color="auto" w:fill="auto"/>
            <w:noWrap/>
            <w:vAlign w:val="center"/>
            <w:hideMark/>
          </w:tcPr>
          <w:p w14:paraId="06D63FDA" w14:textId="78C7E84E"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645C39BA" w14:textId="21A74A2C"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0.642</w:t>
            </w:r>
          </w:p>
        </w:tc>
        <w:tc>
          <w:tcPr>
            <w:tcW w:w="266" w:type="dxa"/>
            <w:tcBorders>
              <w:top w:val="nil"/>
              <w:left w:val="nil"/>
              <w:bottom w:val="nil"/>
              <w:right w:val="nil"/>
            </w:tcBorders>
            <w:shd w:val="clear" w:color="auto" w:fill="auto"/>
            <w:noWrap/>
            <w:vAlign w:val="center"/>
            <w:hideMark/>
          </w:tcPr>
          <w:p w14:paraId="411F82DD"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70EC4082" w14:textId="76BE85AD"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(3.04,30.43)</w:t>
            </w:r>
          </w:p>
        </w:tc>
        <w:tc>
          <w:tcPr>
            <w:tcW w:w="672" w:type="dxa"/>
            <w:tcBorders>
              <w:top w:val="nil"/>
              <w:left w:val="nil"/>
              <w:bottom w:val="nil"/>
              <w:right w:val="nil"/>
            </w:tcBorders>
            <w:shd w:val="clear" w:color="auto" w:fill="auto"/>
            <w:noWrap/>
            <w:vAlign w:val="center"/>
            <w:hideMark/>
          </w:tcPr>
          <w:p w14:paraId="3273AE78" w14:textId="5DA6F05D"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1.97</w:t>
            </w:r>
          </w:p>
        </w:tc>
        <w:tc>
          <w:tcPr>
            <w:tcW w:w="879" w:type="dxa"/>
            <w:tcBorders>
              <w:top w:val="nil"/>
              <w:left w:val="nil"/>
              <w:bottom w:val="nil"/>
              <w:right w:val="nil"/>
            </w:tcBorders>
            <w:shd w:val="clear" w:color="auto" w:fill="auto"/>
            <w:noWrap/>
            <w:vAlign w:val="center"/>
            <w:hideMark/>
          </w:tcPr>
          <w:p w14:paraId="1AF8F329" w14:textId="46095483"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0.139</w:t>
            </w:r>
          </w:p>
        </w:tc>
        <w:tc>
          <w:tcPr>
            <w:tcW w:w="1124" w:type="dxa"/>
            <w:tcBorders>
              <w:top w:val="nil"/>
              <w:left w:val="nil"/>
              <w:bottom w:val="nil"/>
              <w:right w:val="nil"/>
            </w:tcBorders>
            <w:shd w:val="clear" w:color="auto" w:fill="auto"/>
            <w:noWrap/>
            <w:vAlign w:val="center"/>
            <w:hideMark/>
          </w:tcPr>
          <w:p w14:paraId="5B951CE5" w14:textId="5343DEFD"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0.164</w:t>
            </w:r>
          </w:p>
        </w:tc>
      </w:tr>
      <w:tr w:rsidR="002C0B8A" w:rsidRPr="00F07DEB" w14:paraId="4EBD23B2" w14:textId="77777777" w:rsidTr="000D21DD">
        <w:trPr>
          <w:trHeight w:val="292"/>
        </w:trPr>
        <w:tc>
          <w:tcPr>
            <w:tcW w:w="1163" w:type="dxa"/>
            <w:tcBorders>
              <w:top w:val="nil"/>
              <w:left w:val="nil"/>
              <w:bottom w:val="nil"/>
              <w:right w:val="nil"/>
            </w:tcBorders>
            <w:shd w:val="clear" w:color="auto" w:fill="auto"/>
            <w:noWrap/>
            <w:vAlign w:val="center"/>
            <w:hideMark/>
          </w:tcPr>
          <w:p w14:paraId="61E0AB12" w14:textId="77777777" w:rsidR="002C0B8A" w:rsidRPr="00F07DEB" w:rsidRDefault="002C0B8A" w:rsidP="000D21DD">
            <w:pPr>
              <w:spacing w:after="0" w:line="240" w:lineRule="auto"/>
              <w:rPr>
                <w:rFonts w:ascii="Times New Roman" w:eastAsia="Times New Roman" w:hAnsi="Times New Roman" w:cs="Times New Roman"/>
                <w:color w:val="000000"/>
                <w:lang w:eastAsia="en-US"/>
              </w:rPr>
            </w:pPr>
            <w:r w:rsidRPr="00F07DEB">
              <w:rPr>
                <w:rFonts w:ascii="Times New Roman" w:eastAsia="Times New Roman" w:hAnsi="Times New Roman" w:cs="Times New Roman"/>
                <w:color w:val="000000"/>
                <w:lang w:eastAsia="en-US"/>
              </w:rPr>
              <w:t>Ni</w:t>
            </w:r>
          </w:p>
        </w:tc>
        <w:tc>
          <w:tcPr>
            <w:tcW w:w="700" w:type="dxa"/>
            <w:tcBorders>
              <w:top w:val="nil"/>
              <w:left w:val="nil"/>
              <w:bottom w:val="nil"/>
              <w:right w:val="nil"/>
            </w:tcBorders>
            <w:shd w:val="clear" w:color="auto" w:fill="auto"/>
            <w:noWrap/>
            <w:vAlign w:val="center"/>
            <w:hideMark/>
          </w:tcPr>
          <w:p w14:paraId="030FB9C5" w14:textId="223D421D"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0D567816" w14:textId="55FB432B"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0.14</w:t>
            </w:r>
          </w:p>
        </w:tc>
        <w:tc>
          <w:tcPr>
            <w:tcW w:w="893" w:type="dxa"/>
            <w:tcBorders>
              <w:top w:val="nil"/>
              <w:left w:val="nil"/>
              <w:bottom w:val="nil"/>
              <w:right w:val="nil"/>
            </w:tcBorders>
            <w:shd w:val="clear" w:color="auto" w:fill="auto"/>
            <w:noWrap/>
            <w:vAlign w:val="center"/>
            <w:hideMark/>
          </w:tcPr>
          <w:p w14:paraId="49499C57" w14:textId="50A1FC4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0.716</w:t>
            </w:r>
          </w:p>
        </w:tc>
        <w:tc>
          <w:tcPr>
            <w:tcW w:w="1124" w:type="dxa"/>
            <w:tcBorders>
              <w:top w:val="nil"/>
              <w:left w:val="nil"/>
              <w:bottom w:val="nil"/>
              <w:right w:val="nil"/>
            </w:tcBorders>
            <w:shd w:val="clear" w:color="auto" w:fill="auto"/>
            <w:noWrap/>
            <w:vAlign w:val="center"/>
            <w:hideMark/>
          </w:tcPr>
          <w:p w14:paraId="27FF96DB" w14:textId="589BE75A"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0.014</w:t>
            </w:r>
          </w:p>
        </w:tc>
        <w:tc>
          <w:tcPr>
            <w:tcW w:w="266" w:type="dxa"/>
            <w:tcBorders>
              <w:top w:val="nil"/>
              <w:left w:val="nil"/>
              <w:bottom w:val="nil"/>
              <w:right w:val="nil"/>
            </w:tcBorders>
            <w:shd w:val="clear" w:color="auto" w:fill="auto"/>
            <w:noWrap/>
            <w:vAlign w:val="center"/>
            <w:hideMark/>
          </w:tcPr>
          <w:p w14:paraId="134B1146"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41E2695F" w14:textId="624FEC18"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(2.44,24.39)</w:t>
            </w:r>
          </w:p>
        </w:tc>
        <w:tc>
          <w:tcPr>
            <w:tcW w:w="774" w:type="dxa"/>
            <w:tcBorders>
              <w:top w:val="nil"/>
              <w:left w:val="nil"/>
              <w:bottom w:val="nil"/>
              <w:right w:val="nil"/>
            </w:tcBorders>
            <w:shd w:val="clear" w:color="auto" w:fill="auto"/>
            <w:noWrap/>
            <w:vAlign w:val="center"/>
            <w:hideMark/>
          </w:tcPr>
          <w:p w14:paraId="25F12B2B" w14:textId="294E5B3E"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5.42</w:t>
            </w:r>
          </w:p>
        </w:tc>
        <w:tc>
          <w:tcPr>
            <w:tcW w:w="930" w:type="dxa"/>
            <w:tcBorders>
              <w:top w:val="nil"/>
              <w:left w:val="nil"/>
              <w:bottom w:val="nil"/>
              <w:right w:val="nil"/>
            </w:tcBorders>
            <w:shd w:val="clear" w:color="auto" w:fill="auto"/>
            <w:noWrap/>
            <w:vAlign w:val="center"/>
            <w:hideMark/>
          </w:tcPr>
          <w:p w14:paraId="3011D94E" w14:textId="62DFC5C1"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b/>
                <w:bCs/>
                <w:color w:val="000000"/>
                <w:sz w:val="20"/>
                <w:szCs w:val="20"/>
              </w:rPr>
              <w:t>0.008</w:t>
            </w:r>
          </w:p>
        </w:tc>
        <w:tc>
          <w:tcPr>
            <w:tcW w:w="1124" w:type="dxa"/>
            <w:tcBorders>
              <w:top w:val="nil"/>
              <w:left w:val="nil"/>
              <w:bottom w:val="nil"/>
              <w:right w:val="nil"/>
            </w:tcBorders>
            <w:shd w:val="clear" w:color="auto" w:fill="auto"/>
            <w:noWrap/>
            <w:vAlign w:val="center"/>
            <w:hideMark/>
          </w:tcPr>
          <w:p w14:paraId="37CA4028" w14:textId="02F4644F"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0.352</w:t>
            </w:r>
          </w:p>
        </w:tc>
        <w:tc>
          <w:tcPr>
            <w:tcW w:w="266" w:type="dxa"/>
            <w:tcBorders>
              <w:top w:val="nil"/>
              <w:left w:val="nil"/>
              <w:bottom w:val="nil"/>
              <w:right w:val="nil"/>
            </w:tcBorders>
            <w:shd w:val="clear" w:color="auto" w:fill="auto"/>
            <w:noWrap/>
            <w:vAlign w:val="center"/>
            <w:hideMark/>
          </w:tcPr>
          <w:p w14:paraId="650C088F"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19B14179" w14:textId="7404EC73"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(2.44,24.39)</w:t>
            </w:r>
          </w:p>
        </w:tc>
        <w:tc>
          <w:tcPr>
            <w:tcW w:w="672" w:type="dxa"/>
            <w:tcBorders>
              <w:top w:val="nil"/>
              <w:left w:val="nil"/>
              <w:bottom w:val="nil"/>
              <w:right w:val="nil"/>
            </w:tcBorders>
            <w:shd w:val="clear" w:color="auto" w:fill="auto"/>
            <w:noWrap/>
            <w:vAlign w:val="center"/>
            <w:hideMark/>
          </w:tcPr>
          <w:p w14:paraId="40298B89" w14:textId="3DF841BA"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1.05</w:t>
            </w:r>
          </w:p>
        </w:tc>
        <w:tc>
          <w:tcPr>
            <w:tcW w:w="879" w:type="dxa"/>
            <w:tcBorders>
              <w:top w:val="nil"/>
              <w:left w:val="nil"/>
              <w:bottom w:val="nil"/>
              <w:right w:val="nil"/>
            </w:tcBorders>
            <w:shd w:val="clear" w:color="auto" w:fill="auto"/>
            <w:noWrap/>
            <w:vAlign w:val="center"/>
            <w:hideMark/>
          </w:tcPr>
          <w:p w14:paraId="14DAD2AD" w14:textId="72E9CFF4"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0.377</w:t>
            </w:r>
          </w:p>
        </w:tc>
        <w:tc>
          <w:tcPr>
            <w:tcW w:w="1124" w:type="dxa"/>
            <w:tcBorders>
              <w:top w:val="nil"/>
              <w:left w:val="nil"/>
              <w:bottom w:val="nil"/>
              <w:right w:val="nil"/>
            </w:tcBorders>
            <w:shd w:val="clear" w:color="auto" w:fill="auto"/>
            <w:noWrap/>
            <w:vAlign w:val="center"/>
            <w:hideMark/>
          </w:tcPr>
          <w:p w14:paraId="29D0EA66" w14:textId="1CADACFB"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0.095</w:t>
            </w:r>
          </w:p>
        </w:tc>
      </w:tr>
      <w:tr w:rsidR="002C0B8A" w:rsidRPr="00F07DEB" w14:paraId="1049F2D7" w14:textId="77777777" w:rsidTr="000D21DD">
        <w:trPr>
          <w:trHeight w:val="292"/>
        </w:trPr>
        <w:tc>
          <w:tcPr>
            <w:tcW w:w="1163" w:type="dxa"/>
            <w:tcBorders>
              <w:top w:val="nil"/>
              <w:left w:val="nil"/>
              <w:bottom w:val="nil"/>
              <w:right w:val="nil"/>
            </w:tcBorders>
            <w:shd w:val="clear" w:color="auto" w:fill="auto"/>
            <w:noWrap/>
            <w:vAlign w:val="center"/>
            <w:hideMark/>
          </w:tcPr>
          <w:p w14:paraId="490F38EF" w14:textId="77777777" w:rsidR="002C0B8A" w:rsidRPr="00F07DEB" w:rsidRDefault="002C0B8A" w:rsidP="000D21DD">
            <w:pPr>
              <w:spacing w:after="0" w:line="240" w:lineRule="auto"/>
              <w:rPr>
                <w:rFonts w:ascii="Times New Roman" w:eastAsia="Times New Roman" w:hAnsi="Times New Roman" w:cs="Times New Roman"/>
                <w:color w:val="000000"/>
                <w:lang w:eastAsia="en-US"/>
              </w:rPr>
            </w:pPr>
            <w:proofErr w:type="spellStart"/>
            <w:r w:rsidRPr="00F07DEB">
              <w:rPr>
                <w:rFonts w:ascii="Times New Roman" w:eastAsia="Times New Roman" w:hAnsi="Times New Roman" w:cs="Times New Roman"/>
                <w:color w:val="000000"/>
                <w:lang w:eastAsia="en-US"/>
              </w:rPr>
              <w:t>Pb</w:t>
            </w:r>
            <w:proofErr w:type="spellEnd"/>
          </w:p>
        </w:tc>
        <w:tc>
          <w:tcPr>
            <w:tcW w:w="700" w:type="dxa"/>
            <w:tcBorders>
              <w:top w:val="nil"/>
              <w:left w:val="nil"/>
              <w:bottom w:val="nil"/>
              <w:right w:val="nil"/>
            </w:tcBorders>
            <w:shd w:val="clear" w:color="auto" w:fill="auto"/>
            <w:noWrap/>
            <w:vAlign w:val="center"/>
            <w:hideMark/>
          </w:tcPr>
          <w:p w14:paraId="6807F76C" w14:textId="07BBBD81"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14ABD8D5" w14:textId="696F6AA9"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0.55</w:t>
            </w:r>
          </w:p>
        </w:tc>
        <w:tc>
          <w:tcPr>
            <w:tcW w:w="893" w:type="dxa"/>
            <w:tcBorders>
              <w:top w:val="nil"/>
              <w:left w:val="nil"/>
              <w:bottom w:val="nil"/>
              <w:right w:val="nil"/>
            </w:tcBorders>
            <w:shd w:val="clear" w:color="auto" w:fill="auto"/>
            <w:noWrap/>
            <w:vAlign w:val="center"/>
            <w:hideMark/>
          </w:tcPr>
          <w:p w14:paraId="1FAA1AC1" w14:textId="449A68BC"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0.475</w:t>
            </w:r>
          </w:p>
        </w:tc>
        <w:tc>
          <w:tcPr>
            <w:tcW w:w="1124" w:type="dxa"/>
            <w:tcBorders>
              <w:top w:val="nil"/>
              <w:left w:val="nil"/>
              <w:bottom w:val="nil"/>
              <w:right w:val="nil"/>
            </w:tcBorders>
            <w:shd w:val="clear" w:color="auto" w:fill="auto"/>
            <w:noWrap/>
            <w:vAlign w:val="center"/>
            <w:hideMark/>
          </w:tcPr>
          <w:p w14:paraId="5BD11A81" w14:textId="01A7BFFF"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0.052</w:t>
            </w:r>
          </w:p>
        </w:tc>
        <w:tc>
          <w:tcPr>
            <w:tcW w:w="266" w:type="dxa"/>
            <w:tcBorders>
              <w:top w:val="nil"/>
              <w:left w:val="nil"/>
              <w:bottom w:val="nil"/>
              <w:right w:val="nil"/>
            </w:tcBorders>
            <w:shd w:val="clear" w:color="auto" w:fill="auto"/>
            <w:noWrap/>
            <w:vAlign w:val="center"/>
            <w:hideMark/>
          </w:tcPr>
          <w:p w14:paraId="7FF2B022"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1C5C106D" w14:textId="327F9223"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(2.03,20.27)</w:t>
            </w:r>
          </w:p>
        </w:tc>
        <w:tc>
          <w:tcPr>
            <w:tcW w:w="774" w:type="dxa"/>
            <w:tcBorders>
              <w:top w:val="nil"/>
              <w:left w:val="nil"/>
              <w:bottom w:val="nil"/>
              <w:right w:val="nil"/>
            </w:tcBorders>
            <w:shd w:val="clear" w:color="auto" w:fill="auto"/>
            <w:noWrap/>
            <w:vAlign w:val="center"/>
            <w:hideMark/>
          </w:tcPr>
          <w:p w14:paraId="12EED3AE" w14:textId="63D7FC14"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2.93</w:t>
            </w:r>
          </w:p>
        </w:tc>
        <w:tc>
          <w:tcPr>
            <w:tcW w:w="930" w:type="dxa"/>
            <w:tcBorders>
              <w:top w:val="nil"/>
              <w:left w:val="nil"/>
              <w:bottom w:val="nil"/>
              <w:right w:val="nil"/>
            </w:tcBorders>
            <w:shd w:val="clear" w:color="auto" w:fill="auto"/>
            <w:noWrap/>
            <w:vAlign w:val="center"/>
            <w:hideMark/>
          </w:tcPr>
          <w:p w14:paraId="6F3B88E2" w14:textId="2AAECBB2"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0.076</w:t>
            </w:r>
          </w:p>
        </w:tc>
        <w:tc>
          <w:tcPr>
            <w:tcW w:w="1124" w:type="dxa"/>
            <w:tcBorders>
              <w:top w:val="nil"/>
              <w:left w:val="nil"/>
              <w:bottom w:val="nil"/>
              <w:right w:val="nil"/>
            </w:tcBorders>
            <w:shd w:val="clear" w:color="auto" w:fill="auto"/>
            <w:noWrap/>
            <w:vAlign w:val="center"/>
            <w:hideMark/>
          </w:tcPr>
          <w:p w14:paraId="59FF3BAA" w14:textId="5546738B"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0.226</w:t>
            </w:r>
          </w:p>
        </w:tc>
        <w:tc>
          <w:tcPr>
            <w:tcW w:w="266" w:type="dxa"/>
            <w:tcBorders>
              <w:top w:val="nil"/>
              <w:left w:val="nil"/>
              <w:bottom w:val="nil"/>
              <w:right w:val="nil"/>
            </w:tcBorders>
            <w:shd w:val="clear" w:color="auto" w:fill="auto"/>
            <w:noWrap/>
            <w:vAlign w:val="center"/>
            <w:hideMark/>
          </w:tcPr>
          <w:p w14:paraId="2FA0C273"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45507983" w14:textId="396A0109"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(2.03,20.27)</w:t>
            </w:r>
          </w:p>
        </w:tc>
        <w:tc>
          <w:tcPr>
            <w:tcW w:w="672" w:type="dxa"/>
            <w:tcBorders>
              <w:top w:val="nil"/>
              <w:left w:val="nil"/>
              <w:bottom w:val="nil"/>
              <w:right w:val="nil"/>
            </w:tcBorders>
            <w:shd w:val="clear" w:color="auto" w:fill="auto"/>
            <w:noWrap/>
            <w:vAlign w:val="center"/>
            <w:hideMark/>
          </w:tcPr>
          <w:p w14:paraId="3B527839" w14:textId="2210C4D8"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1.10</w:t>
            </w:r>
          </w:p>
        </w:tc>
        <w:tc>
          <w:tcPr>
            <w:tcW w:w="879" w:type="dxa"/>
            <w:tcBorders>
              <w:top w:val="nil"/>
              <w:left w:val="nil"/>
              <w:bottom w:val="nil"/>
              <w:right w:val="nil"/>
            </w:tcBorders>
            <w:shd w:val="clear" w:color="auto" w:fill="auto"/>
            <w:noWrap/>
            <w:vAlign w:val="center"/>
            <w:hideMark/>
          </w:tcPr>
          <w:p w14:paraId="65DAF02E" w14:textId="09FC43AC"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0.353</w:t>
            </w:r>
          </w:p>
        </w:tc>
        <w:tc>
          <w:tcPr>
            <w:tcW w:w="1124" w:type="dxa"/>
            <w:tcBorders>
              <w:top w:val="nil"/>
              <w:left w:val="nil"/>
              <w:bottom w:val="nil"/>
              <w:right w:val="nil"/>
            </w:tcBorders>
            <w:shd w:val="clear" w:color="auto" w:fill="auto"/>
            <w:noWrap/>
            <w:vAlign w:val="center"/>
            <w:hideMark/>
          </w:tcPr>
          <w:p w14:paraId="1B3D0DDF" w14:textId="3F924013"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0.099</w:t>
            </w:r>
          </w:p>
        </w:tc>
      </w:tr>
      <w:tr w:rsidR="002C0B8A" w:rsidRPr="00F07DEB" w14:paraId="4980941E" w14:textId="77777777" w:rsidTr="000D21DD">
        <w:trPr>
          <w:trHeight w:val="292"/>
        </w:trPr>
        <w:tc>
          <w:tcPr>
            <w:tcW w:w="1163" w:type="dxa"/>
            <w:tcBorders>
              <w:top w:val="nil"/>
              <w:left w:val="nil"/>
              <w:bottom w:val="nil"/>
              <w:right w:val="nil"/>
            </w:tcBorders>
            <w:shd w:val="clear" w:color="auto" w:fill="auto"/>
            <w:noWrap/>
            <w:vAlign w:val="center"/>
            <w:hideMark/>
          </w:tcPr>
          <w:p w14:paraId="7FF5D8E0" w14:textId="77777777" w:rsidR="002C0B8A" w:rsidRPr="00F07DEB" w:rsidRDefault="002C0B8A" w:rsidP="000D21DD">
            <w:pPr>
              <w:spacing w:after="0" w:line="240" w:lineRule="auto"/>
              <w:rPr>
                <w:rFonts w:ascii="Times New Roman" w:eastAsia="Times New Roman" w:hAnsi="Times New Roman" w:cs="Times New Roman"/>
                <w:color w:val="000000"/>
                <w:lang w:eastAsia="en-US"/>
              </w:rPr>
            </w:pPr>
            <w:r w:rsidRPr="00F07DEB">
              <w:rPr>
                <w:rFonts w:ascii="Times New Roman" w:eastAsia="Times New Roman" w:hAnsi="Times New Roman" w:cs="Times New Roman"/>
                <w:color w:val="000000"/>
                <w:lang w:eastAsia="en-US"/>
              </w:rPr>
              <w:t>S</w:t>
            </w:r>
          </w:p>
        </w:tc>
        <w:tc>
          <w:tcPr>
            <w:tcW w:w="700" w:type="dxa"/>
            <w:tcBorders>
              <w:top w:val="nil"/>
              <w:left w:val="nil"/>
              <w:bottom w:val="nil"/>
              <w:right w:val="nil"/>
            </w:tcBorders>
            <w:shd w:val="clear" w:color="auto" w:fill="auto"/>
            <w:noWrap/>
            <w:vAlign w:val="center"/>
            <w:hideMark/>
          </w:tcPr>
          <w:p w14:paraId="158E011D" w14:textId="667CFEC8"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03CD7335" w14:textId="189FF97F"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36.49</w:t>
            </w:r>
          </w:p>
        </w:tc>
        <w:tc>
          <w:tcPr>
            <w:tcW w:w="893" w:type="dxa"/>
            <w:tcBorders>
              <w:top w:val="nil"/>
              <w:left w:val="nil"/>
              <w:bottom w:val="nil"/>
              <w:right w:val="nil"/>
            </w:tcBorders>
            <w:shd w:val="clear" w:color="auto" w:fill="auto"/>
            <w:noWrap/>
            <w:vAlign w:val="center"/>
            <w:hideMark/>
          </w:tcPr>
          <w:p w14:paraId="7BC9582C" w14:textId="676BD433"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7648785B" w14:textId="799608FD"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0.785</w:t>
            </w:r>
          </w:p>
        </w:tc>
        <w:tc>
          <w:tcPr>
            <w:tcW w:w="266" w:type="dxa"/>
            <w:tcBorders>
              <w:top w:val="nil"/>
              <w:left w:val="nil"/>
              <w:bottom w:val="nil"/>
              <w:right w:val="nil"/>
            </w:tcBorders>
            <w:shd w:val="clear" w:color="auto" w:fill="auto"/>
            <w:noWrap/>
            <w:vAlign w:val="center"/>
            <w:hideMark/>
          </w:tcPr>
          <w:p w14:paraId="553E3C4F"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4F9C8947" w14:textId="3A575E71"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(2.61,26.08)</w:t>
            </w:r>
          </w:p>
        </w:tc>
        <w:tc>
          <w:tcPr>
            <w:tcW w:w="774" w:type="dxa"/>
            <w:tcBorders>
              <w:top w:val="nil"/>
              <w:left w:val="nil"/>
              <w:bottom w:val="nil"/>
              <w:right w:val="nil"/>
            </w:tcBorders>
            <w:shd w:val="clear" w:color="auto" w:fill="auto"/>
            <w:noWrap/>
            <w:vAlign w:val="center"/>
            <w:hideMark/>
          </w:tcPr>
          <w:p w14:paraId="434B35D2" w14:textId="52C645F4"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121.60</w:t>
            </w:r>
          </w:p>
        </w:tc>
        <w:tc>
          <w:tcPr>
            <w:tcW w:w="930" w:type="dxa"/>
            <w:tcBorders>
              <w:top w:val="nil"/>
              <w:left w:val="nil"/>
              <w:bottom w:val="nil"/>
              <w:right w:val="nil"/>
            </w:tcBorders>
            <w:shd w:val="clear" w:color="auto" w:fill="auto"/>
            <w:noWrap/>
            <w:vAlign w:val="center"/>
            <w:hideMark/>
          </w:tcPr>
          <w:p w14:paraId="375C88A4" w14:textId="2EB069B9"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73F2BCC3" w14:textId="3A15E802"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0.924</w:t>
            </w:r>
          </w:p>
        </w:tc>
        <w:tc>
          <w:tcPr>
            <w:tcW w:w="266" w:type="dxa"/>
            <w:tcBorders>
              <w:top w:val="nil"/>
              <w:left w:val="nil"/>
              <w:bottom w:val="nil"/>
              <w:right w:val="nil"/>
            </w:tcBorders>
            <w:shd w:val="clear" w:color="auto" w:fill="auto"/>
            <w:noWrap/>
            <w:vAlign w:val="center"/>
            <w:hideMark/>
          </w:tcPr>
          <w:p w14:paraId="42408617" w14:textId="7777777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406506EF" w14:textId="4192A7A6"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(2.61,26.08)</w:t>
            </w:r>
          </w:p>
        </w:tc>
        <w:tc>
          <w:tcPr>
            <w:tcW w:w="672" w:type="dxa"/>
            <w:tcBorders>
              <w:top w:val="nil"/>
              <w:left w:val="nil"/>
              <w:bottom w:val="nil"/>
              <w:right w:val="nil"/>
            </w:tcBorders>
            <w:shd w:val="clear" w:color="auto" w:fill="auto"/>
            <w:noWrap/>
            <w:vAlign w:val="center"/>
            <w:hideMark/>
          </w:tcPr>
          <w:p w14:paraId="7EC7CBD9" w14:textId="6E17B3FD"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57.14</w:t>
            </w:r>
          </w:p>
        </w:tc>
        <w:tc>
          <w:tcPr>
            <w:tcW w:w="879" w:type="dxa"/>
            <w:tcBorders>
              <w:top w:val="nil"/>
              <w:left w:val="nil"/>
              <w:bottom w:val="nil"/>
              <w:right w:val="nil"/>
            </w:tcBorders>
            <w:shd w:val="clear" w:color="auto" w:fill="auto"/>
            <w:noWrap/>
            <w:vAlign w:val="center"/>
            <w:hideMark/>
          </w:tcPr>
          <w:p w14:paraId="51E4398B" w14:textId="03F8665C"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3B80711F" w14:textId="7F1BF93F"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0.851</w:t>
            </w:r>
          </w:p>
        </w:tc>
      </w:tr>
      <w:tr w:rsidR="002C0B8A" w:rsidRPr="00F07DEB" w14:paraId="517E9782" w14:textId="77777777" w:rsidTr="000D21DD">
        <w:trPr>
          <w:trHeight w:val="292"/>
        </w:trPr>
        <w:tc>
          <w:tcPr>
            <w:tcW w:w="1163" w:type="dxa"/>
            <w:tcBorders>
              <w:top w:val="nil"/>
              <w:left w:val="nil"/>
              <w:bottom w:val="single" w:sz="8" w:space="0" w:color="auto"/>
              <w:right w:val="nil"/>
            </w:tcBorders>
            <w:shd w:val="clear" w:color="auto" w:fill="auto"/>
            <w:noWrap/>
            <w:vAlign w:val="center"/>
            <w:hideMark/>
          </w:tcPr>
          <w:p w14:paraId="64BF2547" w14:textId="77777777" w:rsidR="002C0B8A" w:rsidRPr="00F07DEB" w:rsidRDefault="002C0B8A" w:rsidP="000D21DD">
            <w:pPr>
              <w:spacing w:after="0" w:line="240" w:lineRule="auto"/>
              <w:rPr>
                <w:rFonts w:ascii="Times New Roman" w:eastAsia="Times New Roman" w:hAnsi="Times New Roman" w:cs="Times New Roman"/>
                <w:color w:val="000000"/>
                <w:lang w:eastAsia="en-US"/>
              </w:rPr>
            </w:pPr>
            <w:r w:rsidRPr="00F07DEB">
              <w:rPr>
                <w:rFonts w:ascii="Times New Roman" w:eastAsia="Times New Roman" w:hAnsi="Times New Roman" w:cs="Times New Roman"/>
                <w:color w:val="000000"/>
                <w:lang w:eastAsia="en-US"/>
              </w:rPr>
              <w:t>Zn</w:t>
            </w:r>
          </w:p>
        </w:tc>
        <w:tc>
          <w:tcPr>
            <w:tcW w:w="700" w:type="dxa"/>
            <w:tcBorders>
              <w:top w:val="nil"/>
              <w:left w:val="nil"/>
              <w:bottom w:val="single" w:sz="8" w:space="0" w:color="auto"/>
              <w:right w:val="nil"/>
            </w:tcBorders>
            <w:shd w:val="clear" w:color="auto" w:fill="auto"/>
            <w:noWrap/>
            <w:vAlign w:val="center"/>
            <w:hideMark/>
          </w:tcPr>
          <w:p w14:paraId="14060198" w14:textId="021F0E3A"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single" w:sz="8" w:space="0" w:color="auto"/>
              <w:right w:val="nil"/>
            </w:tcBorders>
            <w:shd w:val="clear" w:color="auto" w:fill="auto"/>
            <w:noWrap/>
            <w:vAlign w:val="center"/>
            <w:hideMark/>
          </w:tcPr>
          <w:p w14:paraId="4577CDCE" w14:textId="282C61E6"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1.87</w:t>
            </w:r>
          </w:p>
        </w:tc>
        <w:tc>
          <w:tcPr>
            <w:tcW w:w="893" w:type="dxa"/>
            <w:tcBorders>
              <w:top w:val="nil"/>
              <w:left w:val="nil"/>
              <w:bottom w:val="single" w:sz="8" w:space="0" w:color="auto"/>
              <w:right w:val="nil"/>
            </w:tcBorders>
            <w:shd w:val="clear" w:color="auto" w:fill="auto"/>
            <w:noWrap/>
            <w:vAlign w:val="center"/>
            <w:hideMark/>
          </w:tcPr>
          <w:p w14:paraId="201F2A69" w14:textId="2B3B333B"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0.201</w:t>
            </w:r>
          </w:p>
        </w:tc>
        <w:tc>
          <w:tcPr>
            <w:tcW w:w="1124" w:type="dxa"/>
            <w:tcBorders>
              <w:top w:val="nil"/>
              <w:left w:val="nil"/>
              <w:bottom w:val="single" w:sz="8" w:space="0" w:color="auto"/>
              <w:right w:val="nil"/>
            </w:tcBorders>
            <w:shd w:val="clear" w:color="auto" w:fill="auto"/>
            <w:noWrap/>
            <w:vAlign w:val="center"/>
            <w:hideMark/>
          </w:tcPr>
          <w:p w14:paraId="66AAB810" w14:textId="5CFEEB7F"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0.158</w:t>
            </w:r>
          </w:p>
        </w:tc>
        <w:tc>
          <w:tcPr>
            <w:tcW w:w="266" w:type="dxa"/>
            <w:tcBorders>
              <w:top w:val="nil"/>
              <w:left w:val="nil"/>
              <w:bottom w:val="single" w:sz="8" w:space="0" w:color="auto"/>
              <w:right w:val="nil"/>
            </w:tcBorders>
            <w:shd w:val="clear" w:color="auto" w:fill="auto"/>
            <w:noWrap/>
            <w:vAlign w:val="center"/>
            <w:hideMark/>
          </w:tcPr>
          <w:p w14:paraId="3E642750" w14:textId="41815E13"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 </w:t>
            </w:r>
          </w:p>
        </w:tc>
        <w:tc>
          <w:tcPr>
            <w:tcW w:w="1200" w:type="dxa"/>
            <w:tcBorders>
              <w:top w:val="nil"/>
              <w:left w:val="nil"/>
              <w:bottom w:val="single" w:sz="8" w:space="0" w:color="auto"/>
              <w:right w:val="nil"/>
            </w:tcBorders>
            <w:shd w:val="clear" w:color="auto" w:fill="auto"/>
            <w:noWrap/>
            <w:vAlign w:val="center"/>
            <w:hideMark/>
          </w:tcPr>
          <w:p w14:paraId="2344F850" w14:textId="55D792FD"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(1.88,18.79)</w:t>
            </w:r>
          </w:p>
        </w:tc>
        <w:tc>
          <w:tcPr>
            <w:tcW w:w="774" w:type="dxa"/>
            <w:tcBorders>
              <w:top w:val="nil"/>
              <w:left w:val="nil"/>
              <w:bottom w:val="single" w:sz="8" w:space="0" w:color="auto"/>
              <w:right w:val="nil"/>
            </w:tcBorders>
            <w:shd w:val="clear" w:color="auto" w:fill="auto"/>
            <w:noWrap/>
            <w:vAlign w:val="center"/>
            <w:hideMark/>
          </w:tcPr>
          <w:p w14:paraId="27F6DD25" w14:textId="039A6DC4"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34.01</w:t>
            </w:r>
          </w:p>
        </w:tc>
        <w:tc>
          <w:tcPr>
            <w:tcW w:w="930" w:type="dxa"/>
            <w:tcBorders>
              <w:top w:val="nil"/>
              <w:left w:val="nil"/>
              <w:bottom w:val="single" w:sz="8" w:space="0" w:color="auto"/>
              <w:right w:val="nil"/>
            </w:tcBorders>
            <w:shd w:val="clear" w:color="auto" w:fill="auto"/>
            <w:noWrap/>
            <w:vAlign w:val="center"/>
            <w:hideMark/>
          </w:tcPr>
          <w:p w14:paraId="448EA43D" w14:textId="62F936B1" w:rsidR="002C0B8A" w:rsidRPr="00F07DEB" w:rsidRDefault="002C0B8A"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single" w:sz="8" w:space="0" w:color="auto"/>
              <w:right w:val="nil"/>
            </w:tcBorders>
            <w:shd w:val="clear" w:color="auto" w:fill="auto"/>
            <w:noWrap/>
            <w:vAlign w:val="center"/>
            <w:hideMark/>
          </w:tcPr>
          <w:p w14:paraId="2F3FA329" w14:textId="4D577AAE"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0.773</w:t>
            </w:r>
          </w:p>
        </w:tc>
        <w:tc>
          <w:tcPr>
            <w:tcW w:w="266" w:type="dxa"/>
            <w:tcBorders>
              <w:top w:val="nil"/>
              <w:left w:val="nil"/>
              <w:bottom w:val="single" w:sz="8" w:space="0" w:color="auto"/>
              <w:right w:val="nil"/>
            </w:tcBorders>
            <w:shd w:val="clear" w:color="auto" w:fill="auto"/>
            <w:noWrap/>
            <w:vAlign w:val="center"/>
            <w:hideMark/>
          </w:tcPr>
          <w:p w14:paraId="37631E0F" w14:textId="15AE558D"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 </w:t>
            </w:r>
          </w:p>
        </w:tc>
        <w:tc>
          <w:tcPr>
            <w:tcW w:w="1234" w:type="dxa"/>
            <w:tcBorders>
              <w:top w:val="nil"/>
              <w:left w:val="nil"/>
              <w:bottom w:val="single" w:sz="8" w:space="0" w:color="auto"/>
              <w:right w:val="nil"/>
            </w:tcBorders>
            <w:shd w:val="clear" w:color="auto" w:fill="auto"/>
            <w:noWrap/>
            <w:vAlign w:val="center"/>
            <w:hideMark/>
          </w:tcPr>
          <w:p w14:paraId="7084E7D5" w14:textId="227CDAD7"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(1.88,18.79)</w:t>
            </w:r>
          </w:p>
        </w:tc>
        <w:tc>
          <w:tcPr>
            <w:tcW w:w="672" w:type="dxa"/>
            <w:tcBorders>
              <w:top w:val="nil"/>
              <w:left w:val="nil"/>
              <w:bottom w:val="single" w:sz="8" w:space="0" w:color="auto"/>
              <w:right w:val="nil"/>
            </w:tcBorders>
            <w:shd w:val="clear" w:color="auto" w:fill="auto"/>
            <w:noWrap/>
            <w:vAlign w:val="center"/>
            <w:hideMark/>
          </w:tcPr>
          <w:p w14:paraId="35BED409" w14:textId="0C1BF122" w:rsidR="002C0B8A" w:rsidRPr="00F07DEB" w:rsidRDefault="002C0B8A"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0.78</w:t>
            </w:r>
          </w:p>
        </w:tc>
        <w:tc>
          <w:tcPr>
            <w:tcW w:w="879" w:type="dxa"/>
            <w:tcBorders>
              <w:top w:val="nil"/>
              <w:left w:val="nil"/>
              <w:bottom w:val="single" w:sz="8" w:space="0" w:color="auto"/>
              <w:right w:val="nil"/>
            </w:tcBorders>
            <w:shd w:val="clear" w:color="auto" w:fill="auto"/>
            <w:noWrap/>
            <w:vAlign w:val="center"/>
            <w:hideMark/>
          </w:tcPr>
          <w:p w14:paraId="74D92845" w14:textId="062F93DD"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0.466</w:t>
            </w:r>
          </w:p>
        </w:tc>
        <w:tc>
          <w:tcPr>
            <w:tcW w:w="1124" w:type="dxa"/>
            <w:tcBorders>
              <w:top w:val="nil"/>
              <w:left w:val="nil"/>
              <w:bottom w:val="single" w:sz="8" w:space="0" w:color="auto"/>
              <w:right w:val="nil"/>
            </w:tcBorders>
            <w:shd w:val="clear" w:color="auto" w:fill="auto"/>
            <w:noWrap/>
            <w:vAlign w:val="center"/>
            <w:hideMark/>
          </w:tcPr>
          <w:p w14:paraId="49EAD873" w14:textId="715A0FA1" w:rsidR="002C0B8A" w:rsidRPr="00F07DEB" w:rsidRDefault="002C0B8A"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0.072</w:t>
            </w:r>
          </w:p>
        </w:tc>
      </w:tr>
    </w:tbl>
    <w:p w14:paraId="32FFD554" w14:textId="41E48D20" w:rsidR="00271403" w:rsidRPr="00F07DEB" w:rsidRDefault="004617CB" w:rsidP="006B0648">
      <w:pPr>
        <w:rPr>
          <w:rFonts w:ascii="Times New Roman" w:hAnsi="Times New Roman" w:cs="Times New Roman"/>
          <w:sz w:val="20"/>
          <w:szCs w:val="20"/>
        </w:rPr>
      </w:pPr>
      <w:r w:rsidRPr="00F07DEB">
        <w:rPr>
          <w:rFonts w:ascii="Times New Roman" w:hAnsi="Times New Roman" w:cs="Times New Roman"/>
          <w:noProof/>
          <w:sz w:val="20"/>
          <w:szCs w:val="20"/>
        </w:rPr>
        <w:t>Significant effects at alpha = 0.05 are bolded.</w:t>
      </w:r>
    </w:p>
    <w:p w14:paraId="5CF9E184" w14:textId="77777777" w:rsidR="00D70781" w:rsidRPr="00F07DEB" w:rsidRDefault="00D70781" w:rsidP="00204C13">
      <w:pPr>
        <w:pStyle w:val="Caption"/>
      </w:pPr>
      <w:bookmarkStart w:id="132" w:name="_Ref56140030"/>
    </w:p>
    <w:p w14:paraId="2BB61C16" w14:textId="5A63C81B" w:rsidR="00174B08" w:rsidRPr="00F07DEB" w:rsidRDefault="00174B08" w:rsidP="00204C13">
      <w:pPr>
        <w:pStyle w:val="Caption"/>
      </w:pPr>
      <w:bookmarkStart w:id="133" w:name="_Toc58975203"/>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17</w:t>
      </w:r>
      <w:r w:rsidR="00DE3B90" w:rsidRPr="00F07DEB">
        <w:rPr>
          <w:noProof/>
        </w:rPr>
        <w:fldChar w:fldCharType="end"/>
      </w:r>
      <w:bookmarkEnd w:id="132"/>
      <w:r w:rsidRPr="00F07DEB">
        <w:rPr>
          <w:noProof/>
        </w:rPr>
        <w:t xml:space="preserve">: </w:t>
      </w:r>
      <w:r w:rsidR="000B31CB" w:rsidRPr="00F07DEB">
        <w:rPr>
          <w:noProof/>
        </w:rPr>
        <w:t>Mixed ANOVA m</w:t>
      </w:r>
      <w:r w:rsidRPr="00F07DEB">
        <w:rPr>
          <w:noProof/>
        </w:rPr>
        <w:t>ain effects and interaction effects of treatment and plant structure on sorghum metal uptake</w:t>
      </w:r>
      <w:bookmarkEnd w:id="133"/>
    </w:p>
    <w:tbl>
      <w:tblPr>
        <w:tblW w:w="13021" w:type="dxa"/>
        <w:tblLook w:val="04A0" w:firstRow="1" w:lastRow="0" w:firstColumn="1" w:lastColumn="0" w:noHBand="0" w:noVBand="1"/>
      </w:tblPr>
      <w:tblGrid>
        <w:gridCol w:w="1163"/>
        <w:gridCol w:w="700"/>
        <w:gridCol w:w="672"/>
        <w:gridCol w:w="893"/>
        <w:gridCol w:w="1124"/>
        <w:gridCol w:w="266"/>
        <w:gridCol w:w="1200"/>
        <w:gridCol w:w="774"/>
        <w:gridCol w:w="930"/>
        <w:gridCol w:w="1124"/>
        <w:gridCol w:w="266"/>
        <w:gridCol w:w="1234"/>
        <w:gridCol w:w="672"/>
        <w:gridCol w:w="879"/>
        <w:gridCol w:w="1124"/>
      </w:tblGrid>
      <w:tr w:rsidR="00CF7F7A" w:rsidRPr="00F07DEB" w14:paraId="0B8BC781" w14:textId="77777777" w:rsidTr="000D21DD">
        <w:trPr>
          <w:trHeight w:val="292"/>
        </w:trPr>
        <w:tc>
          <w:tcPr>
            <w:tcW w:w="1163" w:type="dxa"/>
            <w:tcBorders>
              <w:top w:val="single" w:sz="8" w:space="0" w:color="auto"/>
              <w:left w:val="nil"/>
              <w:bottom w:val="nil"/>
              <w:right w:val="nil"/>
            </w:tcBorders>
            <w:shd w:val="clear" w:color="auto" w:fill="auto"/>
            <w:noWrap/>
            <w:vAlign w:val="center"/>
            <w:hideMark/>
          </w:tcPr>
          <w:p w14:paraId="3F59DC85" w14:textId="77777777" w:rsidR="00CF7F7A" w:rsidRPr="00F07DEB" w:rsidRDefault="00CF7F7A" w:rsidP="00B91BF2">
            <w:pPr>
              <w:spacing w:after="0" w:line="240" w:lineRule="auto"/>
              <w:rPr>
                <w:rFonts w:ascii="Times New Roman" w:eastAsia="Times New Roman" w:hAnsi="Times New Roman" w:cs="Times New Roman"/>
                <w:sz w:val="20"/>
                <w:szCs w:val="20"/>
                <w:lang w:eastAsia="en-US"/>
              </w:rPr>
            </w:pPr>
          </w:p>
        </w:tc>
        <w:tc>
          <w:tcPr>
            <w:tcW w:w="3389" w:type="dxa"/>
            <w:gridSpan w:val="4"/>
            <w:tcBorders>
              <w:top w:val="single" w:sz="8" w:space="0" w:color="auto"/>
              <w:left w:val="nil"/>
              <w:bottom w:val="single" w:sz="8" w:space="0" w:color="auto"/>
              <w:right w:val="nil"/>
            </w:tcBorders>
            <w:shd w:val="clear" w:color="auto" w:fill="auto"/>
            <w:noWrap/>
            <w:vAlign w:val="center"/>
            <w:hideMark/>
          </w:tcPr>
          <w:p w14:paraId="756DA16C" w14:textId="77777777" w:rsidR="00CF7F7A" w:rsidRPr="00F07DEB" w:rsidRDefault="00CF7F7A" w:rsidP="00B91BF2">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Treatment</w:t>
            </w:r>
          </w:p>
        </w:tc>
        <w:tc>
          <w:tcPr>
            <w:tcW w:w="266" w:type="dxa"/>
            <w:tcBorders>
              <w:top w:val="single" w:sz="8" w:space="0" w:color="auto"/>
              <w:left w:val="nil"/>
              <w:bottom w:val="nil"/>
              <w:right w:val="nil"/>
            </w:tcBorders>
            <w:shd w:val="clear" w:color="auto" w:fill="auto"/>
            <w:noWrap/>
            <w:vAlign w:val="center"/>
            <w:hideMark/>
          </w:tcPr>
          <w:p w14:paraId="09D6948A" w14:textId="77777777" w:rsidR="00CF7F7A" w:rsidRPr="00F07DEB" w:rsidRDefault="00CF7F7A" w:rsidP="00B91BF2">
            <w:pPr>
              <w:spacing w:after="0" w:line="240" w:lineRule="auto"/>
              <w:jc w:val="center"/>
              <w:rPr>
                <w:rFonts w:ascii="Times New Roman" w:eastAsia="Times New Roman" w:hAnsi="Times New Roman" w:cs="Times New Roman"/>
                <w:color w:val="000000"/>
                <w:sz w:val="20"/>
                <w:szCs w:val="20"/>
                <w:lang w:eastAsia="en-US"/>
              </w:rPr>
            </w:pPr>
          </w:p>
        </w:tc>
        <w:tc>
          <w:tcPr>
            <w:tcW w:w="4028" w:type="dxa"/>
            <w:gridSpan w:val="4"/>
            <w:tcBorders>
              <w:top w:val="single" w:sz="8" w:space="0" w:color="auto"/>
              <w:left w:val="nil"/>
              <w:bottom w:val="single" w:sz="8" w:space="0" w:color="auto"/>
              <w:right w:val="nil"/>
            </w:tcBorders>
            <w:shd w:val="clear" w:color="auto" w:fill="auto"/>
            <w:noWrap/>
            <w:vAlign w:val="center"/>
            <w:hideMark/>
          </w:tcPr>
          <w:p w14:paraId="080D1F9E" w14:textId="76BCEC5E" w:rsidR="00CF7F7A" w:rsidRPr="00F07DEB" w:rsidRDefault="007A6D40" w:rsidP="00B91BF2">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Structure</w:t>
            </w:r>
          </w:p>
        </w:tc>
        <w:tc>
          <w:tcPr>
            <w:tcW w:w="266" w:type="dxa"/>
            <w:tcBorders>
              <w:top w:val="single" w:sz="8" w:space="0" w:color="auto"/>
              <w:left w:val="nil"/>
              <w:bottom w:val="nil"/>
              <w:right w:val="nil"/>
            </w:tcBorders>
            <w:shd w:val="clear" w:color="auto" w:fill="auto"/>
            <w:noWrap/>
            <w:vAlign w:val="center"/>
            <w:hideMark/>
          </w:tcPr>
          <w:p w14:paraId="7A82ADB0" w14:textId="77777777" w:rsidR="00CF7F7A" w:rsidRPr="00F07DEB" w:rsidRDefault="00CF7F7A" w:rsidP="00B91BF2">
            <w:pPr>
              <w:spacing w:after="0" w:line="240" w:lineRule="auto"/>
              <w:jc w:val="center"/>
              <w:rPr>
                <w:rFonts w:ascii="Times New Roman" w:eastAsia="Times New Roman" w:hAnsi="Times New Roman" w:cs="Times New Roman"/>
                <w:color w:val="000000"/>
                <w:sz w:val="20"/>
                <w:szCs w:val="20"/>
                <w:lang w:eastAsia="en-US"/>
              </w:rPr>
            </w:pPr>
          </w:p>
        </w:tc>
        <w:tc>
          <w:tcPr>
            <w:tcW w:w="3909" w:type="dxa"/>
            <w:gridSpan w:val="4"/>
            <w:tcBorders>
              <w:top w:val="single" w:sz="8" w:space="0" w:color="auto"/>
              <w:left w:val="nil"/>
              <w:bottom w:val="single" w:sz="8" w:space="0" w:color="auto"/>
              <w:right w:val="nil"/>
            </w:tcBorders>
            <w:shd w:val="clear" w:color="auto" w:fill="auto"/>
            <w:noWrap/>
            <w:vAlign w:val="center"/>
            <w:hideMark/>
          </w:tcPr>
          <w:p w14:paraId="024E291C" w14:textId="675D0605" w:rsidR="00CF7F7A" w:rsidRPr="00F07DEB" w:rsidRDefault="00CF7F7A" w:rsidP="007A6D4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Treatment </w:t>
            </w:r>
            <m:oMath>
              <m:r>
                <w:rPr>
                  <w:rFonts w:ascii="Cambria Math" w:eastAsia="Times New Roman" w:hAnsi="Cambria Math" w:cs="Times New Roman"/>
                  <w:color w:val="000000"/>
                  <w:sz w:val="20"/>
                  <w:szCs w:val="20"/>
                  <w:lang w:eastAsia="en-US"/>
                </w:rPr>
                <m:t>×</m:t>
              </m:r>
            </m:oMath>
            <w:r w:rsidRPr="00F07DEB">
              <w:rPr>
                <w:rFonts w:ascii="Times New Roman" w:eastAsia="Times New Roman" w:hAnsi="Times New Roman" w:cs="Times New Roman"/>
                <w:color w:val="000000"/>
                <w:sz w:val="20"/>
                <w:szCs w:val="20"/>
                <w:lang w:eastAsia="en-US"/>
              </w:rPr>
              <w:t xml:space="preserve"> </w:t>
            </w:r>
            <w:r w:rsidR="007A6D40" w:rsidRPr="00F07DEB">
              <w:rPr>
                <w:rFonts w:ascii="Times New Roman" w:eastAsia="Times New Roman" w:hAnsi="Times New Roman" w:cs="Times New Roman"/>
                <w:color w:val="000000"/>
                <w:sz w:val="20"/>
                <w:szCs w:val="20"/>
                <w:lang w:eastAsia="en-US"/>
              </w:rPr>
              <w:t>Structure</w:t>
            </w:r>
          </w:p>
        </w:tc>
      </w:tr>
      <w:tr w:rsidR="00CF7F7A" w:rsidRPr="00F07DEB" w14:paraId="38D8A9CF" w14:textId="77777777" w:rsidTr="000D21DD">
        <w:trPr>
          <w:trHeight w:val="292"/>
        </w:trPr>
        <w:tc>
          <w:tcPr>
            <w:tcW w:w="1163" w:type="dxa"/>
            <w:tcBorders>
              <w:top w:val="nil"/>
              <w:left w:val="nil"/>
              <w:bottom w:val="single" w:sz="8" w:space="0" w:color="auto"/>
              <w:right w:val="nil"/>
            </w:tcBorders>
            <w:shd w:val="clear" w:color="auto" w:fill="auto"/>
            <w:noWrap/>
            <w:vAlign w:val="center"/>
            <w:hideMark/>
          </w:tcPr>
          <w:p w14:paraId="0C71596A" w14:textId="77777777" w:rsidR="00CF7F7A" w:rsidRPr="00F07DEB" w:rsidRDefault="00CF7F7A" w:rsidP="00B91B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Parameter</w:t>
            </w:r>
          </w:p>
        </w:tc>
        <w:tc>
          <w:tcPr>
            <w:tcW w:w="700" w:type="dxa"/>
            <w:tcBorders>
              <w:top w:val="nil"/>
              <w:left w:val="nil"/>
              <w:bottom w:val="single" w:sz="8" w:space="0" w:color="auto"/>
              <w:right w:val="nil"/>
            </w:tcBorders>
            <w:shd w:val="clear" w:color="auto" w:fill="auto"/>
            <w:noWrap/>
            <w:vAlign w:val="center"/>
            <w:hideMark/>
          </w:tcPr>
          <w:p w14:paraId="737FEECB" w14:textId="77777777" w:rsidR="00CF7F7A" w:rsidRPr="00F07DEB" w:rsidRDefault="00CF7F7A" w:rsidP="00B91BF2">
            <w:pPr>
              <w:spacing w:after="0" w:line="240" w:lineRule="auto"/>
              <w:rPr>
                <w:rFonts w:ascii="Times New Roman" w:eastAsia="Times New Roman" w:hAnsi="Times New Roman" w:cs="Times New Roman"/>
                <w:i/>
                <w:iCs/>
                <w:color w:val="000000"/>
                <w:sz w:val="20"/>
                <w:szCs w:val="20"/>
                <w:lang w:eastAsia="en-US"/>
              </w:rPr>
            </w:pPr>
            <w:proofErr w:type="spellStart"/>
            <w:r w:rsidRPr="00F07DEB">
              <w:rPr>
                <w:rFonts w:ascii="Times New Roman" w:eastAsia="Times New Roman" w:hAnsi="Times New Roman" w:cs="Times New Roman"/>
                <w:i/>
                <w:iCs/>
                <w:color w:val="000000"/>
                <w:sz w:val="20"/>
                <w:szCs w:val="20"/>
                <w:lang w:eastAsia="en-US"/>
              </w:rPr>
              <w:t>df</w:t>
            </w:r>
            <w:proofErr w:type="spellEnd"/>
          </w:p>
        </w:tc>
        <w:tc>
          <w:tcPr>
            <w:tcW w:w="672" w:type="dxa"/>
            <w:tcBorders>
              <w:top w:val="nil"/>
              <w:left w:val="nil"/>
              <w:bottom w:val="single" w:sz="8" w:space="0" w:color="auto"/>
              <w:right w:val="nil"/>
            </w:tcBorders>
            <w:shd w:val="clear" w:color="auto" w:fill="auto"/>
            <w:noWrap/>
            <w:vAlign w:val="center"/>
            <w:hideMark/>
          </w:tcPr>
          <w:p w14:paraId="0DF8D4A5" w14:textId="77777777" w:rsidR="00CF7F7A" w:rsidRPr="00F07DEB" w:rsidRDefault="00CF7F7A" w:rsidP="00B91BF2">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F</w:t>
            </w:r>
          </w:p>
        </w:tc>
        <w:tc>
          <w:tcPr>
            <w:tcW w:w="893" w:type="dxa"/>
            <w:tcBorders>
              <w:top w:val="nil"/>
              <w:left w:val="nil"/>
              <w:bottom w:val="single" w:sz="8" w:space="0" w:color="auto"/>
              <w:right w:val="nil"/>
            </w:tcBorders>
            <w:shd w:val="clear" w:color="auto" w:fill="auto"/>
            <w:noWrap/>
            <w:vAlign w:val="center"/>
            <w:hideMark/>
          </w:tcPr>
          <w:p w14:paraId="1E0263EF" w14:textId="77777777" w:rsidR="00CF7F7A" w:rsidRPr="00F07DEB" w:rsidRDefault="00CF7F7A" w:rsidP="00B91BF2">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124" w:type="dxa"/>
            <w:tcBorders>
              <w:top w:val="nil"/>
              <w:left w:val="nil"/>
              <w:bottom w:val="single" w:sz="8" w:space="0" w:color="auto"/>
              <w:right w:val="nil"/>
            </w:tcBorders>
            <w:shd w:val="clear" w:color="auto" w:fill="auto"/>
            <w:noWrap/>
            <w:vAlign w:val="center"/>
            <w:hideMark/>
          </w:tcPr>
          <w:p w14:paraId="5CC07ED2" w14:textId="77777777" w:rsidR="00CF7F7A" w:rsidRPr="00F07DEB" w:rsidRDefault="00CF7F7A" w:rsidP="00B91B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c>
          <w:tcPr>
            <w:tcW w:w="266" w:type="dxa"/>
            <w:tcBorders>
              <w:top w:val="nil"/>
              <w:left w:val="nil"/>
              <w:bottom w:val="single" w:sz="8" w:space="0" w:color="auto"/>
              <w:right w:val="nil"/>
            </w:tcBorders>
            <w:shd w:val="clear" w:color="auto" w:fill="auto"/>
            <w:noWrap/>
            <w:vAlign w:val="center"/>
            <w:hideMark/>
          </w:tcPr>
          <w:p w14:paraId="5FCE2491" w14:textId="77777777" w:rsidR="00CF7F7A" w:rsidRPr="00F07DEB" w:rsidRDefault="00CF7F7A" w:rsidP="00B91B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00" w:type="dxa"/>
            <w:tcBorders>
              <w:top w:val="nil"/>
              <w:left w:val="nil"/>
              <w:bottom w:val="single" w:sz="8" w:space="0" w:color="auto"/>
              <w:right w:val="nil"/>
            </w:tcBorders>
            <w:shd w:val="clear" w:color="auto" w:fill="auto"/>
            <w:noWrap/>
            <w:vAlign w:val="center"/>
            <w:hideMark/>
          </w:tcPr>
          <w:p w14:paraId="025DA632" w14:textId="77777777" w:rsidR="00CF7F7A" w:rsidRPr="00F07DEB" w:rsidRDefault="00CF7F7A" w:rsidP="00B91BF2">
            <w:pPr>
              <w:spacing w:after="0" w:line="240" w:lineRule="auto"/>
              <w:rPr>
                <w:rFonts w:ascii="Times New Roman" w:eastAsia="Times New Roman" w:hAnsi="Times New Roman" w:cs="Times New Roman"/>
                <w:i/>
                <w:iCs/>
                <w:color w:val="000000"/>
                <w:sz w:val="20"/>
                <w:szCs w:val="20"/>
                <w:lang w:eastAsia="en-US"/>
              </w:rPr>
            </w:pPr>
            <w:proofErr w:type="spellStart"/>
            <w:r w:rsidRPr="00F07DEB">
              <w:rPr>
                <w:rFonts w:ascii="Times New Roman" w:eastAsia="Times New Roman" w:hAnsi="Times New Roman" w:cs="Times New Roman"/>
                <w:i/>
                <w:iCs/>
                <w:color w:val="000000"/>
                <w:sz w:val="20"/>
                <w:szCs w:val="20"/>
                <w:lang w:eastAsia="en-US"/>
              </w:rPr>
              <w:t>df</w:t>
            </w:r>
            <w:proofErr w:type="spellEnd"/>
          </w:p>
        </w:tc>
        <w:tc>
          <w:tcPr>
            <w:tcW w:w="774" w:type="dxa"/>
            <w:tcBorders>
              <w:top w:val="nil"/>
              <w:left w:val="nil"/>
              <w:bottom w:val="single" w:sz="8" w:space="0" w:color="auto"/>
              <w:right w:val="nil"/>
            </w:tcBorders>
            <w:shd w:val="clear" w:color="auto" w:fill="auto"/>
            <w:noWrap/>
            <w:vAlign w:val="center"/>
            <w:hideMark/>
          </w:tcPr>
          <w:p w14:paraId="5DBD85A2" w14:textId="77777777" w:rsidR="00CF7F7A" w:rsidRPr="00F07DEB" w:rsidRDefault="00CF7F7A" w:rsidP="00B91BF2">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F</w:t>
            </w:r>
          </w:p>
        </w:tc>
        <w:tc>
          <w:tcPr>
            <w:tcW w:w="930" w:type="dxa"/>
            <w:tcBorders>
              <w:top w:val="nil"/>
              <w:left w:val="nil"/>
              <w:bottom w:val="single" w:sz="8" w:space="0" w:color="auto"/>
              <w:right w:val="nil"/>
            </w:tcBorders>
            <w:shd w:val="clear" w:color="auto" w:fill="auto"/>
            <w:noWrap/>
            <w:vAlign w:val="center"/>
            <w:hideMark/>
          </w:tcPr>
          <w:p w14:paraId="4ABC7DE8" w14:textId="77777777" w:rsidR="00CF7F7A" w:rsidRPr="00F07DEB" w:rsidRDefault="00CF7F7A" w:rsidP="00B91BF2">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124" w:type="dxa"/>
            <w:tcBorders>
              <w:top w:val="nil"/>
              <w:left w:val="nil"/>
              <w:bottom w:val="single" w:sz="8" w:space="0" w:color="auto"/>
              <w:right w:val="nil"/>
            </w:tcBorders>
            <w:shd w:val="clear" w:color="auto" w:fill="auto"/>
            <w:noWrap/>
            <w:vAlign w:val="center"/>
            <w:hideMark/>
          </w:tcPr>
          <w:p w14:paraId="3C3706E5" w14:textId="77777777" w:rsidR="00CF7F7A" w:rsidRPr="00F07DEB" w:rsidRDefault="00CF7F7A" w:rsidP="00B91B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c>
          <w:tcPr>
            <w:tcW w:w="266" w:type="dxa"/>
            <w:tcBorders>
              <w:top w:val="nil"/>
              <w:left w:val="nil"/>
              <w:bottom w:val="single" w:sz="8" w:space="0" w:color="auto"/>
              <w:right w:val="nil"/>
            </w:tcBorders>
            <w:shd w:val="clear" w:color="auto" w:fill="auto"/>
            <w:noWrap/>
            <w:vAlign w:val="center"/>
            <w:hideMark/>
          </w:tcPr>
          <w:p w14:paraId="26106253" w14:textId="77777777" w:rsidR="00CF7F7A" w:rsidRPr="00F07DEB" w:rsidRDefault="00CF7F7A" w:rsidP="00B91B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234" w:type="dxa"/>
            <w:tcBorders>
              <w:top w:val="nil"/>
              <w:left w:val="nil"/>
              <w:bottom w:val="single" w:sz="8" w:space="0" w:color="auto"/>
              <w:right w:val="nil"/>
            </w:tcBorders>
            <w:shd w:val="clear" w:color="auto" w:fill="auto"/>
            <w:noWrap/>
            <w:vAlign w:val="center"/>
            <w:hideMark/>
          </w:tcPr>
          <w:p w14:paraId="5D98C98A" w14:textId="77777777" w:rsidR="00CF7F7A" w:rsidRPr="00F07DEB" w:rsidRDefault="00CF7F7A" w:rsidP="00B91BF2">
            <w:pPr>
              <w:spacing w:after="0" w:line="240" w:lineRule="auto"/>
              <w:rPr>
                <w:rFonts w:ascii="Times New Roman" w:eastAsia="Times New Roman" w:hAnsi="Times New Roman" w:cs="Times New Roman"/>
                <w:i/>
                <w:iCs/>
                <w:color w:val="000000"/>
                <w:sz w:val="20"/>
                <w:szCs w:val="20"/>
                <w:lang w:eastAsia="en-US"/>
              </w:rPr>
            </w:pPr>
            <w:proofErr w:type="spellStart"/>
            <w:r w:rsidRPr="00F07DEB">
              <w:rPr>
                <w:rFonts w:ascii="Times New Roman" w:eastAsia="Times New Roman" w:hAnsi="Times New Roman" w:cs="Times New Roman"/>
                <w:i/>
                <w:iCs/>
                <w:color w:val="000000"/>
                <w:sz w:val="20"/>
                <w:szCs w:val="20"/>
                <w:lang w:eastAsia="en-US"/>
              </w:rPr>
              <w:t>df</w:t>
            </w:r>
            <w:proofErr w:type="spellEnd"/>
          </w:p>
        </w:tc>
        <w:tc>
          <w:tcPr>
            <w:tcW w:w="672" w:type="dxa"/>
            <w:tcBorders>
              <w:top w:val="nil"/>
              <w:left w:val="nil"/>
              <w:bottom w:val="single" w:sz="8" w:space="0" w:color="auto"/>
              <w:right w:val="nil"/>
            </w:tcBorders>
            <w:shd w:val="clear" w:color="auto" w:fill="auto"/>
            <w:noWrap/>
            <w:vAlign w:val="center"/>
            <w:hideMark/>
          </w:tcPr>
          <w:p w14:paraId="4978A699" w14:textId="77777777" w:rsidR="00CF7F7A" w:rsidRPr="00F07DEB" w:rsidRDefault="00CF7F7A" w:rsidP="00B91BF2">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F</w:t>
            </w:r>
          </w:p>
        </w:tc>
        <w:tc>
          <w:tcPr>
            <w:tcW w:w="879" w:type="dxa"/>
            <w:tcBorders>
              <w:top w:val="nil"/>
              <w:left w:val="nil"/>
              <w:bottom w:val="single" w:sz="8" w:space="0" w:color="auto"/>
              <w:right w:val="nil"/>
            </w:tcBorders>
            <w:shd w:val="clear" w:color="auto" w:fill="auto"/>
            <w:noWrap/>
            <w:vAlign w:val="center"/>
            <w:hideMark/>
          </w:tcPr>
          <w:p w14:paraId="349C11E7" w14:textId="77777777" w:rsidR="00CF7F7A" w:rsidRPr="00F07DEB" w:rsidRDefault="00CF7F7A" w:rsidP="00B91BF2">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124" w:type="dxa"/>
            <w:tcBorders>
              <w:top w:val="nil"/>
              <w:left w:val="nil"/>
              <w:bottom w:val="single" w:sz="8" w:space="0" w:color="auto"/>
              <w:right w:val="nil"/>
            </w:tcBorders>
            <w:shd w:val="clear" w:color="auto" w:fill="auto"/>
            <w:noWrap/>
            <w:vAlign w:val="center"/>
            <w:hideMark/>
          </w:tcPr>
          <w:p w14:paraId="626787FC" w14:textId="77777777" w:rsidR="00CF7F7A" w:rsidRPr="00F07DEB" w:rsidRDefault="00CF7F7A" w:rsidP="00B91B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r>
      <w:tr w:rsidR="003029A8" w:rsidRPr="00F07DEB" w14:paraId="0914851D" w14:textId="77777777" w:rsidTr="000D21DD">
        <w:trPr>
          <w:trHeight w:val="292"/>
        </w:trPr>
        <w:tc>
          <w:tcPr>
            <w:tcW w:w="1163" w:type="dxa"/>
            <w:tcBorders>
              <w:top w:val="nil"/>
              <w:left w:val="nil"/>
              <w:bottom w:val="nil"/>
              <w:right w:val="nil"/>
            </w:tcBorders>
            <w:shd w:val="clear" w:color="auto" w:fill="auto"/>
            <w:noWrap/>
            <w:vAlign w:val="center"/>
            <w:hideMark/>
          </w:tcPr>
          <w:p w14:paraId="6AF74D2D"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Ca</w:t>
            </w:r>
          </w:p>
        </w:tc>
        <w:tc>
          <w:tcPr>
            <w:tcW w:w="700" w:type="dxa"/>
            <w:tcBorders>
              <w:top w:val="nil"/>
              <w:left w:val="nil"/>
              <w:bottom w:val="nil"/>
              <w:right w:val="nil"/>
            </w:tcBorders>
            <w:shd w:val="clear" w:color="auto" w:fill="auto"/>
            <w:noWrap/>
            <w:vAlign w:val="center"/>
            <w:hideMark/>
          </w:tcPr>
          <w:p w14:paraId="2C58B587" w14:textId="26E60242"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6238D162" w14:textId="2A0FE44A"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1.69</w:t>
            </w:r>
          </w:p>
        </w:tc>
        <w:tc>
          <w:tcPr>
            <w:tcW w:w="893" w:type="dxa"/>
            <w:tcBorders>
              <w:top w:val="nil"/>
              <w:left w:val="nil"/>
              <w:bottom w:val="nil"/>
              <w:right w:val="nil"/>
            </w:tcBorders>
            <w:shd w:val="clear" w:color="auto" w:fill="auto"/>
            <w:noWrap/>
            <w:vAlign w:val="center"/>
            <w:hideMark/>
          </w:tcPr>
          <w:p w14:paraId="38C59889" w14:textId="5CA511C2"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0.223</w:t>
            </w:r>
          </w:p>
        </w:tc>
        <w:tc>
          <w:tcPr>
            <w:tcW w:w="1124" w:type="dxa"/>
            <w:tcBorders>
              <w:top w:val="nil"/>
              <w:left w:val="nil"/>
              <w:bottom w:val="nil"/>
              <w:right w:val="nil"/>
            </w:tcBorders>
            <w:shd w:val="clear" w:color="auto" w:fill="auto"/>
            <w:noWrap/>
            <w:vAlign w:val="center"/>
            <w:hideMark/>
          </w:tcPr>
          <w:p w14:paraId="0F7983E2" w14:textId="005FDD9D"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0.145</w:t>
            </w:r>
          </w:p>
        </w:tc>
        <w:tc>
          <w:tcPr>
            <w:tcW w:w="266" w:type="dxa"/>
            <w:tcBorders>
              <w:top w:val="nil"/>
              <w:left w:val="nil"/>
              <w:bottom w:val="nil"/>
              <w:right w:val="nil"/>
            </w:tcBorders>
            <w:shd w:val="clear" w:color="auto" w:fill="auto"/>
            <w:noWrap/>
            <w:vAlign w:val="center"/>
            <w:hideMark/>
          </w:tcPr>
          <w:p w14:paraId="43C52CD9"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7E566010" w14:textId="4C86C7EF"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(1.38,13.76)</w:t>
            </w:r>
          </w:p>
        </w:tc>
        <w:tc>
          <w:tcPr>
            <w:tcW w:w="774" w:type="dxa"/>
            <w:tcBorders>
              <w:top w:val="nil"/>
              <w:left w:val="nil"/>
              <w:bottom w:val="nil"/>
              <w:right w:val="nil"/>
            </w:tcBorders>
            <w:shd w:val="clear" w:color="auto" w:fill="auto"/>
            <w:noWrap/>
            <w:vAlign w:val="center"/>
            <w:hideMark/>
          </w:tcPr>
          <w:p w14:paraId="52B040D8" w14:textId="4745AFFA"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105.78</w:t>
            </w:r>
          </w:p>
        </w:tc>
        <w:tc>
          <w:tcPr>
            <w:tcW w:w="930" w:type="dxa"/>
            <w:tcBorders>
              <w:top w:val="nil"/>
              <w:left w:val="nil"/>
              <w:bottom w:val="nil"/>
              <w:right w:val="nil"/>
            </w:tcBorders>
            <w:shd w:val="clear" w:color="auto" w:fill="auto"/>
            <w:noWrap/>
            <w:vAlign w:val="center"/>
            <w:hideMark/>
          </w:tcPr>
          <w:p w14:paraId="4EB48233" w14:textId="6F41C487"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7DF3AF4C" w14:textId="0605BAE2"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0.914</w:t>
            </w:r>
          </w:p>
        </w:tc>
        <w:tc>
          <w:tcPr>
            <w:tcW w:w="266" w:type="dxa"/>
            <w:tcBorders>
              <w:top w:val="nil"/>
              <w:left w:val="nil"/>
              <w:bottom w:val="nil"/>
              <w:right w:val="nil"/>
            </w:tcBorders>
            <w:shd w:val="clear" w:color="auto" w:fill="auto"/>
            <w:noWrap/>
            <w:vAlign w:val="center"/>
            <w:hideMark/>
          </w:tcPr>
          <w:p w14:paraId="0898EF79"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6E27A7FB" w14:textId="2002CF54"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(1.38,13.76)</w:t>
            </w:r>
          </w:p>
        </w:tc>
        <w:tc>
          <w:tcPr>
            <w:tcW w:w="672" w:type="dxa"/>
            <w:tcBorders>
              <w:top w:val="nil"/>
              <w:left w:val="nil"/>
              <w:bottom w:val="nil"/>
              <w:right w:val="nil"/>
            </w:tcBorders>
            <w:shd w:val="clear" w:color="auto" w:fill="auto"/>
            <w:noWrap/>
            <w:vAlign w:val="center"/>
            <w:hideMark/>
          </w:tcPr>
          <w:p w14:paraId="02643CC7" w14:textId="5AB5C8A4"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6.09</w:t>
            </w:r>
          </w:p>
        </w:tc>
        <w:tc>
          <w:tcPr>
            <w:tcW w:w="879" w:type="dxa"/>
            <w:tcBorders>
              <w:top w:val="nil"/>
              <w:left w:val="nil"/>
              <w:bottom w:val="nil"/>
              <w:right w:val="nil"/>
            </w:tcBorders>
            <w:shd w:val="clear" w:color="auto" w:fill="auto"/>
            <w:noWrap/>
            <w:vAlign w:val="center"/>
            <w:hideMark/>
          </w:tcPr>
          <w:p w14:paraId="5A7C43AE" w14:textId="2EA0F4E0"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0.020</w:t>
            </w:r>
          </w:p>
        </w:tc>
        <w:tc>
          <w:tcPr>
            <w:tcW w:w="1124" w:type="dxa"/>
            <w:tcBorders>
              <w:top w:val="nil"/>
              <w:left w:val="nil"/>
              <w:bottom w:val="nil"/>
              <w:right w:val="nil"/>
            </w:tcBorders>
            <w:shd w:val="clear" w:color="auto" w:fill="auto"/>
            <w:noWrap/>
            <w:vAlign w:val="center"/>
            <w:hideMark/>
          </w:tcPr>
          <w:p w14:paraId="6C3D5C8D" w14:textId="5A96EB51"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0.379</w:t>
            </w:r>
          </w:p>
        </w:tc>
      </w:tr>
      <w:tr w:rsidR="003029A8" w:rsidRPr="00F07DEB" w14:paraId="24723F2D" w14:textId="77777777" w:rsidTr="000D21DD">
        <w:trPr>
          <w:trHeight w:val="292"/>
        </w:trPr>
        <w:tc>
          <w:tcPr>
            <w:tcW w:w="1163" w:type="dxa"/>
            <w:tcBorders>
              <w:top w:val="nil"/>
              <w:left w:val="nil"/>
              <w:bottom w:val="nil"/>
              <w:right w:val="nil"/>
            </w:tcBorders>
            <w:shd w:val="clear" w:color="auto" w:fill="auto"/>
            <w:noWrap/>
            <w:vAlign w:val="center"/>
            <w:hideMark/>
          </w:tcPr>
          <w:p w14:paraId="73434E9F"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Cd</w:t>
            </w:r>
          </w:p>
        </w:tc>
        <w:tc>
          <w:tcPr>
            <w:tcW w:w="700" w:type="dxa"/>
            <w:tcBorders>
              <w:top w:val="nil"/>
              <w:left w:val="nil"/>
              <w:bottom w:val="nil"/>
              <w:right w:val="nil"/>
            </w:tcBorders>
            <w:shd w:val="clear" w:color="auto" w:fill="auto"/>
            <w:noWrap/>
            <w:vAlign w:val="center"/>
            <w:hideMark/>
          </w:tcPr>
          <w:p w14:paraId="782C2697" w14:textId="0ACA61F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50D1605F" w14:textId="1CF9FC23"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10205"/>
                <w:sz w:val="20"/>
                <w:szCs w:val="20"/>
              </w:rPr>
              <w:t>9.08</w:t>
            </w:r>
          </w:p>
        </w:tc>
        <w:tc>
          <w:tcPr>
            <w:tcW w:w="893" w:type="dxa"/>
            <w:tcBorders>
              <w:top w:val="nil"/>
              <w:left w:val="nil"/>
              <w:bottom w:val="nil"/>
              <w:right w:val="nil"/>
            </w:tcBorders>
            <w:shd w:val="clear" w:color="auto" w:fill="auto"/>
            <w:noWrap/>
            <w:vAlign w:val="center"/>
            <w:hideMark/>
          </w:tcPr>
          <w:p w14:paraId="0B6AFD8C" w14:textId="71530761"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b/>
                <w:bCs/>
                <w:color w:val="000000"/>
                <w:sz w:val="20"/>
                <w:szCs w:val="20"/>
              </w:rPr>
              <w:t>0.013</w:t>
            </w:r>
          </w:p>
        </w:tc>
        <w:tc>
          <w:tcPr>
            <w:tcW w:w="1124" w:type="dxa"/>
            <w:tcBorders>
              <w:top w:val="nil"/>
              <w:left w:val="nil"/>
              <w:bottom w:val="nil"/>
              <w:right w:val="nil"/>
            </w:tcBorders>
            <w:shd w:val="clear" w:color="auto" w:fill="auto"/>
            <w:noWrap/>
            <w:vAlign w:val="center"/>
            <w:hideMark/>
          </w:tcPr>
          <w:p w14:paraId="228D9FF4" w14:textId="0804197E"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0.476</w:t>
            </w:r>
          </w:p>
        </w:tc>
        <w:tc>
          <w:tcPr>
            <w:tcW w:w="266" w:type="dxa"/>
            <w:tcBorders>
              <w:top w:val="nil"/>
              <w:left w:val="nil"/>
              <w:bottom w:val="nil"/>
              <w:right w:val="nil"/>
            </w:tcBorders>
            <w:shd w:val="clear" w:color="auto" w:fill="auto"/>
            <w:noWrap/>
            <w:vAlign w:val="center"/>
            <w:hideMark/>
          </w:tcPr>
          <w:p w14:paraId="2E3E210B"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20866ED3" w14:textId="20683342"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(1.69,16.94)</w:t>
            </w:r>
          </w:p>
        </w:tc>
        <w:tc>
          <w:tcPr>
            <w:tcW w:w="774" w:type="dxa"/>
            <w:tcBorders>
              <w:top w:val="nil"/>
              <w:left w:val="nil"/>
              <w:bottom w:val="nil"/>
              <w:right w:val="nil"/>
            </w:tcBorders>
            <w:shd w:val="clear" w:color="auto" w:fill="auto"/>
            <w:noWrap/>
            <w:vAlign w:val="center"/>
            <w:hideMark/>
          </w:tcPr>
          <w:p w14:paraId="60566799" w14:textId="3B19E3F5"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10205"/>
                <w:sz w:val="20"/>
                <w:szCs w:val="20"/>
              </w:rPr>
              <w:t>73.07</w:t>
            </w:r>
          </w:p>
        </w:tc>
        <w:tc>
          <w:tcPr>
            <w:tcW w:w="930" w:type="dxa"/>
            <w:tcBorders>
              <w:top w:val="nil"/>
              <w:left w:val="nil"/>
              <w:bottom w:val="nil"/>
              <w:right w:val="nil"/>
            </w:tcBorders>
            <w:shd w:val="clear" w:color="auto" w:fill="auto"/>
            <w:noWrap/>
            <w:vAlign w:val="center"/>
            <w:hideMark/>
          </w:tcPr>
          <w:p w14:paraId="6DD13557" w14:textId="37846622"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0DF845DE" w14:textId="0B796175"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0.88</w:t>
            </w:r>
          </w:p>
        </w:tc>
        <w:tc>
          <w:tcPr>
            <w:tcW w:w="266" w:type="dxa"/>
            <w:tcBorders>
              <w:top w:val="nil"/>
              <w:left w:val="nil"/>
              <w:bottom w:val="nil"/>
              <w:right w:val="nil"/>
            </w:tcBorders>
            <w:shd w:val="clear" w:color="auto" w:fill="auto"/>
            <w:noWrap/>
            <w:vAlign w:val="center"/>
            <w:hideMark/>
          </w:tcPr>
          <w:p w14:paraId="089D017C"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0A4EAF7E" w14:textId="71BCF120"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(1.69,16.94)</w:t>
            </w:r>
          </w:p>
        </w:tc>
        <w:tc>
          <w:tcPr>
            <w:tcW w:w="672" w:type="dxa"/>
            <w:tcBorders>
              <w:top w:val="nil"/>
              <w:left w:val="nil"/>
              <w:bottom w:val="nil"/>
              <w:right w:val="nil"/>
            </w:tcBorders>
            <w:shd w:val="clear" w:color="auto" w:fill="auto"/>
            <w:noWrap/>
            <w:vAlign w:val="center"/>
            <w:hideMark/>
          </w:tcPr>
          <w:p w14:paraId="07AF2628" w14:textId="2EB552A5"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10205"/>
                <w:sz w:val="20"/>
                <w:szCs w:val="20"/>
              </w:rPr>
              <w:t>4.09</w:t>
            </w:r>
          </w:p>
        </w:tc>
        <w:tc>
          <w:tcPr>
            <w:tcW w:w="879" w:type="dxa"/>
            <w:tcBorders>
              <w:top w:val="nil"/>
              <w:left w:val="nil"/>
              <w:bottom w:val="nil"/>
              <w:right w:val="nil"/>
            </w:tcBorders>
            <w:shd w:val="clear" w:color="auto" w:fill="auto"/>
            <w:noWrap/>
            <w:vAlign w:val="center"/>
            <w:hideMark/>
          </w:tcPr>
          <w:p w14:paraId="6557748A" w14:textId="400F7B6B"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0.041</w:t>
            </w:r>
          </w:p>
        </w:tc>
        <w:tc>
          <w:tcPr>
            <w:tcW w:w="1124" w:type="dxa"/>
            <w:tcBorders>
              <w:top w:val="nil"/>
              <w:left w:val="nil"/>
              <w:bottom w:val="nil"/>
              <w:right w:val="nil"/>
            </w:tcBorders>
            <w:shd w:val="clear" w:color="auto" w:fill="auto"/>
            <w:noWrap/>
            <w:vAlign w:val="center"/>
            <w:hideMark/>
          </w:tcPr>
          <w:p w14:paraId="671ED22F" w14:textId="3ED231A6"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0.29</w:t>
            </w:r>
          </w:p>
        </w:tc>
      </w:tr>
      <w:tr w:rsidR="003029A8" w:rsidRPr="00F07DEB" w14:paraId="78097AD0" w14:textId="77777777" w:rsidTr="000D21DD">
        <w:trPr>
          <w:trHeight w:val="292"/>
        </w:trPr>
        <w:tc>
          <w:tcPr>
            <w:tcW w:w="1163" w:type="dxa"/>
            <w:tcBorders>
              <w:top w:val="nil"/>
              <w:left w:val="nil"/>
              <w:bottom w:val="nil"/>
              <w:right w:val="nil"/>
            </w:tcBorders>
            <w:shd w:val="clear" w:color="auto" w:fill="auto"/>
            <w:noWrap/>
            <w:vAlign w:val="center"/>
            <w:hideMark/>
          </w:tcPr>
          <w:p w14:paraId="4DEE5C9E"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Fe</w:t>
            </w:r>
          </w:p>
        </w:tc>
        <w:tc>
          <w:tcPr>
            <w:tcW w:w="700" w:type="dxa"/>
            <w:tcBorders>
              <w:top w:val="nil"/>
              <w:left w:val="nil"/>
              <w:bottom w:val="nil"/>
              <w:right w:val="nil"/>
            </w:tcBorders>
            <w:shd w:val="clear" w:color="auto" w:fill="auto"/>
            <w:noWrap/>
            <w:vAlign w:val="center"/>
            <w:hideMark/>
          </w:tcPr>
          <w:p w14:paraId="4C63E6E0" w14:textId="221CA22B"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2F9CF22C" w14:textId="12DD30A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0.75</w:t>
            </w:r>
          </w:p>
        </w:tc>
        <w:tc>
          <w:tcPr>
            <w:tcW w:w="893" w:type="dxa"/>
            <w:tcBorders>
              <w:top w:val="nil"/>
              <w:left w:val="nil"/>
              <w:bottom w:val="nil"/>
              <w:right w:val="nil"/>
            </w:tcBorders>
            <w:shd w:val="clear" w:color="auto" w:fill="auto"/>
            <w:noWrap/>
            <w:vAlign w:val="center"/>
            <w:hideMark/>
          </w:tcPr>
          <w:p w14:paraId="330350CF" w14:textId="7FD943F4"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color w:val="000000"/>
                <w:sz w:val="20"/>
                <w:szCs w:val="20"/>
              </w:rPr>
              <w:t>0.408</w:t>
            </w:r>
          </w:p>
        </w:tc>
        <w:tc>
          <w:tcPr>
            <w:tcW w:w="1124" w:type="dxa"/>
            <w:tcBorders>
              <w:top w:val="nil"/>
              <w:left w:val="nil"/>
              <w:bottom w:val="nil"/>
              <w:right w:val="nil"/>
            </w:tcBorders>
            <w:shd w:val="clear" w:color="auto" w:fill="auto"/>
            <w:noWrap/>
            <w:vAlign w:val="center"/>
            <w:hideMark/>
          </w:tcPr>
          <w:p w14:paraId="213FF256" w14:textId="1953C0FB"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0.069</w:t>
            </w:r>
          </w:p>
        </w:tc>
        <w:tc>
          <w:tcPr>
            <w:tcW w:w="266" w:type="dxa"/>
            <w:tcBorders>
              <w:top w:val="nil"/>
              <w:left w:val="nil"/>
              <w:bottom w:val="nil"/>
              <w:right w:val="nil"/>
            </w:tcBorders>
            <w:shd w:val="clear" w:color="auto" w:fill="auto"/>
            <w:noWrap/>
            <w:vAlign w:val="center"/>
            <w:hideMark/>
          </w:tcPr>
          <w:p w14:paraId="2D409E9E"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2311D0EB" w14:textId="6EE57180"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(1.07,10.68)</w:t>
            </w:r>
          </w:p>
        </w:tc>
        <w:tc>
          <w:tcPr>
            <w:tcW w:w="774" w:type="dxa"/>
            <w:tcBorders>
              <w:top w:val="nil"/>
              <w:left w:val="nil"/>
              <w:bottom w:val="nil"/>
              <w:right w:val="nil"/>
            </w:tcBorders>
            <w:shd w:val="clear" w:color="auto" w:fill="auto"/>
            <w:noWrap/>
            <w:vAlign w:val="center"/>
            <w:hideMark/>
          </w:tcPr>
          <w:p w14:paraId="7D887FB7" w14:textId="7F11BEA8"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94.32</w:t>
            </w:r>
          </w:p>
        </w:tc>
        <w:tc>
          <w:tcPr>
            <w:tcW w:w="930" w:type="dxa"/>
            <w:tcBorders>
              <w:top w:val="nil"/>
              <w:left w:val="nil"/>
              <w:bottom w:val="nil"/>
              <w:right w:val="nil"/>
            </w:tcBorders>
            <w:shd w:val="clear" w:color="auto" w:fill="auto"/>
            <w:noWrap/>
            <w:vAlign w:val="center"/>
            <w:hideMark/>
          </w:tcPr>
          <w:p w14:paraId="78988018" w14:textId="45153CAE"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0D771939" w14:textId="6C8A2E3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0.904</w:t>
            </w:r>
          </w:p>
        </w:tc>
        <w:tc>
          <w:tcPr>
            <w:tcW w:w="266" w:type="dxa"/>
            <w:tcBorders>
              <w:top w:val="nil"/>
              <w:left w:val="nil"/>
              <w:bottom w:val="nil"/>
              <w:right w:val="nil"/>
            </w:tcBorders>
            <w:shd w:val="clear" w:color="auto" w:fill="auto"/>
            <w:noWrap/>
            <w:vAlign w:val="center"/>
            <w:hideMark/>
          </w:tcPr>
          <w:p w14:paraId="2D0F66F7"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42EDE19B" w14:textId="23549036"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(1.07,10.68)</w:t>
            </w:r>
          </w:p>
        </w:tc>
        <w:tc>
          <w:tcPr>
            <w:tcW w:w="672" w:type="dxa"/>
            <w:tcBorders>
              <w:top w:val="nil"/>
              <w:left w:val="nil"/>
              <w:bottom w:val="nil"/>
              <w:right w:val="nil"/>
            </w:tcBorders>
            <w:shd w:val="clear" w:color="auto" w:fill="auto"/>
            <w:noWrap/>
            <w:vAlign w:val="center"/>
            <w:hideMark/>
          </w:tcPr>
          <w:p w14:paraId="3AF4C2E9" w14:textId="25D3BE1B"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0.65</w:t>
            </w:r>
          </w:p>
        </w:tc>
        <w:tc>
          <w:tcPr>
            <w:tcW w:w="879" w:type="dxa"/>
            <w:tcBorders>
              <w:top w:val="nil"/>
              <w:left w:val="nil"/>
              <w:bottom w:val="nil"/>
              <w:right w:val="nil"/>
            </w:tcBorders>
            <w:shd w:val="clear" w:color="auto" w:fill="auto"/>
            <w:noWrap/>
            <w:vAlign w:val="center"/>
            <w:hideMark/>
          </w:tcPr>
          <w:p w14:paraId="5AE6490C" w14:textId="36EA7DB9"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0.447</w:t>
            </w:r>
          </w:p>
        </w:tc>
        <w:tc>
          <w:tcPr>
            <w:tcW w:w="1124" w:type="dxa"/>
            <w:tcBorders>
              <w:top w:val="nil"/>
              <w:left w:val="nil"/>
              <w:bottom w:val="nil"/>
              <w:right w:val="nil"/>
            </w:tcBorders>
            <w:shd w:val="clear" w:color="auto" w:fill="auto"/>
            <w:noWrap/>
            <w:vAlign w:val="center"/>
            <w:hideMark/>
          </w:tcPr>
          <w:p w14:paraId="4F8D3A7C" w14:textId="7EE91FAE"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0.061</w:t>
            </w:r>
          </w:p>
        </w:tc>
      </w:tr>
      <w:tr w:rsidR="003029A8" w:rsidRPr="00F07DEB" w14:paraId="6EF60E74" w14:textId="77777777" w:rsidTr="000D21DD">
        <w:trPr>
          <w:trHeight w:val="292"/>
        </w:trPr>
        <w:tc>
          <w:tcPr>
            <w:tcW w:w="1163" w:type="dxa"/>
            <w:tcBorders>
              <w:top w:val="nil"/>
              <w:left w:val="nil"/>
              <w:bottom w:val="nil"/>
              <w:right w:val="nil"/>
            </w:tcBorders>
            <w:shd w:val="clear" w:color="auto" w:fill="auto"/>
            <w:noWrap/>
            <w:vAlign w:val="center"/>
            <w:hideMark/>
          </w:tcPr>
          <w:p w14:paraId="1EB9809D"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K</w:t>
            </w:r>
          </w:p>
        </w:tc>
        <w:tc>
          <w:tcPr>
            <w:tcW w:w="700" w:type="dxa"/>
            <w:tcBorders>
              <w:top w:val="nil"/>
              <w:left w:val="nil"/>
              <w:bottom w:val="nil"/>
              <w:right w:val="nil"/>
            </w:tcBorders>
            <w:shd w:val="clear" w:color="auto" w:fill="auto"/>
            <w:noWrap/>
            <w:vAlign w:val="center"/>
            <w:hideMark/>
          </w:tcPr>
          <w:p w14:paraId="4D87D509" w14:textId="29519822"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6F04977A" w14:textId="2DC26E85"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10205"/>
                <w:sz w:val="20"/>
                <w:szCs w:val="20"/>
              </w:rPr>
              <w:t>0.41</w:t>
            </w:r>
          </w:p>
        </w:tc>
        <w:tc>
          <w:tcPr>
            <w:tcW w:w="893" w:type="dxa"/>
            <w:tcBorders>
              <w:top w:val="nil"/>
              <w:left w:val="nil"/>
              <w:bottom w:val="nil"/>
              <w:right w:val="nil"/>
            </w:tcBorders>
            <w:shd w:val="clear" w:color="auto" w:fill="auto"/>
            <w:noWrap/>
            <w:vAlign w:val="center"/>
            <w:hideMark/>
          </w:tcPr>
          <w:p w14:paraId="1E342207" w14:textId="5F1C6F9B"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0.535</w:t>
            </w:r>
          </w:p>
        </w:tc>
        <w:tc>
          <w:tcPr>
            <w:tcW w:w="1124" w:type="dxa"/>
            <w:tcBorders>
              <w:top w:val="nil"/>
              <w:left w:val="nil"/>
              <w:bottom w:val="nil"/>
              <w:right w:val="nil"/>
            </w:tcBorders>
            <w:shd w:val="clear" w:color="auto" w:fill="auto"/>
            <w:noWrap/>
            <w:vAlign w:val="center"/>
            <w:hideMark/>
          </w:tcPr>
          <w:p w14:paraId="510A2003" w14:textId="515A2CB9"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0.04</w:t>
            </w:r>
          </w:p>
        </w:tc>
        <w:tc>
          <w:tcPr>
            <w:tcW w:w="266" w:type="dxa"/>
            <w:tcBorders>
              <w:top w:val="nil"/>
              <w:left w:val="nil"/>
              <w:bottom w:val="nil"/>
              <w:right w:val="nil"/>
            </w:tcBorders>
            <w:shd w:val="clear" w:color="auto" w:fill="auto"/>
            <w:noWrap/>
            <w:vAlign w:val="center"/>
            <w:hideMark/>
          </w:tcPr>
          <w:p w14:paraId="0C7AF925"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64B4C30D" w14:textId="449EB444"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(1.84,18.44)</w:t>
            </w:r>
          </w:p>
        </w:tc>
        <w:tc>
          <w:tcPr>
            <w:tcW w:w="774" w:type="dxa"/>
            <w:tcBorders>
              <w:top w:val="nil"/>
              <w:left w:val="nil"/>
              <w:bottom w:val="nil"/>
              <w:right w:val="nil"/>
            </w:tcBorders>
            <w:shd w:val="clear" w:color="auto" w:fill="auto"/>
            <w:noWrap/>
            <w:vAlign w:val="center"/>
            <w:hideMark/>
          </w:tcPr>
          <w:p w14:paraId="05ABB5EC" w14:textId="339B91C4"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88.66</w:t>
            </w:r>
          </w:p>
        </w:tc>
        <w:tc>
          <w:tcPr>
            <w:tcW w:w="930" w:type="dxa"/>
            <w:tcBorders>
              <w:top w:val="nil"/>
              <w:left w:val="nil"/>
              <w:bottom w:val="nil"/>
              <w:right w:val="nil"/>
            </w:tcBorders>
            <w:shd w:val="clear" w:color="auto" w:fill="auto"/>
            <w:noWrap/>
            <w:vAlign w:val="center"/>
            <w:hideMark/>
          </w:tcPr>
          <w:p w14:paraId="276EDD4D" w14:textId="4BA2AA74"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632CA026" w14:textId="41F59A2F"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0.899</w:t>
            </w:r>
          </w:p>
        </w:tc>
        <w:tc>
          <w:tcPr>
            <w:tcW w:w="266" w:type="dxa"/>
            <w:tcBorders>
              <w:top w:val="nil"/>
              <w:left w:val="nil"/>
              <w:bottom w:val="nil"/>
              <w:right w:val="nil"/>
            </w:tcBorders>
            <w:shd w:val="clear" w:color="auto" w:fill="auto"/>
            <w:noWrap/>
            <w:vAlign w:val="center"/>
            <w:hideMark/>
          </w:tcPr>
          <w:p w14:paraId="4208AF17"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6231E4AA" w14:textId="6756A5DA"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(1.84,18.44)</w:t>
            </w:r>
          </w:p>
        </w:tc>
        <w:tc>
          <w:tcPr>
            <w:tcW w:w="672" w:type="dxa"/>
            <w:tcBorders>
              <w:top w:val="nil"/>
              <w:left w:val="nil"/>
              <w:bottom w:val="nil"/>
              <w:right w:val="nil"/>
            </w:tcBorders>
            <w:shd w:val="clear" w:color="auto" w:fill="auto"/>
            <w:noWrap/>
            <w:vAlign w:val="center"/>
            <w:hideMark/>
          </w:tcPr>
          <w:p w14:paraId="2F1E2965" w14:textId="73D1B60F"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1.08</w:t>
            </w:r>
          </w:p>
        </w:tc>
        <w:tc>
          <w:tcPr>
            <w:tcW w:w="879" w:type="dxa"/>
            <w:tcBorders>
              <w:top w:val="nil"/>
              <w:left w:val="nil"/>
              <w:bottom w:val="nil"/>
              <w:right w:val="nil"/>
            </w:tcBorders>
            <w:shd w:val="clear" w:color="auto" w:fill="auto"/>
            <w:noWrap/>
            <w:vAlign w:val="center"/>
            <w:hideMark/>
          </w:tcPr>
          <w:p w14:paraId="3326E727" w14:textId="3C106662"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0.355</w:t>
            </w:r>
          </w:p>
        </w:tc>
        <w:tc>
          <w:tcPr>
            <w:tcW w:w="1124" w:type="dxa"/>
            <w:tcBorders>
              <w:top w:val="nil"/>
              <w:left w:val="nil"/>
              <w:bottom w:val="nil"/>
              <w:right w:val="nil"/>
            </w:tcBorders>
            <w:shd w:val="clear" w:color="auto" w:fill="auto"/>
            <w:noWrap/>
            <w:vAlign w:val="center"/>
            <w:hideMark/>
          </w:tcPr>
          <w:p w14:paraId="767E8660" w14:textId="6899FC1C"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0.098</w:t>
            </w:r>
          </w:p>
        </w:tc>
      </w:tr>
      <w:tr w:rsidR="003029A8" w:rsidRPr="00F07DEB" w14:paraId="5AEE52BC" w14:textId="77777777" w:rsidTr="000D21DD">
        <w:trPr>
          <w:trHeight w:val="292"/>
        </w:trPr>
        <w:tc>
          <w:tcPr>
            <w:tcW w:w="1163" w:type="dxa"/>
            <w:tcBorders>
              <w:top w:val="nil"/>
              <w:left w:val="nil"/>
              <w:bottom w:val="nil"/>
              <w:right w:val="nil"/>
            </w:tcBorders>
            <w:shd w:val="clear" w:color="auto" w:fill="auto"/>
            <w:noWrap/>
            <w:vAlign w:val="center"/>
            <w:hideMark/>
          </w:tcPr>
          <w:p w14:paraId="70956276"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Mg</w:t>
            </w:r>
          </w:p>
        </w:tc>
        <w:tc>
          <w:tcPr>
            <w:tcW w:w="700" w:type="dxa"/>
            <w:tcBorders>
              <w:top w:val="nil"/>
              <w:left w:val="nil"/>
              <w:bottom w:val="nil"/>
              <w:right w:val="nil"/>
            </w:tcBorders>
            <w:shd w:val="clear" w:color="auto" w:fill="auto"/>
            <w:noWrap/>
            <w:vAlign w:val="center"/>
            <w:hideMark/>
          </w:tcPr>
          <w:p w14:paraId="2DEF3F7B" w14:textId="4DC28833"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4E6319D7" w14:textId="1FE13BC6"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00000"/>
                <w:sz w:val="20"/>
                <w:szCs w:val="20"/>
              </w:rPr>
              <w:t>0.17</w:t>
            </w:r>
          </w:p>
        </w:tc>
        <w:tc>
          <w:tcPr>
            <w:tcW w:w="893" w:type="dxa"/>
            <w:tcBorders>
              <w:top w:val="nil"/>
              <w:left w:val="nil"/>
              <w:bottom w:val="nil"/>
              <w:right w:val="nil"/>
            </w:tcBorders>
            <w:shd w:val="clear" w:color="auto" w:fill="auto"/>
            <w:noWrap/>
            <w:vAlign w:val="center"/>
            <w:hideMark/>
          </w:tcPr>
          <w:p w14:paraId="4AE323DF" w14:textId="1899C21D"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color w:val="000000"/>
                <w:sz w:val="20"/>
                <w:szCs w:val="20"/>
              </w:rPr>
              <w:t>0.693</w:t>
            </w:r>
          </w:p>
        </w:tc>
        <w:tc>
          <w:tcPr>
            <w:tcW w:w="1124" w:type="dxa"/>
            <w:tcBorders>
              <w:top w:val="nil"/>
              <w:left w:val="nil"/>
              <w:bottom w:val="nil"/>
              <w:right w:val="nil"/>
            </w:tcBorders>
            <w:shd w:val="clear" w:color="auto" w:fill="auto"/>
            <w:noWrap/>
            <w:vAlign w:val="center"/>
            <w:hideMark/>
          </w:tcPr>
          <w:p w14:paraId="06E408E4" w14:textId="0A253C56"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0.016</w:t>
            </w:r>
          </w:p>
        </w:tc>
        <w:tc>
          <w:tcPr>
            <w:tcW w:w="266" w:type="dxa"/>
            <w:tcBorders>
              <w:top w:val="nil"/>
              <w:left w:val="nil"/>
              <w:bottom w:val="nil"/>
              <w:right w:val="nil"/>
            </w:tcBorders>
            <w:shd w:val="clear" w:color="auto" w:fill="auto"/>
            <w:noWrap/>
            <w:vAlign w:val="center"/>
            <w:hideMark/>
          </w:tcPr>
          <w:p w14:paraId="7535D55D"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2D473604" w14:textId="77E402A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(3,30)</w:t>
            </w:r>
          </w:p>
        </w:tc>
        <w:tc>
          <w:tcPr>
            <w:tcW w:w="774" w:type="dxa"/>
            <w:tcBorders>
              <w:top w:val="nil"/>
              <w:left w:val="nil"/>
              <w:bottom w:val="nil"/>
              <w:right w:val="nil"/>
            </w:tcBorders>
            <w:shd w:val="clear" w:color="auto" w:fill="auto"/>
            <w:noWrap/>
            <w:vAlign w:val="center"/>
            <w:hideMark/>
          </w:tcPr>
          <w:p w14:paraId="1FEFFA37" w14:textId="0F14E2C9"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167.46</w:t>
            </w:r>
          </w:p>
        </w:tc>
        <w:tc>
          <w:tcPr>
            <w:tcW w:w="930" w:type="dxa"/>
            <w:tcBorders>
              <w:top w:val="nil"/>
              <w:left w:val="nil"/>
              <w:bottom w:val="nil"/>
              <w:right w:val="nil"/>
            </w:tcBorders>
            <w:shd w:val="clear" w:color="auto" w:fill="auto"/>
            <w:noWrap/>
            <w:vAlign w:val="center"/>
            <w:hideMark/>
          </w:tcPr>
          <w:p w14:paraId="545EE3C0" w14:textId="33AC91BC"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5754196F" w14:textId="387AC68C"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0.944</w:t>
            </w:r>
          </w:p>
        </w:tc>
        <w:tc>
          <w:tcPr>
            <w:tcW w:w="266" w:type="dxa"/>
            <w:tcBorders>
              <w:top w:val="nil"/>
              <w:left w:val="nil"/>
              <w:bottom w:val="nil"/>
              <w:right w:val="nil"/>
            </w:tcBorders>
            <w:shd w:val="clear" w:color="auto" w:fill="auto"/>
            <w:noWrap/>
            <w:vAlign w:val="center"/>
            <w:hideMark/>
          </w:tcPr>
          <w:p w14:paraId="5060AB9D"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27A47C48" w14:textId="314C6C69"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(3,30)</w:t>
            </w:r>
          </w:p>
        </w:tc>
        <w:tc>
          <w:tcPr>
            <w:tcW w:w="672" w:type="dxa"/>
            <w:tcBorders>
              <w:top w:val="nil"/>
              <w:left w:val="nil"/>
              <w:bottom w:val="nil"/>
              <w:right w:val="nil"/>
            </w:tcBorders>
            <w:shd w:val="clear" w:color="auto" w:fill="auto"/>
            <w:noWrap/>
            <w:vAlign w:val="center"/>
            <w:hideMark/>
          </w:tcPr>
          <w:p w14:paraId="6C408C41" w14:textId="63D7AB9A"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4.20</w:t>
            </w:r>
          </w:p>
        </w:tc>
        <w:tc>
          <w:tcPr>
            <w:tcW w:w="879" w:type="dxa"/>
            <w:tcBorders>
              <w:top w:val="nil"/>
              <w:left w:val="nil"/>
              <w:bottom w:val="nil"/>
              <w:right w:val="nil"/>
            </w:tcBorders>
            <w:shd w:val="clear" w:color="auto" w:fill="auto"/>
            <w:noWrap/>
            <w:vAlign w:val="center"/>
            <w:hideMark/>
          </w:tcPr>
          <w:p w14:paraId="03517900" w14:textId="0110F4A4"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0.014</w:t>
            </w:r>
          </w:p>
        </w:tc>
        <w:tc>
          <w:tcPr>
            <w:tcW w:w="1124" w:type="dxa"/>
            <w:tcBorders>
              <w:top w:val="nil"/>
              <w:left w:val="nil"/>
              <w:bottom w:val="nil"/>
              <w:right w:val="nil"/>
            </w:tcBorders>
            <w:shd w:val="clear" w:color="auto" w:fill="auto"/>
            <w:noWrap/>
            <w:vAlign w:val="center"/>
            <w:hideMark/>
          </w:tcPr>
          <w:p w14:paraId="679BB151" w14:textId="66A2C93D"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0.296</w:t>
            </w:r>
          </w:p>
        </w:tc>
      </w:tr>
      <w:tr w:rsidR="003029A8" w:rsidRPr="00F07DEB" w14:paraId="2CA40472" w14:textId="77777777" w:rsidTr="000D21DD">
        <w:trPr>
          <w:trHeight w:val="292"/>
        </w:trPr>
        <w:tc>
          <w:tcPr>
            <w:tcW w:w="1163" w:type="dxa"/>
            <w:tcBorders>
              <w:top w:val="nil"/>
              <w:left w:val="nil"/>
              <w:bottom w:val="nil"/>
              <w:right w:val="nil"/>
            </w:tcBorders>
            <w:shd w:val="clear" w:color="auto" w:fill="auto"/>
            <w:noWrap/>
            <w:vAlign w:val="center"/>
            <w:hideMark/>
          </w:tcPr>
          <w:p w14:paraId="03E8CCC5"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Mn</w:t>
            </w:r>
            <w:proofErr w:type="spellEnd"/>
          </w:p>
        </w:tc>
        <w:tc>
          <w:tcPr>
            <w:tcW w:w="700" w:type="dxa"/>
            <w:tcBorders>
              <w:top w:val="nil"/>
              <w:left w:val="nil"/>
              <w:bottom w:val="nil"/>
              <w:right w:val="nil"/>
            </w:tcBorders>
            <w:shd w:val="clear" w:color="auto" w:fill="auto"/>
            <w:noWrap/>
            <w:vAlign w:val="center"/>
            <w:hideMark/>
          </w:tcPr>
          <w:p w14:paraId="15044636" w14:textId="75E228DD"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60063246" w14:textId="3206343B"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3.03</w:t>
            </w:r>
          </w:p>
        </w:tc>
        <w:tc>
          <w:tcPr>
            <w:tcW w:w="893" w:type="dxa"/>
            <w:tcBorders>
              <w:top w:val="nil"/>
              <w:left w:val="nil"/>
              <w:bottom w:val="nil"/>
              <w:right w:val="nil"/>
            </w:tcBorders>
            <w:shd w:val="clear" w:color="auto" w:fill="auto"/>
            <w:noWrap/>
            <w:vAlign w:val="center"/>
            <w:hideMark/>
          </w:tcPr>
          <w:p w14:paraId="68C38B28" w14:textId="4D73CD2D"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0.112</w:t>
            </w:r>
          </w:p>
        </w:tc>
        <w:tc>
          <w:tcPr>
            <w:tcW w:w="1124" w:type="dxa"/>
            <w:tcBorders>
              <w:top w:val="nil"/>
              <w:left w:val="nil"/>
              <w:bottom w:val="nil"/>
              <w:right w:val="nil"/>
            </w:tcBorders>
            <w:shd w:val="clear" w:color="auto" w:fill="auto"/>
            <w:noWrap/>
            <w:vAlign w:val="center"/>
            <w:hideMark/>
          </w:tcPr>
          <w:p w14:paraId="30BE74AB" w14:textId="18F927C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0.233</w:t>
            </w:r>
          </w:p>
        </w:tc>
        <w:tc>
          <w:tcPr>
            <w:tcW w:w="266" w:type="dxa"/>
            <w:tcBorders>
              <w:top w:val="nil"/>
              <w:left w:val="nil"/>
              <w:bottom w:val="nil"/>
              <w:right w:val="nil"/>
            </w:tcBorders>
            <w:shd w:val="clear" w:color="auto" w:fill="auto"/>
            <w:noWrap/>
            <w:vAlign w:val="center"/>
            <w:hideMark/>
          </w:tcPr>
          <w:p w14:paraId="158E969F"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1A3504B7" w14:textId="737F9C4D"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(1.60,16.05)</w:t>
            </w:r>
          </w:p>
        </w:tc>
        <w:tc>
          <w:tcPr>
            <w:tcW w:w="774" w:type="dxa"/>
            <w:tcBorders>
              <w:top w:val="nil"/>
              <w:left w:val="nil"/>
              <w:bottom w:val="nil"/>
              <w:right w:val="nil"/>
            </w:tcBorders>
            <w:shd w:val="clear" w:color="auto" w:fill="auto"/>
            <w:noWrap/>
            <w:vAlign w:val="center"/>
            <w:hideMark/>
          </w:tcPr>
          <w:p w14:paraId="7F02A7BC" w14:textId="5CF49AD7"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55.04</w:t>
            </w:r>
          </w:p>
        </w:tc>
        <w:tc>
          <w:tcPr>
            <w:tcW w:w="930" w:type="dxa"/>
            <w:tcBorders>
              <w:top w:val="nil"/>
              <w:left w:val="nil"/>
              <w:bottom w:val="nil"/>
              <w:right w:val="nil"/>
            </w:tcBorders>
            <w:shd w:val="clear" w:color="auto" w:fill="auto"/>
            <w:noWrap/>
            <w:vAlign w:val="center"/>
            <w:hideMark/>
          </w:tcPr>
          <w:p w14:paraId="23E9CD89" w14:textId="24C681AE"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5B7ECC85" w14:textId="66D8DBAD"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0.846</w:t>
            </w:r>
          </w:p>
        </w:tc>
        <w:tc>
          <w:tcPr>
            <w:tcW w:w="266" w:type="dxa"/>
            <w:tcBorders>
              <w:top w:val="nil"/>
              <w:left w:val="nil"/>
              <w:bottom w:val="nil"/>
              <w:right w:val="nil"/>
            </w:tcBorders>
            <w:shd w:val="clear" w:color="auto" w:fill="auto"/>
            <w:noWrap/>
            <w:vAlign w:val="center"/>
            <w:hideMark/>
          </w:tcPr>
          <w:p w14:paraId="2A78FCA9"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7E8199E9" w14:textId="7A04020D"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(1.60,16.05)</w:t>
            </w:r>
          </w:p>
        </w:tc>
        <w:tc>
          <w:tcPr>
            <w:tcW w:w="672" w:type="dxa"/>
            <w:tcBorders>
              <w:top w:val="nil"/>
              <w:left w:val="nil"/>
              <w:bottom w:val="nil"/>
              <w:right w:val="nil"/>
            </w:tcBorders>
            <w:shd w:val="clear" w:color="auto" w:fill="auto"/>
            <w:noWrap/>
            <w:vAlign w:val="center"/>
            <w:hideMark/>
          </w:tcPr>
          <w:p w14:paraId="4CFA7A87" w14:textId="69888211"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0.69</w:t>
            </w:r>
          </w:p>
        </w:tc>
        <w:tc>
          <w:tcPr>
            <w:tcW w:w="879" w:type="dxa"/>
            <w:tcBorders>
              <w:top w:val="nil"/>
              <w:left w:val="nil"/>
              <w:bottom w:val="nil"/>
              <w:right w:val="nil"/>
            </w:tcBorders>
            <w:shd w:val="clear" w:color="auto" w:fill="auto"/>
            <w:noWrap/>
            <w:vAlign w:val="center"/>
            <w:hideMark/>
          </w:tcPr>
          <w:p w14:paraId="403B62B0" w14:textId="5B5066DB"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0.483</w:t>
            </w:r>
          </w:p>
        </w:tc>
        <w:tc>
          <w:tcPr>
            <w:tcW w:w="1124" w:type="dxa"/>
            <w:tcBorders>
              <w:top w:val="nil"/>
              <w:left w:val="nil"/>
              <w:bottom w:val="nil"/>
              <w:right w:val="nil"/>
            </w:tcBorders>
            <w:shd w:val="clear" w:color="auto" w:fill="auto"/>
            <w:noWrap/>
            <w:vAlign w:val="center"/>
            <w:hideMark/>
          </w:tcPr>
          <w:p w14:paraId="4145C504" w14:textId="6C0FD25E"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0.065</w:t>
            </w:r>
          </w:p>
        </w:tc>
      </w:tr>
      <w:tr w:rsidR="003029A8" w:rsidRPr="00F07DEB" w14:paraId="54523755" w14:textId="77777777" w:rsidTr="000D21DD">
        <w:trPr>
          <w:trHeight w:val="292"/>
        </w:trPr>
        <w:tc>
          <w:tcPr>
            <w:tcW w:w="1163" w:type="dxa"/>
            <w:tcBorders>
              <w:top w:val="nil"/>
              <w:left w:val="nil"/>
              <w:bottom w:val="nil"/>
              <w:right w:val="nil"/>
            </w:tcBorders>
            <w:shd w:val="clear" w:color="auto" w:fill="auto"/>
            <w:noWrap/>
            <w:vAlign w:val="center"/>
            <w:hideMark/>
          </w:tcPr>
          <w:p w14:paraId="2B4B42A9"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Ni</w:t>
            </w:r>
          </w:p>
        </w:tc>
        <w:tc>
          <w:tcPr>
            <w:tcW w:w="700" w:type="dxa"/>
            <w:tcBorders>
              <w:top w:val="nil"/>
              <w:left w:val="nil"/>
              <w:bottom w:val="nil"/>
              <w:right w:val="nil"/>
            </w:tcBorders>
            <w:shd w:val="clear" w:color="auto" w:fill="auto"/>
            <w:noWrap/>
            <w:vAlign w:val="center"/>
            <w:hideMark/>
          </w:tcPr>
          <w:p w14:paraId="01491E8C" w14:textId="2B63A89F"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6D258978" w14:textId="643DD432"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1.41</w:t>
            </w:r>
          </w:p>
        </w:tc>
        <w:tc>
          <w:tcPr>
            <w:tcW w:w="893" w:type="dxa"/>
            <w:tcBorders>
              <w:top w:val="nil"/>
              <w:left w:val="nil"/>
              <w:bottom w:val="nil"/>
              <w:right w:val="nil"/>
            </w:tcBorders>
            <w:shd w:val="clear" w:color="auto" w:fill="auto"/>
            <w:noWrap/>
            <w:vAlign w:val="center"/>
            <w:hideMark/>
          </w:tcPr>
          <w:p w14:paraId="5417ABAB" w14:textId="7E1A3250"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0.263</w:t>
            </w:r>
          </w:p>
        </w:tc>
        <w:tc>
          <w:tcPr>
            <w:tcW w:w="1124" w:type="dxa"/>
            <w:tcBorders>
              <w:top w:val="nil"/>
              <w:left w:val="nil"/>
              <w:bottom w:val="nil"/>
              <w:right w:val="nil"/>
            </w:tcBorders>
            <w:shd w:val="clear" w:color="auto" w:fill="auto"/>
            <w:noWrap/>
            <w:vAlign w:val="center"/>
            <w:hideMark/>
          </w:tcPr>
          <w:p w14:paraId="2B2193DE" w14:textId="51C3BB8C"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0.124</w:t>
            </w:r>
          </w:p>
        </w:tc>
        <w:tc>
          <w:tcPr>
            <w:tcW w:w="266" w:type="dxa"/>
            <w:tcBorders>
              <w:top w:val="nil"/>
              <w:left w:val="nil"/>
              <w:bottom w:val="nil"/>
              <w:right w:val="nil"/>
            </w:tcBorders>
            <w:shd w:val="clear" w:color="auto" w:fill="auto"/>
            <w:noWrap/>
            <w:vAlign w:val="center"/>
            <w:hideMark/>
          </w:tcPr>
          <w:p w14:paraId="42326FD5"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23F92376" w14:textId="37107FE5"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(2.04,20.43)</w:t>
            </w:r>
          </w:p>
        </w:tc>
        <w:tc>
          <w:tcPr>
            <w:tcW w:w="774" w:type="dxa"/>
            <w:tcBorders>
              <w:top w:val="nil"/>
              <w:left w:val="nil"/>
              <w:bottom w:val="nil"/>
              <w:right w:val="nil"/>
            </w:tcBorders>
            <w:shd w:val="clear" w:color="auto" w:fill="auto"/>
            <w:noWrap/>
            <w:vAlign w:val="center"/>
            <w:hideMark/>
          </w:tcPr>
          <w:p w14:paraId="27D21A9E" w14:textId="25AB41B1"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3.73</w:t>
            </w:r>
          </w:p>
        </w:tc>
        <w:tc>
          <w:tcPr>
            <w:tcW w:w="930" w:type="dxa"/>
            <w:tcBorders>
              <w:top w:val="nil"/>
              <w:left w:val="nil"/>
              <w:bottom w:val="nil"/>
              <w:right w:val="nil"/>
            </w:tcBorders>
            <w:shd w:val="clear" w:color="auto" w:fill="auto"/>
            <w:noWrap/>
            <w:vAlign w:val="center"/>
            <w:hideMark/>
          </w:tcPr>
          <w:p w14:paraId="4253F471" w14:textId="517AC69A"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b/>
                <w:bCs/>
                <w:color w:val="000000"/>
                <w:sz w:val="20"/>
                <w:szCs w:val="20"/>
              </w:rPr>
              <w:t>0.041</w:t>
            </w:r>
          </w:p>
        </w:tc>
        <w:tc>
          <w:tcPr>
            <w:tcW w:w="1124" w:type="dxa"/>
            <w:tcBorders>
              <w:top w:val="nil"/>
              <w:left w:val="nil"/>
              <w:bottom w:val="nil"/>
              <w:right w:val="nil"/>
            </w:tcBorders>
            <w:shd w:val="clear" w:color="auto" w:fill="auto"/>
            <w:noWrap/>
            <w:vAlign w:val="center"/>
            <w:hideMark/>
          </w:tcPr>
          <w:p w14:paraId="29D5731C" w14:textId="27E4B28F"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0.272</w:t>
            </w:r>
          </w:p>
        </w:tc>
        <w:tc>
          <w:tcPr>
            <w:tcW w:w="266" w:type="dxa"/>
            <w:tcBorders>
              <w:top w:val="nil"/>
              <w:left w:val="nil"/>
              <w:bottom w:val="nil"/>
              <w:right w:val="nil"/>
            </w:tcBorders>
            <w:shd w:val="clear" w:color="auto" w:fill="auto"/>
            <w:noWrap/>
            <w:vAlign w:val="center"/>
            <w:hideMark/>
          </w:tcPr>
          <w:p w14:paraId="7CADCDC3"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32BBB4D1" w14:textId="0242C52B"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(2.04,20.43)</w:t>
            </w:r>
          </w:p>
        </w:tc>
        <w:tc>
          <w:tcPr>
            <w:tcW w:w="672" w:type="dxa"/>
            <w:tcBorders>
              <w:top w:val="nil"/>
              <w:left w:val="nil"/>
              <w:bottom w:val="nil"/>
              <w:right w:val="nil"/>
            </w:tcBorders>
            <w:shd w:val="clear" w:color="auto" w:fill="auto"/>
            <w:noWrap/>
            <w:vAlign w:val="center"/>
            <w:hideMark/>
          </w:tcPr>
          <w:p w14:paraId="66147CE2" w14:textId="526F90A4"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1.23</w:t>
            </w:r>
          </w:p>
        </w:tc>
        <w:tc>
          <w:tcPr>
            <w:tcW w:w="879" w:type="dxa"/>
            <w:tcBorders>
              <w:top w:val="nil"/>
              <w:left w:val="nil"/>
              <w:bottom w:val="nil"/>
              <w:right w:val="nil"/>
            </w:tcBorders>
            <w:shd w:val="clear" w:color="auto" w:fill="auto"/>
            <w:noWrap/>
            <w:vAlign w:val="center"/>
            <w:hideMark/>
          </w:tcPr>
          <w:p w14:paraId="3B07C477" w14:textId="0B41B544"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0.314</w:t>
            </w:r>
          </w:p>
        </w:tc>
        <w:tc>
          <w:tcPr>
            <w:tcW w:w="1124" w:type="dxa"/>
            <w:tcBorders>
              <w:top w:val="nil"/>
              <w:left w:val="nil"/>
              <w:bottom w:val="nil"/>
              <w:right w:val="nil"/>
            </w:tcBorders>
            <w:shd w:val="clear" w:color="auto" w:fill="auto"/>
            <w:noWrap/>
            <w:vAlign w:val="center"/>
            <w:hideMark/>
          </w:tcPr>
          <w:p w14:paraId="3408E552" w14:textId="3AC29AE9"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0.11</w:t>
            </w:r>
          </w:p>
        </w:tc>
      </w:tr>
      <w:tr w:rsidR="003029A8" w:rsidRPr="00F07DEB" w14:paraId="0527B4D8" w14:textId="77777777" w:rsidTr="000D21DD">
        <w:trPr>
          <w:trHeight w:val="292"/>
        </w:trPr>
        <w:tc>
          <w:tcPr>
            <w:tcW w:w="1163" w:type="dxa"/>
            <w:tcBorders>
              <w:top w:val="nil"/>
              <w:left w:val="nil"/>
              <w:bottom w:val="nil"/>
              <w:right w:val="nil"/>
            </w:tcBorders>
            <w:shd w:val="clear" w:color="auto" w:fill="auto"/>
            <w:noWrap/>
            <w:vAlign w:val="center"/>
            <w:hideMark/>
          </w:tcPr>
          <w:p w14:paraId="712188B9"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Pb</w:t>
            </w:r>
            <w:proofErr w:type="spellEnd"/>
          </w:p>
        </w:tc>
        <w:tc>
          <w:tcPr>
            <w:tcW w:w="700" w:type="dxa"/>
            <w:tcBorders>
              <w:top w:val="nil"/>
              <w:left w:val="nil"/>
              <w:bottom w:val="nil"/>
              <w:right w:val="nil"/>
            </w:tcBorders>
            <w:shd w:val="clear" w:color="auto" w:fill="auto"/>
            <w:noWrap/>
            <w:vAlign w:val="center"/>
            <w:hideMark/>
          </w:tcPr>
          <w:p w14:paraId="2E872109" w14:textId="4844F6C0"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110B2B9E" w14:textId="5AD881EB"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9.91</w:t>
            </w:r>
          </w:p>
        </w:tc>
        <w:tc>
          <w:tcPr>
            <w:tcW w:w="893" w:type="dxa"/>
            <w:tcBorders>
              <w:top w:val="nil"/>
              <w:left w:val="nil"/>
              <w:bottom w:val="nil"/>
              <w:right w:val="nil"/>
            </w:tcBorders>
            <w:shd w:val="clear" w:color="auto" w:fill="auto"/>
            <w:noWrap/>
            <w:vAlign w:val="center"/>
            <w:hideMark/>
          </w:tcPr>
          <w:p w14:paraId="7494FB9A" w14:textId="0C6D2FB3"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b/>
                <w:bCs/>
                <w:color w:val="000000"/>
                <w:sz w:val="20"/>
                <w:szCs w:val="20"/>
              </w:rPr>
              <w:t>0.010</w:t>
            </w:r>
          </w:p>
        </w:tc>
        <w:tc>
          <w:tcPr>
            <w:tcW w:w="1124" w:type="dxa"/>
            <w:tcBorders>
              <w:top w:val="nil"/>
              <w:left w:val="nil"/>
              <w:bottom w:val="nil"/>
              <w:right w:val="nil"/>
            </w:tcBorders>
            <w:shd w:val="clear" w:color="auto" w:fill="auto"/>
            <w:noWrap/>
            <w:vAlign w:val="center"/>
            <w:hideMark/>
          </w:tcPr>
          <w:p w14:paraId="12852D6C" w14:textId="476D5D46"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0.498</w:t>
            </w:r>
          </w:p>
        </w:tc>
        <w:tc>
          <w:tcPr>
            <w:tcW w:w="266" w:type="dxa"/>
            <w:tcBorders>
              <w:top w:val="nil"/>
              <w:left w:val="nil"/>
              <w:bottom w:val="nil"/>
              <w:right w:val="nil"/>
            </w:tcBorders>
            <w:shd w:val="clear" w:color="auto" w:fill="auto"/>
            <w:noWrap/>
            <w:vAlign w:val="center"/>
            <w:hideMark/>
          </w:tcPr>
          <w:p w14:paraId="1A2C400F"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2EA23F4A" w14:textId="1E285292"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(2.16,21.64)</w:t>
            </w:r>
          </w:p>
        </w:tc>
        <w:tc>
          <w:tcPr>
            <w:tcW w:w="774" w:type="dxa"/>
            <w:tcBorders>
              <w:top w:val="nil"/>
              <w:left w:val="nil"/>
              <w:bottom w:val="nil"/>
              <w:right w:val="nil"/>
            </w:tcBorders>
            <w:shd w:val="clear" w:color="auto" w:fill="auto"/>
            <w:noWrap/>
            <w:vAlign w:val="center"/>
            <w:hideMark/>
          </w:tcPr>
          <w:p w14:paraId="2162CA6F" w14:textId="39BAF58A"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26.37</w:t>
            </w:r>
          </w:p>
        </w:tc>
        <w:tc>
          <w:tcPr>
            <w:tcW w:w="930" w:type="dxa"/>
            <w:tcBorders>
              <w:top w:val="nil"/>
              <w:left w:val="nil"/>
              <w:bottom w:val="nil"/>
              <w:right w:val="nil"/>
            </w:tcBorders>
            <w:shd w:val="clear" w:color="auto" w:fill="auto"/>
            <w:noWrap/>
            <w:vAlign w:val="center"/>
            <w:hideMark/>
          </w:tcPr>
          <w:p w14:paraId="65FCC1EA" w14:textId="13D6A3FF"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2CA813B0" w14:textId="34E0C7E9"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0.725</w:t>
            </w:r>
          </w:p>
        </w:tc>
        <w:tc>
          <w:tcPr>
            <w:tcW w:w="266" w:type="dxa"/>
            <w:tcBorders>
              <w:top w:val="nil"/>
              <w:left w:val="nil"/>
              <w:bottom w:val="nil"/>
              <w:right w:val="nil"/>
            </w:tcBorders>
            <w:shd w:val="clear" w:color="auto" w:fill="auto"/>
            <w:noWrap/>
            <w:vAlign w:val="center"/>
            <w:hideMark/>
          </w:tcPr>
          <w:p w14:paraId="47080D12"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1AEA45FB" w14:textId="02ED5A3D"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(2.16,21.64)</w:t>
            </w:r>
          </w:p>
        </w:tc>
        <w:tc>
          <w:tcPr>
            <w:tcW w:w="672" w:type="dxa"/>
            <w:tcBorders>
              <w:top w:val="nil"/>
              <w:left w:val="nil"/>
              <w:bottom w:val="nil"/>
              <w:right w:val="nil"/>
            </w:tcBorders>
            <w:shd w:val="clear" w:color="auto" w:fill="auto"/>
            <w:noWrap/>
            <w:vAlign w:val="center"/>
            <w:hideMark/>
          </w:tcPr>
          <w:p w14:paraId="288B6AE1" w14:textId="60332836"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2.24</w:t>
            </w:r>
          </w:p>
        </w:tc>
        <w:tc>
          <w:tcPr>
            <w:tcW w:w="879" w:type="dxa"/>
            <w:tcBorders>
              <w:top w:val="nil"/>
              <w:left w:val="nil"/>
              <w:bottom w:val="nil"/>
              <w:right w:val="nil"/>
            </w:tcBorders>
            <w:shd w:val="clear" w:color="auto" w:fill="auto"/>
            <w:noWrap/>
            <w:vAlign w:val="center"/>
            <w:hideMark/>
          </w:tcPr>
          <w:p w14:paraId="078FF22A" w14:textId="35A4C779"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0.127</w:t>
            </w:r>
          </w:p>
        </w:tc>
        <w:tc>
          <w:tcPr>
            <w:tcW w:w="1124" w:type="dxa"/>
            <w:tcBorders>
              <w:top w:val="nil"/>
              <w:left w:val="nil"/>
              <w:bottom w:val="nil"/>
              <w:right w:val="nil"/>
            </w:tcBorders>
            <w:shd w:val="clear" w:color="auto" w:fill="auto"/>
            <w:noWrap/>
            <w:vAlign w:val="center"/>
            <w:hideMark/>
          </w:tcPr>
          <w:p w14:paraId="3849E01E" w14:textId="4D083122"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0.183</w:t>
            </w:r>
          </w:p>
        </w:tc>
      </w:tr>
      <w:tr w:rsidR="003029A8" w:rsidRPr="00F07DEB" w14:paraId="4FD50454" w14:textId="77777777" w:rsidTr="000D21DD">
        <w:trPr>
          <w:trHeight w:val="292"/>
        </w:trPr>
        <w:tc>
          <w:tcPr>
            <w:tcW w:w="1163" w:type="dxa"/>
            <w:tcBorders>
              <w:top w:val="nil"/>
              <w:left w:val="nil"/>
              <w:bottom w:val="nil"/>
              <w:right w:val="nil"/>
            </w:tcBorders>
            <w:shd w:val="clear" w:color="auto" w:fill="auto"/>
            <w:noWrap/>
            <w:vAlign w:val="center"/>
            <w:hideMark/>
          </w:tcPr>
          <w:p w14:paraId="5F51830E"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w:t>
            </w:r>
          </w:p>
        </w:tc>
        <w:tc>
          <w:tcPr>
            <w:tcW w:w="700" w:type="dxa"/>
            <w:tcBorders>
              <w:top w:val="nil"/>
              <w:left w:val="nil"/>
              <w:bottom w:val="nil"/>
              <w:right w:val="nil"/>
            </w:tcBorders>
            <w:shd w:val="clear" w:color="auto" w:fill="auto"/>
            <w:noWrap/>
            <w:vAlign w:val="center"/>
            <w:hideMark/>
          </w:tcPr>
          <w:p w14:paraId="551D9FF4" w14:textId="33B88E99"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nil"/>
              <w:right w:val="nil"/>
            </w:tcBorders>
            <w:shd w:val="clear" w:color="auto" w:fill="auto"/>
            <w:noWrap/>
            <w:vAlign w:val="center"/>
            <w:hideMark/>
          </w:tcPr>
          <w:p w14:paraId="6C8E34BF" w14:textId="16639E66"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23.65</w:t>
            </w:r>
          </w:p>
        </w:tc>
        <w:tc>
          <w:tcPr>
            <w:tcW w:w="893" w:type="dxa"/>
            <w:tcBorders>
              <w:top w:val="nil"/>
              <w:left w:val="nil"/>
              <w:bottom w:val="nil"/>
              <w:right w:val="nil"/>
            </w:tcBorders>
            <w:shd w:val="clear" w:color="auto" w:fill="auto"/>
            <w:noWrap/>
            <w:vAlign w:val="center"/>
            <w:hideMark/>
          </w:tcPr>
          <w:p w14:paraId="268A6CD0" w14:textId="200650C2"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277D30EB" w14:textId="2D4A04AA"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0.703</w:t>
            </w:r>
          </w:p>
        </w:tc>
        <w:tc>
          <w:tcPr>
            <w:tcW w:w="266" w:type="dxa"/>
            <w:tcBorders>
              <w:top w:val="nil"/>
              <w:left w:val="nil"/>
              <w:bottom w:val="nil"/>
              <w:right w:val="nil"/>
            </w:tcBorders>
            <w:shd w:val="clear" w:color="auto" w:fill="auto"/>
            <w:noWrap/>
            <w:vAlign w:val="center"/>
            <w:hideMark/>
          </w:tcPr>
          <w:p w14:paraId="08CA7A8C"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00" w:type="dxa"/>
            <w:tcBorders>
              <w:top w:val="nil"/>
              <w:left w:val="nil"/>
              <w:bottom w:val="nil"/>
              <w:right w:val="nil"/>
            </w:tcBorders>
            <w:shd w:val="clear" w:color="auto" w:fill="auto"/>
            <w:noWrap/>
            <w:vAlign w:val="center"/>
            <w:hideMark/>
          </w:tcPr>
          <w:p w14:paraId="5ACBF1CC" w14:textId="55BE496C"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(2.23,22.33)</w:t>
            </w:r>
          </w:p>
        </w:tc>
        <w:tc>
          <w:tcPr>
            <w:tcW w:w="774" w:type="dxa"/>
            <w:tcBorders>
              <w:top w:val="nil"/>
              <w:left w:val="nil"/>
              <w:bottom w:val="nil"/>
              <w:right w:val="nil"/>
            </w:tcBorders>
            <w:shd w:val="clear" w:color="auto" w:fill="auto"/>
            <w:noWrap/>
            <w:vAlign w:val="center"/>
            <w:hideMark/>
          </w:tcPr>
          <w:p w14:paraId="5D080E00" w14:textId="088928BA"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33.38</w:t>
            </w:r>
          </w:p>
        </w:tc>
        <w:tc>
          <w:tcPr>
            <w:tcW w:w="930" w:type="dxa"/>
            <w:tcBorders>
              <w:top w:val="nil"/>
              <w:left w:val="nil"/>
              <w:bottom w:val="nil"/>
              <w:right w:val="nil"/>
            </w:tcBorders>
            <w:shd w:val="clear" w:color="auto" w:fill="auto"/>
            <w:noWrap/>
            <w:vAlign w:val="center"/>
            <w:hideMark/>
          </w:tcPr>
          <w:p w14:paraId="190E0F9C" w14:textId="4B6F2ADA"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4B79A5F1" w14:textId="602CDC0B"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0.769</w:t>
            </w:r>
          </w:p>
        </w:tc>
        <w:tc>
          <w:tcPr>
            <w:tcW w:w="266" w:type="dxa"/>
            <w:tcBorders>
              <w:top w:val="nil"/>
              <w:left w:val="nil"/>
              <w:bottom w:val="nil"/>
              <w:right w:val="nil"/>
            </w:tcBorders>
            <w:shd w:val="clear" w:color="auto" w:fill="auto"/>
            <w:noWrap/>
            <w:vAlign w:val="center"/>
            <w:hideMark/>
          </w:tcPr>
          <w:p w14:paraId="14DFF954"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p>
        </w:tc>
        <w:tc>
          <w:tcPr>
            <w:tcW w:w="1234" w:type="dxa"/>
            <w:tcBorders>
              <w:top w:val="nil"/>
              <w:left w:val="nil"/>
              <w:bottom w:val="nil"/>
              <w:right w:val="nil"/>
            </w:tcBorders>
            <w:shd w:val="clear" w:color="auto" w:fill="auto"/>
            <w:noWrap/>
            <w:vAlign w:val="center"/>
            <w:hideMark/>
          </w:tcPr>
          <w:p w14:paraId="6F6CB8C5" w14:textId="5C76F356"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(2.23,22.33)</w:t>
            </w:r>
          </w:p>
        </w:tc>
        <w:tc>
          <w:tcPr>
            <w:tcW w:w="672" w:type="dxa"/>
            <w:tcBorders>
              <w:top w:val="nil"/>
              <w:left w:val="nil"/>
              <w:bottom w:val="nil"/>
              <w:right w:val="nil"/>
            </w:tcBorders>
            <w:shd w:val="clear" w:color="auto" w:fill="auto"/>
            <w:noWrap/>
            <w:vAlign w:val="center"/>
            <w:hideMark/>
          </w:tcPr>
          <w:p w14:paraId="38F952AE" w14:textId="014E3CBF"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16.56</w:t>
            </w:r>
          </w:p>
        </w:tc>
        <w:tc>
          <w:tcPr>
            <w:tcW w:w="879" w:type="dxa"/>
            <w:tcBorders>
              <w:top w:val="nil"/>
              <w:left w:val="nil"/>
              <w:bottom w:val="nil"/>
              <w:right w:val="nil"/>
            </w:tcBorders>
            <w:shd w:val="clear" w:color="auto" w:fill="auto"/>
            <w:noWrap/>
            <w:vAlign w:val="center"/>
            <w:hideMark/>
          </w:tcPr>
          <w:p w14:paraId="4FE5B374" w14:textId="29E78102"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3A22459A" w14:textId="71E67AE9"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0.623</w:t>
            </w:r>
          </w:p>
        </w:tc>
      </w:tr>
      <w:tr w:rsidR="003029A8" w:rsidRPr="00F07DEB" w14:paraId="48C8FC74" w14:textId="77777777" w:rsidTr="000D21DD">
        <w:trPr>
          <w:trHeight w:val="292"/>
        </w:trPr>
        <w:tc>
          <w:tcPr>
            <w:tcW w:w="1163" w:type="dxa"/>
            <w:tcBorders>
              <w:top w:val="nil"/>
              <w:left w:val="nil"/>
              <w:bottom w:val="single" w:sz="8" w:space="0" w:color="auto"/>
              <w:right w:val="nil"/>
            </w:tcBorders>
            <w:shd w:val="clear" w:color="auto" w:fill="auto"/>
            <w:noWrap/>
            <w:vAlign w:val="center"/>
            <w:hideMark/>
          </w:tcPr>
          <w:p w14:paraId="3A13ED1F" w14:textId="7777777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Zn</w:t>
            </w:r>
          </w:p>
        </w:tc>
        <w:tc>
          <w:tcPr>
            <w:tcW w:w="700" w:type="dxa"/>
            <w:tcBorders>
              <w:top w:val="nil"/>
              <w:left w:val="nil"/>
              <w:bottom w:val="single" w:sz="8" w:space="0" w:color="auto"/>
              <w:right w:val="nil"/>
            </w:tcBorders>
            <w:shd w:val="clear" w:color="auto" w:fill="auto"/>
            <w:noWrap/>
            <w:vAlign w:val="center"/>
            <w:hideMark/>
          </w:tcPr>
          <w:p w14:paraId="297C999A" w14:textId="330A41AF"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672" w:type="dxa"/>
            <w:tcBorders>
              <w:top w:val="nil"/>
              <w:left w:val="nil"/>
              <w:bottom w:val="single" w:sz="8" w:space="0" w:color="auto"/>
              <w:right w:val="nil"/>
            </w:tcBorders>
            <w:shd w:val="clear" w:color="auto" w:fill="auto"/>
            <w:noWrap/>
            <w:vAlign w:val="center"/>
            <w:hideMark/>
          </w:tcPr>
          <w:p w14:paraId="2C1D6C88" w14:textId="67E0130D"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5.12</w:t>
            </w:r>
          </w:p>
        </w:tc>
        <w:tc>
          <w:tcPr>
            <w:tcW w:w="893" w:type="dxa"/>
            <w:tcBorders>
              <w:top w:val="nil"/>
              <w:left w:val="nil"/>
              <w:bottom w:val="single" w:sz="8" w:space="0" w:color="auto"/>
              <w:right w:val="nil"/>
            </w:tcBorders>
            <w:shd w:val="clear" w:color="auto" w:fill="auto"/>
            <w:noWrap/>
            <w:vAlign w:val="center"/>
            <w:hideMark/>
          </w:tcPr>
          <w:p w14:paraId="7FD97119" w14:textId="4DB7765A"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b/>
                <w:bCs/>
                <w:color w:val="000000"/>
                <w:sz w:val="20"/>
                <w:szCs w:val="20"/>
              </w:rPr>
              <w:t>0.047</w:t>
            </w:r>
          </w:p>
        </w:tc>
        <w:tc>
          <w:tcPr>
            <w:tcW w:w="1124" w:type="dxa"/>
            <w:tcBorders>
              <w:top w:val="nil"/>
              <w:left w:val="nil"/>
              <w:bottom w:val="single" w:sz="8" w:space="0" w:color="auto"/>
              <w:right w:val="nil"/>
            </w:tcBorders>
            <w:shd w:val="clear" w:color="auto" w:fill="auto"/>
            <w:noWrap/>
            <w:vAlign w:val="center"/>
            <w:hideMark/>
          </w:tcPr>
          <w:p w14:paraId="53D4C82A" w14:textId="5EB710E5"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0.339</w:t>
            </w:r>
          </w:p>
        </w:tc>
        <w:tc>
          <w:tcPr>
            <w:tcW w:w="266" w:type="dxa"/>
            <w:tcBorders>
              <w:top w:val="nil"/>
              <w:left w:val="nil"/>
              <w:bottom w:val="single" w:sz="8" w:space="0" w:color="auto"/>
              <w:right w:val="nil"/>
            </w:tcBorders>
            <w:shd w:val="clear" w:color="auto" w:fill="auto"/>
            <w:noWrap/>
            <w:vAlign w:val="center"/>
            <w:hideMark/>
          </w:tcPr>
          <w:p w14:paraId="250FC54E" w14:textId="301010D6"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 </w:t>
            </w:r>
          </w:p>
        </w:tc>
        <w:tc>
          <w:tcPr>
            <w:tcW w:w="1200" w:type="dxa"/>
            <w:tcBorders>
              <w:top w:val="nil"/>
              <w:left w:val="nil"/>
              <w:bottom w:val="single" w:sz="8" w:space="0" w:color="auto"/>
              <w:right w:val="nil"/>
            </w:tcBorders>
            <w:shd w:val="clear" w:color="auto" w:fill="auto"/>
            <w:noWrap/>
            <w:vAlign w:val="center"/>
            <w:hideMark/>
          </w:tcPr>
          <w:p w14:paraId="69111734" w14:textId="2BB7EC57"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(1.75,17.45)</w:t>
            </w:r>
          </w:p>
        </w:tc>
        <w:tc>
          <w:tcPr>
            <w:tcW w:w="774" w:type="dxa"/>
            <w:tcBorders>
              <w:top w:val="nil"/>
              <w:left w:val="nil"/>
              <w:bottom w:val="single" w:sz="8" w:space="0" w:color="auto"/>
              <w:right w:val="nil"/>
            </w:tcBorders>
            <w:shd w:val="clear" w:color="auto" w:fill="auto"/>
            <w:noWrap/>
            <w:vAlign w:val="center"/>
            <w:hideMark/>
          </w:tcPr>
          <w:p w14:paraId="4FB405E0" w14:textId="7935489B"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109.47</w:t>
            </w:r>
          </w:p>
        </w:tc>
        <w:tc>
          <w:tcPr>
            <w:tcW w:w="930" w:type="dxa"/>
            <w:tcBorders>
              <w:top w:val="nil"/>
              <w:left w:val="nil"/>
              <w:bottom w:val="single" w:sz="8" w:space="0" w:color="auto"/>
              <w:right w:val="nil"/>
            </w:tcBorders>
            <w:shd w:val="clear" w:color="auto" w:fill="auto"/>
            <w:noWrap/>
            <w:vAlign w:val="center"/>
            <w:hideMark/>
          </w:tcPr>
          <w:p w14:paraId="48523000" w14:textId="0D17790D" w:rsidR="003029A8" w:rsidRPr="00F07DEB" w:rsidRDefault="003029A8" w:rsidP="000D21DD">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single" w:sz="8" w:space="0" w:color="auto"/>
              <w:right w:val="nil"/>
            </w:tcBorders>
            <w:shd w:val="clear" w:color="auto" w:fill="auto"/>
            <w:noWrap/>
            <w:vAlign w:val="center"/>
            <w:hideMark/>
          </w:tcPr>
          <w:p w14:paraId="140850BC" w14:textId="018E0585"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0.916</w:t>
            </w:r>
          </w:p>
        </w:tc>
        <w:tc>
          <w:tcPr>
            <w:tcW w:w="266" w:type="dxa"/>
            <w:tcBorders>
              <w:top w:val="nil"/>
              <w:left w:val="nil"/>
              <w:bottom w:val="single" w:sz="8" w:space="0" w:color="auto"/>
              <w:right w:val="nil"/>
            </w:tcBorders>
            <w:shd w:val="clear" w:color="auto" w:fill="auto"/>
            <w:noWrap/>
            <w:vAlign w:val="center"/>
            <w:hideMark/>
          </w:tcPr>
          <w:p w14:paraId="1E0E02E2" w14:textId="40766621"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 </w:t>
            </w:r>
          </w:p>
        </w:tc>
        <w:tc>
          <w:tcPr>
            <w:tcW w:w="1234" w:type="dxa"/>
            <w:tcBorders>
              <w:top w:val="nil"/>
              <w:left w:val="nil"/>
              <w:bottom w:val="single" w:sz="8" w:space="0" w:color="auto"/>
              <w:right w:val="nil"/>
            </w:tcBorders>
            <w:shd w:val="clear" w:color="auto" w:fill="auto"/>
            <w:noWrap/>
            <w:vAlign w:val="center"/>
            <w:hideMark/>
          </w:tcPr>
          <w:p w14:paraId="1A914FA0" w14:textId="358DB134"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(1.75,17.45)</w:t>
            </w:r>
          </w:p>
        </w:tc>
        <w:tc>
          <w:tcPr>
            <w:tcW w:w="672" w:type="dxa"/>
            <w:tcBorders>
              <w:top w:val="nil"/>
              <w:left w:val="nil"/>
              <w:bottom w:val="single" w:sz="8" w:space="0" w:color="auto"/>
              <w:right w:val="nil"/>
            </w:tcBorders>
            <w:shd w:val="clear" w:color="auto" w:fill="auto"/>
            <w:noWrap/>
            <w:vAlign w:val="center"/>
            <w:hideMark/>
          </w:tcPr>
          <w:p w14:paraId="53A87774" w14:textId="37FECF57" w:rsidR="003029A8" w:rsidRPr="00F07DEB" w:rsidRDefault="003029A8" w:rsidP="000D21DD">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0.16</w:t>
            </w:r>
          </w:p>
        </w:tc>
        <w:tc>
          <w:tcPr>
            <w:tcW w:w="879" w:type="dxa"/>
            <w:tcBorders>
              <w:top w:val="nil"/>
              <w:left w:val="nil"/>
              <w:bottom w:val="single" w:sz="8" w:space="0" w:color="auto"/>
              <w:right w:val="nil"/>
            </w:tcBorders>
            <w:shd w:val="clear" w:color="auto" w:fill="auto"/>
            <w:noWrap/>
            <w:vAlign w:val="center"/>
            <w:hideMark/>
          </w:tcPr>
          <w:p w14:paraId="00FB7E2D" w14:textId="518E0B6C"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0.827</w:t>
            </w:r>
          </w:p>
        </w:tc>
        <w:tc>
          <w:tcPr>
            <w:tcW w:w="1124" w:type="dxa"/>
            <w:tcBorders>
              <w:top w:val="nil"/>
              <w:left w:val="nil"/>
              <w:bottom w:val="single" w:sz="8" w:space="0" w:color="auto"/>
              <w:right w:val="nil"/>
            </w:tcBorders>
            <w:shd w:val="clear" w:color="auto" w:fill="auto"/>
            <w:noWrap/>
            <w:vAlign w:val="center"/>
            <w:hideMark/>
          </w:tcPr>
          <w:p w14:paraId="4B244071" w14:textId="610A61E4" w:rsidR="003029A8" w:rsidRPr="00F07DEB" w:rsidRDefault="003029A8" w:rsidP="000D21DD">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0.016</w:t>
            </w:r>
          </w:p>
        </w:tc>
      </w:tr>
    </w:tbl>
    <w:p w14:paraId="57C5CEBD" w14:textId="77777777" w:rsidR="004617CB" w:rsidRPr="00F07DEB" w:rsidRDefault="004617CB" w:rsidP="004617CB">
      <w:pPr>
        <w:rPr>
          <w:rFonts w:ascii="Times New Roman" w:hAnsi="Times New Roman" w:cs="Times New Roman"/>
          <w:sz w:val="20"/>
          <w:szCs w:val="20"/>
        </w:rPr>
      </w:pPr>
      <w:r w:rsidRPr="00F07DEB">
        <w:rPr>
          <w:rFonts w:ascii="Times New Roman" w:hAnsi="Times New Roman" w:cs="Times New Roman"/>
          <w:noProof/>
          <w:sz w:val="20"/>
          <w:szCs w:val="20"/>
        </w:rPr>
        <w:t>Significant effects at alpha = 0.05 are bolded.</w:t>
      </w:r>
    </w:p>
    <w:p w14:paraId="1FD812E7" w14:textId="77777777" w:rsidR="00CF7F7A" w:rsidRPr="00F07DEB" w:rsidRDefault="00CF7F7A" w:rsidP="006B0648">
      <w:pPr>
        <w:rPr>
          <w:rFonts w:ascii="Times New Roman" w:hAnsi="Times New Roman" w:cs="Times New Roman"/>
        </w:rPr>
      </w:pPr>
    </w:p>
    <w:p w14:paraId="4671BDA9" w14:textId="77777777" w:rsidR="006376FD" w:rsidRPr="00F07DEB" w:rsidRDefault="006376FD" w:rsidP="006B0648">
      <w:pPr>
        <w:rPr>
          <w:rFonts w:ascii="Times New Roman" w:hAnsi="Times New Roman" w:cs="Times New Roman"/>
        </w:rPr>
      </w:pPr>
    </w:p>
    <w:p w14:paraId="2BAD30AF" w14:textId="3D5B41CD" w:rsidR="00174B08" w:rsidRPr="00F07DEB" w:rsidRDefault="00174B08" w:rsidP="00204C13">
      <w:pPr>
        <w:pStyle w:val="Caption"/>
      </w:pPr>
      <w:bookmarkStart w:id="134" w:name="_Ref56140040"/>
      <w:bookmarkStart w:id="135" w:name="_Toc58975204"/>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18</w:t>
      </w:r>
      <w:r w:rsidR="00DE3B90" w:rsidRPr="00F07DEB">
        <w:rPr>
          <w:noProof/>
        </w:rPr>
        <w:fldChar w:fldCharType="end"/>
      </w:r>
      <w:bookmarkEnd w:id="134"/>
      <w:r w:rsidRPr="00F07DEB">
        <w:t xml:space="preserve">: </w:t>
      </w:r>
      <w:r w:rsidR="000B31CB" w:rsidRPr="00F07DEB">
        <w:t>Mixed ANOVA m</w:t>
      </w:r>
      <w:r w:rsidRPr="00F07DEB">
        <w:t>ain effects and interaction effects of treatment and plant structure on Bermuda grass metal uptake</w:t>
      </w:r>
      <w:bookmarkEnd w:id="135"/>
    </w:p>
    <w:tbl>
      <w:tblPr>
        <w:tblW w:w="13433" w:type="dxa"/>
        <w:tblLook w:val="04A0" w:firstRow="1" w:lastRow="0" w:firstColumn="1" w:lastColumn="0" w:noHBand="0" w:noVBand="1"/>
      </w:tblPr>
      <w:tblGrid>
        <w:gridCol w:w="1163"/>
        <w:gridCol w:w="700"/>
        <w:gridCol w:w="908"/>
        <w:gridCol w:w="893"/>
        <w:gridCol w:w="1124"/>
        <w:gridCol w:w="271"/>
        <w:gridCol w:w="1300"/>
        <w:gridCol w:w="774"/>
        <w:gridCol w:w="930"/>
        <w:gridCol w:w="1124"/>
        <w:gridCol w:w="271"/>
        <w:gridCol w:w="1300"/>
        <w:gridCol w:w="672"/>
        <w:gridCol w:w="879"/>
        <w:gridCol w:w="1124"/>
      </w:tblGrid>
      <w:tr w:rsidR="006376FD" w:rsidRPr="00F07DEB" w14:paraId="2A079007" w14:textId="77777777" w:rsidTr="00174B08">
        <w:trPr>
          <w:trHeight w:val="292"/>
        </w:trPr>
        <w:tc>
          <w:tcPr>
            <w:tcW w:w="1163" w:type="dxa"/>
            <w:tcBorders>
              <w:top w:val="single" w:sz="8" w:space="0" w:color="auto"/>
              <w:left w:val="nil"/>
              <w:bottom w:val="nil"/>
              <w:right w:val="nil"/>
            </w:tcBorders>
            <w:shd w:val="clear" w:color="auto" w:fill="auto"/>
            <w:noWrap/>
            <w:vAlign w:val="center"/>
            <w:hideMark/>
          </w:tcPr>
          <w:p w14:paraId="6F1F1A75" w14:textId="533E2BDF" w:rsidR="006376FD" w:rsidRPr="00F07DEB" w:rsidRDefault="006376FD" w:rsidP="00B91BF2">
            <w:pPr>
              <w:spacing w:after="0" w:line="240" w:lineRule="auto"/>
              <w:rPr>
                <w:rFonts w:ascii="Times New Roman" w:eastAsia="Times New Roman" w:hAnsi="Times New Roman" w:cs="Times New Roman"/>
                <w:sz w:val="20"/>
                <w:szCs w:val="20"/>
                <w:lang w:eastAsia="en-US"/>
              </w:rPr>
            </w:pPr>
          </w:p>
        </w:tc>
        <w:tc>
          <w:tcPr>
            <w:tcW w:w="3625" w:type="dxa"/>
            <w:gridSpan w:val="4"/>
            <w:tcBorders>
              <w:top w:val="single" w:sz="8" w:space="0" w:color="auto"/>
              <w:left w:val="nil"/>
              <w:bottom w:val="single" w:sz="8" w:space="0" w:color="auto"/>
              <w:right w:val="nil"/>
            </w:tcBorders>
            <w:shd w:val="clear" w:color="auto" w:fill="auto"/>
            <w:noWrap/>
            <w:vAlign w:val="center"/>
            <w:hideMark/>
          </w:tcPr>
          <w:p w14:paraId="1746DBEA" w14:textId="77777777" w:rsidR="006376FD" w:rsidRPr="00F07DEB" w:rsidRDefault="006376FD" w:rsidP="00B91BF2">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Treatment</w:t>
            </w:r>
          </w:p>
        </w:tc>
        <w:tc>
          <w:tcPr>
            <w:tcW w:w="271" w:type="dxa"/>
            <w:tcBorders>
              <w:top w:val="single" w:sz="8" w:space="0" w:color="auto"/>
              <w:left w:val="nil"/>
              <w:bottom w:val="nil"/>
              <w:right w:val="nil"/>
            </w:tcBorders>
            <w:shd w:val="clear" w:color="auto" w:fill="auto"/>
            <w:noWrap/>
            <w:vAlign w:val="center"/>
            <w:hideMark/>
          </w:tcPr>
          <w:p w14:paraId="146F5895" w14:textId="77777777" w:rsidR="006376FD" w:rsidRPr="00F07DEB" w:rsidRDefault="006376FD" w:rsidP="00B91BF2">
            <w:pPr>
              <w:spacing w:after="0" w:line="240" w:lineRule="auto"/>
              <w:jc w:val="center"/>
              <w:rPr>
                <w:rFonts w:ascii="Times New Roman" w:eastAsia="Times New Roman" w:hAnsi="Times New Roman" w:cs="Times New Roman"/>
                <w:color w:val="000000"/>
                <w:sz w:val="20"/>
                <w:szCs w:val="20"/>
                <w:lang w:eastAsia="en-US"/>
              </w:rPr>
            </w:pPr>
          </w:p>
        </w:tc>
        <w:tc>
          <w:tcPr>
            <w:tcW w:w="4128" w:type="dxa"/>
            <w:gridSpan w:val="4"/>
            <w:tcBorders>
              <w:top w:val="single" w:sz="8" w:space="0" w:color="auto"/>
              <w:left w:val="nil"/>
              <w:bottom w:val="single" w:sz="8" w:space="0" w:color="auto"/>
              <w:right w:val="nil"/>
            </w:tcBorders>
            <w:shd w:val="clear" w:color="auto" w:fill="auto"/>
            <w:noWrap/>
            <w:vAlign w:val="center"/>
            <w:hideMark/>
          </w:tcPr>
          <w:p w14:paraId="0EA604EE" w14:textId="1CC4C964" w:rsidR="006376FD" w:rsidRPr="00F07DEB" w:rsidRDefault="007A6D40" w:rsidP="00B91BF2">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Structure</w:t>
            </w:r>
          </w:p>
        </w:tc>
        <w:tc>
          <w:tcPr>
            <w:tcW w:w="271" w:type="dxa"/>
            <w:tcBorders>
              <w:top w:val="single" w:sz="8" w:space="0" w:color="auto"/>
              <w:left w:val="nil"/>
              <w:bottom w:val="nil"/>
              <w:right w:val="nil"/>
            </w:tcBorders>
            <w:shd w:val="clear" w:color="auto" w:fill="auto"/>
            <w:noWrap/>
            <w:vAlign w:val="center"/>
            <w:hideMark/>
          </w:tcPr>
          <w:p w14:paraId="1217C5CD" w14:textId="77777777" w:rsidR="006376FD" w:rsidRPr="00F07DEB" w:rsidRDefault="006376FD" w:rsidP="00B91BF2">
            <w:pPr>
              <w:spacing w:after="0" w:line="240" w:lineRule="auto"/>
              <w:jc w:val="center"/>
              <w:rPr>
                <w:rFonts w:ascii="Times New Roman" w:eastAsia="Times New Roman" w:hAnsi="Times New Roman" w:cs="Times New Roman"/>
                <w:color w:val="000000"/>
                <w:sz w:val="20"/>
                <w:szCs w:val="20"/>
                <w:lang w:eastAsia="en-US"/>
              </w:rPr>
            </w:pPr>
          </w:p>
        </w:tc>
        <w:tc>
          <w:tcPr>
            <w:tcW w:w="3975" w:type="dxa"/>
            <w:gridSpan w:val="4"/>
            <w:tcBorders>
              <w:top w:val="single" w:sz="8" w:space="0" w:color="auto"/>
              <w:left w:val="nil"/>
              <w:bottom w:val="single" w:sz="8" w:space="0" w:color="auto"/>
              <w:right w:val="nil"/>
            </w:tcBorders>
            <w:shd w:val="clear" w:color="auto" w:fill="auto"/>
            <w:noWrap/>
            <w:vAlign w:val="center"/>
            <w:hideMark/>
          </w:tcPr>
          <w:p w14:paraId="350C0AD0" w14:textId="446EBD32" w:rsidR="006376FD" w:rsidRPr="00F07DEB" w:rsidRDefault="006376FD" w:rsidP="007A6D4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Treatment </w:t>
            </w:r>
            <m:oMath>
              <m:r>
                <w:rPr>
                  <w:rFonts w:ascii="Cambria Math" w:eastAsia="Times New Roman" w:hAnsi="Cambria Math" w:cs="Times New Roman"/>
                  <w:color w:val="000000"/>
                  <w:sz w:val="20"/>
                  <w:szCs w:val="20"/>
                  <w:lang w:eastAsia="en-US"/>
                </w:rPr>
                <m:t>×</m:t>
              </m:r>
            </m:oMath>
            <w:r w:rsidRPr="00F07DEB">
              <w:rPr>
                <w:rFonts w:ascii="Times New Roman" w:eastAsia="Times New Roman" w:hAnsi="Times New Roman" w:cs="Times New Roman"/>
                <w:color w:val="000000"/>
                <w:sz w:val="20"/>
                <w:szCs w:val="20"/>
                <w:lang w:eastAsia="en-US"/>
              </w:rPr>
              <w:t xml:space="preserve"> </w:t>
            </w:r>
            <w:r w:rsidR="007A6D40" w:rsidRPr="00F07DEB">
              <w:rPr>
                <w:rFonts w:ascii="Times New Roman" w:eastAsia="Times New Roman" w:hAnsi="Times New Roman" w:cs="Times New Roman"/>
                <w:color w:val="000000"/>
                <w:sz w:val="20"/>
                <w:szCs w:val="20"/>
                <w:lang w:eastAsia="en-US"/>
              </w:rPr>
              <w:t>Structure</w:t>
            </w:r>
          </w:p>
        </w:tc>
      </w:tr>
      <w:tr w:rsidR="006376FD" w:rsidRPr="00F07DEB" w14:paraId="00B64968" w14:textId="77777777" w:rsidTr="00174B08">
        <w:trPr>
          <w:trHeight w:val="292"/>
        </w:trPr>
        <w:tc>
          <w:tcPr>
            <w:tcW w:w="1163" w:type="dxa"/>
            <w:tcBorders>
              <w:top w:val="nil"/>
              <w:left w:val="nil"/>
              <w:bottom w:val="single" w:sz="8" w:space="0" w:color="auto"/>
              <w:right w:val="nil"/>
            </w:tcBorders>
            <w:shd w:val="clear" w:color="auto" w:fill="auto"/>
            <w:noWrap/>
            <w:vAlign w:val="center"/>
            <w:hideMark/>
          </w:tcPr>
          <w:p w14:paraId="7F2D1470" w14:textId="77777777" w:rsidR="006376FD" w:rsidRPr="00F07DEB" w:rsidRDefault="006376FD" w:rsidP="00B91B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Parameter</w:t>
            </w:r>
          </w:p>
        </w:tc>
        <w:tc>
          <w:tcPr>
            <w:tcW w:w="700" w:type="dxa"/>
            <w:tcBorders>
              <w:top w:val="nil"/>
              <w:left w:val="nil"/>
              <w:bottom w:val="single" w:sz="8" w:space="0" w:color="auto"/>
              <w:right w:val="nil"/>
            </w:tcBorders>
            <w:shd w:val="clear" w:color="auto" w:fill="auto"/>
            <w:noWrap/>
            <w:vAlign w:val="center"/>
            <w:hideMark/>
          </w:tcPr>
          <w:p w14:paraId="7F75F9DB" w14:textId="77777777" w:rsidR="006376FD" w:rsidRPr="00F07DEB" w:rsidRDefault="006376FD" w:rsidP="00B91BF2">
            <w:pPr>
              <w:spacing w:after="0" w:line="240" w:lineRule="auto"/>
              <w:rPr>
                <w:rFonts w:ascii="Times New Roman" w:eastAsia="Times New Roman" w:hAnsi="Times New Roman" w:cs="Times New Roman"/>
                <w:i/>
                <w:iCs/>
                <w:color w:val="000000"/>
                <w:sz w:val="20"/>
                <w:szCs w:val="20"/>
                <w:lang w:eastAsia="en-US"/>
              </w:rPr>
            </w:pPr>
            <w:proofErr w:type="spellStart"/>
            <w:r w:rsidRPr="00F07DEB">
              <w:rPr>
                <w:rFonts w:ascii="Times New Roman" w:eastAsia="Times New Roman" w:hAnsi="Times New Roman" w:cs="Times New Roman"/>
                <w:i/>
                <w:iCs/>
                <w:color w:val="000000"/>
                <w:sz w:val="20"/>
                <w:szCs w:val="20"/>
                <w:lang w:eastAsia="en-US"/>
              </w:rPr>
              <w:t>df</w:t>
            </w:r>
            <w:proofErr w:type="spellEnd"/>
          </w:p>
        </w:tc>
        <w:tc>
          <w:tcPr>
            <w:tcW w:w="908" w:type="dxa"/>
            <w:tcBorders>
              <w:top w:val="nil"/>
              <w:left w:val="nil"/>
              <w:bottom w:val="single" w:sz="8" w:space="0" w:color="auto"/>
              <w:right w:val="nil"/>
            </w:tcBorders>
            <w:shd w:val="clear" w:color="auto" w:fill="auto"/>
            <w:noWrap/>
            <w:vAlign w:val="center"/>
            <w:hideMark/>
          </w:tcPr>
          <w:p w14:paraId="6BFF396C" w14:textId="77777777" w:rsidR="006376FD" w:rsidRPr="00F07DEB" w:rsidRDefault="006376FD" w:rsidP="00B91BF2">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F</w:t>
            </w:r>
          </w:p>
        </w:tc>
        <w:tc>
          <w:tcPr>
            <w:tcW w:w="893" w:type="dxa"/>
            <w:tcBorders>
              <w:top w:val="nil"/>
              <w:left w:val="nil"/>
              <w:bottom w:val="single" w:sz="8" w:space="0" w:color="auto"/>
              <w:right w:val="nil"/>
            </w:tcBorders>
            <w:shd w:val="clear" w:color="auto" w:fill="auto"/>
            <w:noWrap/>
            <w:vAlign w:val="center"/>
            <w:hideMark/>
          </w:tcPr>
          <w:p w14:paraId="394ACF9B" w14:textId="77777777" w:rsidR="006376FD" w:rsidRPr="00F07DEB" w:rsidRDefault="006376FD" w:rsidP="00B91BF2">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124" w:type="dxa"/>
            <w:tcBorders>
              <w:top w:val="nil"/>
              <w:left w:val="nil"/>
              <w:bottom w:val="single" w:sz="8" w:space="0" w:color="auto"/>
              <w:right w:val="nil"/>
            </w:tcBorders>
            <w:shd w:val="clear" w:color="auto" w:fill="auto"/>
            <w:noWrap/>
            <w:vAlign w:val="center"/>
            <w:hideMark/>
          </w:tcPr>
          <w:p w14:paraId="060B5264" w14:textId="77777777" w:rsidR="006376FD" w:rsidRPr="00F07DEB" w:rsidRDefault="006376FD" w:rsidP="00B91B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c>
          <w:tcPr>
            <w:tcW w:w="271" w:type="dxa"/>
            <w:tcBorders>
              <w:top w:val="nil"/>
              <w:left w:val="nil"/>
              <w:bottom w:val="single" w:sz="8" w:space="0" w:color="auto"/>
              <w:right w:val="nil"/>
            </w:tcBorders>
            <w:shd w:val="clear" w:color="auto" w:fill="auto"/>
            <w:noWrap/>
            <w:vAlign w:val="center"/>
            <w:hideMark/>
          </w:tcPr>
          <w:p w14:paraId="7B647B13" w14:textId="77777777" w:rsidR="006376FD" w:rsidRPr="00F07DEB" w:rsidRDefault="006376FD" w:rsidP="00B91B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300" w:type="dxa"/>
            <w:tcBorders>
              <w:top w:val="nil"/>
              <w:left w:val="nil"/>
              <w:bottom w:val="single" w:sz="8" w:space="0" w:color="auto"/>
              <w:right w:val="nil"/>
            </w:tcBorders>
            <w:shd w:val="clear" w:color="auto" w:fill="auto"/>
            <w:noWrap/>
            <w:vAlign w:val="center"/>
            <w:hideMark/>
          </w:tcPr>
          <w:p w14:paraId="58D2834F" w14:textId="77777777" w:rsidR="006376FD" w:rsidRPr="00F07DEB" w:rsidRDefault="006376FD" w:rsidP="00B91BF2">
            <w:pPr>
              <w:spacing w:after="0" w:line="240" w:lineRule="auto"/>
              <w:rPr>
                <w:rFonts w:ascii="Times New Roman" w:eastAsia="Times New Roman" w:hAnsi="Times New Roman" w:cs="Times New Roman"/>
                <w:i/>
                <w:iCs/>
                <w:color w:val="000000"/>
                <w:sz w:val="20"/>
                <w:szCs w:val="20"/>
                <w:lang w:eastAsia="en-US"/>
              </w:rPr>
            </w:pPr>
            <w:proofErr w:type="spellStart"/>
            <w:r w:rsidRPr="00F07DEB">
              <w:rPr>
                <w:rFonts w:ascii="Times New Roman" w:eastAsia="Times New Roman" w:hAnsi="Times New Roman" w:cs="Times New Roman"/>
                <w:i/>
                <w:iCs/>
                <w:color w:val="000000"/>
                <w:sz w:val="20"/>
                <w:szCs w:val="20"/>
                <w:lang w:eastAsia="en-US"/>
              </w:rPr>
              <w:t>df</w:t>
            </w:r>
            <w:proofErr w:type="spellEnd"/>
          </w:p>
        </w:tc>
        <w:tc>
          <w:tcPr>
            <w:tcW w:w="774" w:type="dxa"/>
            <w:tcBorders>
              <w:top w:val="nil"/>
              <w:left w:val="nil"/>
              <w:bottom w:val="single" w:sz="8" w:space="0" w:color="auto"/>
              <w:right w:val="nil"/>
            </w:tcBorders>
            <w:shd w:val="clear" w:color="auto" w:fill="auto"/>
            <w:noWrap/>
            <w:vAlign w:val="center"/>
            <w:hideMark/>
          </w:tcPr>
          <w:p w14:paraId="1F044DD6" w14:textId="77777777" w:rsidR="006376FD" w:rsidRPr="00F07DEB" w:rsidRDefault="006376FD" w:rsidP="00B91BF2">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F</w:t>
            </w:r>
          </w:p>
        </w:tc>
        <w:tc>
          <w:tcPr>
            <w:tcW w:w="930" w:type="dxa"/>
            <w:tcBorders>
              <w:top w:val="nil"/>
              <w:left w:val="nil"/>
              <w:bottom w:val="single" w:sz="8" w:space="0" w:color="auto"/>
              <w:right w:val="nil"/>
            </w:tcBorders>
            <w:shd w:val="clear" w:color="auto" w:fill="auto"/>
            <w:noWrap/>
            <w:vAlign w:val="center"/>
            <w:hideMark/>
          </w:tcPr>
          <w:p w14:paraId="032ABFF2" w14:textId="77777777" w:rsidR="006376FD" w:rsidRPr="00F07DEB" w:rsidRDefault="006376FD" w:rsidP="00B91BF2">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124" w:type="dxa"/>
            <w:tcBorders>
              <w:top w:val="nil"/>
              <w:left w:val="nil"/>
              <w:bottom w:val="single" w:sz="8" w:space="0" w:color="auto"/>
              <w:right w:val="nil"/>
            </w:tcBorders>
            <w:shd w:val="clear" w:color="auto" w:fill="auto"/>
            <w:noWrap/>
            <w:vAlign w:val="center"/>
            <w:hideMark/>
          </w:tcPr>
          <w:p w14:paraId="1A12590B" w14:textId="77777777" w:rsidR="006376FD" w:rsidRPr="00F07DEB" w:rsidRDefault="006376FD" w:rsidP="00B91B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c>
          <w:tcPr>
            <w:tcW w:w="271" w:type="dxa"/>
            <w:tcBorders>
              <w:top w:val="nil"/>
              <w:left w:val="nil"/>
              <w:bottom w:val="single" w:sz="8" w:space="0" w:color="auto"/>
              <w:right w:val="nil"/>
            </w:tcBorders>
            <w:shd w:val="clear" w:color="auto" w:fill="auto"/>
            <w:noWrap/>
            <w:vAlign w:val="center"/>
            <w:hideMark/>
          </w:tcPr>
          <w:p w14:paraId="4CEEC254" w14:textId="77777777" w:rsidR="006376FD" w:rsidRPr="00F07DEB" w:rsidRDefault="006376FD" w:rsidP="00B91B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1300" w:type="dxa"/>
            <w:tcBorders>
              <w:top w:val="nil"/>
              <w:left w:val="nil"/>
              <w:bottom w:val="single" w:sz="8" w:space="0" w:color="auto"/>
              <w:right w:val="nil"/>
            </w:tcBorders>
            <w:shd w:val="clear" w:color="auto" w:fill="auto"/>
            <w:noWrap/>
            <w:vAlign w:val="center"/>
            <w:hideMark/>
          </w:tcPr>
          <w:p w14:paraId="7EA1FE5B" w14:textId="77777777" w:rsidR="006376FD" w:rsidRPr="00F07DEB" w:rsidRDefault="006376FD" w:rsidP="00B91BF2">
            <w:pPr>
              <w:spacing w:after="0" w:line="240" w:lineRule="auto"/>
              <w:rPr>
                <w:rFonts w:ascii="Times New Roman" w:eastAsia="Times New Roman" w:hAnsi="Times New Roman" w:cs="Times New Roman"/>
                <w:i/>
                <w:iCs/>
                <w:color w:val="000000"/>
                <w:sz w:val="20"/>
                <w:szCs w:val="20"/>
                <w:lang w:eastAsia="en-US"/>
              </w:rPr>
            </w:pPr>
            <w:proofErr w:type="spellStart"/>
            <w:r w:rsidRPr="00F07DEB">
              <w:rPr>
                <w:rFonts w:ascii="Times New Roman" w:eastAsia="Times New Roman" w:hAnsi="Times New Roman" w:cs="Times New Roman"/>
                <w:i/>
                <w:iCs/>
                <w:color w:val="000000"/>
                <w:sz w:val="20"/>
                <w:szCs w:val="20"/>
                <w:lang w:eastAsia="en-US"/>
              </w:rPr>
              <w:t>df</w:t>
            </w:r>
            <w:proofErr w:type="spellEnd"/>
          </w:p>
        </w:tc>
        <w:tc>
          <w:tcPr>
            <w:tcW w:w="672" w:type="dxa"/>
            <w:tcBorders>
              <w:top w:val="nil"/>
              <w:left w:val="nil"/>
              <w:bottom w:val="single" w:sz="8" w:space="0" w:color="auto"/>
              <w:right w:val="nil"/>
            </w:tcBorders>
            <w:shd w:val="clear" w:color="auto" w:fill="auto"/>
            <w:noWrap/>
            <w:vAlign w:val="center"/>
            <w:hideMark/>
          </w:tcPr>
          <w:p w14:paraId="27A7F434" w14:textId="77777777" w:rsidR="006376FD" w:rsidRPr="00F07DEB" w:rsidRDefault="006376FD" w:rsidP="00B91BF2">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F</w:t>
            </w:r>
          </w:p>
        </w:tc>
        <w:tc>
          <w:tcPr>
            <w:tcW w:w="879" w:type="dxa"/>
            <w:tcBorders>
              <w:top w:val="nil"/>
              <w:left w:val="nil"/>
              <w:bottom w:val="single" w:sz="8" w:space="0" w:color="auto"/>
              <w:right w:val="nil"/>
            </w:tcBorders>
            <w:shd w:val="clear" w:color="auto" w:fill="auto"/>
            <w:noWrap/>
            <w:vAlign w:val="center"/>
            <w:hideMark/>
          </w:tcPr>
          <w:p w14:paraId="71502E34" w14:textId="77777777" w:rsidR="006376FD" w:rsidRPr="00F07DEB" w:rsidRDefault="006376FD" w:rsidP="00B91BF2">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124" w:type="dxa"/>
            <w:tcBorders>
              <w:top w:val="nil"/>
              <w:left w:val="nil"/>
              <w:bottom w:val="single" w:sz="8" w:space="0" w:color="auto"/>
              <w:right w:val="nil"/>
            </w:tcBorders>
            <w:shd w:val="clear" w:color="auto" w:fill="auto"/>
            <w:noWrap/>
            <w:vAlign w:val="center"/>
            <w:hideMark/>
          </w:tcPr>
          <w:p w14:paraId="2C096D63" w14:textId="77777777" w:rsidR="006376FD" w:rsidRPr="00F07DEB" w:rsidRDefault="006376FD" w:rsidP="00B91B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r>
      <w:tr w:rsidR="00FD6775" w:rsidRPr="00F07DEB" w14:paraId="3DBD2CDE" w14:textId="77777777" w:rsidTr="00174B08">
        <w:trPr>
          <w:trHeight w:val="292"/>
        </w:trPr>
        <w:tc>
          <w:tcPr>
            <w:tcW w:w="1163" w:type="dxa"/>
            <w:tcBorders>
              <w:top w:val="nil"/>
              <w:left w:val="nil"/>
              <w:bottom w:val="nil"/>
              <w:right w:val="nil"/>
            </w:tcBorders>
            <w:shd w:val="clear" w:color="auto" w:fill="auto"/>
            <w:noWrap/>
            <w:vAlign w:val="center"/>
            <w:hideMark/>
          </w:tcPr>
          <w:p w14:paraId="6C2AD779"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Ca</w:t>
            </w:r>
          </w:p>
        </w:tc>
        <w:tc>
          <w:tcPr>
            <w:tcW w:w="700" w:type="dxa"/>
            <w:tcBorders>
              <w:top w:val="nil"/>
              <w:left w:val="nil"/>
              <w:bottom w:val="nil"/>
              <w:right w:val="nil"/>
            </w:tcBorders>
            <w:shd w:val="clear" w:color="auto" w:fill="auto"/>
            <w:noWrap/>
            <w:vAlign w:val="center"/>
            <w:hideMark/>
          </w:tcPr>
          <w:p w14:paraId="42991BBE" w14:textId="582A869E"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908" w:type="dxa"/>
            <w:tcBorders>
              <w:top w:val="nil"/>
              <w:left w:val="nil"/>
              <w:bottom w:val="nil"/>
              <w:right w:val="nil"/>
            </w:tcBorders>
            <w:shd w:val="clear" w:color="auto" w:fill="auto"/>
            <w:noWrap/>
            <w:vAlign w:val="center"/>
            <w:hideMark/>
          </w:tcPr>
          <w:p w14:paraId="06CA24DD" w14:textId="0031233C"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0.75</w:t>
            </w:r>
          </w:p>
        </w:tc>
        <w:tc>
          <w:tcPr>
            <w:tcW w:w="893" w:type="dxa"/>
            <w:tcBorders>
              <w:top w:val="nil"/>
              <w:left w:val="nil"/>
              <w:bottom w:val="nil"/>
              <w:right w:val="nil"/>
            </w:tcBorders>
            <w:shd w:val="clear" w:color="auto" w:fill="auto"/>
            <w:noWrap/>
            <w:vAlign w:val="center"/>
            <w:hideMark/>
          </w:tcPr>
          <w:p w14:paraId="13F4E7C9" w14:textId="3567CE92"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0.406</w:t>
            </w:r>
          </w:p>
        </w:tc>
        <w:tc>
          <w:tcPr>
            <w:tcW w:w="1124" w:type="dxa"/>
            <w:tcBorders>
              <w:top w:val="nil"/>
              <w:left w:val="nil"/>
              <w:bottom w:val="nil"/>
              <w:right w:val="nil"/>
            </w:tcBorders>
            <w:shd w:val="clear" w:color="auto" w:fill="auto"/>
            <w:noWrap/>
            <w:vAlign w:val="center"/>
            <w:hideMark/>
          </w:tcPr>
          <w:p w14:paraId="356CD805" w14:textId="5DD18985"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0.070</w:t>
            </w:r>
          </w:p>
        </w:tc>
        <w:tc>
          <w:tcPr>
            <w:tcW w:w="271" w:type="dxa"/>
            <w:tcBorders>
              <w:top w:val="nil"/>
              <w:left w:val="nil"/>
              <w:bottom w:val="nil"/>
              <w:right w:val="nil"/>
            </w:tcBorders>
            <w:shd w:val="clear" w:color="auto" w:fill="auto"/>
            <w:noWrap/>
            <w:vAlign w:val="center"/>
            <w:hideMark/>
          </w:tcPr>
          <w:p w14:paraId="2BA81507"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6A3B85E2" w14:textId="660A4C90"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(1.49,14.89)</w:t>
            </w:r>
          </w:p>
        </w:tc>
        <w:tc>
          <w:tcPr>
            <w:tcW w:w="774" w:type="dxa"/>
            <w:tcBorders>
              <w:top w:val="nil"/>
              <w:left w:val="nil"/>
              <w:bottom w:val="nil"/>
              <w:right w:val="nil"/>
            </w:tcBorders>
            <w:shd w:val="clear" w:color="auto" w:fill="auto"/>
            <w:noWrap/>
            <w:vAlign w:val="center"/>
            <w:hideMark/>
          </w:tcPr>
          <w:p w14:paraId="088C0EDD" w14:textId="0398181D"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15.58</w:t>
            </w:r>
          </w:p>
        </w:tc>
        <w:tc>
          <w:tcPr>
            <w:tcW w:w="930" w:type="dxa"/>
            <w:tcBorders>
              <w:top w:val="nil"/>
              <w:left w:val="nil"/>
              <w:bottom w:val="nil"/>
              <w:right w:val="nil"/>
            </w:tcBorders>
            <w:shd w:val="clear" w:color="auto" w:fill="auto"/>
            <w:noWrap/>
            <w:vAlign w:val="center"/>
            <w:hideMark/>
          </w:tcPr>
          <w:p w14:paraId="0022ED03" w14:textId="7C463777"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56EB2C75" w14:textId="7B2C89C2"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0.609</w:t>
            </w:r>
          </w:p>
        </w:tc>
        <w:tc>
          <w:tcPr>
            <w:tcW w:w="271" w:type="dxa"/>
            <w:tcBorders>
              <w:top w:val="nil"/>
              <w:left w:val="nil"/>
              <w:bottom w:val="nil"/>
              <w:right w:val="nil"/>
            </w:tcBorders>
            <w:shd w:val="clear" w:color="auto" w:fill="auto"/>
            <w:noWrap/>
            <w:vAlign w:val="center"/>
            <w:hideMark/>
          </w:tcPr>
          <w:p w14:paraId="17157054"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2C8316FD" w14:textId="059FA6E4"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(1.49,14.89)</w:t>
            </w:r>
          </w:p>
        </w:tc>
        <w:tc>
          <w:tcPr>
            <w:tcW w:w="672" w:type="dxa"/>
            <w:tcBorders>
              <w:top w:val="nil"/>
              <w:left w:val="nil"/>
              <w:bottom w:val="nil"/>
              <w:right w:val="nil"/>
            </w:tcBorders>
            <w:shd w:val="clear" w:color="auto" w:fill="auto"/>
            <w:noWrap/>
            <w:vAlign w:val="center"/>
            <w:hideMark/>
          </w:tcPr>
          <w:p w14:paraId="3C15C4E6" w14:textId="123F7AE8"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0.94</w:t>
            </w:r>
          </w:p>
        </w:tc>
        <w:tc>
          <w:tcPr>
            <w:tcW w:w="879" w:type="dxa"/>
            <w:tcBorders>
              <w:top w:val="nil"/>
              <w:left w:val="nil"/>
              <w:bottom w:val="nil"/>
              <w:right w:val="nil"/>
            </w:tcBorders>
            <w:shd w:val="clear" w:color="auto" w:fill="auto"/>
            <w:noWrap/>
            <w:vAlign w:val="center"/>
            <w:hideMark/>
          </w:tcPr>
          <w:p w14:paraId="2A2F6EFE" w14:textId="40568DFE"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color w:val="000000"/>
                <w:sz w:val="20"/>
                <w:szCs w:val="20"/>
              </w:rPr>
              <w:t>0.386</w:t>
            </w:r>
          </w:p>
        </w:tc>
        <w:tc>
          <w:tcPr>
            <w:tcW w:w="1124" w:type="dxa"/>
            <w:tcBorders>
              <w:top w:val="nil"/>
              <w:left w:val="nil"/>
              <w:bottom w:val="nil"/>
              <w:right w:val="nil"/>
            </w:tcBorders>
            <w:shd w:val="clear" w:color="auto" w:fill="auto"/>
            <w:noWrap/>
            <w:vAlign w:val="center"/>
            <w:hideMark/>
          </w:tcPr>
          <w:p w14:paraId="78C1CC07" w14:textId="251286F9"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0.086</w:t>
            </w:r>
          </w:p>
        </w:tc>
      </w:tr>
      <w:tr w:rsidR="00FD6775" w:rsidRPr="00F07DEB" w14:paraId="0733E3FF" w14:textId="77777777" w:rsidTr="00174B08">
        <w:trPr>
          <w:trHeight w:val="292"/>
        </w:trPr>
        <w:tc>
          <w:tcPr>
            <w:tcW w:w="1163" w:type="dxa"/>
            <w:tcBorders>
              <w:top w:val="nil"/>
              <w:left w:val="nil"/>
              <w:bottom w:val="nil"/>
              <w:right w:val="nil"/>
            </w:tcBorders>
            <w:shd w:val="clear" w:color="auto" w:fill="auto"/>
            <w:noWrap/>
            <w:vAlign w:val="center"/>
            <w:hideMark/>
          </w:tcPr>
          <w:p w14:paraId="1D6F1219"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Cd</w:t>
            </w:r>
          </w:p>
        </w:tc>
        <w:tc>
          <w:tcPr>
            <w:tcW w:w="700" w:type="dxa"/>
            <w:tcBorders>
              <w:top w:val="nil"/>
              <w:left w:val="nil"/>
              <w:bottom w:val="nil"/>
              <w:right w:val="nil"/>
            </w:tcBorders>
            <w:shd w:val="clear" w:color="auto" w:fill="auto"/>
            <w:noWrap/>
            <w:vAlign w:val="center"/>
            <w:hideMark/>
          </w:tcPr>
          <w:p w14:paraId="49160D91" w14:textId="2D5217F6"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908" w:type="dxa"/>
            <w:tcBorders>
              <w:top w:val="nil"/>
              <w:left w:val="nil"/>
              <w:bottom w:val="nil"/>
              <w:right w:val="nil"/>
            </w:tcBorders>
            <w:shd w:val="clear" w:color="auto" w:fill="auto"/>
            <w:noWrap/>
            <w:vAlign w:val="center"/>
            <w:hideMark/>
          </w:tcPr>
          <w:p w14:paraId="6E134E43" w14:textId="3381722C"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10205"/>
                <w:sz w:val="20"/>
                <w:szCs w:val="20"/>
              </w:rPr>
              <w:t>0.09</w:t>
            </w:r>
          </w:p>
        </w:tc>
        <w:tc>
          <w:tcPr>
            <w:tcW w:w="893" w:type="dxa"/>
            <w:tcBorders>
              <w:top w:val="nil"/>
              <w:left w:val="nil"/>
              <w:bottom w:val="nil"/>
              <w:right w:val="nil"/>
            </w:tcBorders>
            <w:shd w:val="clear" w:color="auto" w:fill="auto"/>
            <w:noWrap/>
            <w:vAlign w:val="center"/>
            <w:hideMark/>
          </w:tcPr>
          <w:p w14:paraId="75AE5154" w14:textId="6361C43D"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0.767</w:t>
            </w:r>
          </w:p>
        </w:tc>
        <w:tc>
          <w:tcPr>
            <w:tcW w:w="1124" w:type="dxa"/>
            <w:tcBorders>
              <w:top w:val="nil"/>
              <w:left w:val="nil"/>
              <w:bottom w:val="nil"/>
              <w:right w:val="nil"/>
            </w:tcBorders>
            <w:shd w:val="clear" w:color="auto" w:fill="auto"/>
            <w:noWrap/>
            <w:vAlign w:val="center"/>
            <w:hideMark/>
          </w:tcPr>
          <w:p w14:paraId="3B73006C" w14:textId="279C7705"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0.009</w:t>
            </w:r>
          </w:p>
        </w:tc>
        <w:tc>
          <w:tcPr>
            <w:tcW w:w="271" w:type="dxa"/>
            <w:tcBorders>
              <w:top w:val="nil"/>
              <w:left w:val="nil"/>
              <w:bottom w:val="nil"/>
              <w:right w:val="nil"/>
            </w:tcBorders>
            <w:shd w:val="clear" w:color="auto" w:fill="auto"/>
            <w:noWrap/>
            <w:vAlign w:val="center"/>
            <w:hideMark/>
          </w:tcPr>
          <w:p w14:paraId="45E40148"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5711FD06" w14:textId="55737CE6"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(1.26,12.55)</w:t>
            </w:r>
          </w:p>
        </w:tc>
        <w:tc>
          <w:tcPr>
            <w:tcW w:w="774" w:type="dxa"/>
            <w:tcBorders>
              <w:top w:val="nil"/>
              <w:left w:val="nil"/>
              <w:bottom w:val="nil"/>
              <w:right w:val="nil"/>
            </w:tcBorders>
            <w:shd w:val="clear" w:color="auto" w:fill="auto"/>
            <w:noWrap/>
            <w:vAlign w:val="center"/>
            <w:hideMark/>
          </w:tcPr>
          <w:p w14:paraId="6824AF29" w14:textId="616DA7A3"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10205"/>
                <w:sz w:val="20"/>
                <w:szCs w:val="20"/>
              </w:rPr>
              <w:t>152.20</w:t>
            </w:r>
          </w:p>
        </w:tc>
        <w:tc>
          <w:tcPr>
            <w:tcW w:w="930" w:type="dxa"/>
            <w:tcBorders>
              <w:top w:val="nil"/>
              <w:left w:val="nil"/>
              <w:bottom w:val="nil"/>
              <w:right w:val="nil"/>
            </w:tcBorders>
            <w:shd w:val="clear" w:color="auto" w:fill="auto"/>
            <w:noWrap/>
            <w:vAlign w:val="center"/>
            <w:hideMark/>
          </w:tcPr>
          <w:p w14:paraId="6260ABE2" w14:textId="0C3098A4"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31AEDDD6" w14:textId="5BB97FCA"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0.938</w:t>
            </w:r>
          </w:p>
        </w:tc>
        <w:tc>
          <w:tcPr>
            <w:tcW w:w="271" w:type="dxa"/>
            <w:tcBorders>
              <w:top w:val="nil"/>
              <w:left w:val="nil"/>
              <w:bottom w:val="nil"/>
              <w:right w:val="nil"/>
            </w:tcBorders>
            <w:shd w:val="clear" w:color="auto" w:fill="auto"/>
            <w:noWrap/>
            <w:vAlign w:val="center"/>
            <w:hideMark/>
          </w:tcPr>
          <w:p w14:paraId="1C812154"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20E84B0A" w14:textId="1AFA7CC6"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(1.26,12.55)</w:t>
            </w:r>
          </w:p>
        </w:tc>
        <w:tc>
          <w:tcPr>
            <w:tcW w:w="672" w:type="dxa"/>
            <w:tcBorders>
              <w:top w:val="nil"/>
              <w:left w:val="nil"/>
              <w:bottom w:val="nil"/>
              <w:right w:val="nil"/>
            </w:tcBorders>
            <w:shd w:val="clear" w:color="auto" w:fill="auto"/>
            <w:noWrap/>
            <w:vAlign w:val="center"/>
            <w:hideMark/>
          </w:tcPr>
          <w:p w14:paraId="0A9388F7" w14:textId="67F416DC"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10205"/>
                <w:sz w:val="20"/>
                <w:szCs w:val="20"/>
              </w:rPr>
              <w:t>1.17</w:t>
            </w:r>
          </w:p>
        </w:tc>
        <w:tc>
          <w:tcPr>
            <w:tcW w:w="879" w:type="dxa"/>
            <w:tcBorders>
              <w:top w:val="nil"/>
              <w:left w:val="nil"/>
              <w:bottom w:val="nil"/>
              <w:right w:val="nil"/>
            </w:tcBorders>
            <w:shd w:val="clear" w:color="auto" w:fill="auto"/>
            <w:noWrap/>
            <w:vAlign w:val="center"/>
            <w:hideMark/>
          </w:tcPr>
          <w:p w14:paraId="58FA2666" w14:textId="0758DF41"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color w:val="000000"/>
                <w:sz w:val="20"/>
                <w:szCs w:val="20"/>
              </w:rPr>
              <w:t>0.315</w:t>
            </w:r>
          </w:p>
        </w:tc>
        <w:tc>
          <w:tcPr>
            <w:tcW w:w="1124" w:type="dxa"/>
            <w:tcBorders>
              <w:top w:val="nil"/>
              <w:left w:val="nil"/>
              <w:bottom w:val="nil"/>
              <w:right w:val="nil"/>
            </w:tcBorders>
            <w:shd w:val="clear" w:color="auto" w:fill="auto"/>
            <w:noWrap/>
            <w:vAlign w:val="center"/>
            <w:hideMark/>
          </w:tcPr>
          <w:p w14:paraId="0F9FF984" w14:textId="088CF1DC"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0.105</w:t>
            </w:r>
          </w:p>
        </w:tc>
      </w:tr>
      <w:tr w:rsidR="00FD6775" w:rsidRPr="00F07DEB" w14:paraId="07C7AA3B" w14:textId="77777777" w:rsidTr="00174B08">
        <w:trPr>
          <w:trHeight w:val="292"/>
        </w:trPr>
        <w:tc>
          <w:tcPr>
            <w:tcW w:w="1163" w:type="dxa"/>
            <w:tcBorders>
              <w:top w:val="nil"/>
              <w:left w:val="nil"/>
              <w:bottom w:val="nil"/>
              <w:right w:val="nil"/>
            </w:tcBorders>
            <w:shd w:val="clear" w:color="auto" w:fill="auto"/>
            <w:noWrap/>
            <w:vAlign w:val="center"/>
            <w:hideMark/>
          </w:tcPr>
          <w:p w14:paraId="6CBE5319"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Fe</w:t>
            </w:r>
          </w:p>
        </w:tc>
        <w:tc>
          <w:tcPr>
            <w:tcW w:w="700" w:type="dxa"/>
            <w:tcBorders>
              <w:top w:val="nil"/>
              <w:left w:val="nil"/>
              <w:bottom w:val="nil"/>
              <w:right w:val="nil"/>
            </w:tcBorders>
            <w:shd w:val="clear" w:color="auto" w:fill="auto"/>
            <w:noWrap/>
            <w:vAlign w:val="center"/>
            <w:hideMark/>
          </w:tcPr>
          <w:p w14:paraId="5C86DF64" w14:textId="56916861"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908" w:type="dxa"/>
            <w:tcBorders>
              <w:top w:val="nil"/>
              <w:left w:val="nil"/>
              <w:bottom w:val="nil"/>
              <w:right w:val="nil"/>
            </w:tcBorders>
            <w:shd w:val="clear" w:color="auto" w:fill="auto"/>
            <w:noWrap/>
            <w:vAlign w:val="center"/>
            <w:hideMark/>
          </w:tcPr>
          <w:p w14:paraId="3D34DC2A" w14:textId="70EC15D0"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4.52</w:t>
            </w:r>
          </w:p>
        </w:tc>
        <w:tc>
          <w:tcPr>
            <w:tcW w:w="893" w:type="dxa"/>
            <w:tcBorders>
              <w:top w:val="nil"/>
              <w:left w:val="nil"/>
              <w:bottom w:val="nil"/>
              <w:right w:val="nil"/>
            </w:tcBorders>
            <w:shd w:val="clear" w:color="auto" w:fill="auto"/>
            <w:noWrap/>
            <w:vAlign w:val="center"/>
            <w:hideMark/>
          </w:tcPr>
          <w:p w14:paraId="2FEF131F" w14:textId="245EFC07"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color w:val="000000"/>
                <w:sz w:val="20"/>
                <w:szCs w:val="20"/>
              </w:rPr>
              <w:t>0.059</w:t>
            </w:r>
          </w:p>
        </w:tc>
        <w:tc>
          <w:tcPr>
            <w:tcW w:w="1124" w:type="dxa"/>
            <w:tcBorders>
              <w:top w:val="nil"/>
              <w:left w:val="nil"/>
              <w:bottom w:val="nil"/>
              <w:right w:val="nil"/>
            </w:tcBorders>
            <w:shd w:val="clear" w:color="auto" w:fill="auto"/>
            <w:noWrap/>
            <w:vAlign w:val="center"/>
            <w:hideMark/>
          </w:tcPr>
          <w:p w14:paraId="01BD5A44" w14:textId="2DBBBB83"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0.311</w:t>
            </w:r>
          </w:p>
        </w:tc>
        <w:tc>
          <w:tcPr>
            <w:tcW w:w="271" w:type="dxa"/>
            <w:tcBorders>
              <w:top w:val="nil"/>
              <w:left w:val="nil"/>
              <w:bottom w:val="nil"/>
              <w:right w:val="nil"/>
            </w:tcBorders>
            <w:shd w:val="clear" w:color="auto" w:fill="auto"/>
            <w:noWrap/>
            <w:vAlign w:val="center"/>
            <w:hideMark/>
          </w:tcPr>
          <w:p w14:paraId="583C998D"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27DB8E91" w14:textId="4EF70BC1"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(1.12,11.21)</w:t>
            </w:r>
          </w:p>
        </w:tc>
        <w:tc>
          <w:tcPr>
            <w:tcW w:w="774" w:type="dxa"/>
            <w:tcBorders>
              <w:top w:val="nil"/>
              <w:left w:val="nil"/>
              <w:bottom w:val="nil"/>
              <w:right w:val="nil"/>
            </w:tcBorders>
            <w:shd w:val="clear" w:color="auto" w:fill="auto"/>
            <w:noWrap/>
            <w:vAlign w:val="center"/>
            <w:hideMark/>
          </w:tcPr>
          <w:p w14:paraId="2CF92113" w14:textId="4359A5D5"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26.09</w:t>
            </w:r>
          </w:p>
        </w:tc>
        <w:tc>
          <w:tcPr>
            <w:tcW w:w="930" w:type="dxa"/>
            <w:tcBorders>
              <w:top w:val="nil"/>
              <w:left w:val="nil"/>
              <w:bottom w:val="nil"/>
              <w:right w:val="nil"/>
            </w:tcBorders>
            <w:shd w:val="clear" w:color="auto" w:fill="auto"/>
            <w:noWrap/>
            <w:vAlign w:val="center"/>
            <w:hideMark/>
          </w:tcPr>
          <w:p w14:paraId="6C76ABEB" w14:textId="4A1DDBC6"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1FAE444B" w14:textId="6CF8BE8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0.723</w:t>
            </w:r>
          </w:p>
        </w:tc>
        <w:tc>
          <w:tcPr>
            <w:tcW w:w="271" w:type="dxa"/>
            <w:tcBorders>
              <w:top w:val="nil"/>
              <w:left w:val="nil"/>
              <w:bottom w:val="nil"/>
              <w:right w:val="nil"/>
            </w:tcBorders>
            <w:shd w:val="clear" w:color="auto" w:fill="auto"/>
            <w:noWrap/>
            <w:vAlign w:val="center"/>
            <w:hideMark/>
          </w:tcPr>
          <w:p w14:paraId="7B7EB6B4"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4733FFD7" w14:textId="558D1889"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(1.12,11.21)</w:t>
            </w:r>
          </w:p>
        </w:tc>
        <w:tc>
          <w:tcPr>
            <w:tcW w:w="672" w:type="dxa"/>
            <w:tcBorders>
              <w:top w:val="nil"/>
              <w:left w:val="nil"/>
              <w:bottom w:val="nil"/>
              <w:right w:val="nil"/>
            </w:tcBorders>
            <w:shd w:val="clear" w:color="auto" w:fill="auto"/>
            <w:noWrap/>
            <w:vAlign w:val="center"/>
            <w:hideMark/>
          </w:tcPr>
          <w:p w14:paraId="30EABD0A" w14:textId="2BAB4A81"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0.95</w:t>
            </w:r>
          </w:p>
        </w:tc>
        <w:tc>
          <w:tcPr>
            <w:tcW w:w="879" w:type="dxa"/>
            <w:tcBorders>
              <w:top w:val="nil"/>
              <w:left w:val="nil"/>
              <w:bottom w:val="nil"/>
              <w:right w:val="nil"/>
            </w:tcBorders>
            <w:shd w:val="clear" w:color="auto" w:fill="auto"/>
            <w:noWrap/>
            <w:vAlign w:val="center"/>
            <w:hideMark/>
          </w:tcPr>
          <w:p w14:paraId="3862EB9F" w14:textId="31FC78DD"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0.363</w:t>
            </w:r>
          </w:p>
        </w:tc>
        <w:tc>
          <w:tcPr>
            <w:tcW w:w="1124" w:type="dxa"/>
            <w:tcBorders>
              <w:top w:val="nil"/>
              <w:left w:val="nil"/>
              <w:bottom w:val="nil"/>
              <w:right w:val="nil"/>
            </w:tcBorders>
            <w:shd w:val="clear" w:color="auto" w:fill="auto"/>
            <w:noWrap/>
            <w:vAlign w:val="center"/>
            <w:hideMark/>
          </w:tcPr>
          <w:p w14:paraId="45F5F513" w14:textId="7A55828F"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0.086</w:t>
            </w:r>
          </w:p>
        </w:tc>
      </w:tr>
      <w:tr w:rsidR="00FD6775" w:rsidRPr="00F07DEB" w14:paraId="34E50B99" w14:textId="77777777" w:rsidTr="00174B08">
        <w:trPr>
          <w:trHeight w:val="292"/>
        </w:trPr>
        <w:tc>
          <w:tcPr>
            <w:tcW w:w="1163" w:type="dxa"/>
            <w:tcBorders>
              <w:top w:val="nil"/>
              <w:left w:val="nil"/>
              <w:bottom w:val="nil"/>
              <w:right w:val="nil"/>
            </w:tcBorders>
            <w:shd w:val="clear" w:color="auto" w:fill="auto"/>
            <w:noWrap/>
            <w:vAlign w:val="center"/>
            <w:hideMark/>
          </w:tcPr>
          <w:p w14:paraId="11DA421F"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K</w:t>
            </w:r>
          </w:p>
        </w:tc>
        <w:tc>
          <w:tcPr>
            <w:tcW w:w="700" w:type="dxa"/>
            <w:tcBorders>
              <w:top w:val="nil"/>
              <w:left w:val="nil"/>
              <w:bottom w:val="nil"/>
              <w:right w:val="nil"/>
            </w:tcBorders>
            <w:shd w:val="clear" w:color="auto" w:fill="auto"/>
            <w:noWrap/>
            <w:vAlign w:val="center"/>
            <w:hideMark/>
          </w:tcPr>
          <w:p w14:paraId="7D276AF0" w14:textId="3F700D0E"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908" w:type="dxa"/>
            <w:tcBorders>
              <w:top w:val="nil"/>
              <w:left w:val="nil"/>
              <w:bottom w:val="nil"/>
              <w:right w:val="nil"/>
            </w:tcBorders>
            <w:shd w:val="clear" w:color="auto" w:fill="auto"/>
            <w:noWrap/>
            <w:vAlign w:val="center"/>
            <w:hideMark/>
          </w:tcPr>
          <w:p w14:paraId="6C3E648F" w14:textId="633193DD"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&lt; 0.001</w:t>
            </w:r>
          </w:p>
        </w:tc>
        <w:tc>
          <w:tcPr>
            <w:tcW w:w="893" w:type="dxa"/>
            <w:tcBorders>
              <w:top w:val="nil"/>
              <w:left w:val="nil"/>
              <w:bottom w:val="nil"/>
              <w:right w:val="nil"/>
            </w:tcBorders>
            <w:shd w:val="clear" w:color="auto" w:fill="auto"/>
            <w:noWrap/>
            <w:vAlign w:val="center"/>
            <w:hideMark/>
          </w:tcPr>
          <w:p w14:paraId="30A4A707" w14:textId="7763F0A5"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0.974</w:t>
            </w:r>
          </w:p>
        </w:tc>
        <w:tc>
          <w:tcPr>
            <w:tcW w:w="1124" w:type="dxa"/>
            <w:tcBorders>
              <w:top w:val="nil"/>
              <w:left w:val="nil"/>
              <w:bottom w:val="nil"/>
              <w:right w:val="nil"/>
            </w:tcBorders>
            <w:shd w:val="clear" w:color="auto" w:fill="auto"/>
            <w:noWrap/>
            <w:vAlign w:val="center"/>
            <w:hideMark/>
          </w:tcPr>
          <w:p w14:paraId="37A892BB" w14:textId="26FC0DB3"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&lt; 0.001</w:t>
            </w:r>
          </w:p>
        </w:tc>
        <w:tc>
          <w:tcPr>
            <w:tcW w:w="271" w:type="dxa"/>
            <w:tcBorders>
              <w:top w:val="nil"/>
              <w:left w:val="nil"/>
              <w:bottom w:val="nil"/>
              <w:right w:val="nil"/>
            </w:tcBorders>
            <w:shd w:val="clear" w:color="auto" w:fill="auto"/>
            <w:noWrap/>
            <w:vAlign w:val="center"/>
            <w:hideMark/>
          </w:tcPr>
          <w:p w14:paraId="5911EBF2"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1F957EDA" w14:textId="3CA814F9"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(2,20)</w:t>
            </w:r>
          </w:p>
        </w:tc>
        <w:tc>
          <w:tcPr>
            <w:tcW w:w="774" w:type="dxa"/>
            <w:tcBorders>
              <w:top w:val="nil"/>
              <w:left w:val="nil"/>
              <w:bottom w:val="nil"/>
              <w:right w:val="nil"/>
            </w:tcBorders>
            <w:shd w:val="clear" w:color="auto" w:fill="auto"/>
            <w:noWrap/>
            <w:vAlign w:val="center"/>
            <w:hideMark/>
          </w:tcPr>
          <w:p w14:paraId="4530462A" w14:textId="10C2115D"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558.75</w:t>
            </w:r>
          </w:p>
        </w:tc>
        <w:tc>
          <w:tcPr>
            <w:tcW w:w="930" w:type="dxa"/>
            <w:tcBorders>
              <w:top w:val="nil"/>
              <w:left w:val="nil"/>
              <w:bottom w:val="nil"/>
              <w:right w:val="nil"/>
            </w:tcBorders>
            <w:shd w:val="clear" w:color="auto" w:fill="auto"/>
            <w:noWrap/>
            <w:vAlign w:val="center"/>
            <w:hideMark/>
          </w:tcPr>
          <w:p w14:paraId="68009258" w14:textId="0619098F"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78FB390B" w14:textId="0368A723"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0.982</w:t>
            </w:r>
          </w:p>
        </w:tc>
        <w:tc>
          <w:tcPr>
            <w:tcW w:w="271" w:type="dxa"/>
            <w:tcBorders>
              <w:top w:val="nil"/>
              <w:left w:val="nil"/>
              <w:bottom w:val="nil"/>
              <w:right w:val="nil"/>
            </w:tcBorders>
            <w:shd w:val="clear" w:color="auto" w:fill="auto"/>
            <w:noWrap/>
            <w:vAlign w:val="center"/>
            <w:hideMark/>
          </w:tcPr>
          <w:p w14:paraId="58C85D98"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19BB8123" w14:textId="24F0F76B"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(2,20)</w:t>
            </w:r>
          </w:p>
        </w:tc>
        <w:tc>
          <w:tcPr>
            <w:tcW w:w="672" w:type="dxa"/>
            <w:tcBorders>
              <w:top w:val="nil"/>
              <w:left w:val="nil"/>
              <w:bottom w:val="nil"/>
              <w:right w:val="nil"/>
            </w:tcBorders>
            <w:shd w:val="clear" w:color="auto" w:fill="auto"/>
            <w:noWrap/>
            <w:vAlign w:val="center"/>
            <w:hideMark/>
          </w:tcPr>
          <w:p w14:paraId="4955EB4A" w14:textId="6ABCEEF5"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0.67</w:t>
            </w:r>
          </w:p>
        </w:tc>
        <w:tc>
          <w:tcPr>
            <w:tcW w:w="879" w:type="dxa"/>
            <w:tcBorders>
              <w:top w:val="nil"/>
              <w:left w:val="nil"/>
              <w:bottom w:val="nil"/>
              <w:right w:val="nil"/>
            </w:tcBorders>
            <w:shd w:val="clear" w:color="auto" w:fill="auto"/>
            <w:noWrap/>
            <w:vAlign w:val="center"/>
            <w:hideMark/>
          </w:tcPr>
          <w:p w14:paraId="00304BFB" w14:textId="358CA7C5"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0.522</w:t>
            </w:r>
          </w:p>
        </w:tc>
        <w:tc>
          <w:tcPr>
            <w:tcW w:w="1124" w:type="dxa"/>
            <w:tcBorders>
              <w:top w:val="nil"/>
              <w:left w:val="nil"/>
              <w:bottom w:val="nil"/>
              <w:right w:val="nil"/>
            </w:tcBorders>
            <w:shd w:val="clear" w:color="auto" w:fill="auto"/>
            <w:noWrap/>
            <w:vAlign w:val="center"/>
            <w:hideMark/>
          </w:tcPr>
          <w:p w14:paraId="57DF8458" w14:textId="3BEB30C5"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0.063</w:t>
            </w:r>
          </w:p>
        </w:tc>
      </w:tr>
      <w:tr w:rsidR="00FD6775" w:rsidRPr="00F07DEB" w14:paraId="2096368D" w14:textId="77777777" w:rsidTr="00174B08">
        <w:trPr>
          <w:trHeight w:val="292"/>
        </w:trPr>
        <w:tc>
          <w:tcPr>
            <w:tcW w:w="1163" w:type="dxa"/>
            <w:tcBorders>
              <w:top w:val="nil"/>
              <w:left w:val="nil"/>
              <w:bottom w:val="nil"/>
              <w:right w:val="nil"/>
            </w:tcBorders>
            <w:shd w:val="clear" w:color="auto" w:fill="auto"/>
            <w:noWrap/>
            <w:vAlign w:val="center"/>
            <w:hideMark/>
          </w:tcPr>
          <w:p w14:paraId="51FAB676"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Mg</w:t>
            </w:r>
          </w:p>
        </w:tc>
        <w:tc>
          <w:tcPr>
            <w:tcW w:w="700" w:type="dxa"/>
            <w:tcBorders>
              <w:top w:val="nil"/>
              <w:left w:val="nil"/>
              <w:bottom w:val="nil"/>
              <w:right w:val="nil"/>
            </w:tcBorders>
            <w:shd w:val="clear" w:color="auto" w:fill="auto"/>
            <w:noWrap/>
            <w:vAlign w:val="center"/>
            <w:hideMark/>
          </w:tcPr>
          <w:p w14:paraId="1A36AA75" w14:textId="3FAE31BB"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908" w:type="dxa"/>
            <w:tcBorders>
              <w:top w:val="nil"/>
              <w:left w:val="nil"/>
              <w:bottom w:val="nil"/>
              <w:right w:val="nil"/>
            </w:tcBorders>
            <w:shd w:val="clear" w:color="auto" w:fill="auto"/>
            <w:noWrap/>
            <w:vAlign w:val="center"/>
            <w:hideMark/>
          </w:tcPr>
          <w:p w14:paraId="3E35F8F6" w14:textId="34EC2422"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00000"/>
                <w:sz w:val="20"/>
                <w:szCs w:val="20"/>
              </w:rPr>
              <w:t>&lt; 0.001</w:t>
            </w:r>
          </w:p>
        </w:tc>
        <w:tc>
          <w:tcPr>
            <w:tcW w:w="893" w:type="dxa"/>
            <w:tcBorders>
              <w:top w:val="nil"/>
              <w:left w:val="nil"/>
              <w:bottom w:val="nil"/>
              <w:right w:val="nil"/>
            </w:tcBorders>
            <w:shd w:val="clear" w:color="auto" w:fill="auto"/>
            <w:noWrap/>
            <w:vAlign w:val="center"/>
            <w:hideMark/>
          </w:tcPr>
          <w:p w14:paraId="379CC085" w14:textId="5B674D20"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13928F47" w14:textId="0C3EB2C8"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0.696</w:t>
            </w:r>
          </w:p>
        </w:tc>
        <w:tc>
          <w:tcPr>
            <w:tcW w:w="271" w:type="dxa"/>
            <w:tcBorders>
              <w:top w:val="nil"/>
              <w:left w:val="nil"/>
              <w:bottom w:val="nil"/>
              <w:right w:val="nil"/>
            </w:tcBorders>
            <w:shd w:val="clear" w:color="auto" w:fill="auto"/>
            <w:noWrap/>
            <w:vAlign w:val="center"/>
            <w:hideMark/>
          </w:tcPr>
          <w:p w14:paraId="788F4BEA"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2C6047E5" w14:textId="056794E3"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(2,20)</w:t>
            </w:r>
          </w:p>
        </w:tc>
        <w:tc>
          <w:tcPr>
            <w:tcW w:w="774" w:type="dxa"/>
            <w:tcBorders>
              <w:top w:val="nil"/>
              <w:left w:val="nil"/>
              <w:bottom w:val="nil"/>
              <w:right w:val="nil"/>
            </w:tcBorders>
            <w:shd w:val="clear" w:color="auto" w:fill="auto"/>
            <w:noWrap/>
            <w:vAlign w:val="center"/>
            <w:hideMark/>
          </w:tcPr>
          <w:p w14:paraId="04B2E7A6" w14:textId="0D6ED847"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425.77</w:t>
            </w:r>
          </w:p>
        </w:tc>
        <w:tc>
          <w:tcPr>
            <w:tcW w:w="930" w:type="dxa"/>
            <w:tcBorders>
              <w:top w:val="nil"/>
              <w:left w:val="nil"/>
              <w:bottom w:val="nil"/>
              <w:right w:val="nil"/>
            </w:tcBorders>
            <w:shd w:val="clear" w:color="auto" w:fill="auto"/>
            <w:noWrap/>
            <w:vAlign w:val="center"/>
            <w:hideMark/>
          </w:tcPr>
          <w:p w14:paraId="5E6D7B68" w14:textId="734058A2"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29243626" w14:textId="234274A2"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0.977</w:t>
            </w:r>
          </w:p>
        </w:tc>
        <w:tc>
          <w:tcPr>
            <w:tcW w:w="271" w:type="dxa"/>
            <w:tcBorders>
              <w:top w:val="nil"/>
              <w:left w:val="nil"/>
              <w:bottom w:val="nil"/>
              <w:right w:val="nil"/>
            </w:tcBorders>
            <w:shd w:val="clear" w:color="auto" w:fill="auto"/>
            <w:noWrap/>
            <w:vAlign w:val="center"/>
            <w:hideMark/>
          </w:tcPr>
          <w:p w14:paraId="6D3E22D3"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03CADC63" w14:textId="41BCD3EF"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(2,20)</w:t>
            </w:r>
          </w:p>
        </w:tc>
        <w:tc>
          <w:tcPr>
            <w:tcW w:w="672" w:type="dxa"/>
            <w:tcBorders>
              <w:top w:val="nil"/>
              <w:left w:val="nil"/>
              <w:bottom w:val="nil"/>
              <w:right w:val="nil"/>
            </w:tcBorders>
            <w:shd w:val="clear" w:color="auto" w:fill="auto"/>
            <w:noWrap/>
            <w:vAlign w:val="center"/>
            <w:hideMark/>
          </w:tcPr>
          <w:p w14:paraId="18756C74" w14:textId="28240C67"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1.67</w:t>
            </w:r>
          </w:p>
        </w:tc>
        <w:tc>
          <w:tcPr>
            <w:tcW w:w="879" w:type="dxa"/>
            <w:tcBorders>
              <w:top w:val="nil"/>
              <w:left w:val="nil"/>
              <w:bottom w:val="nil"/>
              <w:right w:val="nil"/>
            </w:tcBorders>
            <w:shd w:val="clear" w:color="auto" w:fill="auto"/>
            <w:noWrap/>
            <w:vAlign w:val="center"/>
            <w:hideMark/>
          </w:tcPr>
          <w:p w14:paraId="6BCE513D" w14:textId="3C59C6C7"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color w:val="000000"/>
                <w:sz w:val="20"/>
                <w:szCs w:val="20"/>
              </w:rPr>
              <w:t>0.214</w:t>
            </w:r>
          </w:p>
        </w:tc>
        <w:tc>
          <w:tcPr>
            <w:tcW w:w="1124" w:type="dxa"/>
            <w:tcBorders>
              <w:top w:val="nil"/>
              <w:left w:val="nil"/>
              <w:bottom w:val="nil"/>
              <w:right w:val="nil"/>
            </w:tcBorders>
            <w:shd w:val="clear" w:color="auto" w:fill="auto"/>
            <w:noWrap/>
            <w:vAlign w:val="center"/>
            <w:hideMark/>
          </w:tcPr>
          <w:p w14:paraId="650F8CB7" w14:textId="3351B5B0"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0.143</w:t>
            </w:r>
          </w:p>
        </w:tc>
      </w:tr>
      <w:tr w:rsidR="00FD6775" w:rsidRPr="00F07DEB" w14:paraId="41FB65A9" w14:textId="77777777" w:rsidTr="00174B08">
        <w:trPr>
          <w:trHeight w:val="292"/>
        </w:trPr>
        <w:tc>
          <w:tcPr>
            <w:tcW w:w="1163" w:type="dxa"/>
            <w:tcBorders>
              <w:top w:val="nil"/>
              <w:left w:val="nil"/>
              <w:bottom w:val="nil"/>
              <w:right w:val="nil"/>
            </w:tcBorders>
            <w:shd w:val="clear" w:color="auto" w:fill="auto"/>
            <w:noWrap/>
            <w:vAlign w:val="center"/>
            <w:hideMark/>
          </w:tcPr>
          <w:p w14:paraId="3DB7928B"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Mn</w:t>
            </w:r>
            <w:proofErr w:type="spellEnd"/>
          </w:p>
        </w:tc>
        <w:tc>
          <w:tcPr>
            <w:tcW w:w="700" w:type="dxa"/>
            <w:tcBorders>
              <w:top w:val="nil"/>
              <w:left w:val="nil"/>
              <w:bottom w:val="nil"/>
              <w:right w:val="nil"/>
            </w:tcBorders>
            <w:shd w:val="clear" w:color="auto" w:fill="auto"/>
            <w:noWrap/>
            <w:vAlign w:val="center"/>
            <w:hideMark/>
          </w:tcPr>
          <w:p w14:paraId="467DB7BC" w14:textId="72132832"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908" w:type="dxa"/>
            <w:tcBorders>
              <w:top w:val="nil"/>
              <w:left w:val="nil"/>
              <w:bottom w:val="nil"/>
              <w:right w:val="nil"/>
            </w:tcBorders>
            <w:shd w:val="clear" w:color="auto" w:fill="auto"/>
            <w:noWrap/>
            <w:vAlign w:val="center"/>
            <w:hideMark/>
          </w:tcPr>
          <w:p w14:paraId="5FFE8DF2" w14:textId="0A996CE6"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4.52</w:t>
            </w:r>
          </w:p>
        </w:tc>
        <w:tc>
          <w:tcPr>
            <w:tcW w:w="893" w:type="dxa"/>
            <w:tcBorders>
              <w:top w:val="nil"/>
              <w:left w:val="nil"/>
              <w:bottom w:val="nil"/>
              <w:right w:val="nil"/>
            </w:tcBorders>
            <w:shd w:val="clear" w:color="auto" w:fill="auto"/>
            <w:noWrap/>
            <w:vAlign w:val="center"/>
            <w:hideMark/>
          </w:tcPr>
          <w:p w14:paraId="43987746" w14:textId="2A14696E"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0.059</w:t>
            </w:r>
          </w:p>
        </w:tc>
        <w:tc>
          <w:tcPr>
            <w:tcW w:w="1124" w:type="dxa"/>
            <w:tcBorders>
              <w:top w:val="nil"/>
              <w:left w:val="nil"/>
              <w:bottom w:val="nil"/>
              <w:right w:val="nil"/>
            </w:tcBorders>
            <w:shd w:val="clear" w:color="auto" w:fill="auto"/>
            <w:noWrap/>
            <w:vAlign w:val="center"/>
            <w:hideMark/>
          </w:tcPr>
          <w:p w14:paraId="4B2483A8" w14:textId="3DF4EA93"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0.311</w:t>
            </w:r>
          </w:p>
        </w:tc>
        <w:tc>
          <w:tcPr>
            <w:tcW w:w="271" w:type="dxa"/>
            <w:tcBorders>
              <w:top w:val="nil"/>
              <w:left w:val="nil"/>
              <w:bottom w:val="nil"/>
              <w:right w:val="nil"/>
            </w:tcBorders>
            <w:shd w:val="clear" w:color="auto" w:fill="auto"/>
            <w:noWrap/>
            <w:vAlign w:val="center"/>
            <w:hideMark/>
          </w:tcPr>
          <w:p w14:paraId="52DBABF5"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5060AD5F" w14:textId="2DA630AF"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(2,20)</w:t>
            </w:r>
          </w:p>
        </w:tc>
        <w:tc>
          <w:tcPr>
            <w:tcW w:w="774" w:type="dxa"/>
            <w:tcBorders>
              <w:top w:val="nil"/>
              <w:left w:val="nil"/>
              <w:bottom w:val="nil"/>
              <w:right w:val="nil"/>
            </w:tcBorders>
            <w:shd w:val="clear" w:color="auto" w:fill="auto"/>
            <w:noWrap/>
            <w:vAlign w:val="center"/>
            <w:hideMark/>
          </w:tcPr>
          <w:p w14:paraId="27E7E769" w14:textId="1B156D53"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0.89</w:t>
            </w:r>
          </w:p>
        </w:tc>
        <w:tc>
          <w:tcPr>
            <w:tcW w:w="930" w:type="dxa"/>
            <w:tcBorders>
              <w:top w:val="nil"/>
              <w:left w:val="nil"/>
              <w:bottom w:val="nil"/>
              <w:right w:val="nil"/>
            </w:tcBorders>
            <w:shd w:val="clear" w:color="auto" w:fill="auto"/>
            <w:noWrap/>
            <w:vAlign w:val="center"/>
            <w:hideMark/>
          </w:tcPr>
          <w:p w14:paraId="06A56F14" w14:textId="18C3E725"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color w:val="000000"/>
                <w:sz w:val="20"/>
                <w:szCs w:val="20"/>
              </w:rPr>
              <w:t>0.427</w:t>
            </w:r>
          </w:p>
        </w:tc>
        <w:tc>
          <w:tcPr>
            <w:tcW w:w="1124" w:type="dxa"/>
            <w:tcBorders>
              <w:top w:val="nil"/>
              <w:left w:val="nil"/>
              <w:bottom w:val="nil"/>
              <w:right w:val="nil"/>
            </w:tcBorders>
            <w:shd w:val="clear" w:color="auto" w:fill="auto"/>
            <w:noWrap/>
            <w:vAlign w:val="center"/>
            <w:hideMark/>
          </w:tcPr>
          <w:p w14:paraId="13A31421" w14:textId="119C76D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0.082</w:t>
            </w:r>
          </w:p>
        </w:tc>
        <w:tc>
          <w:tcPr>
            <w:tcW w:w="271" w:type="dxa"/>
            <w:tcBorders>
              <w:top w:val="nil"/>
              <w:left w:val="nil"/>
              <w:bottom w:val="nil"/>
              <w:right w:val="nil"/>
            </w:tcBorders>
            <w:shd w:val="clear" w:color="auto" w:fill="auto"/>
            <w:noWrap/>
            <w:vAlign w:val="center"/>
            <w:hideMark/>
          </w:tcPr>
          <w:p w14:paraId="724802DD"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4FA2C00F" w14:textId="07FC5768"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(2,20)</w:t>
            </w:r>
          </w:p>
        </w:tc>
        <w:tc>
          <w:tcPr>
            <w:tcW w:w="672" w:type="dxa"/>
            <w:tcBorders>
              <w:top w:val="nil"/>
              <w:left w:val="nil"/>
              <w:bottom w:val="nil"/>
              <w:right w:val="nil"/>
            </w:tcBorders>
            <w:shd w:val="clear" w:color="auto" w:fill="auto"/>
            <w:noWrap/>
            <w:vAlign w:val="center"/>
            <w:hideMark/>
          </w:tcPr>
          <w:p w14:paraId="31AEEF51" w14:textId="20D691ED"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1.58</w:t>
            </w:r>
          </w:p>
        </w:tc>
        <w:tc>
          <w:tcPr>
            <w:tcW w:w="879" w:type="dxa"/>
            <w:tcBorders>
              <w:top w:val="nil"/>
              <w:left w:val="nil"/>
              <w:bottom w:val="nil"/>
              <w:right w:val="nil"/>
            </w:tcBorders>
            <w:shd w:val="clear" w:color="auto" w:fill="auto"/>
            <w:noWrap/>
            <w:vAlign w:val="center"/>
            <w:hideMark/>
          </w:tcPr>
          <w:p w14:paraId="1F1FD789" w14:textId="0951F3A8"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0.230</w:t>
            </w:r>
          </w:p>
        </w:tc>
        <w:tc>
          <w:tcPr>
            <w:tcW w:w="1124" w:type="dxa"/>
            <w:tcBorders>
              <w:top w:val="nil"/>
              <w:left w:val="nil"/>
              <w:bottom w:val="nil"/>
              <w:right w:val="nil"/>
            </w:tcBorders>
            <w:shd w:val="clear" w:color="auto" w:fill="auto"/>
            <w:noWrap/>
            <w:vAlign w:val="center"/>
            <w:hideMark/>
          </w:tcPr>
          <w:p w14:paraId="239C65D5" w14:textId="3790A480"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0.137</w:t>
            </w:r>
          </w:p>
        </w:tc>
      </w:tr>
      <w:tr w:rsidR="00FD6775" w:rsidRPr="00F07DEB" w14:paraId="77F68541" w14:textId="77777777" w:rsidTr="00174B08">
        <w:trPr>
          <w:trHeight w:val="292"/>
        </w:trPr>
        <w:tc>
          <w:tcPr>
            <w:tcW w:w="1163" w:type="dxa"/>
            <w:tcBorders>
              <w:top w:val="nil"/>
              <w:left w:val="nil"/>
              <w:bottom w:val="nil"/>
              <w:right w:val="nil"/>
            </w:tcBorders>
            <w:shd w:val="clear" w:color="auto" w:fill="auto"/>
            <w:noWrap/>
            <w:vAlign w:val="center"/>
          </w:tcPr>
          <w:p w14:paraId="0CA9F6A7" w14:textId="47631004"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Na</w:t>
            </w:r>
          </w:p>
        </w:tc>
        <w:tc>
          <w:tcPr>
            <w:tcW w:w="700" w:type="dxa"/>
            <w:tcBorders>
              <w:top w:val="nil"/>
              <w:left w:val="nil"/>
              <w:bottom w:val="nil"/>
              <w:right w:val="nil"/>
            </w:tcBorders>
            <w:shd w:val="clear" w:color="auto" w:fill="auto"/>
            <w:noWrap/>
            <w:vAlign w:val="center"/>
          </w:tcPr>
          <w:p w14:paraId="6F68287A" w14:textId="7BD98F8D" w:rsidR="00FD6775" w:rsidRPr="00F07DEB" w:rsidRDefault="00FD6775" w:rsidP="00FD6775">
            <w:pPr>
              <w:spacing w:after="0" w:line="240" w:lineRule="auto"/>
              <w:rPr>
                <w:rFonts w:ascii="Times New Roman" w:hAnsi="Times New Roman" w:cs="Times New Roman"/>
                <w:color w:val="000000"/>
                <w:sz w:val="20"/>
                <w:szCs w:val="20"/>
              </w:rPr>
            </w:pPr>
            <w:r w:rsidRPr="00F07DEB">
              <w:rPr>
                <w:rFonts w:ascii="Times New Roman" w:hAnsi="Times New Roman" w:cs="Times New Roman"/>
                <w:color w:val="000000"/>
                <w:sz w:val="20"/>
                <w:szCs w:val="20"/>
              </w:rPr>
              <w:t>(1,10)</w:t>
            </w:r>
          </w:p>
        </w:tc>
        <w:tc>
          <w:tcPr>
            <w:tcW w:w="908" w:type="dxa"/>
            <w:tcBorders>
              <w:top w:val="nil"/>
              <w:left w:val="nil"/>
              <w:bottom w:val="nil"/>
              <w:right w:val="nil"/>
            </w:tcBorders>
            <w:shd w:val="clear" w:color="auto" w:fill="auto"/>
            <w:noWrap/>
            <w:vAlign w:val="center"/>
          </w:tcPr>
          <w:p w14:paraId="09E5B8ED" w14:textId="14043466" w:rsidR="00FD6775" w:rsidRPr="00F07DEB" w:rsidRDefault="00FD6775" w:rsidP="00FD6775">
            <w:pPr>
              <w:spacing w:after="0" w:line="240" w:lineRule="auto"/>
              <w:rPr>
                <w:rFonts w:ascii="Times New Roman" w:hAnsi="Times New Roman" w:cs="Times New Roman"/>
                <w:color w:val="010205"/>
                <w:sz w:val="20"/>
                <w:szCs w:val="20"/>
              </w:rPr>
            </w:pPr>
            <w:r w:rsidRPr="00F07DEB">
              <w:rPr>
                <w:rFonts w:ascii="Times New Roman" w:hAnsi="Times New Roman" w:cs="Times New Roman"/>
                <w:color w:val="010205"/>
                <w:sz w:val="20"/>
                <w:szCs w:val="20"/>
              </w:rPr>
              <w:t>62.78</w:t>
            </w:r>
          </w:p>
        </w:tc>
        <w:tc>
          <w:tcPr>
            <w:tcW w:w="893" w:type="dxa"/>
            <w:tcBorders>
              <w:top w:val="nil"/>
              <w:left w:val="nil"/>
              <w:bottom w:val="nil"/>
              <w:right w:val="nil"/>
            </w:tcBorders>
            <w:shd w:val="clear" w:color="auto" w:fill="auto"/>
            <w:noWrap/>
            <w:vAlign w:val="center"/>
          </w:tcPr>
          <w:p w14:paraId="4CF3FF17" w14:textId="3D5B456D" w:rsidR="00FD6775" w:rsidRPr="00F07DEB" w:rsidRDefault="00FD6775" w:rsidP="00FD6775">
            <w:pPr>
              <w:spacing w:after="0" w:line="240" w:lineRule="auto"/>
              <w:rPr>
                <w:rFonts w:ascii="Times New Roman" w:hAnsi="Times New Roman" w:cs="Times New Roman"/>
                <w:color w:val="000000"/>
                <w:sz w:val="20"/>
                <w:szCs w:val="20"/>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tcPr>
          <w:p w14:paraId="478DE887" w14:textId="53B08438" w:rsidR="00FD6775" w:rsidRPr="00F07DEB" w:rsidRDefault="00FD6775" w:rsidP="00FD6775">
            <w:pPr>
              <w:spacing w:after="0" w:line="240" w:lineRule="auto"/>
              <w:rPr>
                <w:rFonts w:ascii="Times New Roman" w:hAnsi="Times New Roman" w:cs="Times New Roman"/>
                <w:color w:val="000000"/>
                <w:sz w:val="20"/>
                <w:szCs w:val="20"/>
              </w:rPr>
            </w:pPr>
            <w:r w:rsidRPr="00F07DEB">
              <w:rPr>
                <w:rFonts w:ascii="Times New Roman" w:hAnsi="Times New Roman" w:cs="Times New Roman"/>
                <w:color w:val="000000"/>
                <w:sz w:val="20"/>
                <w:szCs w:val="20"/>
              </w:rPr>
              <w:t>0.863</w:t>
            </w:r>
          </w:p>
        </w:tc>
        <w:tc>
          <w:tcPr>
            <w:tcW w:w="271" w:type="dxa"/>
            <w:tcBorders>
              <w:top w:val="nil"/>
              <w:left w:val="nil"/>
              <w:bottom w:val="nil"/>
              <w:right w:val="nil"/>
            </w:tcBorders>
            <w:shd w:val="clear" w:color="auto" w:fill="auto"/>
            <w:noWrap/>
            <w:vAlign w:val="center"/>
          </w:tcPr>
          <w:p w14:paraId="2A1E4E59"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tcPr>
          <w:p w14:paraId="67B074DC" w14:textId="1CA63FC4" w:rsidR="00FD6775" w:rsidRPr="00F07DEB" w:rsidRDefault="00FD6775" w:rsidP="00FD6775">
            <w:pPr>
              <w:spacing w:after="0" w:line="240" w:lineRule="auto"/>
              <w:rPr>
                <w:rFonts w:ascii="Times New Roman" w:hAnsi="Times New Roman" w:cs="Times New Roman"/>
                <w:color w:val="000000"/>
                <w:sz w:val="20"/>
                <w:szCs w:val="20"/>
              </w:rPr>
            </w:pPr>
            <w:r w:rsidRPr="00F07DEB">
              <w:rPr>
                <w:rFonts w:ascii="Times New Roman" w:hAnsi="Times New Roman" w:cs="Times New Roman"/>
                <w:color w:val="000000"/>
                <w:sz w:val="20"/>
                <w:szCs w:val="20"/>
              </w:rPr>
              <w:t>(2,20)</w:t>
            </w:r>
          </w:p>
        </w:tc>
        <w:tc>
          <w:tcPr>
            <w:tcW w:w="774" w:type="dxa"/>
            <w:tcBorders>
              <w:top w:val="nil"/>
              <w:left w:val="nil"/>
              <w:bottom w:val="nil"/>
              <w:right w:val="nil"/>
            </w:tcBorders>
            <w:shd w:val="clear" w:color="auto" w:fill="auto"/>
            <w:noWrap/>
            <w:vAlign w:val="center"/>
          </w:tcPr>
          <w:p w14:paraId="77801587" w14:textId="7539D977" w:rsidR="00FD6775" w:rsidRPr="00F07DEB" w:rsidRDefault="00FD6775" w:rsidP="00FD6775">
            <w:pPr>
              <w:spacing w:after="0" w:line="240" w:lineRule="auto"/>
              <w:rPr>
                <w:rFonts w:ascii="Times New Roman" w:hAnsi="Times New Roman" w:cs="Times New Roman"/>
                <w:color w:val="010205"/>
                <w:sz w:val="20"/>
                <w:szCs w:val="20"/>
              </w:rPr>
            </w:pPr>
            <w:r w:rsidRPr="00F07DEB">
              <w:rPr>
                <w:rFonts w:ascii="Times New Roman" w:hAnsi="Times New Roman" w:cs="Times New Roman"/>
                <w:color w:val="010205"/>
                <w:sz w:val="20"/>
                <w:szCs w:val="20"/>
              </w:rPr>
              <w:t>148.65</w:t>
            </w:r>
          </w:p>
        </w:tc>
        <w:tc>
          <w:tcPr>
            <w:tcW w:w="930" w:type="dxa"/>
            <w:tcBorders>
              <w:top w:val="nil"/>
              <w:left w:val="nil"/>
              <w:bottom w:val="nil"/>
              <w:right w:val="nil"/>
            </w:tcBorders>
            <w:shd w:val="clear" w:color="auto" w:fill="auto"/>
            <w:noWrap/>
            <w:vAlign w:val="center"/>
          </w:tcPr>
          <w:p w14:paraId="07C6D4AE" w14:textId="2DB20B8A" w:rsidR="00FD6775" w:rsidRPr="00F07DEB" w:rsidRDefault="00FD6775" w:rsidP="00FD6775">
            <w:pPr>
              <w:spacing w:after="0" w:line="240" w:lineRule="auto"/>
              <w:rPr>
                <w:rFonts w:ascii="Times New Roman" w:hAnsi="Times New Roman" w:cs="Times New Roman"/>
                <w:b/>
                <w:bCs/>
                <w:color w:val="000000"/>
                <w:sz w:val="20"/>
                <w:szCs w:val="20"/>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tcPr>
          <w:p w14:paraId="71D9DBC5" w14:textId="7856AFFF" w:rsidR="00FD6775" w:rsidRPr="00F07DEB" w:rsidRDefault="00FD6775" w:rsidP="00FD6775">
            <w:pPr>
              <w:spacing w:after="0" w:line="240" w:lineRule="auto"/>
              <w:rPr>
                <w:rFonts w:ascii="Times New Roman" w:hAnsi="Times New Roman" w:cs="Times New Roman"/>
                <w:color w:val="000000"/>
                <w:sz w:val="20"/>
                <w:szCs w:val="20"/>
              </w:rPr>
            </w:pPr>
            <w:r w:rsidRPr="00F07DEB">
              <w:rPr>
                <w:rFonts w:ascii="Times New Roman" w:hAnsi="Times New Roman" w:cs="Times New Roman"/>
                <w:color w:val="000000"/>
                <w:sz w:val="20"/>
                <w:szCs w:val="20"/>
              </w:rPr>
              <w:t>0.937</w:t>
            </w:r>
          </w:p>
        </w:tc>
        <w:tc>
          <w:tcPr>
            <w:tcW w:w="271" w:type="dxa"/>
            <w:tcBorders>
              <w:top w:val="nil"/>
              <w:left w:val="nil"/>
              <w:bottom w:val="nil"/>
              <w:right w:val="nil"/>
            </w:tcBorders>
            <w:shd w:val="clear" w:color="auto" w:fill="auto"/>
            <w:noWrap/>
            <w:vAlign w:val="center"/>
          </w:tcPr>
          <w:p w14:paraId="4DD0F61F"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tcPr>
          <w:p w14:paraId="647EF048" w14:textId="225EB6D1" w:rsidR="00FD6775" w:rsidRPr="00F07DEB" w:rsidRDefault="00FD6775" w:rsidP="00FD6775">
            <w:pPr>
              <w:spacing w:after="0" w:line="240" w:lineRule="auto"/>
              <w:rPr>
                <w:rFonts w:ascii="Times New Roman" w:hAnsi="Times New Roman" w:cs="Times New Roman"/>
                <w:color w:val="000000"/>
                <w:sz w:val="20"/>
                <w:szCs w:val="20"/>
              </w:rPr>
            </w:pPr>
            <w:r w:rsidRPr="00F07DEB">
              <w:rPr>
                <w:rFonts w:ascii="Times New Roman" w:hAnsi="Times New Roman" w:cs="Times New Roman"/>
                <w:color w:val="000000"/>
                <w:sz w:val="20"/>
                <w:szCs w:val="20"/>
              </w:rPr>
              <w:t>(2,20)</w:t>
            </w:r>
          </w:p>
        </w:tc>
        <w:tc>
          <w:tcPr>
            <w:tcW w:w="672" w:type="dxa"/>
            <w:tcBorders>
              <w:top w:val="nil"/>
              <w:left w:val="nil"/>
              <w:bottom w:val="nil"/>
              <w:right w:val="nil"/>
            </w:tcBorders>
            <w:shd w:val="clear" w:color="auto" w:fill="auto"/>
            <w:noWrap/>
            <w:vAlign w:val="center"/>
          </w:tcPr>
          <w:p w14:paraId="74D4DF02" w14:textId="3AC5DC36" w:rsidR="00FD6775" w:rsidRPr="00F07DEB" w:rsidRDefault="00FD6775" w:rsidP="00FD6775">
            <w:pPr>
              <w:spacing w:after="0" w:line="240" w:lineRule="auto"/>
              <w:rPr>
                <w:rFonts w:ascii="Times New Roman" w:hAnsi="Times New Roman" w:cs="Times New Roman"/>
                <w:color w:val="010205"/>
                <w:sz w:val="20"/>
                <w:szCs w:val="20"/>
              </w:rPr>
            </w:pPr>
            <w:r w:rsidRPr="00F07DEB">
              <w:rPr>
                <w:rFonts w:ascii="Times New Roman" w:hAnsi="Times New Roman" w:cs="Times New Roman"/>
                <w:color w:val="010205"/>
                <w:sz w:val="20"/>
                <w:szCs w:val="20"/>
              </w:rPr>
              <w:t>1.22</w:t>
            </w:r>
          </w:p>
        </w:tc>
        <w:tc>
          <w:tcPr>
            <w:tcW w:w="879" w:type="dxa"/>
            <w:tcBorders>
              <w:top w:val="nil"/>
              <w:left w:val="nil"/>
              <w:bottom w:val="nil"/>
              <w:right w:val="nil"/>
            </w:tcBorders>
            <w:shd w:val="clear" w:color="auto" w:fill="auto"/>
            <w:noWrap/>
            <w:vAlign w:val="center"/>
          </w:tcPr>
          <w:p w14:paraId="257C3C4D" w14:textId="6BB8727E" w:rsidR="00FD6775" w:rsidRPr="00F07DEB" w:rsidRDefault="00FD6775" w:rsidP="00FD6775">
            <w:pPr>
              <w:spacing w:after="0" w:line="240" w:lineRule="auto"/>
              <w:rPr>
                <w:rFonts w:ascii="Times New Roman" w:hAnsi="Times New Roman" w:cs="Times New Roman"/>
                <w:color w:val="000000"/>
                <w:sz w:val="20"/>
                <w:szCs w:val="20"/>
              </w:rPr>
            </w:pPr>
            <w:r w:rsidRPr="00F07DEB">
              <w:rPr>
                <w:rFonts w:ascii="Times New Roman" w:hAnsi="Times New Roman" w:cs="Times New Roman"/>
                <w:color w:val="000000"/>
                <w:sz w:val="20"/>
                <w:szCs w:val="20"/>
              </w:rPr>
              <w:t>0.317</w:t>
            </w:r>
          </w:p>
        </w:tc>
        <w:tc>
          <w:tcPr>
            <w:tcW w:w="1124" w:type="dxa"/>
            <w:tcBorders>
              <w:top w:val="nil"/>
              <w:left w:val="nil"/>
              <w:bottom w:val="nil"/>
              <w:right w:val="nil"/>
            </w:tcBorders>
            <w:shd w:val="clear" w:color="auto" w:fill="auto"/>
            <w:noWrap/>
            <w:vAlign w:val="center"/>
          </w:tcPr>
          <w:p w14:paraId="2A221118" w14:textId="7A296130" w:rsidR="00FD6775" w:rsidRPr="00F07DEB" w:rsidRDefault="00FD6775" w:rsidP="00FD6775">
            <w:pPr>
              <w:spacing w:after="0" w:line="240" w:lineRule="auto"/>
              <w:rPr>
                <w:rFonts w:ascii="Times New Roman" w:hAnsi="Times New Roman" w:cs="Times New Roman"/>
                <w:color w:val="000000"/>
                <w:sz w:val="20"/>
                <w:szCs w:val="20"/>
              </w:rPr>
            </w:pPr>
            <w:r w:rsidRPr="00F07DEB">
              <w:rPr>
                <w:rFonts w:ascii="Times New Roman" w:hAnsi="Times New Roman" w:cs="Times New Roman"/>
                <w:color w:val="000000"/>
                <w:sz w:val="20"/>
                <w:szCs w:val="20"/>
              </w:rPr>
              <w:t>0.108</w:t>
            </w:r>
          </w:p>
        </w:tc>
      </w:tr>
      <w:tr w:rsidR="00FD6775" w:rsidRPr="00F07DEB" w14:paraId="773F6F0C" w14:textId="77777777" w:rsidTr="00174B08">
        <w:trPr>
          <w:trHeight w:val="292"/>
        </w:trPr>
        <w:tc>
          <w:tcPr>
            <w:tcW w:w="1163" w:type="dxa"/>
            <w:tcBorders>
              <w:top w:val="nil"/>
              <w:left w:val="nil"/>
              <w:bottom w:val="nil"/>
              <w:right w:val="nil"/>
            </w:tcBorders>
            <w:shd w:val="clear" w:color="auto" w:fill="auto"/>
            <w:noWrap/>
            <w:vAlign w:val="center"/>
            <w:hideMark/>
          </w:tcPr>
          <w:p w14:paraId="6477D098"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Ni</w:t>
            </w:r>
          </w:p>
        </w:tc>
        <w:tc>
          <w:tcPr>
            <w:tcW w:w="700" w:type="dxa"/>
            <w:tcBorders>
              <w:top w:val="nil"/>
              <w:left w:val="nil"/>
              <w:bottom w:val="nil"/>
              <w:right w:val="nil"/>
            </w:tcBorders>
            <w:shd w:val="clear" w:color="auto" w:fill="auto"/>
            <w:noWrap/>
            <w:vAlign w:val="center"/>
            <w:hideMark/>
          </w:tcPr>
          <w:p w14:paraId="638A4D01" w14:textId="47BE712F"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908" w:type="dxa"/>
            <w:tcBorders>
              <w:top w:val="nil"/>
              <w:left w:val="nil"/>
              <w:bottom w:val="nil"/>
              <w:right w:val="nil"/>
            </w:tcBorders>
            <w:shd w:val="clear" w:color="auto" w:fill="auto"/>
            <w:noWrap/>
            <w:vAlign w:val="center"/>
            <w:hideMark/>
          </w:tcPr>
          <w:p w14:paraId="4BB90DE2" w14:textId="216F189B"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5.69</w:t>
            </w:r>
          </w:p>
        </w:tc>
        <w:tc>
          <w:tcPr>
            <w:tcW w:w="893" w:type="dxa"/>
            <w:tcBorders>
              <w:top w:val="nil"/>
              <w:left w:val="nil"/>
              <w:bottom w:val="nil"/>
              <w:right w:val="nil"/>
            </w:tcBorders>
            <w:shd w:val="clear" w:color="auto" w:fill="auto"/>
            <w:noWrap/>
            <w:vAlign w:val="center"/>
            <w:hideMark/>
          </w:tcPr>
          <w:p w14:paraId="15566DDF" w14:textId="7BA8070C"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b/>
                <w:bCs/>
                <w:color w:val="000000"/>
                <w:sz w:val="20"/>
                <w:szCs w:val="20"/>
              </w:rPr>
              <w:t>0.038</w:t>
            </w:r>
          </w:p>
        </w:tc>
        <w:tc>
          <w:tcPr>
            <w:tcW w:w="1124" w:type="dxa"/>
            <w:tcBorders>
              <w:top w:val="nil"/>
              <w:left w:val="nil"/>
              <w:bottom w:val="nil"/>
              <w:right w:val="nil"/>
            </w:tcBorders>
            <w:shd w:val="clear" w:color="auto" w:fill="auto"/>
            <w:noWrap/>
            <w:vAlign w:val="center"/>
            <w:hideMark/>
          </w:tcPr>
          <w:p w14:paraId="2FC1C487" w14:textId="7E140A5E"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0.363</w:t>
            </w:r>
          </w:p>
        </w:tc>
        <w:tc>
          <w:tcPr>
            <w:tcW w:w="271" w:type="dxa"/>
            <w:tcBorders>
              <w:top w:val="nil"/>
              <w:left w:val="nil"/>
              <w:bottom w:val="nil"/>
              <w:right w:val="nil"/>
            </w:tcBorders>
            <w:shd w:val="clear" w:color="auto" w:fill="auto"/>
            <w:noWrap/>
            <w:vAlign w:val="center"/>
            <w:hideMark/>
          </w:tcPr>
          <w:p w14:paraId="379D3195"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2483DFFF" w14:textId="37C92CA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(2,20)</w:t>
            </w:r>
          </w:p>
        </w:tc>
        <w:tc>
          <w:tcPr>
            <w:tcW w:w="774" w:type="dxa"/>
            <w:tcBorders>
              <w:top w:val="nil"/>
              <w:left w:val="nil"/>
              <w:bottom w:val="nil"/>
              <w:right w:val="nil"/>
            </w:tcBorders>
            <w:shd w:val="clear" w:color="auto" w:fill="auto"/>
            <w:noWrap/>
            <w:vAlign w:val="center"/>
            <w:hideMark/>
          </w:tcPr>
          <w:p w14:paraId="7234FC52" w14:textId="39B28584"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22.01</w:t>
            </w:r>
          </w:p>
        </w:tc>
        <w:tc>
          <w:tcPr>
            <w:tcW w:w="930" w:type="dxa"/>
            <w:tcBorders>
              <w:top w:val="nil"/>
              <w:left w:val="nil"/>
              <w:bottom w:val="nil"/>
              <w:right w:val="nil"/>
            </w:tcBorders>
            <w:shd w:val="clear" w:color="auto" w:fill="auto"/>
            <w:noWrap/>
            <w:vAlign w:val="center"/>
            <w:hideMark/>
          </w:tcPr>
          <w:p w14:paraId="75C0C8F3" w14:textId="228F0430"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7FEA1985" w14:textId="1B3D66A3"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0.688</w:t>
            </w:r>
          </w:p>
        </w:tc>
        <w:tc>
          <w:tcPr>
            <w:tcW w:w="271" w:type="dxa"/>
            <w:tcBorders>
              <w:top w:val="nil"/>
              <w:left w:val="nil"/>
              <w:bottom w:val="nil"/>
              <w:right w:val="nil"/>
            </w:tcBorders>
            <w:shd w:val="clear" w:color="auto" w:fill="auto"/>
            <w:noWrap/>
            <w:vAlign w:val="center"/>
            <w:hideMark/>
          </w:tcPr>
          <w:p w14:paraId="52E1FE46"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42E4A01E" w14:textId="4DD85799"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(2,20)</w:t>
            </w:r>
          </w:p>
        </w:tc>
        <w:tc>
          <w:tcPr>
            <w:tcW w:w="672" w:type="dxa"/>
            <w:tcBorders>
              <w:top w:val="nil"/>
              <w:left w:val="nil"/>
              <w:bottom w:val="nil"/>
              <w:right w:val="nil"/>
            </w:tcBorders>
            <w:shd w:val="clear" w:color="auto" w:fill="auto"/>
            <w:noWrap/>
            <w:vAlign w:val="center"/>
            <w:hideMark/>
          </w:tcPr>
          <w:p w14:paraId="57DF6CD3" w14:textId="0910A024"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0.87</w:t>
            </w:r>
          </w:p>
        </w:tc>
        <w:tc>
          <w:tcPr>
            <w:tcW w:w="879" w:type="dxa"/>
            <w:tcBorders>
              <w:top w:val="nil"/>
              <w:left w:val="nil"/>
              <w:bottom w:val="nil"/>
              <w:right w:val="nil"/>
            </w:tcBorders>
            <w:shd w:val="clear" w:color="auto" w:fill="auto"/>
            <w:noWrap/>
            <w:vAlign w:val="center"/>
            <w:hideMark/>
          </w:tcPr>
          <w:p w14:paraId="315EB0E5" w14:textId="6308418D"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0.435</w:t>
            </w:r>
          </w:p>
        </w:tc>
        <w:tc>
          <w:tcPr>
            <w:tcW w:w="1124" w:type="dxa"/>
            <w:tcBorders>
              <w:top w:val="nil"/>
              <w:left w:val="nil"/>
              <w:bottom w:val="nil"/>
              <w:right w:val="nil"/>
            </w:tcBorders>
            <w:shd w:val="clear" w:color="auto" w:fill="auto"/>
            <w:noWrap/>
            <w:vAlign w:val="center"/>
            <w:hideMark/>
          </w:tcPr>
          <w:p w14:paraId="18B51DA8" w14:textId="5D23CCD3"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0.080</w:t>
            </w:r>
          </w:p>
        </w:tc>
      </w:tr>
      <w:tr w:rsidR="00FD6775" w:rsidRPr="00F07DEB" w14:paraId="2F523865" w14:textId="77777777" w:rsidTr="00174B08">
        <w:trPr>
          <w:trHeight w:val="292"/>
        </w:trPr>
        <w:tc>
          <w:tcPr>
            <w:tcW w:w="1163" w:type="dxa"/>
            <w:tcBorders>
              <w:top w:val="nil"/>
              <w:left w:val="nil"/>
              <w:bottom w:val="nil"/>
              <w:right w:val="nil"/>
            </w:tcBorders>
            <w:shd w:val="clear" w:color="auto" w:fill="auto"/>
            <w:noWrap/>
            <w:vAlign w:val="center"/>
            <w:hideMark/>
          </w:tcPr>
          <w:p w14:paraId="57942854"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roofErr w:type="spellStart"/>
            <w:r w:rsidRPr="00F07DEB">
              <w:rPr>
                <w:rFonts w:ascii="Times New Roman" w:eastAsia="Times New Roman" w:hAnsi="Times New Roman" w:cs="Times New Roman"/>
                <w:color w:val="000000"/>
                <w:sz w:val="20"/>
                <w:szCs w:val="20"/>
                <w:lang w:eastAsia="en-US"/>
              </w:rPr>
              <w:t>Pb</w:t>
            </w:r>
            <w:proofErr w:type="spellEnd"/>
          </w:p>
        </w:tc>
        <w:tc>
          <w:tcPr>
            <w:tcW w:w="700" w:type="dxa"/>
            <w:tcBorders>
              <w:top w:val="nil"/>
              <w:left w:val="nil"/>
              <w:bottom w:val="nil"/>
              <w:right w:val="nil"/>
            </w:tcBorders>
            <w:shd w:val="clear" w:color="auto" w:fill="auto"/>
            <w:noWrap/>
            <w:vAlign w:val="center"/>
            <w:hideMark/>
          </w:tcPr>
          <w:p w14:paraId="69DBF9DA" w14:textId="57F3AA41"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908" w:type="dxa"/>
            <w:tcBorders>
              <w:top w:val="nil"/>
              <w:left w:val="nil"/>
              <w:bottom w:val="nil"/>
              <w:right w:val="nil"/>
            </w:tcBorders>
            <w:shd w:val="clear" w:color="auto" w:fill="auto"/>
            <w:noWrap/>
            <w:vAlign w:val="center"/>
            <w:hideMark/>
          </w:tcPr>
          <w:p w14:paraId="370D0A25" w14:textId="15BD86BF"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10.63</w:t>
            </w:r>
          </w:p>
        </w:tc>
        <w:tc>
          <w:tcPr>
            <w:tcW w:w="893" w:type="dxa"/>
            <w:tcBorders>
              <w:top w:val="nil"/>
              <w:left w:val="nil"/>
              <w:bottom w:val="nil"/>
              <w:right w:val="nil"/>
            </w:tcBorders>
            <w:shd w:val="clear" w:color="auto" w:fill="auto"/>
            <w:noWrap/>
            <w:vAlign w:val="center"/>
            <w:hideMark/>
          </w:tcPr>
          <w:p w14:paraId="0A4B0124" w14:textId="14A59E1D"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b/>
                <w:bCs/>
                <w:color w:val="000000"/>
                <w:sz w:val="20"/>
                <w:szCs w:val="20"/>
              </w:rPr>
              <w:t>0.009</w:t>
            </w:r>
          </w:p>
        </w:tc>
        <w:tc>
          <w:tcPr>
            <w:tcW w:w="1124" w:type="dxa"/>
            <w:tcBorders>
              <w:top w:val="nil"/>
              <w:left w:val="nil"/>
              <w:bottom w:val="nil"/>
              <w:right w:val="nil"/>
            </w:tcBorders>
            <w:shd w:val="clear" w:color="auto" w:fill="auto"/>
            <w:noWrap/>
            <w:vAlign w:val="center"/>
            <w:hideMark/>
          </w:tcPr>
          <w:p w14:paraId="7A77716E" w14:textId="56A723E6"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0.515</w:t>
            </w:r>
          </w:p>
        </w:tc>
        <w:tc>
          <w:tcPr>
            <w:tcW w:w="271" w:type="dxa"/>
            <w:tcBorders>
              <w:top w:val="nil"/>
              <w:left w:val="nil"/>
              <w:bottom w:val="nil"/>
              <w:right w:val="nil"/>
            </w:tcBorders>
            <w:shd w:val="clear" w:color="auto" w:fill="auto"/>
            <w:noWrap/>
            <w:vAlign w:val="center"/>
            <w:hideMark/>
          </w:tcPr>
          <w:p w14:paraId="5347815F"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793AEF74" w14:textId="0C301EB2"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(2,20)</w:t>
            </w:r>
          </w:p>
        </w:tc>
        <w:tc>
          <w:tcPr>
            <w:tcW w:w="774" w:type="dxa"/>
            <w:tcBorders>
              <w:top w:val="nil"/>
              <w:left w:val="nil"/>
              <w:bottom w:val="nil"/>
              <w:right w:val="nil"/>
            </w:tcBorders>
            <w:shd w:val="clear" w:color="auto" w:fill="auto"/>
            <w:noWrap/>
            <w:vAlign w:val="center"/>
            <w:hideMark/>
          </w:tcPr>
          <w:p w14:paraId="65011C17" w14:textId="4A1AA9EC"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41.70</w:t>
            </w:r>
          </w:p>
        </w:tc>
        <w:tc>
          <w:tcPr>
            <w:tcW w:w="930" w:type="dxa"/>
            <w:tcBorders>
              <w:top w:val="nil"/>
              <w:left w:val="nil"/>
              <w:bottom w:val="nil"/>
              <w:right w:val="nil"/>
            </w:tcBorders>
            <w:shd w:val="clear" w:color="auto" w:fill="auto"/>
            <w:noWrap/>
            <w:vAlign w:val="center"/>
            <w:hideMark/>
          </w:tcPr>
          <w:p w14:paraId="769F8E5F" w14:textId="1A283232"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6225C18E" w14:textId="76FAE012"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0.807</w:t>
            </w:r>
          </w:p>
        </w:tc>
        <w:tc>
          <w:tcPr>
            <w:tcW w:w="271" w:type="dxa"/>
            <w:tcBorders>
              <w:top w:val="nil"/>
              <w:left w:val="nil"/>
              <w:bottom w:val="nil"/>
              <w:right w:val="nil"/>
            </w:tcBorders>
            <w:shd w:val="clear" w:color="auto" w:fill="auto"/>
            <w:noWrap/>
            <w:vAlign w:val="center"/>
            <w:hideMark/>
          </w:tcPr>
          <w:p w14:paraId="5D7F45EB"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76AA2055" w14:textId="07F60583"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(2,20)</w:t>
            </w:r>
          </w:p>
        </w:tc>
        <w:tc>
          <w:tcPr>
            <w:tcW w:w="672" w:type="dxa"/>
            <w:tcBorders>
              <w:top w:val="nil"/>
              <w:left w:val="nil"/>
              <w:bottom w:val="nil"/>
              <w:right w:val="nil"/>
            </w:tcBorders>
            <w:shd w:val="clear" w:color="auto" w:fill="auto"/>
            <w:noWrap/>
            <w:vAlign w:val="center"/>
            <w:hideMark/>
          </w:tcPr>
          <w:p w14:paraId="77A76685" w14:textId="621E6B20"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3.92</w:t>
            </w:r>
          </w:p>
        </w:tc>
        <w:tc>
          <w:tcPr>
            <w:tcW w:w="879" w:type="dxa"/>
            <w:tcBorders>
              <w:top w:val="nil"/>
              <w:left w:val="nil"/>
              <w:bottom w:val="nil"/>
              <w:right w:val="nil"/>
            </w:tcBorders>
            <w:shd w:val="clear" w:color="auto" w:fill="auto"/>
            <w:noWrap/>
            <w:vAlign w:val="center"/>
            <w:hideMark/>
          </w:tcPr>
          <w:p w14:paraId="6C14F014" w14:textId="678F853B"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b/>
                <w:bCs/>
                <w:color w:val="000000"/>
                <w:sz w:val="20"/>
                <w:szCs w:val="20"/>
              </w:rPr>
              <w:t>0.037</w:t>
            </w:r>
          </w:p>
        </w:tc>
        <w:tc>
          <w:tcPr>
            <w:tcW w:w="1124" w:type="dxa"/>
            <w:tcBorders>
              <w:top w:val="nil"/>
              <w:left w:val="nil"/>
              <w:bottom w:val="nil"/>
              <w:right w:val="nil"/>
            </w:tcBorders>
            <w:shd w:val="clear" w:color="auto" w:fill="auto"/>
            <w:noWrap/>
            <w:vAlign w:val="center"/>
            <w:hideMark/>
          </w:tcPr>
          <w:p w14:paraId="7A4B2187" w14:textId="2C77CE13"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0.282</w:t>
            </w:r>
          </w:p>
        </w:tc>
      </w:tr>
      <w:tr w:rsidR="00FD6775" w:rsidRPr="00F07DEB" w14:paraId="3AFEC259" w14:textId="77777777" w:rsidTr="00174B08">
        <w:trPr>
          <w:trHeight w:val="292"/>
        </w:trPr>
        <w:tc>
          <w:tcPr>
            <w:tcW w:w="1163" w:type="dxa"/>
            <w:tcBorders>
              <w:top w:val="nil"/>
              <w:left w:val="nil"/>
              <w:bottom w:val="nil"/>
              <w:right w:val="nil"/>
            </w:tcBorders>
            <w:shd w:val="clear" w:color="auto" w:fill="auto"/>
            <w:noWrap/>
            <w:vAlign w:val="center"/>
            <w:hideMark/>
          </w:tcPr>
          <w:p w14:paraId="004A5A61"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w:t>
            </w:r>
          </w:p>
        </w:tc>
        <w:tc>
          <w:tcPr>
            <w:tcW w:w="700" w:type="dxa"/>
            <w:tcBorders>
              <w:top w:val="nil"/>
              <w:left w:val="nil"/>
              <w:bottom w:val="nil"/>
              <w:right w:val="nil"/>
            </w:tcBorders>
            <w:shd w:val="clear" w:color="auto" w:fill="auto"/>
            <w:noWrap/>
            <w:vAlign w:val="center"/>
            <w:hideMark/>
          </w:tcPr>
          <w:p w14:paraId="3F79ECFE" w14:textId="50C67158"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908" w:type="dxa"/>
            <w:tcBorders>
              <w:top w:val="nil"/>
              <w:left w:val="nil"/>
              <w:bottom w:val="nil"/>
              <w:right w:val="nil"/>
            </w:tcBorders>
            <w:shd w:val="clear" w:color="auto" w:fill="auto"/>
            <w:noWrap/>
            <w:vAlign w:val="center"/>
            <w:hideMark/>
          </w:tcPr>
          <w:p w14:paraId="43859721" w14:textId="0FC51742"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18.67</w:t>
            </w:r>
          </w:p>
        </w:tc>
        <w:tc>
          <w:tcPr>
            <w:tcW w:w="893" w:type="dxa"/>
            <w:tcBorders>
              <w:top w:val="nil"/>
              <w:left w:val="nil"/>
              <w:bottom w:val="nil"/>
              <w:right w:val="nil"/>
            </w:tcBorders>
            <w:shd w:val="clear" w:color="auto" w:fill="auto"/>
            <w:noWrap/>
            <w:vAlign w:val="center"/>
            <w:hideMark/>
          </w:tcPr>
          <w:p w14:paraId="7703A075" w14:textId="5BB32413"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0.002</w:t>
            </w:r>
          </w:p>
        </w:tc>
        <w:tc>
          <w:tcPr>
            <w:tcW w:w="1124" w:type="dxa"/>
            <w:tcBorders>
              <w:top w:val="nil"/>
              <w:left w:val="nil"/>
              <w:bottom w:val="nil"/>
              <w:right w:val="nil"/>
            </w:tcBorders>
            <w:shd w:val="clear" w:color="auto" w:fill="auto"/>
            <w:noWrap/>
            <w:vAlign w:val="center"/>
            <w:hideMark/>
          </w:tcPr>
          <w:p w14:paraId="612F8FAE" w14:textId="6507F03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0.651</w:t>
            </w:r>
          </w:p>
        </w:tc>
        <w:tc>
          <w:tcPr>
            <w:tcW w:w="271" w:type="dxa"/>
            <w:tcBorders>
              <w:top w:val="nil"/>
              <w:left w:val="nil"/>
              <w:bottom w:val="nil"/>
              <w:right w:val="nil"/>
            </w:tcBorders>
            <w:shd w:val="clear" w:color="auto" w:fill="auto"/>
            <w:noWrap/>
            <w:vAlign w:val="center"/>
            <w:hideMark/>
          </w:tcPr>
          <w:p w14:paraId="78A7E4B1"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5BFD5C60" w14:textId="54C4B3C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(2,20)</w:t>
            </w:r>
          </w:p>
        </w:tc>
        <w:tc>
          <w:tcPr>
            <w:tcW w:w="774" w:type="dxa"/>
            <w:tcBorders>
              <w:top w:val="nil"/>
              <w:left w:val="nil"/>
              <w:bottom w:val="nil"/>
              <w:right w:val="nil"/>
            </w:tcBorders>
            <w:shd w:val="clear" w:color="auto" w:fill="auto"/>
            <w:noWrap/>
            <w:vAlign w:val="center"/>
            <w:hideMark/>
          </w:tcPr>
          <w:p w14:paraId="21CDB54E" w14:textId="2683450E"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350.08</w:t>
            </w:r>
          </w:p>
        </w:tc>
        <w:tc>
          <w:tcPr>
            <w:tcW w:w="930" w:type="dxa"/>
            <w:tcBorders>
              <w:top w:val="nil"/>
              <w:left w:val="nil"/>
              <w:bottom w:val="nil"/>
              <w:right w:val="nil"/>
            </w:tcBorders>
            <w:shd w:val="clear" w:color="auto" w:fill="auto"/>
            <w:noWrap/>
            <w:vAlign w:val="center"/>
            <w:hideMark/>
          </w:tcPr>
          <w:p w14:paraId="6BB1306C" w14:textId="4678D034"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nil"/>
              <w:right w:val="nil"/>
            </w:tcBorders>
            <w:shd w:val="clear" w:color="auto" w:fill="auto"/>
            <w:noWrap/>
            <w:vAlign w:val="center"/>
            <w:hideMark/>
          </w:tcPr>
          <w:p w14:paraId="079B9D31" w14:textId="3AD89FAC"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0.972</w:t>
            </w:r>
          </w:p>
        </w:tc>
        <w:tc>
          <w:tcPr>
            <w:tcW w:w="271" w:type="dxa"/>
            <w:tcBorders>
              <w:top w:val="nil"/>
              <w:left w:val="nil"/>
              <w:bottom w:val="nil"/>
              <w:right w:val="nil"/>
            </w:tcBorders>
            <w:shd w:val="clear" w:color="auto" w:fill="auto"/>
            <w:noWrap/>
            <w:vAlign w:val="center"/>
            <w:hideMark/>
          </w:tcPr>
          <w:p w14:paraId="77EA2150"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p>
        </w:tc>
        <w:tc>
          <w:tcPr>
            <w:tcW w:w="1300" w:type="dxa"/>
            <w:tcBorders>
              <w:top w:val="nil"/>
              <w:left w:val="nil"/>
              <w:bottom w:val="nil"/>
              <w:right w:val="nil"/>
            </w:tcBorders>
            <w:shd w:val="clear" w:color="auto" w:fill="auto"/>
            <w:noWrap/>
            <w:vAlign w:val="center"/>
            <w:hideMark/>
          </w:tcPr>
          <w:p w14:paraId="6C0CE2F6" w14:textId="751D070C"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(2,20)</w:t>
            </w:r>
          </w:p>
        </w:tc>
        <w:tc>
          <w:tcPr>
            <w:tcW w:w="672" w:type="dxa"/>
            <w:tcBorders>
              <w:top w:val="nil"/>
              <w:left w:val="nil"/>
              <w:bottom w:val="nil"/>
              <w:right w:val="nil"/>
            </w:tcBorders>
            <w:shd w:val="clear" w:color="auto" w:fill="auto"/>
            <w:noWrap/>
            <w:vAlign w:val="center"/>
            <w:hideMark/>
          </w:tcPr>
          <w:p w14:paraId="456BDC98" w14:textId="3BA08DFE"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3.63</w:t>
            </w:r>
          </w:p>
        </w:tc>
        <w:tc>
          <w:tcPr>
            <w:tcW w:w="879" w:type="dxa"/>
            <w:tcBorders>
              <w:top w:val="nil"/>
              <w:left w:val="nil"/>
              <w:bottom w:val="nil"/>
              <w:right w:val="nil"/>
            </w:tcBorders>
            <w:shd w:val="clear" w:color="auto" w:fill="auto"/>
            <w:noWrap/>
            <w:vAlign w:val="center"/>
            <w:hideMark/>
          </w:tcPr>
          <w:p w14:paraId="55FA9C58" w14:textId="16F566E6"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0.045</w:t>
            </w:r>
          </w:p>
        </w:tc>
        <w:tc>
          <w:tcPr>
            <w:tcW w:w="1124" w:type="dxa"/>
            <w:tcBorders>
              <w:top w:val="nil"/>
              <w:left w:val="nil"/>
              <w:bottom w:val="nil"/>
              <w:right w:val="nil"/>
            </w:tcBorders>
            <w:shd w:val="clear" w:color="auto" w:fill="auto"/>
            <w:noWrap/>
            <w:vAlign w:val="center"/>
            <w:hideMark/>
          </w:tcPr>
          <w:p w14:paraId="0A4CAFBE" w14:textId="4CA9CA3F"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0.266</w:t>
            </w:r>
          </w:p>
        </w:tc>
      </w:tr>
      <w:tr w:rsidR="00FD6775" w:rsidRPr="00F07DEB" w14:paraId="6E500CE7" w14:textId="77777777" w:rsidTr="00174B08">
        <w:trPr>
          <w:trHeight w:val="292"/>
        </w:trPr>
        <w:tc>
          <w:tcPr>
            <w:tcW w:w="1163" w:type="dxa"/>
            <w:tcBorders>
              <w:top w:val="nil"/>
              <w:left w:val="nil"/>
              <w:bottom w:val="single" w:sz="8" w:space="0" w:color="auto"/>
              <w:right w:val="nil"/>
            </w:tcBorders>
            <w:shd w:val="clear" w:color="auto" w:fill="auto"/>
            <w:noWrap/>
            <w:vAlign w:val="center"/>
            <w:hideMark/>
          </w:tcPr>
          <w:p w14:paraId="5A729E42" w14:textId="7777777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Zn</w:t>
            </w:r>
          </w:p>
        </w:tc>
        <w:tc>
          <w:tcPr>
            <w:tcW w:w="700" w:type="dxa"/>
            <w:tcBorders>
              <w:top w:val="nil"/>
              <w:left w:val="nil"/>
              <w:bottom w:val="single" w:sz="8" w:space="0" w:color="auto"/>
              <w:right w:val="nil"/>
            </w:tcBorders>
            <w:shd w:val="clear" w:color="auto" w:fill="auto"/>
            <w:noWrap/>
            <w:vAlign w:val="center"/>
            <w:hideMark/>
          </w:tcPr>
          <w:p w14:paraId="7A2E2037" w14:textId="00CC42F9"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(1,10)</w:t>
            </w:r>
          </w:p>
        </w:tc>
        <w:tc>
          <w:tcPr>
            <w:tcW w:w="908" w:type="dxa"/>
            <w:tcBorders>
              <w:top w:val="nil"/>
              <w:left w:val="nil"/>
              <w:bottom w:val="single" w:sz="8" w:space="0" w:color="auto"/>
              <w:right w:val="nil"/>
            </w:tcBorders>
            <w:shd w:val="clear" w:color="auto" w:fill="auto"/>
            <w:noWrap/>
            <w:vAlign w:val="center"/>
            <w:hideMark/>
          </w:tcPr>
          <w:p w14:paraId="5696E0CE" w14:textId="141B492C"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2.48</w:t>
            </w:r>
          </w:p>
        </w:tc>
        <w:tc>
          <w:tcPr>
            <w:tcW w:w="893" w:type="dxa"/>
            <w:tcBorders>
              <w:top w:val="nil"/>
              <w:left w:val="nil"/>
              <w:bottom w:val="single" w:sz="8" w:space="0" w:color="auto"/>
              <w:right w:val="nil"/>
            </w:tcBorders>
            <w:shd w:val="clear" w:color="auto" w:fill="auto"/>
            <w:noWrap/>
            <w:vAlign w:val="center"/>
            <w:hideMark/>
          </w:tcPr>
          <w:p w14:paraId="753B1E5E" w14:textId="359C5922"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0.146</w:t>
            </w:r>
          </w:p>
        </w:tc>
        <w:tc>
          <w:tcPr>
            <w:tcW w:w="1124" w:type="dxa"/>
            <w:tcBorders>
              <w:top w:val="nil"/>
              <w:left w:val="nil"/>
              <w:bottom w:val="single" w:sz="8" w:space="0" w:color="auto"/>
              <w:right w:val="nil"/>
            </w:tcBorders>
            <w:shd w:val="clear" w:color="auto" w:fill="auto"/>
            <w:noWrap/>
            <w:vAlign w:val="center"/>
            <w:hideMark/>
          </w:tcPr>
          <w:p w14:paraId="7808ECB0" w14:textId="0461127B"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0.199</w:t>
            </w:r>
          </w:p>
        </w:tc>
        <w:tc>
          <w:tcPr>
            <w:tcW w:w="271" w:type="dxa"/>
            <w:tcBorders>
              <w:top w:val="nil"/>
              <w:left w:val="nil"/>
              <w:bottom w:val="single" w:sz="8" w:space="0" w:color="auto"/>
              <w:right w:val="nil"/>
            </w:tcBorders>
            <w:shd w:val="clear" w:color="auto" w:fill="auto"/>
            <w:noWrap/>
            <w:vAlign w:val="center"/>
            <w:hideMark/>
          </w:tcPr>
          <w:p w14:paraId="096D158D" w14:textId="1B0EA8B7"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rPr>
              <w:t> </w:t>
            </w:r>
          </w:p>
        </w:tc>
        <w:tc>
          <w:tcPr>
            <w:tcW w:w="1300" w:type="dxa"/>
            <w:tcBorders>
              <w:top w:val="nil"/>
              <w:left w:val="nil"/>
              <w:bottom w:val="single" w:sz="8" w:space="0" w:color="auto"/>
              <w:right w:val="nil"/>
            </w:tcBorders>
            <w:shd w:val="clear" w:color="auto" w:fill="auto"/>
            <w:noWrap/>
            <w:vAlign w:val="center"/>
            <w:hideMark/>
          </w:tcPr>
          <w:p w14:paraId="38E06E35" w14:textId="5863F718"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(1.26,12.58)</w:t>
            </w:r>
          </w:p>
        </w:tc>
        <w:tc>
          <w:tcPr>
            <w:tcW w:w="774" w:type="dxa"/>
            <w:tcBorders>
              <w:top w:val="nil"/>
              <w:left w:val="nil"/>
              <w:bottom w:val="single" w:sz="8" w:space="0" w:color="auto"/>
              <w:right w:val="nil"/>
            </w:tcBorders>
            <w:shd w:val="clear" w:color="auto" w:fill="auto"/>
            <w:noWrap/>
            <w:vAlign w:val="center"/>
            <w:hideMark/>
          </w:tcPr>
          <w:p w14:paraId="14F0B2A2" w14:textId="5F4CA832"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151.28</w:t>
            </w:r>
          </w:p>
        </w:tc>
        <w:tc>
          <w:tcPr>
            <w:tcW w:w="930" w:type="dxa"/>
            <w:tcBorders>
              <w:top w:val="nil"/>
              <w:left w:val="nil"/>
              <w:bottom w:val="single" w:sz="8" w:space="0" w:color="auto"/>
              <w:right w:val="nil"/>
            </w:tcBorders>
            <w:shd w:val="clear" w:color="auto" w:fill="auto"/>
            <w:noWrap/>
            <w:vAlign w:val="center"/>
            <w:hideMark/>
          </w:tcPr>
          <w:p w14:paraId="7101C059" w14:textId="3BB5A125" w:rsidR="00FD6775" w:rsidRPr="00F07DEB" w:rsidRDefault="00FD6775" w:rsidP="00FD6775">
            <w:pPr>
              <w:spacing w:after="0" w:line="240" w:lineRule="auto"/>
              <w:rPr>
                <w:rFonts w:ascii="Times New Roman" w:eastAsia="Times New Roman" w:hAnsi="Times New Roman" w:cs="Times New Roman"/>
                <w:b/>
                <w:bCs/>
                <w:color w:val="000000"/>
                <w:sz w:val="20"/>
                <w:szCs w:val="20"/>
                <w:lang w:eastAsia="en-US"/>
              </w:rPr>
            </w:pPr>
            <w:r w:rsidRPr="00F07DEB">
              <w:rPr>
                <w:rFonts w:ascii="Times New Roman" w:hAnsi="Times New Roman" w:cs="Times New Roman"/>
                <w:b/>
                <w:bCs/>
                <w:color w:val="000000"/>
                <w:sz w:val="20"/>
                <w:szCs w:val="20"/>
              </w:rPr>
              <w:t>&lt; 0.001</w:t>
            </w:r>
          </w:p>
        </w:tc>
        <w:tc>
          <w:tcPr>
            <w:tcW w:w="1124" w:type="dxa"/>
            <w:tcBorders>
              <w:top w:val="nil"/>
              <w:left w:val="nil"/>
              <w:bottom w:val="single" w:sz="8" w:space="0" w:color="auto"/>
              <w:right w:val="nil"/>
            </w:tcBorders>
            <w:shd w:val="clear" w:color="auto" w:fill="auto"/>
            <w:noWrap/>
            <w:vAlign w:val="center"/>
            <w:hideMark/>
          </w:tcPr>
          <w:p w14:paraId="6B3D0BD1" w14:textId="44175782"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0.938</w:t>
            </w:r>
          </w:p>
        </w:tc>
        <w:tc>
          <w:tcPr>
            <w:tcW w:w="271" w:type="dxa"/>
            <w:tcBorders>
              <w:top w:val="nil"/>
              <w:left w:val="nil"/>
              <w:bottom w:val="single" w:sz="8" w:space="0" w:color="auto"/>
              <w:right w:val="nil"/>
            </w:tcBorders>
            <w:shd w:val="clear" w:color="auto" w:fill="auto"/>
            <w:noWrap/>
            <w:vAlign w:val="center"/>
            <w:hideMark/>
          </w:tcPr>
          <w:p w14:paraId="1FFB49F0" w14:textId="4E84FED3"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rPr>
              <w:t> </w:t>
            </w:r>
          </w:p>
        </w:tc>
        <w:tc>
          <w:tcPr>
            <w:tcW w:w="1300" w:type="dxa"/>
            <w:tcBorders>
              <w:top w:val="nil"/>
              <w:left w:val="nil"/>
              <w:bottom w:val="single" w:sz="8" w:space="0" w:color="auto"/>
              <w:right w:val="nil"/>
            </w:tcBorders>
            <w:shd w:val="clear" w:color="auto" w:fill="auto"/>
            <w:noWrap/>
            <w:vAlign w:val="center"/>
            <w:hideMark/>
          </w:tcPr>
          <w:p w14:paraId="06503D27" w14:textId="6F5013AE"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(1.26,12.58)</w:t>
            </w:r>
          </w:p>
        </w:tc>
        <w:tc>
          <w:tcPr>
            <w:tcW w:w="672" w:type="dxa"/>
            <w:tcBorders>
              <w:top w:val="nil"/>
              <w:left w:val="nil"/>
              <w:bottom w:val="single" w:sz="8" w:space="0" w:color="auto"/>
              <w:right w:val="nil"/>
            </w:tcBorders>
            <w:shd w:val="clear" w:color="auto" w:fill="auto"/>
            <w:noWrap/>
            <w:vAlign w:val="center"/>
            <w:hideMark/>
          </w:tcPr>
          <w:p w14:paraId="4F46C726" w14:textId="73D8DF57" w:rsidR="00FD6775" w:rsidRPr="00F07DEB" w:rsidRDefault="00FD6775" w:rsidP="00FD6775">
            <w:pPr>
              <w:spacing w:after="0" w:line="240" w:lineRule="auto"/>
              <w:rPr>
                <w:rFonts w:ascii="Times New Roman" w:eastAsia="Times New Roman" w:hAnsi="Times New Roman" w:cs="Times New Roman"/>
                <w:color w:val="010205"/>
                <w:sz w:val="20"/>
                <w:szCs w:val="20"/>
                <w:lang w:eastAsia="en-US"/>
              </w:rPr>
            </w:pPr>
            <w:r w:rsidRPr="00F07DEB">
              <w:rPr>
                <w:rFonts w:ascii="Times New Roman" w:hAnsi="Times New Roman" w:cs="Times New Roman"/>
                <w:color w:val="010205"/>
                <w:sz w:val="20"/>
                <w:szCs w:val="20"/>
              </w:rPr>
              <w:t>5.10</w:t>
            </w:r>
          </w:p>
        </w:tc>
        <w:tc>
          <w:tcPr>
            <w:tcW w:w="879" w:type="dxa"/>
            <w:tcBorders>
              <w:top w:val="nil"/>
              <w:left w:val="nil"/>
              <w:bottom w:val="single" w:sz="8" w:space="0" w:color="auto"/>
              <w:right w:val="nil"/>
            </w:tcBorders>
            <w:shd w:val="clear" w:color="auto" w:fill="auto"/>
            <w:noWrap/>
            <w:vAlign w:val="center"/>
            <w:hideMark/>
          </w:tcPr>
          <w:p w14:paraId="6952EFAB" w14:textId="43F2722C"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b/>
                <w:bCs/>
                <w:color w:val="000000"/>
                <w:sz w:val="20"/>
                <w:szCs w:val="20"/>
              </w:rPr>
              <w:t>0.036</w:t>
            </w:r>
          </w:p>
        </w:tc>
        <w:tc>
          <w:tcPr>
            <w:tcW w:w="1124" w:type="dxa"/>
            <w:tcBorders>
              <w:top w:val="nil"/>
              <w:left w:val="nil"/>
              <w:bottom w:val="single" w:sz="8" w:space="0" w:color="auto"/>
              <w:right w:val="nil"/>
            </w:tcBorders>
            <w:shd w:val="clear" w:color="auto" w:fill="auto"/>
            <w:noWrap/>
            <w:vAlign w:val="center"/>
            <w:hideMark/>
          </w:tcPr>
          <w:p w14:paraId="2DC15E6B" w14:textId="36CD7EC0" w:rsidR="00FD6775" w:rsidRPr="00F07DEB" w:rsidRDefault="00FD6775" w:rsidP="00FD6775">
            <w:pPr>
              <w:spacing w:after="0"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color w:val="000000"/>
                <w:sz w:val="20"/>
                <w:szCs w:val="20"/>
              </w:rPr>
              <w:t>0.338</w:t>
            </w:r>
          </w:p>
        </w:tc>
      </w:tr>
    </w:tbl>
    <w:p w14:paraId="5A9911DC" w14:textId="77777777" w:rsidR="004617CB" w:rsidRPr="00F07DEB" w:rsidRDefault="004617CB" w:rsidP="004617CB">
      <w:pPr>
        <w:rPr>
          <w:rFonts w:ascii="Times New Roman" w:hAnsi="Times New Roman" w:cs="Times New Roman"/>
          <w:sz w:val="20"/>
          <w:szCs w:val="20"/>
        </w:rPr>
      </w:pPr>
      <w:r w:rsidRPr="00F07DEB">
        <w:rPr>
          <w:rFonts w:ascii="Times New Roman" w:hAnsi="Times New Roman" w:cs="Times New Roman"/>
          <w:noProof/>
          <w:sz w:val="20"/>
          <w:szCs w:val="20"/>
        </w:rPr>
        <w:t>Significant effects at alpha = 0.05 are bolded.</w:t>
      </w:r>
    </w:p>
    <w:p w14:paraId="1485E140" w14:textId="77777777" w:rsidR="006376FD" w:rsidRPr="00F07DEB" w:rsidRDefault="006376FD" w:rsidP="006B0648">
      <w:pPr>
        <w:rPr>
          <w:rFonts w:ascii="Times New Roman" w:hAnsi="Times New Roman" w:cs="Times New Roman"/>
        </w:rPr>
        <w:sectPr w:rsidR="006376FD" w:rsidRPr="00F07DEB" w:rsidSect="00267E65">
          <w:pgSz w:w="15840" w:h="12240" w:orient="landscape"/>
          <w:pgMar w:top="1440" w:right="1440" w:bottom="1440" w:left="1440" w:header="720" w:footer="720" w:gutter="0"/>
          <w:cols w:space="720"/>
          <w:docGrid w:linePitch="360"/>
        </w:sectPr>
      </w:pPr>
    </w:p>
    <w:p w14:paraId="23464040" w14:textId="5903F976" w:rsidR="00AA731D" w:rsidRPr="00F07DEB" w:rsidRDefault="00AA731D" w:rsidP="008834FB">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lastRenderedPageBreak/>
        <w:t xml:space="preserve">In contrast with the previously discussed metals, there were </w:t>
      </w:r>
      <w:r w:rsidR="00EA7AF8">
        <w:rPr>
          <w:rFonts w:ascii="Times New Roman" w:hAnsi="Times New Roman" w:cs="Times New Roman"/>
          <w:sz w:val="24"/>
          <w:szCs w:val="24"/>
        </w:rPr>
        <w:t>four</w:t>
      </w:r>
      <w:r w:rsidRPr="00F07DEB">
        <w:rPr>
          <w:rFonts w:ascii="Times New Roman" w:hAnsi="Times New Roman" w:cs="Times New Roman"/>
          <w:sz w:val="24"/>
          <w:szCs w:val="24"/>
        </w:rPr>
        <w:t xml:space="preserve"> chemical species measured in the plant biomass that were elevated</w:t>
      </w:r>
      <w:r w:rsidR="00E711CD" w:rsidRPr="00F07DEB">
        <w:rPr>
          <w:rFonts w:ascii="Times New Roman" w:hAnsi="Times New Roman" w:cs="Times New Roman"/>
          <w:sz w:val="24"/>
          <w:szCs w:val="24"/>
        </w:rPr>
        <w:t xml:space="preserve"> relative to irrigation criteria and were present in </w:t>
      </w:r>
      <w:r w:rsidRPr="00F07DEB">
        <w:rPr>
          <w:rFonts w:ascii="Times New Roman" w:hAnsi="Times New Roman" w:cs="Times New Roman"/>
          <w:sz w:val="24"/>
          <w:szCs w:val="24"/>
        </w:rPr>
        <w:t>significantly different concentrations in the irrigation waters</w:t>
      </w:r>
      <w:r w:rsidR="002B5978">
        <w:rPr>
          <w:rFonts w:ascii="Times New Roman" w:hAnsi="Times New Roman" w:cs="Times New Roman"/>
          <w:sz w:val="24"/>
          <w:szCs w:val="24"/>
        </w:rPr>
        <w:t>: Ca, Mg, Na, and S</w:t>
      </w:r>
      <w:r w:rsidRPr="00F07DEB">
        <w:rPr>
          <w:rFonts w:ascii="Times New Roman" w:hAnsi="Times New Roman" w:cs="Times New Roman"/>
          <w:sz w:val="24"/>
          <w:szCs w:val="24"/>
        </w:rPr>
        <w:t xml:space="preserve">. Furthermore, mass loadings of Ca, Cd, Mg, Na, and S predominately originated in the irrigation waters rather than the fertilizer. The </w:t>
      </w:r>
      <w:r w:rsidR="006668DE" w:rsidRPr="00F07DEB">
        <w:rPr>
          <w:rFonts w:ascii="Times New Roman" w:hAnsi="Times New Roman" w:cs="Times New Roman"/>
          <w:sz w:val="24"/>
          <w:szCs w:val="24"/>
        </w:rPr>
        <w:t xml:space="preserve">means, standard deviations, and mixed ANOVA results for each of these metals are presented in the following pages. </w:t>
      </w:r>
      <w:r w:rsidR="009678A2">
        <w:rPr>
          <w:rFonts w:ascii="Times New Roman" w:hAnsi="Times New Roman" w:cs="Times New Roman"/>
          <w:sz w:val="24"/>
          <w:szCs w:val="24"/>
        </w:rPr>
        <w:t>Ca</w:t>
      </w:r>
      <w:r w:rsidR="006668DE" w:rsidRPr="00F07DEB">
        <w:rPr>
          <w:rFonts w:ascii="Times New Roman" w:hAnsi="Times New Roman" w:cs="Times New Roman"/>
          <w:sz w:val="24"/>
          <w:szCs w:val="24"/>
        </w:rPr>
        <w:t xml:space="preserve"> concentrations, found in </w:t>
      </w:r>
      <w:r w:rsidR="005B4FE1" w:rsidRPr="008834FB">
        <w:rPr>
          <w:rFonts w:ascii="Times New Roman" w:hAnsi="Times New Roman" w:cs="Times New Roman"/>
          <w:sz w:val="24"/>
          <w:szCs w:val="24"/>
        </w:rPr>
        <w:fldChar w:fldCharType="begin"/>
      </w:r>
      <w:r w:rsidR="005B4FE1" w:rsidRPr="008834FB">
        <w:rPr>
          <w:rFonts w:ascii="Times New Roman" w:hAnsi="Times New Roman" w:cs="Times New Roman"/>
          <w:sz w:val="24"/>
          <w:szCs w:val="24"/>
        </w:rPr>
        <w:instrText xml:space="preserve"> REF _Ref56249033 \h  \* MERGEFORMAT </w:instrText>
      </w:r>
      <w:r w:rsidR="005B4FE1" w:rsidRPr="008834FB">
        <w:rPr>
          <w:rFonts w:ascii="Times New Roman" w:hAnsi="Times New Roman" w:cs="Times New Roman"/>
          <w:sz w:val="24"/>
          <w:szCs w:val="24"/>
        </w:rPr>
      </w:r>
      <w:r w:rsidR="005B4FE1" w:rsidRPr="008834FB">
        <w:rPr>
          <w:rFonts w:ascii="Times New Roman" w:hAnsi="Times New Roman" w:cs="Times New Roman"/>
          <w:sz w:val="24"/>
          <w:szCs w:val="24"/>
        </w:rPr>
        <w:fldChar w:fldCharType="separate"/>
      </w:r>
      <w:r w:rsidR="00E179CA" w:rsidRPr="008834FB">
        <w:rPr>
          <w:rFonts w:ascii="Times New Roman" w:hAnsi="Times New Roman" w:cs="Times New Roman"/>
          <w:noProof/>
          <w:sz w:val="24"/>
          <w:szCs w:val="24"/>
        </w:rPr>
        <w:t>Table</w:t>
      </w:r>
      <w:r w:rsidR="00E179CA" w:rsidRPr="008834FB">
        <w:rPr>
          <w:rFonts w:ascii="Times New Roman" w:hAnsi="Times New Roman" w:cs="Times New Roman"/>
          <w:sz w:val="24"/>
          <w:szCs w:val="24"/>
        </w:rPr>
        <w:t xml:space="preserve"> </w:t>
      </w:r>
      <w:r w:rsidR="00E179CA" w:rsidRPr="008834FB">
        <w:rPr>
          <w:rFonts w:ascii="Times New Roman" w:hAnsi="Times New Roman" w:cs="Times New Roman"/>
          <w:noProof/>
          <w:sz w:val="24"/>
          <w:szCs w:val="24"/>
        </w:rPr>
        <w:t>19</w:t>
      </w:r>
      <w:r w:rsidR="005B4FE1" w:rsidRPr="008834FB">
        <w:rPr>
          <w:rFonts w:ascii="Times New Roman" w:hAnsi="Times New Roman" w:cs="Times New Roman"/>
          <w:sz w:val="24"/>
          <w:szCs w:val="24"/>
        </w:rPr>
        <w:fldChar w:fldCharType="end"/>
      </w:r>
      <w:r w:rsidR="005B4FE1" w:rsidRPr="008834FB">
        <w:rPr>
          <w:rFonts w:ascii="Times New Roman" w:hAnsi="Times New Roman" w:cs="Times New Roman"/>
          <w:sz w:val="24"/>
          <w:szCs w:val="24"/>
        </w:rPr>
        <w:t xml:space="preserve"> </w:t>
      </w:r>
      <w:r w:rsidR="005B4FE1" w:rsidRPr="00641A81">
        <w:rPr>
          <w:rFonts w:ascii="Times New Roman" w:hAnsi="Times New Roman" w:cs="Times New Roman"/>
          <w:sz w:val="24"/>
          <w:szCs w:val="24"/>
        </w:rPr>
        <w:t>a</w:t>
      </w:r>
      <w:r w:rsidR="005B4FE1" w:rsidRPr="00F07DEB">
        <w:rPr>
          <w:rFonts w:ascii="Times New Roman" w:hAnsi="Times New Roman" w:cs="Times New Roman"/>
          <w:sz w:val="24"/>
          <w:szCs w:val="24"/>
        </w:rPr>
        <w:t xml:space="preserve">nd </w:t>
      </w:r>
      <w:r w:rsidR="005B4FE1" w:rsidRPr="00F07DEB">
        <w:rPr>
          <w:rFonts w:ascii="Times New Roman" w:hAnsi="Times New Roman" w:cs="Times New Roman"/>
          <w:sz w:val="24"/>
          <w:szCs w:val="24"/>
        </w:rPr>
        <w:fldChar w:fldCharType="begin"/>
      </w:r>
      <w:r w:rsidR="005B4FE1" w:rsidRPr="00F07DEB">
        <w:rPr>
          <w:rFonts w:ascii="Times New Roman" w:hAnsi="Times New Roman" w:cs="Times New Roman"/>
          <w:sz w:val="24"/>
          <w:szCs w:val="24"/>
        </w:rPr>
        <w:instrText xml:space="preserve"> REF _Ref56249041 \h  \* MERGEFORMAT </w:instrText>
      </w:r>
      <w:r w:rsidR="005B4FE1" w:rsidRPr="00F07DEB">
        <w:rPr>
          <w:rFonts w:ascii="Times New Roman" w:hAnsi="Times New Roman" w:cs="Times New Roman"/>
          <w:sz w:val="24"/>
          <w:szCs w:val="24"/>
        </w:rPr>
      </w:r>
      <w:r w:rsidR="005B4FE1"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35</w:t>
      </w:r>
      <w:r w:rsidR="005B4FE1" w:rsidRPr="00F07DEB">
        <w:rPr>
          <w:rFonts w:ascii="Times New Roman" w:hAnsi="Times New Roman" w:cs="Times New Roman"/>
          <w:sz w:val="24"/>
          <w:szCs w:val="24"/>
        </w:rPr>
        <w:fldChar w:fldCharType="end"/>
      </w:r>
      <w:r w:rsidR="006668DE" w:rsidRPr="00F07DEB">
        <w:rPr>
          <w:rFonts w:ascii="Times New Roman" w:hAnsi="Times New Roman" w:cs="Times New Roman"/>
          <w:sz w:val="24"/>
          <w:szCs w:val="24"/>
        </w:rPr>
        <w:t xml:space="preserve">, </w:t>
      </w:r>
      <w:r w:rsidR="004617CB" w:rsidRPr="00F07DEB">
        <w:rPr>
          <w:rFonts w:ascii="Times New Roman" w:eastAsia="Times New Roman" w:hAnsi="Times New Roman" w:cs="Times New Roman"/>
          <w:color w:val="000000"/>
          <w:sz w:val="24"/>
          <w:szCs w:val="24"/>
          <w:lang w:eastAsia="en-US"/>
        </w:rPr>
        <w:t>were not significantly different in mine water- and groundwater-irrigated Bermuda grass plants</w:t>
      </w:r>
      <w:r w:rsidR="00421B82">
        <w:rPr>
          <w:rFonts w:ascii="Times New Roman" w:eastAsia="Times New Roman" w:hAnsi="Times New Roman" w:cs="Times New Roman"/>
          <w:color w:val="000000"/>
          <w:sz w:val="24"/>
          <w:szCs w:val="24"/>
          <w:lang w:eastAsia="en-US"/>
        </w:rPr>
        <w:t xml:space="preserve"> </w:t>
      </w:r>
      <w:r w:rsidR="00421B82" w:rsidRPr="00F07DEB">
        <w:rPr>
          <w:rFonts w:ascii="Times New Roman" w:eastAsia="Times New Roman" w:hAnsi="Times New Roman" w:cs="Times New Roman"/>
          <w:color w:val="000000"/>
          <w:sz w:val="24"/>
          <w:szCs w:val="24"/>
          <w:lang w:eastAsia="en-US"/>
        </w:rPr>
        <w:t>(</w:t>
      </w:r>
      <w:r w:rsidR="00421B82" w:rsidRPr="00EC0629">
        <w:rPr>
          <w:rFonts w:ascii="Times New Roman" w:eastAsia="Times New Roman" w:hAnsi="Times New Roman" w:cs="Times New Roman"/>
          <w:i/>
          <w:color w:val="000000"/>
          <w:sz w:val="24"/>
          <w:szCs w:val="24"/>
          <w:lang w:eastAsia="en-US"/>
        </w:rPr>
        <w:t>F</w:t>
      </w:r>
      <w:r w:rsidR="00421B82" w:rsidRPr="00F07DEB">
        <w:rPr>
          <w:rFonts w:ascii="Times New Roman" w:eastAsia="Times New Roman" w:hAnsi="Times New Roman" w:cs="Times New Roman"/>
          <w:color w:val="000000"/>
          <w:sz w:val="24"/>
          <w:szCs w:val="24"/>
          <w:lang w:eastAsia="en-US"/>
        </w:rPr>
        <w:t>(</w:t>
      </w:r>
      <w:r w:rsidR="00421B82">
        <w:rPr>
          <w:rFonts w:ascii="Times New Roman" w:eastAsia="Times New Roman" w:hAnsi="Times New Roman" w:cs="Times New Roman"/>
          <w:color w:val="000000"/>
          <w:sz w:val="24"/>
          <w:szCs w:val="24"/>
          <w:lang w:eastAsia="en-US"/>
        </w:rPr>
        <w:t>1,10) = 0.75</w:t>
      </w:r>
      <w:r w:rsidR="00421B82" w:rsidRPr="00F07DEB">
        <w:rPr>
          <w:rFonts w:ascii="Times New Roman" w:eastAsia="Times New Roman" w:hAnsi="Times New Roman" w:cs="Times New Roman"/>
          <w:color w:val="000000"/>
          <w:sz w:val="24"/>
          <w:szCs w:val="24"/>
          <w:lang w:eastAsia="en-US"/>
        </w:rPr>
        <w:t xml:space="preserve">, </w:t>
      </w:r>
      <w:r w:rsidR="00421B82" w:rsidRPr="00385CDA">
        <w:rPr>
          <w:rFonts w:ascii="Times New Roman" w:eastAsia="Times New Roman" w:hAnsi="Times New Roman" w:cs="Times New Roman"/>
          <w:i/>
          <w:color w:val="000000"/>
          <w:sz w:val="24"/>
          <w:szCs w:val="24"/>
          <w:lang w:eastAsia="en-US"/>
        </w:rPr>
        <w:t>p</w:t>
      </w:r>
      <w:r w:rsidR="00421B82" w:rsidRPr="00F07DEB">
        <w:rPr>
          <w:rFonts w:ascii="Times New Roman" w:eastAsia="Times New Roman" w:hAnsi="Times New Roman" w:cs="Times New Roman"/>
          <w:color w:val="000000"/>
          <w:sz w:val="24"/>
          <w:szCs w:val="24"/>
          <w:lang w:eastAsia="en-US"/>
        </w:rPr>
        <w:t xml:space="preserve"> = </w:t>
      </w:r>
      <w:r w:rsidR="00421B82">
        <w:rPr>
          <w:rFonts w:ascii="Times New Roman" w:eastAsia="Times New Roman" w:hAnsi="Times New Roman" w:cs="Times New Roman"/>
          <w:color w:val="000000"/>
          <w:sz w:val="24"/>
          <w:szCs w:val="24"/>
          <w:lang w:eastAsia="en-US"/>
        </w:rPr>
        <w:t>0.406</w:t>
      </w:r>
      <w:r w:rsidR="00421B82" w:rsidRPr="00F07DEB">
        <w:rPr>
          <w:rFonts w:ascii="Times New Roman" w:eastAsia="Times New Roman" w:hAnsi="Times New Roman" w:cs="Times New Roman"/>
          <w:color w:val="000000"/>
          <w:sz w:val="24"/>
          <w:szCs w:val="24"/>
          <w:lang w:eastAsia="en-US"/>
        </w:rPr>
        <w:t>)</w:t>
      </w:r>
      <w:r w:rsidR="004617CB" w:rsidRPr="00F07DEB">
        <w:rPr>
          <w:rFonts w:ascii="Times New Roman" w:eastAsia="Times New Roman" w:hAnsi="Times New Roman" w:cs="Times New Roman"/>
          <w:color w:val="000000"/>
          <w:sz w:val="24"/>
          <w:szCs w:val="24"/>
          <w:lang w:eastAsia="en-US"/>
        </w:rPr>
        <w:t>, but</w:t>
      </w:r>
      <w:r w:rsidR="005B4FE1" w:rsidRPr="00F07DEB">
        <w:rPr>
          <w:rFonts w:ascii="Times New Roman" w:eastAsia="Times New Roman" w:hAnsi="Times New Roman" w:cs="Times New Roman"/>
          <w:color w:val="000000"/>
          <w:sz w:val="24"/>
          <w:szCs w:val="24"/>
          <w:lang w:eastAsia="en-US"/>
        </w:rPr>
        <w:t xml:space="preserve"> groundwater irrigation resulted in higher </w:t>
      </w:r>
      <w:r w:rsidR="009678A2">
        <w:rPr>
          <w:rFonts w:ascii="Times New Roman" w:eastAsia="Times New Roman" w:hAnsi="Times New Roman" w:cs="Times New Roman"/>
          <w:color w:val="000000"/>
          <w:sz w:val="24"/>
          <w:szCs w:val="24"/>
          <w:lang w:eastAsia="en-US"/>
        </w:rPr>
        <w:t>Ca</w:t>
      </w:r>
      <w:r w:rsidR="005B4FE1" w:rsidRPr="00F07DEB">
        <w:rPr>
          <w:rFonts w:ascii="Times New Roman" w:eastAsia="Times New Roman" w:hAnsi="Times New Roman" w:cs="Times New Roman"/>
          <w:color w:val="000000"/>
          <w:sz w:val="24"/>
          <w:szCs w:val="24"/>
          <w:lang w:eastAsia="en-US"/>
        </w:rPr>
        <w:t xml:space="preserve"> concentrations in sorghum grain and lower concentrations in corn roots and sorghum stalks than mine water irrigation</w:t>
      </w:r>
      <w:r w:rsidR="00421B82">
        <w:rPr>
          <w:rFonts w:ascii="Times New Roman" w:eastAsia="Times New Roman" w:hAnsi="Times New Roman" w:cs="Times New Roman"/>
          <w:color w:val="000000"/>
          <w:sz w:val="24"/>
          <w:szCs w:val="24"/>
          <w:lang w:eastAsia="en-US"/>
        </w:rPr>
        <w:t xml:space="preserve"> (Table 19)</w:t>
      </w:r>
      <w:r w:rsidR="004617CB" w:rsidRPr="00F07DEB">
        <w:rPr>
          <w:rFonts w:ascii="Times New Roman" w:eastAsia="Times New Roman" w:hAnsi="Times New Roman" w:cs="Times New Roman"/>
          <w:color w:val="000000"/>
          <w:sz w:val="24"/>
          <w:szCs w:val="24"/>
          <w:lang w:eastAsia="en-US"/>
        </w:rPr>
        <w:t xml:space="preserve">. </w:t>
      </w:r>
      <w:r w:rsidR="009678A2">
        <w:rPr>
          <w:rFonts w:ascii="Times New Roman" w:eastAsia="Times New Roman" w:hAnsi="Times New Roman" w:cs="Times New Roman"/>
          <w:color w:val="000000"/>
          <w:sz w:val="24"/>
          <w:szCs w:val="24"/>
          <w:lang w:eastAsia="en-US"/>
        </w:rPr>
        <w:t>Ca</w:t>
      </w:r>
      <w:r w:rsidR="007E7996" w:rsidRPr="00F07DEB">
        <w:rPr>
          <w:rFonts w:ascii="Times New Roman" w:eastAsia="Times New Roman" w:hAnsi="Times New Roman" w:cs="Times New Roman"/>
          <w:color w:val="000000"/>
          <w:sz w:val="24"/>
          <w:szCs w:val="24"/>
          <w:lang w:eastAsia="en-US"/>
        </w:rPr>
        <w:t xml:space="preserve"> concentrations were generally higher in the leaves and roots than in other portions of the plants</w:t>
      </w:r>
      <w:r w:rsidR="00421B82">
        <w:rPr>
          <w:rFonts w:ascii="Times New Roman" w:eastAsia="Times New Roman" w:hAnsi="Times New Roman" w:cs="Times New Roman"/>
          <w:color w:val="000000"/>
          <w:sz w:val="24"/>
          <w:szCs w:val="24"/>
          <w:lang w:eastAsia="en-US"/>
        </w:rPr>
        <w:t xml:space="preserve"> (Table 19)</w:t>
      </w:r>
      <w:r w:rsidR="009E2C22" w:rsidRPr="00F07DEB">
        <w:rPr>
          <w:rFonts w:ascii="Times New Roman" w:eastAsia="Times New Roman" w:hAnsi="Times New Roman" w:cs="Times New Roman"/>
          <w:color w:val="000000"/>
          <w:sz w:val="24"/>
          <w:szCs w:val="24"/>
          <w:lang w:eastAsia="en-US"/>
        </w:rPr>
        <w:t xml:space="preserve">; the common symptoms of </w:t>
      </w:r>
      <w:r w:rsidR="009678A2">
        <w:rPr>
          <w:rFonts w:ascii="Times New Roman" w:eastAsia="Times New Roman" w:hAnsi="Times New Roman" w:cs="Times New Roman"/>
          <w:color w:val="000000"/>
          <w:sz w:val="24"/>
          <w:szCs w:val="24"/>
          <w:lang w:eastAsia="en-US"/>
        </w:rPr>
        <w:t>Ca</w:t>
      </w:r>
      <w:r w:rsidR="009E2C22" w:rsidRPr="00F07DEB">
        <w:rPr>
          <w:rFonts w:ascii="Times New Roman" w:eastAsia="Times New Roman" w:hAnsi="Times New Roman" w:cs="Times New Roman"/>
          <w:color w:val="000000"/>
          <w:sz w:val="24"/>
          <w:szCs w:val="24"/>
          <w:lang w:eastAsia="en-US"/>
        </w:rPr>
        <w:t xml:space="preserve"> deficiency, namely dark green leaves, dry leaf tips, and brittle stems, were not observed in any plants </w:t>
      </w:r>
      <w:r w:rsidR="009E2C22" w:rsidRPr="00F07DEB">
        <w:rPr>
          <w:rFonts w:ascii="Times New Roman" w:eastAsia="Times New Roman" w:hAnsi="Times New Roman" w:cs="Times New Roman"/>
          <w:color w:val="000000"/>
          <w:sz w:val="24"/>
          <w:szCs w:val="24"/>
          <w:lang w:eastAsia="en-US"/>
        </w:rPr>
        <w:fldChar w:fldCharType="begin"/>
      </w:r>
      <w:r w:rsidR="006811C1" w:rsidRPr="00F07DEB">
        <w:rPr>
          <w:rFonts w:ascii="Times New Roman" w:eastAsia="Times New Roman" w:hAnsi="Times New Roman" w:cs="Times New Roman"/>
          <w:color w:val="000000"/>
          <w:sz w:val="24"/>
          <w:szCs w:val="24"/>
          <w:lang w:eastAsia="en-US"/>
        </w:rPr>
        <w:instrText xml:space="preserve"> ADDIN ZOTERO_ITEM CSL_CITATION {"citationID":"a1kskhr14nc","properties":{"formattedCitation":"(McCauley et al., 2011)","plainCitation":"(McCauley et al., 2011)","noteIndex":0},"citationItems":[{"id":825,"uris":["http://zotero.org/users/5446453/items/J6IRDEQA"],"uri":["http://zotero.org/users/5446453/items/J6IRDEQA"],"itemData":{"id":825,"type":"article","language":"en","publisher":"Montana State University Extension","source":"Zotero","title":"Functions and Deficiency and Toxicity Symptoms","author":[{"family":"McCauley","given":"Ann"},{"family":"Jones","given":"Clain"},{"family":"Jacobsen","given":"Jeff"}],"issued":{"date-parts":[["2011",6]]}}}],"schema":"https://github.com/citation-style-language/schema/raw/master/csl-citation.json"} </w:instrText>
      </w:r>
      <w:r w:rsidR="009E2C22" w:rsidRPr="00F07DEB">
        <w:rPr>
          <w:rFonts w:ascii="Times New Roman" w:eastAsia="Times New Roman" w:hAnsi="Times New Roman" w:cs="Times New Roman"/>
          <w:color w:val="000000"/>
          <w:sz w:val="24"/>
          <w:szCs w:val="24"/>
          <w:lang w:eastAsia="en-US"/>
        </w:rPr>
        <w:fldChar w:fldCharType="separate"/>
      </w:r>
      <w:r w:rsidR="00234033" w:rsidRPr="00234033">
        <w:rPr>
          <w:rFonts w:ascii="Times New Roman" w:hAnsi="Times New Roman" w:cs="Times New Roman"/>
          <w:sz w:val="24"/>
        </w:rPr>
        <w:t>(McCauley et al., 2011)</w:t>
      </w:r>
      <w:r w:rsidR="009E2C22" w:rsidRPr="00F07DEB">
        <w:rPr>
          <w:rFonts w:ascii="Times New Roman" w:eastAsia="Times New Roman" w:hAnsi="Times New Roman" w:cs="Times New Roman"/>
          <w:color w:val="000000"/>
          <w:sz w:val="24"/>
          <w:szCs w:val="24"/>
          <w:lang w:eastAsia="en-US"/>
        </w:rPr>
        <w:fldChar w:fldCharType="end"/>
      </w:r>
      <w:r w:rsidR="007E7996" w:rsidRPr="00F07DEB">
        <w:rPr>
          <w:rFonts w:ascii="Times New Roman" w:eastAsia="Times New Roman" w:hAnsi="Times New Roman" w:cs="Times New Roman"/>
          <w:color w:val="000000"/>
          <w:sz w:val="24"/>
          <w:szCs w:val="24"/>
          <w:lang w:eastAsia="en-US"/>
        </w:rPr>
        <w:t xml:space="preserve">. </w:t>
      </w:r>
      <w:r w:rsidR="009E2C22" w:rsidRPr="00F07DEB">
        <w:rPr>
          <w:rFonts w:ascii="Times New Roman" w:eastAsia="Times New Roman" w:hAnsi="Times New Roman" w:cs="Times New Roman"/>
          <w:color w:val="000000"/>
          <w:sz w:val="24"/>
          <w:szCs w:val="24"/>
          <w:lang w:eastAsia="en-US"/>
        </w:rPr>
        <w:t xml:space="preserve">Optimal </w:t>
      </w:r>
      <w:r w:rsidR="009678A2">
        <w:rPr>
          <w:rFonts w:ascii="Times New Roman" w:eastAsia="Times New Roman" w:hAnsi="Times New Roman" w:cs="Times New Roman"/>
          <w:color w:val="000000"/>
          <w:sz w:val="24"/>
          <w:szCs w:val="24"/>
          <w:lang w:eastAsia="en-US"/>
        </w:rPr>
        <w:t>Ca</w:t>
      </w:r>
      <w:r w:rsidR="009E2C22" w:rsidRPr="00F07DEB">
        <w:rPr>
          <w:rFonts w:ascii="Times New Roman" w:eastAsia="Times New Roman" w:hAnsi="Times New Roman" w:cs="Times New Roman"/>
          <w:color w:val="000000"/>
          <w:sz w:val="24"/>
          <w:szCs w:val="24"/>
          <w:lang w:eastAsia="en-US"/>
        </w:rPr>
        <w:t xml:space="preserve"> concentra</w:t>
      </w:r>
      <w:r w:rsidR="002504F4">
        <w:rPr>
          <w:rFonts w:ascii="Times New Roman" w:eastAsia="Times New Roman" w:hAnsi="Times New Roman" w:cs="Times New Roman"/>
          <w:color w:val="000000"/>
          <w:sz w:val="24"/>
          <w:szCs w:val="24"/>
          <w:lang w:eastAsia="en-US"/>
        </w:rPr>
        <w:t>tions range from 1 to 50 g/kg DW</w:t>
      </w:r>
      <w:r w:rsidR="009E2C22" w:rsidRPr="00F07DEB">
        <w:rPr>
          <w:rFonts w:ascii="Times New Roman" w:eastAsia="Times New Roman" w:hAnsi="Times New Roman" w:cs="Times New Roman"/>
          <w:color w:val="000000"/>
          <w:sz w:val="24"/>
          <w:szCs w:val="24"/>
          <w:lang w:eastAsia="en-US"/>
        </w:rPr>
        <w:t xml:space="preserve">, but corn, sorghum, and Bermuda grass are monocots and typically have low critical </w:t>
      </w:r>
      <w:r w:rsidR="009678A2">
        <w:rPr>
          <w:rFonts w:ascii="Times New Roman" w:eastAsia="Times New Roman" w:hAnsi="Times New Roman" w:cs="Times New Roman"/>
          <w:color w:val="000000"/>
          <w:sz w:val="24"/>
          <w:szCs w:val="24"/>
          <w:lang w:eastAsia="en-US"/>
        </w:rPr>
        <w:t>Ca</w:t>
      </w:r>
      <w:r w:rsidR="009E2C22" w:rsidRPr="00F07DEB">
        <w:rPr>
          <w:rFonts w:ascii="Times New Roman" w:eastAsia="Times New Roman" w:hAnsi="Times New Roman" w:cs="Times New Roman"/>
          <w:color w:val="000000"/>
          <w:sz w:val="24"/>
          <w:szCs w:val="24"/>
          <w:lang w:eastAsia="en-US"/>
        </w:rPr>
        <w:t xml:space="preserve"> deficiency concentrations </w:t>
      </w:r>
      <w:r w:rsidR="009E2C22" w:rsidRPr="00F07DEB">
        <w:rPr>
          <w:rFonts w:ascii="Times New Roman" w:eastAsia="Times New Roman" w:hAnsi="Times New Roman" w:cs="Times New Roman"/>
          <w:color w:val="000000"/>
          <w:sz w:val="24"/>
          <w:szCs w:val="24"/>
          <w:lang w:eastAsia="en-US"/>
        </w:rPr>
        <w:fldChar w:fldCharType="begin"/>
      </w:r>
      <w:r w:rsidR="006811C1" w:rsidRPr="00F07DEB">
        <w:rPr>
          <w:rFonts w:ascii="Times New Roman" w:eastAsia="Times New Roman" w:hAnsi="Times New Roman" w:cs="Times New Roman"/>
          <w:color w:val="000000"/>
          <w:sz w:val="24"/>
          <w:szCs w:val="24"/>
          <w:lang w:eastAsia="en-US"/>
        </w:rPr>
        <w:instrText xml:space="preserve"> ADDIN ZOTERO_ITEM CSL_CITATION {"citationID":"a1ngirg6i71","properties":{"formattedCitation":"(Hawkesford et al., 2012)","plainCitation":"(Hawkesford et al., 2012)","noteIndex":0},"citationItems":[{"id":856,"uris":["http://zotero.org/users/5446453/items/DM5ELELU"],"uri":["http://zotero.org/users/5446453/items/DM5ELELU"],"itemData":{"id":856,"type":"chapter","abstract":"This chapter focuses on the role played by various macronutrients such as nitrogen (N), sulfur (S), phosphorus (P), magnesium (Mg), calcium (Ca), and potassium (K) in plant metabolism and growth and describes the symptoms of deficiency and toxicity of these macronutrients. N is the most essential element required after carbon, and it plays a central role in plant metabolism as a constituent of proteins, nucleic acids, chlorophyll, coenzymes, phytohormones, and secondary metabolites. When it is taken as ammonium or nitrate, it is assimilated into amino acids either in the roots or shoots and within the plant, it is translocated as nitrate or amino acids. Sulfur is taken up as sulphate and assimilated into S-containing amino acids such as cysteine that are used to synthesize S-containing enzymes and coenzymes as well as secondary compounds such as phytochelatins (detoxification of metals) or aliins and glucosinolates (feeding deterrents). Phosphorus is a structural element in nucleic acids, and as a component of adenosine phosphates, it plays an important role in energy transfer, and it is also essential for transfer of carbohydrates in leaf cells. Magnesium is a component of chlorophyll, and it is required for photosynthesis and protein synthesis. Calcium is important for cell wall and membrane stabilization, osmoregulation, and as second messenger, thereby allowing plants to regulate developmental processes in response to environmental stimuli. The main role of K is osmoregulation, which is important for cell extension and stomata movement, and it affects loading of sucrose and the rate of mass flow-driven solute movement within the plant.","container-title":"Marschner's Mineral Nutrition of Higher Plants (Third Edition)","event-place":"San Diego","ISBN":"978-0-12-384905-2","language":"en","note":"DOI: 10.1016/B978-0-12-384905-2.00006-6","page":"135-189","publisher":"Academic Press","publisher-place":"San Diego","source":"ScienceDirect","title":"Chapter 6 - Functions of Macronutrients","URL":"http://www.sciencedirect.com/science/article/pii/B9780123849052000066","author":[{"family":"Hawkesford","given":"Malcolm"},{"family":"Horst","given":"Walter"},{"family":"Kichey","given":"Thomas"},{"family":"Lambers","given":"Hans"},{"family":"Schjoerring","given":"Jan"},{"family":"Møller","given":"Inge Skrumsager"},{"family":"White","given":"Philip"}],"editor":[{"family":"Marschner","given":"Petra"}],"accessed":{"date-parts":[["2020",11,13]]},"issued":{"date-parts":[["2012",1,1]]}}}],"schema":"https://github.com/citation-style-language/schema/raw/master/csl-citation.json"} </w:instrText>
      </w:r>
      <w:r w:rsidR="009E2C22" w:rsidRPr="00F07DEB">
        <w:rPr>
          <w:rFonts w:ascii="Times New Roman" w:eastAsia="Times New Roman" w:hAnsi="Times New Roman" w:cs="Times New Roman"/>
          <w:color w:val="000000"/>
          <w:sz w:val="24"/>
          <w:szCs w:val="24"/>
          <w:lang w:eastAsia="en-US"/>
        </w:rPr>
        <w:fldChar w:fldCharType="separate"/>
      </w:r>
      <w:r w:rsidR="00234033" w:rsidRPr="00234033">
        <w:rPr>
          <w:rFonts w:ascii="Times New Roman" w:hAnsi="Times New Roman" w:cs="Times New Roman"/>
          <w:sz w:val="24"/>
        </w:rPr>
        <w:t>(Hawkesford et al., 2012)</w:t>
      </w:r>
      <w:r w:rsidR="009E2C22" w:rsidRPr="00F07DEB">
        <w:rPr>
          <w:rFonts w:ascii="Times New Roman" w:eastAsia="Times New Roman" w:hAnsi="Times New Roman" w:cs="Times New Roman"/>
          <w:color w:val="000000"/>
          <w:sz w:val="24"/>
          <w:szCs w:val="24"/>
          <w:lang w:eastAsia="en-US"/>
        </w:rPr>
        <w:fldChar w:fldCharType="end"/>
      </w:r>
      <w:r w:rsidR="009E2C22" w:rsidRPr="00F07DEB">
        <w:rPr>
          <w:rFonts w:ascii="Times New Roman" w:eastAsia="Times New Roman" w:hAnsi="Times New Roman" w:cs="Times New Roman"/>
          <w:color w:val="000000"/>
          <w:sz w:val="24"/>
          <w:szCs w:val="24"/>
          <w:lang w:eastAsia="en-US"/>
        </w:rPr>
        <w:t xml:space="preserve">. Irrigation water and soil </w:t>
      </w:r>
      <w:r w:rsidR="009678A2">
        <w:rPr>
          <w:rFonts w:ascii="Times New Roman" w:eastAsia="Times New Roman" w:hAnsi="Times New Roman" w:cs="Times New Roman"/>
          <w:color w:val="000000"/>
          <w:sz w:val="24"/>
          <w:szCs w:val="24"/>
          <w:lang w:eastAsia="en-US"/>
        </w:rPr>
        <w:t>Ca</w:t>
      </w:r>
      <w:r w:rsidR="009E2C22" w:rsidRPr="00F07DEB">
        <w:rPr>
          <w:rFonts w:ascii="Times New Roman" w:eastAsia="Times New Roman" w:hAnsi="Times New Roman" w:cs="Times New Roman"/>
          <w:color w:val="000000"/>
          <w:sz w:val="24"/>
          <w:szCs w:val="24"/>
          <w:lang w:eastAsia="en-US"/>
        </w:rPr>
        <w:t xml:space="preserve"> requirements increase in the presence of elevated metals, </w:t>
      </w:r>
      <w:r w:rsidR="009678A2">
        <w:rPr>
          <w:rFonts w:ascii="Times New Roman" w:eastAsia="Times New Roman" w:hAnsi="Times New Roman" w:cs="Times New Roman"/>
          <w:color w:val="000000"/>
          <w:sz w:val="24"/>
          <w:szCs w:val="24"/>
          <w:lang w:eastAsia="en-US"/>
        </w:rPr>
        <w:t>Al</w:t>
      </w:r>
      <w:r w:rsidR="009E2C22" w:rsidRPr="00F07DEB">
        <w:rPr>
          <w:rFonts w:ascii="Times New Roman" w:eastAsia="Times New Roman" w:hAnsi="Times New Roman" w:cs="Times New Roman"/>
          <w:color w:val="000000"/>
          <w:sz w:val="24"/>
          <w:szCs w:val="24"/>
          <w:lang w:eastAsia="en-US"/>
        </w:rPr>
        <w:t xml:space="preserve">, and </w:t>
      </w:r>
      <w:r w:rsidR="009678A2">
        <w:rPr>
          <w:rFonts w:ascii="Times New Roman" w:eastAsia="Times New Roman" w:hAnsi="Times New Roman" w:cs="Times New Roman"/>
          <w:color w:val="000000"/>
          <w:sz w:val="24"/>
          <w:szCs w:val="24"/>
          <w:lang w:eastAsia="en-US"/>
        </w:rPr>
        <w:t>Na</w:t>
      </w:r>
      <w:r w:rsidR="009E2C22" w:rsidRPr="00F07DEB">
        <w:rPr>
          <w:rFonts w:ascii="Times New Roman" w:eastAsia="Times New Roman" w:hAnsi="Times New Roman" w:cs="Times New Roman"/>
          <w:color w:val="000000"/>
          <w:sz w:val="24"/>
          <w:szCs w:val="24"/>
          <w:lang w:eastAsia="en-US"/>
        </w:rPr>
        <w:t xml:space="preserve"> concentrations because these </w:t>
      </w:r>
      <w:r w:rsidR="00F809EA" w:rsidRPr="00F07DEB">
        <w:rPr>
          <w:rFonts w:ascii="Times New Roman" w:eastAsia="Times New Roman" w:hAnsi="Times New Roman" w:cs="Times New Roman"/>
          <w:color w:val="000000"/>
          <w:sz w:val="24"/>
          <w:szCs w:val="24"/>
          <w:lang w:eastAsia="en-US"/>
        </w:rPr>
        <w:t>chemicals can</w:t>
      </w:r>
      <w:r w:rsidR="009E2C22" w:rsidRPr="00F07DEB">
        <w:rPr>
          <w:rFonts w:ascii="Times New Roman" w:eastAsia="Times New Roman" w:hAnsi="Times New Roman" w:cs="Times New Roman"/>
          <w:color w:val="000000"/>
          <w:sz w:val="24"/>
          <w:szCs w:val="24"/>
          <w:lang w:eastAsia="en-US"/>
        </w:rPr>
        <w:t xml:space="preserve"> </w:t>
      </w:r>
      <w:r w:rsidR="00F809EA" w:rsidRPr="00F07DEB">
        <w:rPr>
          <w:rFonts w:ascii="Times New Roman" w:eastAsia="Times New Roman" w:hAnsi="Times New Roman" w:cs="Times New Roman"/>
          <w:color w:val="000000"/>
          <w:sz w:val="24"/>
          <w:szCs w:val="24"/>
          <w:lang w:eastAsia="en-US"/>
        </w:rPr>
        <w:t xml:space="preserve">induce toxicity by replacing </w:t>
      </w:r>
      <w:r w:rsidR="009678A2">
        <w:rPr>
          <w:rFonts w:ascii="Times New Roman" w:eastAsia="Times New Roman" w:hAnsi="Times New Roman" w:cs="Times New Roman"/>
          <w:color w:val="000000"/>
          <w:sz w:val="24"/>
          <w:szCs w:val="24"/>
          <w:lang w:eastAsia="en-US"/>
        </w:rPr>
        <w:t>Ca</w:t>
      </w:r>
      <w:r w:rsidR="00F809EA" w:rsidRPr="00F07DEB">
        <w:rPr>
          <w:rFonts w:ascii="Times New Roman" w:eastAsia="Times New Roman" w:hAnsi="Times New Roman" w:cs="Times New Roman"/>
          <w:color w:val="000000"/>
          <w:sz w:val="24"/>
          <w:szCs w:val="24"/>
          <w:lang w:eastAsia="en-US"/>
        </w:rPr>
        <w:t xml:space="preserve"> in binding sites that support cell membrane integrity </w:t>
      </w:r>
      <w:r w:rsidR="00F809EA" w:rsidRPr="00F07DEB">
        <w:rPr>
          <w:rFonts w:ascii="Times New Roman" w:eastAsia="Times New Roman" w:hAnsi="Times New Roman" w:cs="Times New Roman"/>
          <w:color w:val="000000"/>
          <w:sz w:val="24"/>
          <w:szCs w:val="24"/>
          <w:lang w:eastAsia="en-US"/>
        </w:rPr>
        <w:fldChar w:fldCharType="begin"/>
      </w:r>
      <w:r w:rsidR="006811C1" w:rsidRPr="00F07DEB">
        <w:rPr>
          <w:rFonts w:ascii="Times New Roman" w:eastAsia="Times New Roman" w:hAnsi="Times New Roman" w:cs="Times New Roman"/>
          <w:color w:val="000000"/>
          <w:sz w:val="24"/>
          <w:szCs w:val="24"/>
          <w:lang w:eastAsia="en-US"/>
        </w:rPr>
        <w:instrText xml:space="preserve"> ADDIN ZOTERO_ITEM CSL_CITATION {"citationID":"a2e49oi67ue","properties":{"formattedCitation":"(Hawkesford et al., 2012)","plainCitation":"(Hawkesford et al., 2012)","noteIndex":0},"citationItems":[{"id":856,"uris":["http://zotero.org/users/5446453/items/DM5ELELU"],"uri":["http://zotero.org/users/5446453/items/DM5ELELU"],"itemData":{"id":856,"type":"chapter","abstract":"This chapter focuses on the role played by various macronutrients such as nitrogen (N), sulfur (S), phosphorus (P), magnesium (Mg), calcium (Ca), and potassium (K) in plant metabolism and growth and describes the symptoms of deficiency and toxicity of these macronutrients. N is the most essential element required after carbon, and it plays a central role in plant metabolism as a constituent of proteins, nucleic acids, chlorophyll, coenzymes, phytohormones, and secondary metabolites. When it is taken as ammonium or nitrate, it is assimilated into amino acids either in the roots or shoots and within the plant, it is translocated as nitrate or amino acids. Sulfur is taken up as sulphate and assimilated into S-containing amino acids such as cysteine that are used to synthesize S-containing enzymes and coenzymes as well as secondary compounds such as phytochelatins (detoxification of metals) or aliins and glucosinolates (feeding deterrents). Phosphorus is a structural element in nucleic acids, and as a component of adenosine phosphates, it plays an important role in energy transfer, and it is also essential for transfer of carbohydrates in leaf cells. Magnesium is a component of chlorophyll, and it is required for photosynthesis and protein synthesis. Calcium is important for cell wall and membrane stabilization, osmoregulation, and as second messenger, thereby allowing plants to regulate developmental processes in response to environmental stimuli. The main role of K is osmoregulation, which is important for cell extension and stomata movement, and it affects loading of sucrose and the rate of mass flow-driven solute movement within the plant.","container-title":"Marschner's Mineral Nutrition of Higher Plants (Third Edition)","event-place":"San Diego","ISBN":"978-0-12-384905-2","language":"en","note":"DOI: 10.1016/B978-0-12-384905-2.00006-6","page":"135-189","publisher":"Academic Press","publisher-place":"San Diego","source":"ScienceDirect","title":"Chapter 6 - Functions of Macronutrients","URL":"http://www.sciencedirect.com/science/article/pii/B9780123849052000066","author":[{"family":"Hawkesford","given":"Malcolm"},{"family":"Horst","given":"Walter"},{"family":"Kichey","given":"Thomas"},{"family":"Lambers","given":"Hans"},{"family":"Schjoerring","given":"Jan"},{"family":"Møller","given":"Inge Skrumsager"},{"family":"White","given":"Philip"}],"editor":[{"family":"Marschner","given":"Petra"}],"accessed":{"date-parts":[["2020",11,13]]},"issued":{"date-parts":[["2012",1,1]]}}}],"schema":"https://github.com/citation-style-language/schema/raw/master/csl-citation.json"} </w:instrText>
      </w:r>
      <w:r w:rsidR="00F809EA" w:rsidRPr="00F07DEB">
        <w:rPr>
          <w:rFonts w:ascii="Times New Roman" w:eastAsia="Times New Roman" w:hAnsi="Times New Roman" w:cs="Times New Roman"/>
          <w:color w:val="000000"/>
          <w:sz w:val="24"/>
          <w:szCs w:val="24"/>
          <w:lang w:eastAsia="en-US"/>
        </w:rPr>
        <w:fldChar w:fldCharType="separate"/>
      </w:r>
      <w:r w:rsidR="00234033" w:rsidRPr="00234033">
        <w:rPr>
          <w:rFonts w:ascii="Times New Roman" w:hAnsi="Times New Roman" w:cs="Times New Roman"/>
          <w:sz w:val="24"/>
        </w:rPr>
        <w:t>(Hawkesford et al., 2012)</w:t>
      </w:r>
      <w:r w:rsidR="00F809EA" w:rsidRPr="00F07DEB">
        <w:rPr>
          <w:rFonts w:ascii="Times New Roman" w:eastAsia="Times New Roman" w:hAnsi="Times New Roman" w:cs="Times New Roman"/>
          <w:color w:val="000000"/>
          <w:sz w:val="24"/>
          <w:szCs w:val="24"/>
          <w:lang w:eastAsia="en-US"/>
        </w:rPr>
        <w:fldChar w:fldCharType="end"/>
      </w:r>
      <w:r w:rsidR="00F809EA" w:rsidRPr="00F07DEB">
        <w:rPr>
          <w:rFonts w:ascii="Times New Roman" w:eastAsia="Times New Roman" w:hAnsi="Times New Roman" w:cs="Times New Roman"/>
          <w:color w:val="000000"/>
          <w:sz w:val="24"/>
          <w:szCs w:val="24"/>
          <w:lang w:eastAsia="en-US"/>
        </w:rPr>
        <w:t>.</w:t>
      </w:r>
    </w:p>
    <w:p w14:paraId="0B88AC13" w14:textId="77777777" w:rsidR="00252822" w:rsidRDefault="00252822">
      <w:pPr>
        <w:rPr>
          <w:rFonts w:ascii="Times New Roman" w:hAnsi="Times New Roman" w:cs="Times New Roman"/>
          <w:b/>
          <w:sz w:val="20"/>
          <w:szCs w:val="20"/>
        </w:rPr>
      </w:pPr>
      <w:bookmarkStart w:id="136" w:name="_Ref56249033"/>
      <w:r>
        <w:br w:type="page"/>
      </w:r>
    </w:p>
    <w:p w14:paraId="5D3E323E" w14:textId="66A2B863" w:rsidR="000B31CB" w:rsidRPr="00F07DEB" w:rsidRDefault="000B31CB" w:rsidP="00204C13">
      <w:pPr>
        <w:pStyle w:val="Caption"/>
      </w:pPr>
      <w:bookmarkStart w:id="137" w:name="_Toc58975205"/>
      <w:r w:rsidRPr="00F07DEB">
        <w:lastRenderedPageBreak/>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19</w:t>
      </w:r>
      <w:r w:rsidR="00DE3B90" w:rsidRPr="00F07DEB">
        <w:rPr>
          <w:noProof/>
        </w:rPr>
        <w:fldChar w:fldCharType="end"/>
      </w:r>
      <w:bookmarkEnd w:id="136"/>
      <w:r w:rsidRPr="00F07DEB">
        <w:rPr>
          <w:noProof/>
        </w:rPr>
        <w:t xml:space="preserve">: Means, standard deviations of plant Ca concentrations in mg/kg </w:t>
      </w:r>
      <w:r w:rsidR="008701DF" w:rsidRPr="00F07DEB">
        <w:t xml:space="preserve">compared via </w:t>
      </w:r>
      <w:r w:rsidRPr="00F07DEB">
        <w:rPr>
          <w:noProof/>
        </w:rPr>
        <w:t>mixed ANOVA</w:t>
      </w:r>
      <w:bookmarkEnd w:id="137"/>
      <w:r w:rsidRPr="00F07DEB">
        <w:rPr>
          <w:noProof/>
        </w:rPr>
        <w:t xml:space="preserve"> </w:t>
      </w:r>
    </w:p>
    <w:tbl>
      <w:tblPr>
        <w:tblW w:w="5000" w:type="pct"/>
        <w:tblLook w:val="04A0" w:firstRow="1" w:lastRow="0" w:firstColumn="1" w:lastColumn="0" w:noHBand="0" w:noVBand="1"/>
      </w:tblPr>
      <w:tblGrid>
        <w:gridCol w:w="1849"/>
        <w:gridCol w:w="1539"/>
        <w:gridCol w:w="1133"/>
        <w:gridCol w:w="1365"/>
        <w:gridCol w:w="1134"/>
        <w:gridCol w:w="1181"/>
        <w:gridCol w:w="1159"/>
      </w:tblGrid>
      <w:tr w:rsidR="00AA731D" w:rsidRPr="00F07DEB" w14:paraId="5121BC13" w14:textId="77777777" w:rsidTr="00AA731D">
        <w:trPr>
          <w:trHeight w:val="277"/>
        </w:trPr>
        <w:tc>
          <w:tcPr>
            <w:tcW w:w="988" w:type="pct"/>
            <w:tcBorders>
              <w:top w:val="single" w:sz="8" w:space="0" w:color="auto"/>
              <w:left w:val="nil"/>
              <w:bottom w:val="nil"/>
              <w:right w:val="nil"/>
            </w:tcBorders>
            <w:shd w:val="clear" w:color="auto" w:fill="auto"/>
            <w:noWrap/>
            <w:vAlign w:val="bottom"/>
            <w:hideMark/>
          </w:tcPr>
          <w:p w14:paraId="1CB256ED" w14:textId="77777777" w:rsidR="00AA731D" w:rsidRPr="00F07DEB" w:rsidRDefault="00AA731D" w:rsidP="00AA731D">
            <w:pPr>
              <w:spacing w:after="0" w:line="240" w:lineRule="auto"/>
              <w:rPr>
                <w:rFonts w:ascii="Times New Roman" w:eastAsia="Times New Roman" w:hAnsi="Times New Roman" w:cs="Times New Roman"/>
                <w:sz w:val="20"/>
                <w:szCs w:val="20"/>
                <w:lang w:eastAsia="en-US"/>
              </w:rPr>
            </w:pPr>
          </w:p>
        </w:tc>
        <w:tc>
          <w:tcPr>
            <w:tcW w:w="2762" w:type="pct"/>
            <w:gridSpan w:val="4"/>
            <w:tcBorders>
              <w:top w:val="single" w:sz="8" w:space="0" w:color="auto"/>
              <w:left w:val="nil"/>
              <w:bottom w:val="nil"/>
              <w:right w:val="nil"/>
            </w:tcBorders>
            <w:shd w:val="clear" w:color="auto" w:fill="auto"/>
            <w:noWrap/>
            <w:vAlign w:val="bottom"/>
            <w:hideMark/>
          </w:tcPr>
          <w:p w14:paraId="00BD938D" w14:textId="77777777" w:rsidR="00AA731D" w:rsidRPr="00F07DEB" w:rsidRDefault="00AA731D" w:rsidP="00AA731D">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Treatment</w:t>
            </w:r>
          </w:p>
        </w:tc>
        <w:tc>
          <w:tcPr>
            <w:tcW w:w="631" w:type="pct"/>
            <w:tcBorders>
              <w:top w:val="single" w:sz="8" w:space="0" w:color="auto"/>
              <w:left w:val="nil"/>
              <w:bottom w:val="nil"/>
              <w:right w:val="nil"/>
            </w:tcBorders>
            <w:shd w:val="clear" w:color="auto" w:fill="auto"/>
            <w:noWrap/>
            <w:vAlign w:val="bottom"/>
            <w:hideMark/>
          </w:tcPr>
          <w:p w14:paraId="03D22659" w14:textId="77777777" w:rsidR="00AA731D" w:rsidRPr="00F07DEB" w:rsidRDefault="00AA731D" w:rsidP="00AA731D">
            <w:pPr>
              <w:spacing w:after="0" w:line="240" w:lineRule="auto"/>
              <w:jc w:val="center"/>
              <w:rPr>
                <w:rFonts w:ascii="Times New Roman" w:eastAsia="Times New Roman" w:hAnsi="Times New Roman" w:cs="Times New Roman"/>
                <w:color w:val="000000"/>
                <w:sz w:val="20"/>
                <w:szCs w:val="20"/>
                <w:lang w:eastAsia="en-US"/>
              </w:rPr>
            </w:pPr>
          </w:p>
        </w:tc>
        <w:tc>
          <w:tcPr>
            <w:tcW w:w="619" w:type="pct"/>
            <w:tcBorders>
              <w:top w:val="single" w:sz="8" w:space="0" w:color="auto"/>
              <w:left w:val="nil"/>
              <w:bottom w:val="nil"/>
              <w:right w:val="nil"/>
            </w:tcBorders>
            <w:shd w:val="clear" w:color="auto" w:fill="auto"/>
            <w:noWrap/>
            <w:vAlign w:val="bottom"/>
            <w:hideMark/>
          </w:tcPr>
          <w:p w14:paraId="3015D88F" w14:textId="77777777" w:rsidR="00AA731D" w:rsidRPr="00F07DEB" w:rsidRDefault="00AA731D" w:rsidP="00AA731D">
            <w:pPr>
              <w:spacing w:after="0" w:line="240" w:lineRule="auto"/>
              <w:rPr>
                <w:rFonts w:ascii="Times New Roman" w:eastAsia="Times New Roman" w:hAnsi="Times New Roman" w:cs="Times New Roman"/>
                <w:sz w:val="20"/>
                <w:szCs w:val="20"/>
                <w:lang w:eastAsia="en-US"/>
              </w:rPr>
            </w:pPr>
          </w:p>
        </w:tc>
      </w:tr>
      <w:tr w:rsidR="00AA731D" w:rsidRPr="00F07DEB" w14:paraId="316DAE75" w14:textId="77777777" w:rsidTr="00162496">
        <w:trPr>
          <w:trHeight w:val="300"/>
        </w:trPr>
        <w:tc>
          <w:tcPr>
            <w:tcW w:w="988" w:type="pct"/>
            <w:tcBorders>
              <w:top w:val="nil"/>
              <w:left w:val="nil"/>
              <w:bottom w:val="nil"/>
              <w:right w:val="nil"/>
            </w:tcBorders>
            <w:shd w:val="clear" w:color="auto" w:fill="auto"/>
            <w:noWrap/>
            <w:vAlign w:val="bottom"/>
            <w:hideMark/>
          </w:tcPr>
          <w:p w14:paraId="16390274" w14:textId="77777777" w:rsidR="00AA731D" w:rsidRPr="00F07DEB" w:rsidRDefault="00AA731D" w:rsidP="00AA731D">
            <w:pPr>
              <w:spacing w:after="0" w:line="240" w:lineRule="auto"/>
              <w:rPr>
                <w:rFonts w:ascii="Times New Roman" w:eastAsia="Times New Roman" w:hAnsi="Times New Roman" w:cs="Times New Roman"/>
                <w:sz w:val="20"/>
                <w:szCs w:val="20"/>
                <w:lang w:eastAsia="en-US"/>
              </w:rPr>
            </w:pPr>
          </w:p>
        </w:tc>
        <w:tc>
          <w:tcPr>
            <w:tcW w:w="1427" w:type="pct"/>
            <w:gridSpan w:val="2"/>
            <w:tcBorders>
              <w:top w:val="nil"/>
              <w:left w:val="nil"/>
              <w:bottom w:val="single" w:sz="8" w:space="0" w:color="auto"/>
              <w:right w:val="nil"/>
            </w:tcBorders>
            <w:shd w:val="clear" w:color="auto" w:fill="auto"/>
            <w:noWrap/>
            <w:vAlign w:val="bottom"/>
            <w:hideMark/>
          </w:tcPr>
          <w:p w14:paraId="241FDA55" w14:textId="77777777" w:rsidR="00AA731D" w:rsidRPr="00F07DEB" w:rsidRDefault="00AA731D" w:rsidP="009D49F2">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Groundwater</w:t>
            </w:r>
          </w:p>
        </w:tc>
        <w:tc>
          <w:tcPr>
            <w:tcW w:w="1335" w:type="pct"/>
            <w:gridSpan w:val="2"/>
            <w:tcBorders>
              <w:top w:val="nil"/>
              <w:left w:val="nil"/>
              <w:bottom w:val="single" w:sz="8" w:space="0" w:color="auto"/>
              <w:right w:val="nil"/>
            </w:tcBorders>
            <w:shd w:val="clear" w:color="auto" w:fill="auto"/>
            <w:noWrap/>
            <w:vAlign w:val="bottom"/>
            <w:hideMark/>
          </w:tcPr>
          <w:p w14:paraId="7507BF93" w14:textId="77777777" w:rsidR="00AA731D" w:rsidRPr="00F07DEB" w:rsidRDefault="00AA731D" w:rsidP="009D49F2">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Mine water</w:t>
            </w:r>
          </w:p>
        </w:tc>
        <w:tc>
          <w:tcPr>
            <w:tcW w:w="631" w:type="pct"/>
            <w:tcBorders>
              <w:top w:val="nil"/>
              <w:left w:val="nil"/>
              <w:bottom w:val="nil"/>
              <w:right w:val="nil"/>
            </w:tcBorders>
            <w:shd w:val="clear" w:color="auto" w:fill="auto"/>
            <w:noWrap/>
            <w:vAlign w:val="bottom"/>
            <w:hideMark/>
          </w:tcPr>
          <w:p w14:paraId="454D5C4B" w14:textId="77777777" w:rsidR="00AA731D" w:rsidRPr="00F07DEB" w:rsidRDefault="00AA731D" w:rsidP="00AA731D">
            <w:pPr>
              <w:spacing w:after="0" w:line="240" w:lineRule="auto"/>
              <w:jc w:val="center"/>
              <w:rPr>
                <w:rFonts w:ascii="Times New Roman" w:eastAsia="Times New Roman" w:hAnsi="Times New Roman" w:cs="Times New Roman"/>
                <w:color w:val="000000"/>
                <w:sz w:val="20"/>
                <w:szCs w:val="20"/>
                <w:lang w:eastAsia="en-US"/>
              </w:rPr>
            </w:pPr>
          </w:p>
        </w:tc>
        <w:tc>
          <w:tcPr>
            <w:tcW w:w="619" w:type="pct"/>
            <w:vMerge w:val="restart"/>
            <w:tcBorders>
              <w:top w:val="nil"/>
              <w:left w:val="nil"/>
              <w:bottom w:val="single" w:sz="8" w:space="0" w:color="000000"/>
              <w:right w:val="nil"/>
            </w:tcBorders>
            <w:shd w:val="clear" w:color="auto" w:fill="auto"/>
            <w:vAlign w:val="bottom"/>
            <w:hideMark/>
          </w:tcPr>
          <w:p w14:paraId="43DA86AF" w14:textId="7C56951B" w:rsidR="00AA731D" w:rsidRPr="00F07DEB" w:rsidRDefault="0057650B" w:rsidP="00162496">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r>
      <w:tr w:rsidR="00AA731D" w:rsidRPr="00F07DEB" w14:paraId="1F4DBD51" w14:textId="77777777" w:rsidTr="000B31CB">
        <w:trPr>
          <w:trHeight w:val="300"/>
        </w:trPr>
        <w:tc>
          <w:tcPr>
            <w:tcW w:w="988" w:type="pct"/>
            <w:tcBorders>
              <w:top w:val="nil"/>
              <w:left w:val="nil"/>
              <w:bottom w:val="single" w:sz="8" w:space="0" w:color="auto"/>
              <w:right w:val="nil"/>
            </w:tcBorders>
            <w:shd w:val="clear" w:color="auto" w:fill="auto"/>
            <w:noWrap/>
            <w:vAlign w:val="center"/>
            <w:hideMark/>
          </w:tcPr>
          <w:p w14:paraId="57CA91E6"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Structure</w:t>
            </w:r>
          </w:p>
        </w:tc>
        <w:tc>
          <w:tcPr>
            <w:tcW w:w="822" w:type="pct"/>
            <w:tcBorders>
              <w:top w:val="nil"/>
              <w:left w:val="nil"/>
              <w:bottom w:val="single" w:sz="8" w:space="0" w:color="auto"/>
              <w:right w:val="nil"/>
            </w:tcBorders>
            <w:shd w:val="clear" w:color="auto" w:fill="auto"/>
            <w:noWrap/>
            <w:vAlign w:val="center"/>
            <w:hideMark/>
          </w:tcPr>
          <w:p w14:paraId="114C04C4"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605" w:type="pct"/>
            <w:tcBorders>
              <w:top w:val="nil"/>
              <w:left w:val="nil"/>
              <w:bottom w:val="single" w:sz="8" w:space="0" w:color="auto"/>
              <w:right w:val="nil"/>
            </w:tcBorders>
            <w:shd w:val="clear" w:color="auto" w:fill="auto"/>
            <w:noWrap/>
            <w:vAlign w:val="center"/>
            <w:hideMark/>
          </w:tcPr>
          <w:p w14:paraId="2C5F8F5F"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729" w:type="pct"/>
            <w:tcBorders>
              <w:top w:val="nil"/>
              <w:left w:val="nil"/>
              <w:bottom w:val="single" w:sz="8" w:space="0" w:color="auto"/>
              <w:right w:val="nil"/>
            </w:tcBorders>
            <w:shd w:val="clear" w:color="auto" w:fill="auto"/>
            <w:noWrap/>
            <w:vAlign w:val="center"/>
            <w:hideMark/>
          </w:tcPr>
          <w:p w14:paraId="690C03E1"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606" w:type="pct"/>
            <w:tcBorders>
              <w:top w:val="nil"/>
              <w:left w:val="nil"/>
              <w:bottom w:val="single" w:sz="8" w:space="0" w:color="auto"/>
              <w:right w:val="nil"/>
            </w:tcBorders>
            <w:shd w:val="clear" w:color="auto" w:fill="auto"/>
            <w:noWrap/>
            <w:vAlign w:val="center"/>
            <w:hideMark/>
          </w:tcPr>
          <w:p w14:paraId="0CFDBCD0"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631" w:type="pct"/>
            <w:tcBorders>
              <w:top w:val="nil"/>
              <w:left w:val="nil"/>
              <w:bottom w:val="single" w:sz="8" w:space="0" w:color="auto"/>
              <w:right w:val="nil"/>
            </w:tcBorders>
            <w:shd w:val="clear" w:color="auto" w:fill="auto"/>
            <w:noWrap/>
            <w:vAlign w:val="center"/>
            <w:hideMark/>
          </w:tcPr>
          <w:p w14:paraId="7D412484" w14:textId="77777777" w:rsidR="00AA731D" w:rsidRPr="00F07DEB" w:rsidRDefault="00AA731D" w:rsidP="00692A23">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619" w:type="pct"/>
            <w:vMerge/>
            <w:tcBorders>
              <w:top w:val="nil"/>
              <w:left w:val="nil"/>
              <w:bottom w:val="single" w:sz="8" w:space="0" w:color="000000"/>
              <w:right w:val="nil"/>
            </w:tcBorders>
            <w:vAlign w:val="center"/>
            <w:hideMark/>
          </w:tcPr>
          <w:p w14:paraId="4722DB8E"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p>
        </w:tc>
      </w:tr>
      <w:tr w:rsidR="00AA731D" w:rsidRPr="00F07DEB" w14:paraId="12121634" w14:textId="77777777" w:rsidTr="000B31CB">
        <w:trPr>
          <w:trHeight w:val="292"/>
        </w:trPr>
        <w:tc>
          <w:tcPr>
            <w:tcW w:w="988" w:type="pct"/>
            <w:tcBorders>
              <w:top w:val="nil"/>
              <w:left w:val="nil"/>
              <w:bottom w:val="nil"/>
              <w:right w:val="nil"/>
            </w:tcBorders>
            <w:shd w:val="clear" w:color="auto" w:fill="auto"/>
            <w:noWrap/>
            <w:vAlign w:val="center"/>
            <w:hideMark/>
          </w:tcPr>
          <w:p w14:paraId="04648108"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Corn</w:t>
            </w:r>
          </w:p>
        </w:tc>
        <w:tc>
          <w:tcPr>
            <w:tcW w:w="822" w:type="pct"/>
            <w:tcBorders>
              <w:top w:val="nil"/>
              <w:left w:val="nil"/>
              <w:bottom w:val="nil"/>
              <w:right w:val="nil"/>
            </w:tcBorders>
            <w:shd w:val="clear" w:color="auto" w:fill="auto"/>
            <w:noWrap/>
            <w:vAlign w:val="center"/>
            <w:hideMark/>
          </w:tcPr>
          <w:p w14:paraId="1EB6B0A7"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p>
        </w:tc>
        <w:tc>
          <w:tcPr>
            <w:tcW w:w="605" w:type="pct"/>
            <w:tcBorders>
              <w:top w:val="nil"/>
              <w:left w:val="nil"/>
              <w:bottom w:val="nil"/>
              <w:right w:val="nil"/>
            </w:tcBorders>
            <w:shd w:val="clear" w:color="auto" w:fill="auto"/>
            <w:noWrap/>
            <w:vAlign w:val="center"/>
            <w:hideMark/>
          </w:tcPr>
          <w:p w14:paraId="61A3B89A"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c>
          <w:tcPr>
            <w:tcW w:w="729" w:type="pct"/>
            <w:tcBorders>
              <w:top w:val="nil"/>
              <w:left w:val="nil"/>
              <w:bottom w:val="nil"/>
              <w:right w:val="nil"/>
            </w:tcBorders>
            <w:shd w:val="clear" w:color="auto" w:fill="auto"/>
            <w:noWrap/>
            <w:vAlign w:val="center"/>
            <w:hideMark/>
          </w:tcPr>
          <w:p w14:paraId="60EDE627"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c>
          <w:tcPr>
            <w:tcW w:w="606" w:type="pct"/>
            <w:tcBorders>
              <w:top w:val="nil"/>
              <w:left w:val="nil"/>
              <w:bottom w:val="nil"/>
              <w:right w:val="nil"/>
            </w:tcBorders>
            <w:shd w:val="clear" w:color="auto" w:fill="auto"/>
            <w:noWrap/>
            <w:vAlign w:val="center"/>
            <w:hideMark/>
          </w:tcPr>
          <w:p w14:paraId="21A349D3"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1053ED76"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c>
          <w:tcPr>
            <w:tcW w:w="619" w:type="pct"/>
            <w:tcBorders>
              <w:top w:val="nil"/>
              <w:left w:val="nil"/>
              <w:bottom w:val="nil"/>
              <w:right w:val="nil"/>
            </w:tcBorders>
            <w:shd w:val="clear" w:color="auto" w:fill="auto"/>
            <w:noWrap/>
            <w:vAlign w:val="center"/>
            <w:hideMark/>
          </w:tcPr>
          <w:p w14:paraId="7EC9781E"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r>
      <w:tr w:rsidR="00AA731D" w:rsidRPr="00F07DEB" w14:paraId="6A48FA7E" w14:textId="77777777" w:rsidTr="000B31CB">
        <w:trPr>
          <w:trHeight w:val="292"/>
        </w:trPr>
        <w:tc>
          <w:tcPr>
            <w:tcW w:w="988" w:type="pct"/>
            <w:tcBorders>
              <w:top w:val="nil"/>
              <w:left w:val="nil"/>
              <w:bottom w:val="nil"/>
              <w:right w:val="nil"/>
            </w:tcBorders>
            <w:shd w:val="clear" w:color="auto" w:fill="auto"/>
            <w:noWrap/>
            <w:vAlign w:val="center"/>
            <w:hideMark/>
          </w:tcPr>
          <w:p w14:paraId="5AEA93BE"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w:t>
            </w:r>
          </w:p>
        </w:tc>
        <w:tc>
          <w:tcPr>
            <w:tcW w:w="822" w:type="pct"/>
            <w:tcBorders>
              <w:top w:val="nil"/>
              <w:left w:val="nil"/>
              <w:bottom w:val="nil"/>
              <w:right w:val="nil"/>
            </w:tcBorders>
            <w:shd w:val="clear" w:color="auto" w:fill="auto"/>
            <w:noWrap/>
            <w:vAlign w:val="center"/>
            <w:hideMark/>
          </w:tcPr>
          <w:p w14:paraId="7432CB78"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6422.92</w:t>
            </w:r>
          </w:p>
        </w:tc>
        <w:tc>
          <w:tcPr>
            <w:tcW w:w="605" w:type="pct"/>
            <w:tcBorders>
              <w:top w:val="nil"/>
              <w:left w:val="nil"/>
              <w:bottom w:val="nil"/>
              <w:right w:val="nil"/>
            </w:tcBorders>
            <w:shd w:val="clear" w:color="auto" w:fill="auto"/>
            <w:noWrap/>
            <w:vAlign w:val="center"/>
            <w:hideMark/>
          </w:tcPr>
          <w:p w14:paraId="5BB4A690"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1224.75</w:t>
            </w:r>
          </w:p>
        </w:tc>
        <w:tc>
          <w:tcPr>
            <w:tcW w:w="729" w:type="pct"/>
            <w:tcBorders>
              <w:top w:val="nil"/>
              <w:left w:val="nil"/>
              <w:bottom w:val="nil"/>
              <w:right w:val="nil"/>
            </w:tcBorders>
            <w:shd w:val="clear" w:color="auto" w:fill="auto"/>
            <w:noWrap/>
            <w:vAlign w:val="center"/>
            <w:hideMark/>
          </w:tcPr>
          <w:p w14:paraId="3C66D8C6"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6998.1 a</w:t>
            </w:r>
          </w:p>
        </w:tc>
        <w:tc>
          <w:tcPr>
            <w:tcW w:w="606" w:type="pct"/>
            <w:tcBorders>
              <w:top w:val="nil"/>
              <w:left w:val="nil"/>
              <w:bottom w:val="nil"/>
              <w:right w:val="nil"/>
            </w:tcBorders>
            <w:shd w:val="clear" w:color="auto" w:fill="auto"/>
            <w:noWrap/>
            <w:vAlign w:val="center"/>
            <w:hideMark/>
          </w:tcPr>
          <w:p w14:paraId="50970470"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2518.92</w:t>
            </w:r>
          </w:p>
        </w:tc>
        <w:tc>
          <w:tcPr>
            <w:tcW w:w="631" w:type="pct"/>
            <w:tcBorders>
              <w:top w:val="nil"/>
              <w:left w:val="nil"/>
              <w:bottom w:val="nil"/>
              <w:right w:val="nil"/>
            </w:tcBorders>
            <w:shd w:val="clear" w:color="auto" w:fill="auto"/>
            <w:noWrap/>
            <w:vAlign w:val="center"/>
            <w:hideMark/>
          </w:tcPr>
          <w:p w14:paraId="4C9214BA"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0.626</w:t>
            </w:r>
          </w:p>
        </w:tc>
        <w:tc>
          <w:tcPr>
            <w:tcW w:w="619" w:type="pct"/>
            <w:tcBorders>
              <w:top w:val="nil"/>
              <w:left w:val="nil"/>
              <w:bottom w:val="nil"/>
              <w:right w:val="nil"/>
            </w:tcBorders>
            <w:shd w:val="clear" w:color="auto" w:fill="auto"/>
            <w:noWrap/>
            <w:vAlign w:val="center"/>
            <w:hideMark/>
          </w:tcPr>
          <w:p w14:paraId="1B320DD2"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0.025</w:t>
            </w:r>
          </w:p>
        </w:tc>
      </w:tr>
      <w:tr w:rsidR="00AA731D" w:rsidRPr="00F07DEB" w14:paraId="24485510" w14:textId="77777777" w:rsidTr="000B31CB">
        <w:trPr>
          <w:trHeight w:val="292"/>
        </w:trPr>
        <w:tc>
          <w:tcPr>
            <w:tcW w:w="988" w:type="pct"/>
            <w:tcBorders>
              <w:top w:val="nil"/>
              <w:left w:val="nil"/>
              <w:bottom w:val="nil"/>
              <w:right w:val="nil"/>
            </w:tcBorders>
            <w:shd w:val="clear" w:color="auto" w:fill="auto"/>
            <w:noWrap/>
            <w:vAlign w:val="center"/>
            <w:hideMark/>
          </w:tcPr>
          <w:p w14:paraId="0CBE9F60" w14:textId="20A32033" w:rsidR="00AA731D" w:rsidRPr="00F07DEB" w:rsidRDefault="001405F5" w:rsidP="001405F5">
            <w:pPr>
              <w:spacing w:after="0" w:line="240" w:lineRule="auto"/>
              <w:rPr>
                <w:rFonts w:ascii="Times New Roman" w:eastAsia="Times New Roman" w:hAnsi="Times New Roman" w:cs="Times New Roman"/>
                <w:color w:val="000000"/>
                <w:sz w:val="20"/>
                <w:szCs w:val="20"/>
                <w:lang w:eastAsia="en-US"/>
              </w:rPr>
            </w:pPr>
            <w:r>
              <w:rPr>
                <w:rFonts w:ascii="Times New Roman" w:eastAsia="Times New Roman" w:hAnsi="Times New Roman" w:cs="Times New Roman"/>
                <w:color w:val="000000"/>
                <w:sz w:val="20"/>
                <w:szCs w:val="20"/>
                <w:lang w:eastAsia="en-US"/>
              </w:rPr>
              <w:t xml:space="preserve">     Husk</w:t>
            </w:r>
          </w:p>
        </w:tc>
        <w:tc>
          <w:tcPr>
            <w:tcW w:w="822" w:type="pct"/>
            <w:tcBorders>
              <w:top w:val="nil"/>
              <w:left w:val="nil"/>
              <w:bottom w:val="nil"/>
              <w:right w:val="nil"/>
            </w:tcBorders>
            <w:shd w:val="clear" w:color="auto" w:fill="auto"/>
            <w:noWrap/>
            <w:vAlign w:val="center"/>
            <w:hideMark/>
          </w:tcPr>
          <w:p w14:paraId="07F4D30F"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736.08 a</w:t>
            </w:r>
          </w:p>
        </w:tc>
        <w:tc>
          <w:tcPr>
            <w:tcW w:w="605" w:type="pct"/>
            <w:tcBorders>
              <w:top w:val="nil"/>
              <w:left w:val="nil"/>
              <w:bottom w:val="nil"/>
              <w:right w:val="nil"/>
            </w:tcBorders>
            <w:shd w:val="clear" w:color="auto" w:fill="auto"/>
            <w:noWrap/>
            <w:vAlign w:val="center"/>
            <w:hideMark/>
          </w:tcPr>
          <w:p w14:paraId="5651AE3B"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422.89</w:t>
            </w:r>
          </w:p>
        </w:tc>
        <w:tc>
          <w:tcPr>
            <w:tcW w:w="729" w:type="pct"/>
            <w:tcBorders>
              <w:top w:val="nil"/>
              <w:left w:val="nil"/>
              <w:bottom w:val="nil"/>
              <w:right w:val="nil"/>
            </w:tcBorders>
            <w:shd w:val="clear" w:color="auto" w:fill="auto"/>
            <w:noWrap/>
            <w:vAlign w:val="center"/>
            <w:hideMark/>
          </w:tcPr>
          <w:p w14:paraId="1695E7BA"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909.37 b</w:t>
            </w:r>
          </w:p>
        </w:tc>
        <w:tc>
          <w:tcPr>
            <w:tcW w:w="606" w:type="pct"/>
            <w:tcBorders>
              <w:top w:val="nil"/>
              <w:left w:val="nil"/>
              <w:bottom w:val="nil"/>
              <w:right w:val="nil"/>
            </w:tcBorders>
            <w:shd w:val="clear" w:color="auto" w:fill="auto"/>
            <w:noWrap/>
            <w:vAlign w:val="center"/>
            <w:hideMark/>
          </w:tcPr>
          <w:p w14:paraId="0FE77954"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662.59</w:t>
            </w:r>
          </w:p>
        </w:tc>
        <w:tc>
          <w:tcPr>
            <w:tcW w:w="631" w:type="pct"/>
            <w:tcBorders>
              <w:top w:val="nil"/>
              <w:left w:val="nil"/>
              <w:bottom w:val="nil"/>
              <w:right w:val="nil"/>
            </w:tcBorders>
            <w:shd w:val="clear" w:color="auto" w:fill="auto"/>
            <w:noWrap/>
            <w:vAlign w:val="center"/>
            <w:hideMark/>
          </w:tcPr>
          <w:p w14:paraId="3E264C2E"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0.601</w:t>
            </w:r>
          </w:p>
        </w:tc>
        <w:tc>
          <w:tcPr>
            <w:tcW w:w="619" w:type="pct"/>
            <w:tcBorders>
              <w:top w:val="nil"/>
              <w:left w:val="nil"/>
              <w:bottom w:val="nil"/>
              <w:right w:val="nil"/>
            </w:tcBorders>
            <w:shd w:val="clear" w:color="auto" w:fill="auto"/>
            <w:noWrap/>
            <w:vAlign w:val="center"/>
            <w:hideMark/>
          </w:tcPr>
          <w:p w14:paraId="5E45512F"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0.028</w:t>
            </w:r>
          </w:p>
        </w:tc>
      </w:tr>
      <w:tr w:rsidR="00AA731D" w:rsidRPr="00F07DEB" w14:paraId="217D1AD6" w14:textId="77777777" w:rsidTr="000B31CB">
        <w:trPr>
          <w:trHeight w:val="292"/>
        </w:trPr>
        <w:tc>
          <w:tcPr>
            <w:tcW w:w="988" w:type="pct"/>
            <w:tcBorders>
              <w:top w:val="nil"/>
              <w:left w:val="nil"/>
              <w:bottom w:val="nil"/>
              <w:right w:val="nil"/>
            </w:tcBorders>
            <w:shd w:val="clear" w:color="auto" w:fill="auto"/>
            <w:noWrap/>
            <w:vAlign w:val="center"/>
            <w:hideMark/>
          </w:tcPr>
          <w:p w14:paraId="05F40A40"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w:t>
            </w:r>
          </w:p>
        </w:tc>
        <w:tc>
          <w:tcPr>
            <w:tcW w:w="822" w:type="pct"/>
            <w:tcBorders>
              <w:top w:val="nil"/>
              <w:left w:val="nil"/>
              <w:bottom w:val="nil"/>
              <w:right w:val="nil"/>
            </w:tcBorders>
            <w:shd w:val="clear" w:color="auto" w:fill="auto"/>
            <w:noWrap/>
            <w:vAlign w:val="center"/>
            <w:hideMark/>
          </w:tcPr>
          <w:p w14:paraId="7E39FF01"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1005.55 ab</w:t>
            </w:r>
          </w:p>
        </w:tc>
        <w:tc>
          <w:tcPr>
            <w:tcW w:w="605" w:type="pct"/>
            <w:tcBorders>
              <w:top w:val="nil"/>
              <w:left w:val="nil"/>
              <w:bottom w:val="nil"/>
              <w:right w:val="nil"/>
            </w:tcBorders>
            <w:shd w:val="clear" w:color="auto" w:fill="auto"/>
            <w:noWrap/>
            <w:vAlign w:val="center"/>
            <w:hideMark/>
          </w:tcPr>
          <w:p w14:paraId="11F8CDB1"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497.77</w:t>
            </w:r>
          </w:p>
        </w:tc>
        <w:tc>
          <w:tcPr>
            <w:tcW w:w="729" w:type="pct"/>
            <w:tcBorders>
              <w:top w:val="nil"/>
              <w:left w:val="nil"/>
              <w:bottom w:val="nil"/>
              <w:right w:val="nil"/>
            </w:tcBorders>
            <w:shd w:val="clear" w:color="auto" w:fill="auto"/>
            <w:noWrap/>
            <w:vAlign w:val="center"/>
            <w:hideMark/>
          </w:tcPr>
          <w:p w14:paraId="10F7AA63"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657.35 </w:t>
            </w:r>
            <w:proofErr w:type="spellStart"/>
            <w:r w:rsidRPr="00F07DEB">
              <w:rPr>
                <w:rFonts w:ascii="Times New Roman" w:eastAsia="Times New Roman" w:hAnsi="Times New Roman" w:cs="Times New Roman"/>
                <w:color w:val="000000"/>
                <w:sz w:val="20"/>
                <w:szCs w:val="20"/>
                <w:lang w:eastAsia="en-US"/>
              </w:rPr>
              <w:t>bc</w:t>
            </w:r>
            <w:proofErr w:type="spellEnd"/>
          </w:p>
        </w:tc>
        <w:tc>
          <w:tcPr>
            <w:tcW w:w="606" w:type="pct"/>
            <w:tcBorders>
              <w:top w:val="nil"/>
              <w:left w:val="nil"/>
              <w:bottom w:val="nil"/>
              <w:right w:val="nil"/>
            </w:tcBorders>
            <w:shd w:val="clear" w:color="auto" w:fill="auto"/>
            <w:noWrap/>
            <w:vAlign w:val="center"/>
            <w:hideMark/>
          </w:tcPr>
          <w:p w14:paraId="08505C74"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380.24</w:t>
            </w:r>
          </w:p>
        </w:tc>
        <w:tc>
          <w:tcPr>
            <w:tcW w:w="631" w:type="pct"/>
            <w:tcBorders>
              <w:top w:val="nil"/>
              <w:left w:val="nil"/>
              <w:bottom w:val="nil"/>
              <w:right w:val="nil"/>
            </w:tcBorders>
            <w:shd w:val="clear" w:color="auto" w:fill="auto"/>
            <w:noWrap/>
            <w:vAlign w:val="center"/>
            <w:hideMark/>
          </w:tcPr>
          <w:p w14:paraId="0DF7825E"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0.203</w:t>
            </w:r>
          </w:p>
        </w:tc>
        <w:tc>
          <w:tcPr>
            <w:tcW w:w="619" w:type="pct"/>
            <w:tcBorders>
              <w:top w:val="nil"/>
              <w:left w:val="nil"/>
              <w:bottom w:val="nil"/>
              <w:right w:val="nil"/>
            </w:tcBorders>
            <w:shd w:val="clear" w:color="auto" w:fill="auto"/>
            <w:noWrap/>
            <w:vAlign w:val="center"/>
            <w:hideMark/>
          </w:tcPr>
          <w:p w14:paraId="6B511AC6"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0.156</w:t>
            </w:r>
          </w:p>
        </w:tc>
      </w:tr>
      <w:tr w:rsidR="00AA731D" w:rsidRPr="00F07DEB" w14:paraId="42175571" w14:textId="77777777" w:rsidTr="000B31CB">
        <w:trPr>
          <w:trHeight w:val="292"/>
        </w:trPr>
        <w:tc>
          <w:tcPr>
            <w:tcW w:w="988" w:type="pct"/>
            <w:tcBorders>
              <w:top w:val="nil"/>
              <w:left w:val="nil"/>
              <w:bottom w:val="nil"/>
              <w:right w:val="nil"/>
            </w:tcBorders>
            <w:shd w:val="clear" w:color="auto" w:fill="auto"/>
            <w:noWrap/>
            <w:vAlign w:val="center"/>
            <w:hideMark/>
          </w:tcPr>
          <w:p w14:paraId="577B55CA"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Cob</w:t>
            </w:r>
          </w:p>
        </w:tc>
        <w:tc>
          <w:tcPr>
            <w:tcW w:w="822" w:type="pct"/>
            <w:tcBorders>
              <w:top w:val="nil"/>
              <w:left w:val="nil"/>
              <w:bottom w:val="nil"/>
              <w:right w:val="nil"/>
            </w:tcBorders>
            <w:shd w:val="clear" w:color="auto" w:fill="auto"/>
            <w:noWrap/>
            <w:vAlign w:val="center"/>
            <w:hideMark/>
          </w:tcPr>
          <w:p w14:paraId="3196FC40"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632.23 ac</w:t>
            </w:r>
          </w:p>
        </w:tc>
        <w:tc>
          <w:tcPr>
            <w:tcW w:w="605" w:type="pct"/>
            <w:tcBorders>
              <w:top w:val="nil"/>
              <w:left w:val="nil"/>
              <w:bottom w:val="nil"/>
              <w:right w:val="nil"/>
            </w:tcBorders>
            <w:shd w:val="clear" w:color="auto" w:fill="auto"/>
            <w:noWrap/>
            <w:vAlign w:val="center"/>
            <w:hideMark/>
          </w:tcPr>
          <w:p w14:paraId="0858033D"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199.81</w:t>
            </w:r>
          </w:p>
        </w:tc>
        <w:tc>
          <w:tcPr>
            <w:tcW w:w="729" w:type="pct"/>
            <w:tcBorders>
              <w:top w:val="nil"/>
              <w:left w:val="nil"/>
              <w:bottom w:val="nil"/>
              <w:right w:val="nil"/>
            </w:tcBorders>
            <w:shd w:val="clear" w:color="auto" w:fill="auto"/>
            <w:noWrap/>
            <w:vAlign w:val="center"/>
            <w:hideMark/>
          </w:tcPr>
          <w:p w14:paraId="3380E26C"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687.36 b</w:t>
            </w:r>
          </w:p>
        </w:tc>
        <w:tc>
          <w:tcPr>
            <w:tcW w:w="606" w:type="pct"/>
            <w:tcBorders>
              <w:top w:val="nil"/>
              <w:left w:val="nil"/>
              <w:bottom w:val="nil"/>
              <w:right w:val="nil"/>
            </w:tcBorders>
            <w:shd w:val="clear" w:color="auto" w:fill="auto"/>
            <w:noWrap/>
            <w:vAlign w:val="center"/>
            <w:hideMark/>
          </w:tcPr>
          <w:p w14:paraId="727B29F7"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270.19</w:t>
            </w:r>
          </w:p>
        </w:tc>
        <w:tc>
          <w:tcPr>
            <w:tcW w:w="631" w:type="pct"/>
            <w:tcBorders>
              <w:top w:val="nil"/>
              <w:left w:val="nil"/>
              <w:bottom w:val="nil"/>
              <w:right w:val="nil"/>
            </w:tcBorders>
            <w:shd w:val="clear" w:color="auto" w:fill="auto"/>
            <w:noWrap/>
            <w:vAlign w:val="center"/>
            <w:hideMark/>
          </w:tcPr>
          <w:p w14:paraId="7A05D5AC"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0.696</w:t>
            </w:r>
          </w:p>
        </w:tc>
        <w:tc>
          <w:tcPr>
            <w:tcW w:w="619" w:type="pct"/>
            <w:tcBorders>
              <w:top w:val="nil"/>
              <w:left w:val="nil"/>
              <w:bottom w:val="nil"/>
              <w:right w:val="nil"/>
            </w:tcBorders>
            <w:shd w:val="clear" w:color="auto" w:fill="auto"/>
            <w:noWrap/>
            <w:vAlign w:val="center"/>
            <w:hideMark/>
          </w:tcPr>
          <w:p w14:paraId="4CE32BE2"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0.016</w:t>
            </w:r>
          </w:p>
        </w:tc>
      </w:tr>
      <w:tr w:rsidR="00AA731D" w:rsidRPr="00F07DEB" w14:paraId="319AD609" w14:textId="77777777" w:rsidTr="000B31CB">
        <w:trPr>
          <w:trHeight w:val="292"/>
        </w:trPr>
        <w:tc>
          <w:tcPr>
            <w:tcW w:w="988" w:type="pct"/>
            <w:tcBorders>
              <w:top w:val="nil"/>
              <w:left w:val="nil"/>
              <w:bottom w:val="nil"/>
              <w:right w:val="nil"/>
            </w:tcBorders>
            <w:shd w:val="clear" w:color="auto" w:fill="auto"/>
            <w:noWrap/>
            <w:vAlign w:val="center"/>
            <w:hideMark/>
          </w:tcPr>
          <w:p w14:paraId="1435AFD0"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w:t>
            </w:r>
          </w:p>
        </w:tc>
        <w:tc>
          <w:tcPr>
            <w:tcW w:w="822" w:type="pct"/>
            <w:tcBorders>
              <w:top w:val="nil"/>
              <w:left w:val="nil"/>
              <w:bottom w:val="nil"/>
              <w:right w:val="nil"/>
            </w:tcBorders>
            <w:shd w:val="clear" w:color="auto" w:fill="auto"/>
            <w:noWrap/>
            <w:vAlign w:val="center"/>
            <w:hideMark/>
          </w:tcPr>
          <w:p w14:paraId="6AA67748"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1405.47 </w:t>
            </w:r>
            <w:proofErr w:type="spellStart"/>
            <w:r w:rsidRPr="00F07DEB">
              <w:rPr>
                <w:rFonts w:ascii="Times New Roman" w:eastAsia="Times New Roman" w:hAnsi="Times New Roman" w:cs="Times New Roman"/>
                <w:color w:val="000000"/>
                <w:sz w:val="20"/>
                <w:szCs w:val="20"/>
                <w:lang w:eastAsia="en-US"/>
              </w:rPr>
              <w:t>bc</w:t>
            </w:r>
            <w:proofErr w:type="spellEnd"/>
          </w:p>
        </w:tc>
        <w:tc>
          <w:tcPr>
            <w:tcW w:w="605" w:type="pct"/>
            <w:tcBorders>
              <w:top w:val="nil"/>
              <w:left w:val="nil"/>
              <w:bottom w:val="nil"/>
              <w:right w:val="nil"/>
            </w:tcBorders>
            <w:shd w:val="clear" w:color="auto" w:fill="auto"/>
            <w:noWrap/>
            <w:vAlign w:val="center"/>
            <w:hideMark/>
          </w:tcPr>
          <w:p w14:paraId="0F3AF241"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314.82</w:t>
            </w:r>
          </w:p>
        </w:tc>
        <w:tc>
          <w:tcPr>
            <w:tcW w:w="729" w:type="pct"/>
            <w:tcBorders>
              <w:top w:val="nil"/>
              <w:left w:val="nil"/>
              <w:bottom w:val="nil"/>
              <w:right w:val="nil"/>
            </w:tcBorders>
            <w:shd w:val="clear" w:color="auto" w:fill="auto"/>
            <w:noWrap/>
            <w:vAlign w:val="center"/>
            <w:hideMark/>
          </w:tcPr>
          <w:p w14:paraId="636C6D12"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1647.57 c</w:t>
            </w:r>
          </w:p>
        </w:tc>
        <w:tc>
          <w:tcPr>
            <w:tcW w:w="606" w:type="pct"/>
            <w:tcBorders>
              <w:top w:val="nil"/>
              <w:left w:val="nil"/>
              <w:bottom w:val="nil"/>
              <w:right w:val="nil"/>
            </w:tcBorders>
            <w:shd w:val="clear" w:color="auto" w:fill="auto"/>
            <w:noWrap/>
            <w:vAlign w:val="center"/>
            <w:hideMark/>
          </w:tcPr>
          <w:p w14:paraId="51A133FD"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679.60</w:t>
            </w:r>
          </w:p>
        </w:tc>
        <w:tc>
          <w:tcPr>
            <w:tcW w:w="631" w:type="pct"/>
            <w:tcBorders>
              <w:top w:val="nil"/>
              <w:left w:val="nil"/>
              <w:bottom w:val="nil"/>
              <w:right w:val="nil"/>
            </w:tcBorders>
            <w:shd w:val="clear" w:color="auto" w:fill="auto"/>
            <w:noWrap/>
            <w:vAlign w:val="center"/>
            <w:hideMark/>
          </w:tcPr>
          <w:p w14:paraId="305452B1"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0.447</w:t>
            </w:r>
          </w:p>
        </w:tc>
        <w:tc>
          <w:tcPr>
            <w:tcW w:w="619" w:type="pct"/>
            <w:tcBorders>
              <w:top w:val="nil"/>
              <w:left w:val="nil"/>
              <w:bottom w:val="nil"/>
              <w:right w:val="nil"/>
            </w:tcBorders>
            <w:shd w:val="clear" w:color="auto" w:fill="auto"/>
            <w:noWrap/>
            <w:vAlign w:val="center"/>
            <w:hideMark/>
          </w:tcPr>
          <w:p w14:paraId="2DF52BB7"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0.059</w:t>
            </w:r>
          </w:p>
        </w:tc>
      </w:tr>
      <w:tr w:rsidR="00AA731D" w:rsidRPr="00F07DEB" w14:paraId="0F6D0E3E" w14:textId="77777777" w:rsidTr="000B31CB">
        <w:trPr>
          <w:trHeight w:val="300"/>
        </w:trPr>
        <w:tc>
          <w:tcPr>
            <w:tcW w:w="988" w:type="pct"/>
            <w:tcBorders>
              <w:top w:val="nil"/>
              <w:left w:val="nil"/>
              <w:bottom w:val="single" w:sz="8" w:space="0" w:color="auto"/>
              <w:right w:val="nil"/>
            </w:tcBorders>
            <w:shd w:val="clear" w:color="auto" w:fill="auto"/>
            <w:noWrap/>
            <w:vAlign w:val="center"/>
            <w:hideMark/>
          </w:tcPr>
          <w:p w14:paraId="1C11E6D9"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822" w:type="pct"/>
            <w:tcBorders>
              <w:top w:val="nil"/>
              <w:left w:val="nil"/>
              <w:bottom w:val="single" w:sz="8" w:space="0" w:color="auto"/>
              <w:right w:val="nil"/>
            </w:tcBorders>
            <w:shd w:val="clear" w:color="auto" w:fill="auto"/>
            <w:noWrap/>
            <w:vAlign w:val="center"/>
            <w:hideMark/>
          </w:tcPr>
          <w:p w14:paraId="75D1C28F"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3533.94</w:t>
            </w:r>
          </w:p>
        </w:tc>
        <w:tc>
          <w:tcPr>
            <w:tcW w:w="605" w:type="pct"/>
            <w:tcBorders>
              <w:top w:val="nil"/>
              <w:left w:val="nil"/>
              <w:bottom w:val="single" w:sz="8" w:space="0" w:color="auto"/>
              <w:right w:val="nil"/>
            </w:tcBorders>
            <w:shd w:val="clear" w:color="auto" w:fill="auto"/>
            <w:noWrap/>
            <w:vAlign w:val="center"/>
            <w:hideMark/>
          </w:tcPr>
          <w:p w14:paraId="0B21DCD7"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983.55</w:t>
            </w:r>
          </w:p>
        </w:tc>
        <w:tc>
          <w:tcPr>
            <w:tcW w:w="729" w:type="pct"/>
            <w:tcBorders>
              <w:top w:val="nil"/>
              <w:left w:val="nil"/>
              <w:bottom w:val="single" w:sz="8" w:space="0" w:color="auto"/>
              <w:right w:val="nil"/>
            </w:tcBorders>
            <w:shd w:val="clear" w:color="auto" w:fill="auto"/>
            <w:noWrap/>
            <w:vAlign w:val="center"/>
            <w:hideMark/>
          </w:tcPr>
          <w:p w14:paraId="2D21E55F"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6332.26 a</w:t>
            </w:r>
          </w:p>
        </w:tc>
        <w:tc>
          <w:tcPr>
            <w:tcW w:w="606" w:type="pct"/>
            <w:tcBorders>
              <w:top w:val="nil"/>
              <w:left w:val="nil"/>
              <w:bottom w:val="single" w:sz="8" w:space="0" w:color="auto"/>
              <w:right w:val="nil"/>
            </w:tcBorders>
            <w:shd w:val="clear" w:color="auto" w:fill="auto"/>
            <w:noWrap/>
            <w:vAlign w:val="center"/>
            <w:hideMark/>
          </w:tcPr>
          <w:p w14:paraId="08692902"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1670.41</w:t>
            </w:r>
          </w:p>
        </w:tc>
        <w:tc>
          <w:tcPr>
            <w:tcW w:w="631" w:type="pct"/>
            <w:tcBorders>
              <w:top w:val="nil"/>
              <w:left w:val="nil"/>
              <w:bottom w:val="single" w:sz="8" w:space="0" w:color="auto"/>
              <w:right w:val="nil"/>
            </w:tcBorders>
            <w:shd w:val="clear" w:color="auto" w:fill="auto"/>
            <w:noWrap/>
            <w:vAlign w:val="center"/>
            <w:hideMark/>
          </w:tcPr>
          <w:p w14:paraId="4556EDBE"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0.005</w:t>
            </w:r>
          </w:p>
        </w:tc>
        <w:tc>
          <w:tcPr>
            <w:tcW w:w="619" w:type="pct"/>
            <w:tcBorders>
              <w:top w:val="nil"/>
              <w:left w:val="nil"/>
              <w:bottom w:val="single" w:sz="8" w:space="0" w:color="auto"/>
              <w:right w:val="nil"/>
            </w:tcBorders>
            <w:shd w:val="clear" w:color="auto" w:fill="auto"/>
            <w:noWrap/>
            <w:vAlign w:val="center"/>
            <w:hideMark/>
          </w:tcPr>
          <w:p w14:paraId="32EB7ED2"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0.556</w:t>
            </w:r>
          </w:p>
        </w:tc>
      </w:tr>
      <w:tr w:rsidR="00AA731D" w:rsidRPr="00F07DEB" w14:paraId="00954BDE" w14:textId="77777777" w:rsidTr="000B31CB">
        <w:trPr>
          <w:trHeight w:val="292"/>
        </w:trPr>
        <w:tc>
          <w:tcPr>
            <w:tcW w:w="988" w:type="pct"/>
            <w:tcBorders>
              <w:top w:val="nil"/>
              <w:left w:val="nil"/>
              <w:bottom w:val="nil"/>
              <w:right w:val="nil"/>
            </w:tcBorders>
            <w:shd w:val="clear" w:color="auto" w:fill="auto"/>
            <w:noWrap/>
            <w:vAlign w:val="center"/>
            <w:hideMark/>
          </w:tcPr>
          <w:p w14:paraId="65C80CBB"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Sorghum *</w:t>
            </w:r>
          </w:p>
        </w:tc>
        <w:tc>
          <w:tcPr>
            <w:tcW w:w="822" w:type="pct"/>
            <w:tcBorders>
              <w:top w:val="nil"/>
              <w:left w:val="nil"/>
              <w:bottom w:val="nil"/>
              <w:right w:val="nil"/>
            </w:tcBorders>
            <w:shd w:val="clear" w:color="auto" w:fill="auto"/>
            <w:noWrap/>
            <w:vAlign w:val="center"/>
            <w:hideMark/>
          </w:tcPr>
          <w:p w14:paraId="469D4237"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p>
        </w:tc>
        <w:tc>
          <w:tcPr>
            <w:tcW w:w="605" w:type="pct"/>
            <w:tcBorders>
              <w:top w:val="nil"/>
              <w:left w:val="nil"/>
              <w:bottom w:val="nil"/>
              <w:right w:val="nil"/>
            </w:tcBorders>
            <w:shd w:val="clear" w:color="auto" w:fill="auto"/>
            <w:noWrap/>
            <w:vAlign w:val="center"/>
            <w:hideMark/>
          </w:tcPr>
          <w:p w14:paraId="1A02217B"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c>
          <w:tcPr>
            <w:tcW w:w="729" w:type="pct"/>
            <w:tcBorders>
              <w:top w:val="nil"/>
              <w:left w:val="nil"/>
              <w:bottom w:val="nil"/>
              <w:right w:val="nil"/>
            </w:tcBorders>
            <w:shd w:val="clear" w:color="auto" w:fill="auto"/>
            <w:noWrap/>
            <w:vAlign w:val="center"/>
            <w:hideMark/>
          </w:tcPr>
          <w:p w14:paraId="5ECB3BEE"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c>
          <w:tcPr>
            <w:tcW w:w="606" w:type="pct"/>
            <w:tcBorders>
              <w:top w:val="nil"/>
              <w:left w:val="nil"/>
              <w:bottom w:val="nil"/>
              <w:right w:val="nil"/>
            </w:tcBorders>
            <w:shd w:val="clear" w:color="auto" w:fill="auto"/>
            <w:noWrap/>
            <w:vAlign w:val="center"/>
            <w:hideMark/>
          </w:tcPr>
          <w:p w14:paraId="35C707E8"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2F871F15"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c>
          <w:tcPr>
            <w:tcW w:w="619" w:type="pct"/>
            <w:tcBorders>
              <w:top w:val="nil"/>
              <w:left w:val="nil"/>
              <w:bottom w:val="nil"/>
              <w:right w:val="nil"/>
            </w:tcBorders>
            <w:shd w:val="clear" w:color="auto" w:fill="auto"/>
            <w:noWrap/>
            <w:vAlign w:val="center"/>
            <w:hideMark/>
          </w:tcPr>
          <w:p w14:paraId="6DC02D43"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r>
      <w:tr w:rsidR="00AA731D" w:rsidRPr="00F07DEB" w14:paraId="182412D1" w14:textId="77777777" w:rsidTr="000B31CB">
        <w:trPr>
          <w:trHeight w:val="292"/>
        </w:trPr>
        <w:tc>
          <w:tcPr>
            <w:tcW w:w="988" w:type="pct"/>
            <w:tcBorders>
              <w:top w:val="nil"/>
              <w:left w:val="nil"/>
              <w:bottom w:val="nil"/>
              <w:right w:val="nil"/>
            </w:tcBorders>
            <w:shd w:val="clear" w:color="auto" w:fill="auto"/>
            <w:noWrap/>
            <w:vAlign w:val="center"/>
            <w:hideMark/>
          </w:tcPr>
          <w:p w14:paraId="7A8C461B"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w:t>
            </w:r>
          </w:p>
        </w:tc>
        <w:tc>
          <w:tcPr>
            <w:tcW w:w="822" w:type="pct"/>
            <w:tcBorders>
              <w:top w:val="nil"/>
              <w:left w:val="nil"/>
              <w:bottom w:val="nil"/>
              <w:right w:val="nil"/>
            </w:tcBorders>
            <w:shd w:val="clear" w:color="auto" w:fill="auto"/>
            <w:noWrap/>
            <w:vAlign w:val="center"/>
            <w:hideMark/>
          </w:tcPr>
          <w:p w14:paraId="726A7E6E"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7641.03 a</w:t>
            </w:r>
          </w:p>
        </w:tc>
        <w:tc>
          <w:tcPr>
            <w:tcW w:w="605" w:type="pct"/>
            <w:tcBorders>
              <w:top w:val="nil"/>
              <w:left w:val="nil"/>
              <w:bottom w:val="nil"/>
              <w:right w:val="nil"/>
            </w:tcBorders>
            <w:shd w:val="clear" w:color="auto" w:fill="auto"/>
            <w:noWrap/>
            <w:vAlign w:val="center"/>
            <w:hideMark/>
          </w:tcPr>
          <w:p w14:paraId="7A813AAB"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1115.02</w:t>
            </w:r>
          </w:p>
        </w:tc>
        <w:tc>
          <w:tcPr>
            <w:tcW w:w="729" w:type="pct"/>
            <w:tcBorders>
              <w:top w:val="nil"/>
              <w:left w:val="nil"/>
              <w:bottom w:val="nil"/>
              <w:right w:val="nil"/>
            </w:tcBorders>
            <w:shd w:val="clear" w:color="auto" w:fill="auto"/>
            <w:noWrap/>
            <w:vAlign w:val="center"/>
            <w:hideMark/>
          </w:tcPr>
          <w:p w14:paraId="4AB4A3F0"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8802.31</w:t>
            </w:r>
          </w:p>
        </w:tc>
        <w:tc>
          <w:tcPr>
            <w:tcW w:w="606" w:type="pct"/>
            <w:tcBorders>
              <w:top w:val="nil"/>
              <w:left w:val="nil"/>
              <w:bottom w:val="nil"/>
              <w:right w:val="nil"/>
            </w:tcBorders>
            <w:shd w:val="clear" w:color="auto" w:fill="auto"/>
            <w:noWrap/>
            <w:vAlign w:val="center"/>
            <w:hideMark/>
          </w:tcPr>
          <w:p w14:paraId="0F0204BC"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865.12</w:t>
            </w:r>
          </w:p>
        </w:tc>
        <w:tc>
          <w:tcPr>
            <w:tcW w:w="631" w:type="pct"/>
            <w:tcBorders>
              <w:top w:val="nil"/>
              <w:left w:val="nil"/>
              <w:bottom w:val="nil"/>
              <w:right w:val="nil"/>
            </w:tcBorders>
            <w:shd w:val="clear" w:color="auto" w:fill="auto"/>
            <w:noWrap/>
            <w:vAlign w:val="center"/>
            <w:hideMark/>
          </w:tcPr>
          <w:p w14:paraId="5B7C4BE7"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0.065</w:t>
            </w:r>
          </w:p>
        </w:tc>
        <w:tc>
          <w:tcPr>
            <w:tcW w:w="619" w:type="pct"/>
            <w:tcBorders>
              <w:top w:val="nil"/>
              <w:left w:val="nil"/>
              <w:bottom w:val="nil"/>
              <w:right w:val="nil"/>
            </w:tcBorders>
            <w:shd w:val="clear" w:color="auto" w:fill="auto"/>
            <w:noWrap/>
            <w:vAlign w:val="center"/>
            <w:hideMark/>
          </w:tcPr>
          <w:p w14:paraId="4A78D22E"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0.301</w:t>
            </w:r>
          </w:p>
        </w:tc>
      </w:tr>
      <w:tr w:rsidR="00AA731D" w:rsidRPr="00F07DEB" w14:paraId="07ED8172" w14:textId="77777777" w:rsidTr="000B31CB">
        <w:trPr>
          <w:trHeight w:val="292"/>
        </w:trPr>
        <w:tc>
          <w:tcPr>
            <w:tcW w:w="988" w:type="pct"/>
            <w:tcBorders>
              <w:top w:val="nil"/>
              <w:left w:val="nil"/>
              <w:bottom w:val="nil"/>
              <w:right w:val="nil"/>
            </w:tcBorders>
            <w:shd w:val="clear" w:color="auto" w:fill="auto"/>
            <w:noWrap/>
            <w:vAlign w:val="center"/>
            <w:hideMark/>
          </w:tcPr>
          <w:p w14:paraId="3AF2A92D"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w:t>
            </w:r>
          </w:p>
        </w:tc>
        <w:tc>
          <w:tcPr>
            <w:tcW w:w="822" w:type="pct"/>
            <w:tcBorders>
              <w:top w:val="nil"/>
              <w:left w:val="nil"/>
              <w:bottom w:val="nil"/>
              <w:right w:val="nil"/>
            </w:tcBorders>
            <w:shd w:val="clear" w:color="auto" w:fill="auto"/>
            <w:noWrap/>
            <w:vAlign w:val="center"/>
            <w:hideMark/>
          </w:tcPr>
          <w:p w14:paraId="0A51079B"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1872.39 b</w:t>
            </w:r>
          </w:p>
        </w:tc>
        <w:tc>
          <w:tcPr>
            <w:tcW w:w="605" w:type="pct"/>
            <w:tcBorders>
              <w:top w:val="nil"/>
              <w:left w:val="nil"/>
              <w:bottom w:val="nil"/>
              <w:right w:val="nil"/>
            </w:tcBorders>
            <w:shd w:val="clear" w:color="auto" w:fill="auto"/>
            <w:noWrap/>
            <w:vAlign w:val="center"/>
            <w:hideMark/>
          </w:tcPr>
          <w:p w14:paraId="619D7A22"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1884.06</w:t>
            </w:r>
          </w:p>
        </w:tc>
        <w:tc>
          <w:tcPr>
            <w:tcW w:w="729" w:type="pct"/>
            <w:tcBorders>
              <w:top w:val="nil"/>
              <w:left w:val="nil"/>
              <w:bottom w:val="nil"/>
              <w:right w:val="nil"/>
            </w:tcBorders>
            <w:shd w:val="clear" w:color="auto" w:fill="auto"/>
            <w:noWrap/>
            <w:vAlign w:val="center"/>
            <w:hideMark/>
          </w:tcPr>
          <w:p w14:paraId="7163465C"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634.30</w:t>
            </w:r>
          </w:p>
        </w:tc>
        <w:tc>
          <w:tcPr>
            <w:tcW w:w="606" w:type="pct"/>
            <w:tcBorders>
              <w:top w:val="nil"/>
              <w:left w:val="nil"/>
              <w:bottom w:val="nil"/>
              <w:right w:val="nil"/>
            </w:tcBorders>
            <w:shd w:val="clear" w:color="auto" w:fill="auto"/>
            <w:noWrap/>
            <w:vAlign w:val="center"/>
            <w:hideMark/>
          </w:tcPr>
          <w:p w14:paraId="088F39BA"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88.63</w:t>
            </w:r>
          </w:p>
        </w:tc>
        <w:tc>
          <w:tcPr>
            <w:tcW w:w="631" w:type="pct"/>
            <w:tcBorders>
              <w:top w:val="nil"/>
              <w:left w:val="nil"/>
              <w:bottom w:val="nil"/>
              <w:right w:val="nil"/>
            </w:tcBorders>
            <w:shd w:val="clear" w:color="auto" w:fill="auto"/>
            <w:noWrap/>
            <w:vAlign w:val="center"/>
            <w:hideMark/>
          </w:tcPr>
          <w:p w14:paraId="79A6433F"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0.044</w:t>
            </w:r>
          </w:p>
        </w:tc>
        <w:tc>
          <w:tcPr>
            <w:tcW w:w="619" w:type="pct"/>
            <w:tcBorders>
              <w:top w:val="nil"/>
              <w:left w:val="nil"/>
              <w:bottom w:val="nil"/>
              <w:right w:val="nil"/>
            </w:tcBorders>
            <w:shd w:val="clear" w:color="auto" w:fill="auto"/>
            <w:noWrap/>
            <w:vAlign w:val="center"/>
            <w:hideMark/>
          </w:tcPr>
          <w:p w14:paraId="7A6ECE4E"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0.346</w:t>
            </w:r>
          </w:p>
        </w:tc>
      </w:tr>
      <w:tr w:rsidR="00AA731D" w:rsidRPr="00F07DEB" w14:paraId="1093DDC7" w14:textId="77777777" w:rsidTr="000B31CB">
        <w:trPr>
          <w:trHeight w:val="292"/>
        </w:trPr>
        <w:tc>
          <w:tcPr>
            <w:tcW w:w="988" w:type="pct"/>
            <w:tcBorders>
              <w:top w:val="nil"/>
              <w:left w:val="nil"/>
              <w:bottom w:val="nil"/>
              <w:right w:val="nil"/>
            </w:tcBorders>
            <w:shd w:val="clear" w:color="auto" w:fill="auto"/>
            <w:noWrap/>
            <w:vAlign w:val="center"/>
            <w:hideMark/>
          </w:tcPr>
          <w:p w14:paraId="3D8BB6AD"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w:t>
            </w:r>
          </w:p>
        </w:tc>
        <w:tc>
          <w:tcPr>
            <w:tcW w:w="822" w:type="pct"/>
            <w:tcBorders>
              <w:top w:val="nil"/>
              <w:left w:val="nil"/>
              <w:bottom w:val="nil"/>
              <w:right w:val="nil"/>
            </w:tcBorders>
            <w:shd w:val="clear" w:color="auto" w:fill="auto"/>
            <w:noWrap/>
            <w:vAlign w:val="center"/>
            <w:hideMark/>
          </w:tcPr>
          <w:p w14:paraId="33EBD088"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1984.77 b</w:t>
            </w:r>
          </w:p>
        </w:tc>
        <w:tc>
          <w:tcPr>
            <w:tcW w:w="605" w:type="pct"/>
            <w:tcBorders>
              <w:top w:val="nil"/>
              <w:left w:val="nil"/>
              <w:bottom w:val="nil"/>
              <w:right w:val="nil"/>
            </w:tcBorders>
            <w:shd w:val="clear" w:color="auto" w:fill="auto"/>
            <w:noWrap/>
            <w:vAlign w:val="center"/>
            <w:hideMark/>
          </w:tcPr>
          <w:p w14:paraId="78ABC865"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265.94</w:t>
            </w:r>
          </w:p>
        </w:tc>
        <w:tc>
          <w:tcPr>
            <w:tcW w:w="729" w:type="pct"/>
            <w:tcBorders>
              <w:top w:val="nil"/>
              <w:left w:val="nil"/>
              <w:bottom w:val="nil"/>
              <w:right w:val="nil"/>
            </w:tcBorders>
            <w:shd w:val="clear" w:color="auto" w:fill="auto"/>
            <w:noWrap/>
            <w:vAlign w:val="center"/>
            <w:hideMark/>
          </w:tcPr>
          <w:p w14:paraId="7133C678"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2602.96</w:t>
            </w:r>
          </w:p>
        </w:tc>
        <w:tc>
          <w:tcPr>
            <w:tcW w:w="606" w:type="pct"/>
            <w:tcBorders>
              <w:top w:val="nil"/>
              <w:left w:val="nil"/>
              <w:bottom w:val="nil"/>
              <w:right w:val="nil"/>
            </w:tcBorders>
            <w:shd w:val="clear" w:color="auto" w:fill="auto"/>
            <w:noWrap/>
            <w:vAlign w:val="center"/>
            <w:hideMark/>
          </w:tcPr>
          <w:p w14:paraId="6A51EC7E"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296.99</w:t>
            </w:r>
          </w:p>
        </w:tc>
        <w:tc>
          <w:tcPr>
            <w:tcW w:w="631" w:type="pct"/>
            <w:tcBorders>
              <w:top w:val="nil"/>
              <w:left w:val="nil"/>
              <w:bottom w:val="nil"/>
              <w:right w:val="nil"/>
            </w:tcBorders>
            <w:shd w:val="clear" w:color="auto" w:fill="auto"/>
            <w:noWrap/>
            <w:vAlign w:val="center"/>
            <w:hideMark/>
          </w:tcPr>
          <w:p w14:paraId="63EA8433"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0.003</w:t>
            </w:r>
          </w:p>
        </w:tc>
        <w:tc>
          <w:tcPr>
            <w:tcW w:w="619" w:type="pct"/>
            <w:tcBorders>
              <w:top w:val="nil"/>
              <w:left w:val="nil"/>
              <w:bottom w:val="nil"/>
              <w:right w:val="nil"/>
            </w:tcBorders>
            <w:shd w:val="clear" w:color="auto" w:fill="auto"/>
            <w:noWrap/>
            <w:vAlign w:val="center"/>
            <w:hideMark/>
          </w:tcPr>
          <w:p w14:paraId="36DE7DFB"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0.601</w:t>
            </w:r>
          </w:p>
        </w:tc>
      </w:tr>
      <w:tr w:rsidR="00AA731D" w:rsidRPr="00F07DEB" w14:paraId="6142CA43" w14:textId="77777777" w:rsidTr="000B31CB">
        <w:trPr>
          <w:trHeight w:val="300"/>
        </w:trPr>
        <w:tc>
          <w:tcPr>
            <w:tcW w:w="988" w:type="pct"/>
            <w:tcBorders>
              <w:top w:val="nil"/>
              <w:left w:val="nil"/>
              <w:bottom w:val="single" w:sz="8" w:space="0" w:color="auto"/>
              <w:right w:val="nil"/>
            </w:tcBorders>
            <w:shd w:val="clear" w:color="auto" w:fill="auto"/>
            <w:noWrap/>
            <w:vAlign w:val="center"/>
            <w:hideMark/>
          </w:tcPr>
          <w:p w14:paraId="13AFDBBC"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822" w:type="pct"/>
            <w:tcBorders>
              <w:top w:val="nil"/>
              <w:left w:val="nil"/>
              <w:bottom w:val="single" w:sz="8" w:space="0" w:color="auto"/>
              <w:right w:val="nil"/>
            </w:tcBorders>
            <w:shd w:val="clear" w:color="auto" w:fill="auto"/>
            <w:noWrap/>
            <w:vAlign w:val="center"/>
            <w:hideMark/>
          </w:tcPr>
          <w:p w14:paraId="5C8D76DD"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5739.52 a</w:t>
            </w:r>
          </w:p>
        </w:tc>
        <w:tc>
          <w:tcPr>
            <w:tcW w:w="605" w:type="pct"/>
            <w:tcBorders>
              <w:top w:val="nil"/>
              <w:left w:val="nil"/>
              <w:bottom w:val="single" w:sz="8" w:space="0" w:color="auto"/>
              <w:right w:val="nil"/>
            </w:tcBorders>
            <w:shd w:val="clear" w:color="auto" w:fill="auto"/>
            <w:noWrap/>
            <w:vAlign w:val="center"/>
            <w:hideMark/>
          </w:tcPr>
          <w:p w14:paraId="3A15E5A3"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916.72</w:t>
            </w:r>
          </w:p>
        </w:tc>
        <w:tc>
          <w:tcPr>
            <w:tcW w:w="729" w:type="pct"/>
            <w:tcBorders>
              <w:top w:val="nil"/>
              <w:left w:val="nil"/>
              <w:bottom w:val="single" w:sz="8" w:space="0" w:color="auto"/>
              <w:right w:val="nil"/>
            </w:tcBorders>
            <w:shd w:val="clear" w:color="auto" w:fill="auto"/>
            <w:noWrap/>
            <w:vAlign w:val="center"/>
            <w:hideMark/>
          </w:tcPr>
          <w:p w14:paraId="75176086"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5362.99</w:t>
            </w:r>
          </w:p>
        </w:tc>
        <w:tc>
          <w:tcPr>
            <w:tcW w:w="606" w:type="pct"/>
            <w:tcBorders>
              <w:top w:val="nil"/>
              <w:left w:val="nil"/>
              <w:bottom w:val="single" w:sz="8" w:space="0" w:color="auto"/>
              <w:right w:val="nil"/>
            </w:tcBorders>
            <w:shd w:val="clear" w:color="auto" w:fill="auto"/>
            <w:noWrap/>
            <w:vAlign w:val="center"/>
            <w:hideMark/>
          </w:tcPr>
          <w:p w14:paraId="1CDEEB5E"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932.65</w:t>
            </w:r>
          </w:p>
        </w:tc>
        <w:tc>
          <w:tcPr>
            <w:tcW w:w="631" w:type="pct"/>
            <w:tcBorders>
              <w:top w:val="nil"/>
              <w:left w:val="nil"/>
              <w:bottom w:val="single" w:sz="8" w:space="0" w:color="auto"/>
              <w:right w:val="nil"/>
            </w:tcBorders>
            <w:shd w:val="clear" w:color="auto" w:fill="auto"/>
            <w:noWrap/>
            <w:vAlign w:val="center"/>
            <w:hideMark/>
          </w:tcPr>
          <w:p w14:paraId="2EF84433"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0.520</w:t>
            </w:r>
          </w:p>
        </w:tc>
        <w:tc>
          <w:tcPr>
            <w:tcW w:w="619" w:type="pct"/>
            <w:tcBorders>
              <w:top w:val="nil"/>
              <w:left w:val="nil"/>
              <w:bottom w:val="single" w:sz="8" w:space="0" w:color="auto"/>
              <w:right w:val="nil"/>
            </w:tcBorders>
            <w:shd w:val="clear" w:color="auto" w:fill="auto"/>
            <w:noWrap/>
            <w:vAlign w:val="center"/>
            <w:hideMark/>
          </w:tcPr>
          <w:p w14:paraId="055D2435"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0.043</w:t>
            </w:r>
          </w:p>
        </w:tc>
      </w:tr>
      <w:tr w:rsidR="00AA731D" w:rsidRPr="00F07DEB" w14:paraId="07CBC6BA" w14:textId="77777777" w:rsidTr="000B31CB">
        <w:trPr>
          <w:trHeight w:val="292"/>
        </w:trPr>
        <w:tc>
          <w:tcPr>
            <w:tcW w:w="988" w:type="pct"/>
            <w:tcBorders>
              <w:top w:val="nil"/>
              <w:left w:val="nil"/>
              <w:bottom w:val="nil"/>
              <w:right w:val="nil"/>
            </w:tcBorders>
            <w:shd w:val="clear" w:color="auto" w:fill="auto"/>
            <w:noWrap/>
            <w:vAlign w:val="center"/>
            <w:hideMark/>
          </w:tcPr>
          <w:p w14:paraId="5A565158"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Bermuda grass</w:t>
            </w:r>
          </w:p>
        </w:tc>
        <w:tc>
          <w:tcPr>
            <w:tcW w:w="822" w:type="pct"/>
            <w:tcBorders>
              <w:top w:val="nil"/>
              <w:left w:val="nil"/>
              <w:bottom w:val="nil"/>
              <w:right w:val="nil"/>
            </w:tcBorders>
            <w:shd w:val="clear" w:color="auto" w:fill="auto"/>
            <w:noWrap/>
            <w:vAlign w:val="center"/>
            <w:hideMark/>
          </w:tcPr>
          <w:p w14:paraId="3C7B711D"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p>
        </w:tc>
        <w:tc>
          <w:tcPr>
            <w:tcW w:w="605" w:type="pct"/>
            <w:tcBorders>
              <w:top w:val="nil"/>
              <w:left w:val="nil"/>
              <w:bottom w:val="nil"/>
              <w:right w:val="nil"/>
            </w:tcBorders>
            <w:shd w:val="clear" w:color="auto" w:fill="auto"/>
            <w:noWrap/>
            <w:vAlign w:val="center"/>
            <w:hideMark/>
          </w:tcPr>
          <w:p w14:paraId="66AF3EB3"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c>
          <w:tcPr>
            <w:tcW w:w="729" w:type="pct"/>
            <w:tcBorders>
              <w:top w:val="nil"/>
              <w:left w:val="nil"/>
              <w:bottom w:val="nil"/>
              <w:right w:val="nil"/>
            </w:tcBorders>
            <w:shd w:val="clear" w:color="auto" w:fill="auto"/>
            <w:noWrap/>
            <w:vAlign w:val="center"/>
            <w:hideMark/>
          </w:tcPr>
          <w:p w14:paraId="6C0538B5"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c>
          <w:tcPr>
            <w:tcW w:w="606" w:type="pct"/>
            <w:tcBorders>
              <w:top w:val="nil"/>
              <w:left w:val="nil"/>
              <w:bottom w:val="nil"/>
              <w:right w:val="nil"/>
            </w:tcBorders>
            <w:shd w:val="clear" w:color="auto" w:fill="auto"/>
            <w:noWrap/>
            <w:vAlign w:val="center"/>
            <w:hideMark/>
          </w:tcPr>
          <w:p w14:paraId="1F5D763C"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5F8DA6A6"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c>
          <w:tcPr>
            <w:tcW w:w="619" w:type="pct"/>
            <w:tcBorders>
              <w:top w:val="nil"/>
              <w:left w:val="nil"/>
              <w:bottom w:val="nil"/>
              <w:right w:val="nil"/>
            </w:tcBorders>
            <w:shd w:val="clear" w:color="auto" w:fill="auto"/>
            <w:noWrap/>
            <w:vAlign w:val="center"/>
            <w:hideMark/>
          </w:tcPr>
          <w:p w14:paraId="583F19C0" w14:textId="77777777" w:rsidR="00AA731D" w:rsidRPr="00F07DEB" w:rsidRDefault="00AA731D" w:rsidP="00692A23">
            <w:pPr>
              <w:spacing w:after="0" w:line="240" w:lineRule="auto"/>
              <w:rPr>
                <w:rFonts w:ascii="Times New Roman" w:eastAsia="Times New Roman" w:hAnsi="Times New Roman" w:cs="Times New Roman"/>
                <w:sz w:val="20"/>
                <w:szCs w:val="20"/>
                <w:lang w:eastAsia="en-US"/>
              </w:rPr>
            </w:pPr>
          </w:p>
        </w:tc>
      </w:tr>
      <w:tr w:rsidR="00AA731D" w:rsidRPr="00F07DEB" w14:paraId="4ED6FA9D" w14:textId="77777777" w:rsidTr="000B31CB">
        <w:trPr>
          <w:trHeight w:val="292"/>
        </w:trPr>
        <w:tc>
          <w:tcPr>
            <w:tcW w:w="988" w:type="pct"/>
            <w:tcBorders>
              <w:top w:val="nil"/>
              <w:left w:val="nil"/>
              <w:bottom w:val="nil"/>
              <w:right w:val="nil"/>
            </w:tcBorders>
            <w:shd w:val="clear" w:color="auto" w:fill="auto"/>
            <w:noWrap/>
            <w:vAlign w:val="center"/>
            <w:hideMark/>
          </w:tcPr>
          <w:p w14:paraId="2F93773B"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Grass1 †</w:t>
            </w:r>
          </w:p>
        </w:tc>
        <w:tc>
          <w:tcPr>
            <w:tcW w:w="822" w:type="pct"/>
            <w:tcBorders>
              <w:top w:val="nil"/>
              <w:left w:val="nil"/>
              <w:bottom w:val="nil"/>
              <w:right w:val="nil"/>
            </w:tcBorders>
            <w:shd w:val="clear" w:color="auto" w:fill="auto"/>
            <w:noWrap/>
            <w:vAlign w:val="center"/>
            <w:hideMark/>
          </w:tcPr>
          <w:p w14:paraId="4751EBF9"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9132.89</w:t>
            </w:r>
          </w:p>
        </w:tc>
        <w:tc>
          <w:tcPr>
            <w:tcW w:w="605" w:type="pct"/>
            <w:tcBorders>
              <w:top w:val="nil"/>
              <w:left w:val="nil"/>
              <w:bottom w:val="nil"/>
              <w:right w:val="nil"/>
            </w:tcBorders>
            <w:shd w:val="clear" w:color="auto" w:fill="auto"/>
            <w:noWrap/>
            <w:vAlign w:val="center"/>
            <w:hideMark/>
          </w:tcPr>
          <w:p w14:paraId="2CD68B9F"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1308.73</w:t>
            </w:r>
          </w:p>
        </w:tc>
        <w:tc>
          <w:tcPr>
            <w:tcW w:w="729" w:type="pct"/>
            <w:tcBorders>
              <w:top w:val="nil"/>
              <w:left w:val="nil"/>
              <w:bottom w:val="nil"/>
              <w:right w:val="nil"/>
            </w:tcBorders>
            <w:shd w:val="clear" w:color="auto" w:fill="auto"/>
            <w:noWrap/>
            <w:vAlign w:val="center"/>
            <w:hideMark/>
          </w:tcPr>
          <w:p w14:paraId="3DB71646"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8977.23</w:t>
            </w:r>
          </w:p>
        </w:tc>
        <w:tc>
          <w:tcPr>
            <w:tcW w:w="606" w:type="pct"/>
            <w:tcBorders>
              <w:top w:val="nil"/>
              <w:left w:val="nil"/>
              <w:bottom w:val="nil"/>
              <w:right w:val="nil"/>
            </w:tcBorders>
            <w:shd w:val="clear" w:color="auto" w:fill="auto"/>
            <w:noWrap/>
            <w:vAlign w:val="center"/>
            <w:hideMark/>
          </w:tcPr>
          <w:p w14:paraId="33DE4828"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517.45</w:t>
            </w:r>
          </w:p>
        </w:tc>
        <w:tc>
          <w:tcPr>
            <w:tcW w:w="631" w:type="pct"/>
            <w:vMerge w:val="restart"/>
            <w:tcBorders>
              <w:top w:val="nil"/>
              <w:left w:val="nil"/>
              <w:bottom w:val="single" w:sz="8" w:space="0" w:color="000000"/>
              <w:right w:val="nil"/>
            </w:tcBorders>
            <w:shd w:val="clear" w:color="auto" w:fill="auto"/>
            <w:noWrap/>
            <w:vAlign w:val="center"/>
            <w:hideMark/>
          </w:tcPr>
          <w:p w14:paraId="7183005E"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0.406</w:t>
            </w:r>
          </w:p>
        </w:tc>
        <w:tc>
          <w:tcPr>
            <w:tcW w:w="619" w:type="pct"/>
            <w:vMerge w:val="restart"/>
            <w:tcBorders>
              <w:top w:val="nil"/>
              <w:left w:val="nil"/>
              <w:bottom w:val="single" w:sz="8" w:space="0" w:color="000000"/>
              <w:right w:val="nil"/>
            </w:tcBorders>
            <w:shd w:val="clear" w:color="auto" w:fill="auto"/>
            <w:noWrap/>
            <w:vAlign w:val="center"/>
            <w:hideMark/>
          </w:tcPr>
          <w:p w14:paraId="49B20E2F" w14:textId="77777777" w:rsidR="00AA731D" w:rsidRPr="00F07DEB" w:rsidRDefault="00AA731D"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0.07</w:t>
            </w:r>
          </w:p>
        </w:tc>
      </w:tr>
      <w:tr w:rsidR="00AA731D" w:rsidRPr="00F07DEB" w14:paraId="511C818F" w14:textId="77777777" w:rsidTr="000B31CB">
        <w:trPr>
          <w:trHeight w:val="292"/>
        </w:trPr>
        <w:tc>
          <w:tcPr>
            <w:tcW w:w="988" w:type="pct"/>
            <w:tcBorders>
              <w:top w:val="nil"/>
              <w:left w:val="nil"/>
              <w:bottom w:val="nil"/>
              <w:right w:val="nil"/>
            </w:tcBorders>
            <w:shd w:val="clear" w:color="auto" w:fill="auto"/>
            <w:noWrap/>
            <w:vAlign w:val="bottom"/>
            <w:hideMark/>
          </w:tcPr>
          <w:p w14:paraId="28593533"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Grass2 ‡</w:t>
            </w:r>
          </w:p>
        </w:tc>
        <w:tc>
          <w:tcPr>
            <w:tcW w:w="822" w:type="pct"/>
            <w:tcBorders>
              <w:top w:val="nil"/>
              <w:left w:val="nil"/>
              <w:bottom w:val="nil"/>
              <w:right w:val="nil"/>
            </w:tcBorders>
            <w:shd w:val="clear" w:color="auto" w:fill="auto"/>
            <w:noWrap/>
            <w:vAlign w:val="bottom"/>
            <w:hideMark/>
          </w:tcPr>
          <w:p w14:paraId="015AA90B"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5928.40</w:t>
            </w:r>
          </w:p>
        </w:tc>
        <w:tc>
          <w:tcPr>
            <w:tcW w:w="605" w:type="pct"/>
            <w:tcBorders>
              <w:top w:val="nil"/>
              <w:left w:val="nil"/>
              <w:bottom w:val="nil"/>
              <w:right w:val="nil"/>
            </w:tcBorders>
            <w:shd w:val="clear" w:color="auto" w:fill="auto"/>
            <w:noWrap/>
            <w:vAlign w:val="bottom"/>
            <w:hideMark/>
          </w:tcPr>
          <w:p w14:paraId="0E13B15D"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758.01</w:t>
            </w:r>
          </w:p>
        </w:tc>
        <w:tc>
          <w:tcPr>
            <w:tcW w:w="729" w:type="pct"/>
            <w:tcBorders>
              <w:top w:val="nil"/>
              <w:left w:val="nil"/>
              <w:bottom w:val="nil"/>
              <w:right w:val="nil"/>
            </w:tcBorders>
            <w:shd w:val="clear" w:color="auto" w:fill="auto"/>
            <w:noWrap/>
            <w:vAlign w:val="bottom"/>
            <w:hideMark/>
          </w:tcPr>
          <w:p w14:paraId="2487F044"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7039.15</w:t>
            </w:r>
          </w:p>
        </w:tc>
        <w:tc>
          <w:tcPr>
            <w:tcW w:w="606" w:type="pct"/>
            <w:tcBorders>
              <w:top w:val="nil"/>
              <w:left w:val="nil"/>
              <w:bottom w:val="nil"/>
              <w:right w:val="nil"/>
            </w:tcBorders>
            <w:shd w:val="clear" w:color="auto" w:fill="auto"/>
            <w:noWrap/>
            <w:vAlign w:val="bottom"/>
            <w:hideMark/>
          </w:tcPr>
          <w:p w14:paraId="0E191784"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639.01</w:t>
            </w:r>
          </w:p>
        </w:tc>
        <w:tc>
          <w:tcPr>
            <w:tcW w:w="631" w:type="pct"/>
            <w:vMerge/>
            <w:tcBorders>
              <w:top w:val="nil"/>
              <w:left w:val="nil"/>
              <w:bottom w:val="single" w:sz="8" w:space="0" w:color="000000"/>
              <w:right w:val="nil"/>
            </w:tcBorders>
            <w:vAlign w:val="center"/>
            <w:hideMark/>
          </w:tcPr>
          <w:p w14:paraId="73A7E4A0"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p>
        </w:tc>
        <w:tc>
          <w:tcPr>
            <w:tcW w:w="619" w:type="pct"/>
            <w:vMerge/>
            <w:tcBorders>
              <w:top w:val="nil"/>
              <w:left w:val="nil"/>
              <w:bottom w:val="single" w:sz="8" w:space="0" w:color="000000"/>
              <w:right w:val="nil"/>
            </w:tcBorders>
            <w:vAlign w:val="center"/>
            <w:hideMark/>
          </w:tcPr>
          <w:p w14:paraId="0AFAC321"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p>
        </w:tc>
      </w:tr>
      <w:tr w:rsidR="00AA731D" w:rsidRPr="00F07DEB" w14:paraId="21085D77" w14:textId="77777777" w:rsidTr="000B31CB">
        <w:trPr>
          <w:trHeight w:val="300"/>
        </w:trPr>
        <w:tc>
          <w:tcPr>
            <w:tcW w:w="988" w:type="pct"/>
            <w:tcBorders>
              <w:top w:val="nil"/>
              <w:left w:val="nil"/>
              <w:bottom w:val="single" w:sz="8" w:space="0" w:color="auto"/>
              <w:right w:val="nil"/>
            </w:tcBorders>
            <w:shd w:val="clear" w:color="auto" w:fill="auto"/>
            <w:noWrap/>
            <w:vAlign w:val="bottom"/>
            <w:hideMark/>
          </w:tcPr>
          <w:p w14:paraId="4DA32A1C"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 †‡</w:t>
            </w:r>
          </w:p>
        </w:tc>
        <w:tc>
          <w:tcPr>
            <w:tcW w:w="822" w:type="pct"/>
            <w:tcBorders>
              <w:top w:val="nil"/>
              <w:left w:val="nil"/>
              <w:bottom w:val="single" w:sz="8" w:space="0" w:color="auto"/>
              <w:right w:val="nil"/>
            </w:tcBorders>
            <w:shd w:val="clear" w:color="auto" w:fill="auto"/>
            <w:noWrap/>
            <w:vAlign w:val="bottom"/>
            <w:hideMark/>
          </w:tcPr>
          <w:p w14:paraId="079341E0"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7676.18</w:t>
            </w:r>
          </w:p>
        </w:tc>
        <w:tc>
          <w:tcPr>
            <w:tcW w:w="605" w:type="pct"/>
            <w:tcBorders>
              <w:top w:val="nil"/>
              <w:left w:val="nil"/>
              <w:bottom w:val="single" w:sz="8" w:space="0" w:color="auto"/>
              <w:right w:val="nil"/>
            </w:tcBorders>
            <w:shd w:val="clear" w:color="auto" w:fill="auto"/>
            <w:noWrap/>
            <w:vAlign w:val="bottom"/>
            <w:hideMark/>
          </w:tcPr>
          <w:p w14:paraId="3752EFB7"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2443.27</w:t>
            </w:r>
          </w:p>
        </w:tc>
        <w:tc>
          <w:tcPr>
            <w:tcW w:w="729" w:type="pct"/>
            <w:tcBorders>
              <w:top w:val="nil"/>
              <w:left w:val="nil"/>
              <w:bottom w:val="single" w:sz="8" w:space="0" w:color="auto"/>
              <w:right w:val="nil"/>
            </w:tcBorders>
            <w:shd w:val="clear" w:color="auto" w:fill="auto"/>
            <w:noWrap/>
            <w:vAlign w:val="bottom"/>
            <w:hideMark/>
          </w:tcPr>
          <w:p w14:paraId="03C301F2"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8140.45</w:t>
            </w:r>
          </w:p>
        </w:tc>
        <w:tc>
          <w:tcPr>
            <w:tcW w:w="606" w:type="pct"/>
            <w:tcBorders>
              <w:top w:val="nil"/>
              <w:left w:val="nil"/>
              <w:bottom w:val="single" w:sz="8" w:space="0" w:color="auto"/>
              <w:right w:val="nil"/>
            </w:tcBorders>
            <w:shd w:val="clear" w:color="auto" w:fill="auto"/>
            <w:noWrap/>
            <w:vAlign w:val="bottom"/>
            <w:hideMark/>
          </w:tcPr>
          <w:p w14:paraId="6B2E58CF"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1237.23</w:t>
            </w:r>
          </w:p>
        </w:tc>
        <w:tc>
          <w:tcPr>
            <w:tcW w:w="631" w:type="pct"/>
            <w:vMerge/>
            <w:tcBorders>
              <w:top w:val="nil"/>
              <w:left w:val="nil"/>
              <w:bottom w:val="single" w:sz="8" w:space="0" w:color="000000"/>
              <w:right w:val="nil"/>
            </w:tcBorders>
            <w:vAlign w:val="center"/>
            <w:hideMark/>
          </w:tcPr>
          <w:p w14:paraId="6C11EA5E"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p>
        </w:tc>
        <w:tc>
          <w:tcPr>
            <w:tcW w:w="619" w:type="pct"/>
            <w:vMerge/>
            <w:tcBorders>
              <w:top w:val="nil"/>
              <w:left w:val="nil"/>
              <w:bottom w:val="single" w:sz="8" w:space="0" w:color="000000"/>
              <w:right w:val="nil"/>
            </w:tcBorders>
            <w:vAlign w:val="center"/>
            <w:hideMark/>
          </w:tcPr>
          <w:p w14:paraId="06590B04" w14:textId="77777777" w:rsidR="00AA731D" w:rsidRPr="00F07DEB" w:rsidRDefault="00AA731D" w:rsidP="00AA731D">
            <w:pPr>
              <w:spacing w:after="0" w:line="240" w:lineRule="auto"/>
              <w:rPr>
                <w:rFonts w:ascii="Times New Roman" w:eastAsia="Times New Roman" w:hAnsi="Times New Roman" w:cs="Times New Roman"/>
                <w:color w:val="000000"/>
                <w:sz w:val="20"/>
                <w:szCs w:val="20"/>
                <w:lang w:eastAsia="en-US"/>
              </w:rPr>
            </w:pPr>
          </w:p>
        </w:tc>
      </w:tr>
    </w:tbl>
    <w:p w14:paraId="4FD8E146" w14:textId="70DC8A2E" w:rsidR="004617CB" w:rsidRDefault="004617CB" w:rsidP="004617CB">
      <w:pPr>
        <w:spacing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sz w:val="20"/>
          <w:szCs w:val="20"/>
        </w:rPr>
        <w:t xml:space="preserve">Species whose data were log-transformed for mixed ANOVA are indicated with an asterisk. When the interaction effect was not significant, the results of </w:t>
      </w:r>
      <w:proofErr w:type="spellStart"/>
      <w:r w:rsidRPr="00F07DEB">
        <w:rPr>
          <w:rFonts w:ascii="Times New Roman" w:hAnsi="Times New Roman" w:cs="Times New Roman"/>
          <w:sz w:val="20"/>
          <w:szCs w:val="20"/>
        </w:rPr>
        <w:t>Sidak</w:t>
      </w:r>
      <w:proofErr w:type="spellEnd"/>
      <w:r w:rsidRPr="00F07DEB">
        <w:rPr>
          <w:rFonts w:ascii="Times New Roman" w:hAnsi="Times New Roman" w:cs="Times New Roman"/>
          <w:sz w:val="20"/>
          <w:szCs w:val="20"/>
        </w:rPr>
        <w:t xml:space="preserve">-corrected pairwise comparisons of main effects are indicated by a single value in the </w:t>
      </w:r>
      <w:r w:rsidRPr="00F07DEB">
        <w:rPr>
          <w:rFonts w:ascii="Times New Roman" w:hAnsi="Times New Roman" w:cs="Times New Roman"/>
          <w:i/>
          <w:sz w:val="20"/>
          <w:szCs w:val="20"/>
        </w:rPr>
        <w:t>p</w:t>
      </w:r>
      <w:r w:rsidRPr="00F07DEB">
        <w:rPr>
          <w:rFonts w:ascii="Times New Roman" w:hAnsi="Times New Roman" w:cs="Times New Roman"/>
          <w:sz w:val="20"/>
          <w:szCs w:val="20"/>
        </w:rPr>
        <w:t xml:space="preserve"> column (irrigation treatment main effect) and symbols (e.g., </w:t>
      </w:r>
      <w:r w:rsidRPr="00F07DEB">
        <w:rPr>
          <w:rFonts w:ascii="Times New Roman" w:eastAsia="Times New Roman" w:hAnsi="Times New Roman" w:cs="Times New Roman"/>
          <w:color w:val="000000"/>
          <w:sz w:val="20"/>
          <w:szCs w:val="20"/>
          <w:lang w:eastAsia="en-US"/>
        </w:rPr>
        <w:t xml:space="preserve">†‡) next to structure names (plant structure main effect). Plant structures that share a symbol were not significantly different </w:t>
      </w:r>
      <w:r w:rsidR="007B463F">
        <w:rPr>
          <w:rFonts w:ascii="Times New Roman" w:eastAsia="Times New Roman" w:hAnsi="Times New Roman" w:cs="Times New Roman"/>
          <w:color w:val="000000"/>
          <w:sz w:val="20"/>
          <w:szCs w:val="20"/>
          <w:lang w:eastAsia="en-US"/>
        </w:rPr>
        <w:t>(</w:t>
      </w:r>
      <w:r w:rsidR="007B463F" w:rsidRPr="00204C13">
        <w:rPr>
          <w:rFonts w:ascii="Times New Roman" w:eastAsia="Times New Roman" w:hAnsi="Times New Roman" w:cs="Times New Roman"/>
          <w:i/>
          <w:color w:val="000000"/>
          <w:sz w:val="20"/>
          <w:szCs w:val="20"/>
          <w:lang w:eastAsia="en-US"/>
        </w:rPr>
        <w:t>p</w:t>
      </w:r>
      <w:r w:rsidR="007B463F">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lang w:eastAsia="en-US"/>
        </w:rPr>
        <w:t xml:space="preserve"> 0.05). When the interaction effect was significant for a </w:t>
      </w:r>
      <w:r w:rsidR="00B643F2">
        <w:rPr>
          <w:rFonts w:ascii="Times New Roman" w:eastAsia="Times New Roman" w:hAnsi="Times New Roman" w:cs="Times New Roman"/>
          <w:color w:val="000000"/>
          <w:sz w:val="20"/>
          <w:szCs w:val="20"/>
          <w:lang w:eastAsia="en-US"/>
        </w:rPr>
        <w:t>species</w:t>
      </w:r>
      <w:r w:rsidRPr="00F07DEB">
        <w:rPr>
          <w:rFonts w:ascii="Times New Roman" w:eastAsia="Times New Roman" w:hAnsi="Times New Roman" w:cs="Times New Roman"/>
          <w:color w:val="000000"/>
          <w:sz w:val="20"/>
          <w:szCs w:val="20"/>
          <w:lang w:eastAsia="en-US"/>
        </w:rPr>
        <w:t xml:space="preserve">, the results of </w:t>
      </w:r>
      <w:proofErr w:type="spellStart"/>
      <w:r w:rsidRPr="00F07DEB">
        <w:rPr>
          <w:rFonts w:ascii="Times New Roman" w:eastAsia="Times New Roman" w:hAnsi="Times New Roman" w:cs="Times New Roman"/>
          <w:color w:val="000000"/>
          <w:sz w:val="20"/>
          <w:szCs w:val="20"/>
          <w:lang w:eastAsia="en-US"/>
        </w:rPr>
        <w:t>Sidak</w:t>
      </w:r>
      <w:proofErr w:type="spellEnd"/>
      <w:r w:rsidRPr="00F07DEB">
        <w:rPr>
          <w:rFonts w:ascii="Times New Roman" w:eastAsia="Times New Roman" w:hAnsi="Times New Roman" w:cs="Times New Roman"/>
          <w:color w:val="000000"/>
          <w:sz w:val="20"/>
          <w:szCs w:val="20"/>
          <w:lang w:eastAsia="en-US"/>
        </w:rPr>
        <w:t>-corrected pairwise comparisons of simple main effects are indicated by a value in every row of the</w:t>
      </w:r>
      <w:r w:rsidRPr="00F07DEB">
        <w:rPr>
          <w:rFonts w:ascii="Times New Roman" w:eastAsia="Times New Roman" w:hAnsi="Times New Roman" w:cs="Times New Roman"/>
          <w:i/>
          <w:color w:val="000000"/>
          <w:sz w:val="20"/>
          <w:szCs w:val="20"/>
          <w:lang w:eastAsia="en-US"/>
        </w:rPr>
        <w:t xml:space="preserve"> p</w:t>
      </w:r>
      <w:r w:rsidRPr="00F07DEB">
        <w:rPr>
          <w:rFonts w:ascii="Times New Roman" w:eastAsia="Times New Roman" w:hAnsi="Times New Roman" w:cs="Times New Roman"/>
          <w:color w:val="000000"/>
          <w:sz w:val="20"/>
          <w:szCs w:val="20"/>
          <w:lang w:eastAsia="en-US"/>
        </w:rPr>
        <w:t xml:space="preserve"> column for the </w:t>
      </w:r>
      <w:r w:rsidR="00B643F2">
        <w:rPr>
          <w:rFonts w:ascii="Times New Roman" w:eastAsia="Times New Roman" w:hAnsi="Times New Roman" w:cs="Times New Roman"/>
          <w:color w:val="000000"/>
          <w:sz w:val="20"/>
          <w:szCs w:val="20"/>
          <w:lang w:eastAsia="en-US"/>
        </w:rPr>
        <w:t>species</w:t>
      </w:r>
      <w:r w:rsidR="00B643F2" w:rsidRPr="00F07DEB">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lang w:eastAsia="en-US"/>
        </w:rPr>
        <w:t>(irrigation treatment simple main effect) and letters (e</w:t>
      </w:r>
      <w:r w:rsidR="0057650B">
        <w:rPr>
          <w:rFonts w:ascii="Times New Roman" w:eastAsia="Times New Roman" w:hAnsi="Times New Roman" w:cs="Times New Roman"/>
          <w:color w:val="000000"/>
          <w:sz w:val="20"/>
          <w:szCs w:val="20"/>
          <w:lang w:eastAsia="en-US"/>
        </w:rPr>
        <w:t>.</w:t>
      </w:r>
      <w:r w:rsidRPr="00F07DEB">
        <w:rPr>
          <w:rFonts w:ascii="Times New Roman" w:eastAsia="Times New Roman" w:hAnsi="Times New Roman" w:cs="Times New Roman"/>
          <w:color w:val="000000"/>
          <w:sz w:val="20"/>
          <w:szCs w:val="20"/>
          <w:lang w:eastAsia="en-US"/>
        </w:rPr>
        <w:t xml:space="preserve">g., ab) next to mean concentrations. Structure concentrations from the same </w:t>
      </w:r>
      <w:r w:rsidR="00B643F2">
        <w:rPr>
          <w:rFonts w:ascii="Times New Roman" w:eastAsia="Times New Roman" w:hAnsi="Times New Roman" w:cs="Times New Roman"/>
          <w:color w:val="000000"/>
          <w:sz w:val="20"/>
          <w:szCs w:val="20"/>
          <w:lang w:eastAsia="en-US"/>
        </w:rPr>
        <w:t>species</w:t>
      </w:r>
      <w:r w:rsidR="00B643F2" w:rsidRPr="00F07DEB">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lang w:eastAsia="en-US"/>
        </w:rPr>
        <w:t>and irrigation treatment that share a letter were not significantly different (</w:t>
      </w:r>
      <w:r w:rsidR="009D49F2" w:rsidRPr="00F07DEB">
        <w:rPr>
          <w:rFonts w:ascii="Times New Roman" w:eastAsia="Times New Roman" w:hAnsi="Times New Roman" w:cs="Times New Roman"/>
          <w:color w:val="000000"/>
          <w:sz w:val="20"/>
          <w:szCs w:val="20"/>
          <w:lang w:eastAsia="en-US"/>
        </w:rPr>
        <w:t xml:space="preserve">plant structure simple main effect, </w:t>
      </w:r>
      <w:r w:rsidRPr="00F07DEB">
        <w:rPr>
          <w:rFonts w:ascii="Times New Roman" w:eastAsia="Times New Roman" w:hAnsi="Times New Roman" w:cs="Times New Roman"/>
          <w:color w:val="000000"/>
          <w:sz w:val="20"/>
          <w:szCs w:val="20"/>
          <w:lang w:eastAsia="en-US"/>
        </w:rPr>
        <w:t>alpha = 0.05).</w:t>
      </w:r>
    </w:p>
    <w:p w14:paraId="2F71E94E" w14:textId="77777777" w:rsidR="00B3002C" w:rsidRPr="00F07DEB" w:rsidRDefault="00B3002C" w:rsidP="004617CB">
      <w:pPr>
        <w:spacing w:line="240" w:lineRule="auto"/>
        <w:rPr>
          <w:rFonts w:ascii="Times New Roman" w:eastAsia="Times New Roman" w:hAnsi="Times New Roman" w:cs="Times New Roman"/>
          <w:color w:val="000000"/>
          <w:sz w:val="20"/>
          <w:szCs w:val="20"/>
          <w:lang w:eastAsia="en-US"/>
        </w:rPr>
      </w:pPr>
    </w:p>
    <w:p w14:paraId="2CE26A70" w14:textId="69625FEC" w:rsidR="005B4FE1" w:rsidRPr="00F07DEB" w:rsidRDefault="002E56C1" w:rsidP="005B4FE1">
      <w:pPr>
        <w:keepNext/>
        <w:spacing w:line="480" w:lineRule="auto"/>
        <w:jc w:val="center"/>
        <w:rPr>
          <w:rFonts w:ascii="Times New Roman" w:hAnsi="Times New Roman" w:cs="Times New Roman"/>
        </w:rPr>
      </w:pPr>
      <w:r w:rsidRPr="002E56C1">
        <w:rPr>
          <w:rFonts w:ascii="Times New Roman" w:hAnsi="Times New Roman" w:cs="Times New Roman"/>
          <w:noProof/>
          <w:lang w:eastAsia="en-US"/>
        </w:rPr>
        <w:lastRenderedPageBreak/>
        <w:drawing>
          <wp:inline distT="0" distB="0" distL="0" distR="0" wp14:anchorId="6EC6C133" wp14:editId="37FFC7EF">
            <wp:extent cx="5943600" cy="2971800"/>
            <wp:effectExtent l="0" t="0" r="0" b="0"/>
            <wp:docPr id="8" name="Picture 8" descr="C:\Users\harper3663\Documents\School\_CREW\Irrigation Project\R\Plots\Plant Metals\Corrected\PlantC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arper3663\Documents\School\_CREW\Irrigation Project\R\Plots\Plant Metals\Corrected\PlantCa1.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6B39266D" w14:textId="2A15642C" w:rsidR="00692A23" w:rsidRDefault="005B4FE1" w:rsidP="00204C13">
      <w:pPr>
        <w:pStyle w:val="Caption"/>
        <w:rPr>
          <w:noProof/>
        </w:rPr>
      </w:pPr>
      <w:bookmarkStart w:id="138" w:name="_Ref56249041"/>
      <w:bookmarkStart w:id="139" w:name="_Toc58975245"/>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35</w:t>
      </w:r>
      <w:r w:rsidR="00DE3B90" w:rsidRPr="00F07DEB">
        <w:rPr>
          <w:noProof/>
        </w:rPr>
        <w:fldChar w:fldCharType="end"/>
      </w:r>
      <w:bookmarkEnd w:id="138"/>
      <w:r w:rsidRPr="00F07DEB">
        <w:rPr>
          <w:noProof/>
        </w:rPr>
        <w:t>: Box plots of Ca concentrations in each plant and structure in mg/kg</w:t>
      </w:r>
      <w:bookmarkEnd w:id="139"/>
    </w:p>
    <w:p w14:paraId="40102C67" w14:textId="77777777" w:rsidR="00B3002C" w:rsidRPr="00B3002C" w:rsidRDefault="00B3002C" w:rsidP="00B3002C"/>
    <w:p w14:paraId="4A21E1EB" w14:textId="0482701C" w:rsidR="00692A23" w:rsidRPr="00F07DEB" w:rsidRDefault="00095678" w:rsidP="00692A23">
      <w:pPr>
        <w:spacing w:line="480" w:lineRule="auto"/>
        <w:rPr>
          <w:rFonts w:ascii="Times New Roman" w:hAnsi="Times New Roman" w:cs="Times New Roman"/>
          <w:sz w:val="24"/>
          <w:szCs w:val="24"/>
        </w:rPr>
      </w:pPr>
      <w:r w:rsidRPr="00F07DEB">
        <w:rPr>
          <w:rFonts w:ascii="Times New Roman" w:hAnsi="Times New Roman" w:cs="Times New Roman"/>
          <w:sz w:val="24"/>
          <w:szCs w:val="24"/>
        </w:rPr>
        <w:tab/>
      </w:r>
      <w:r w:rsidR="009678A2">
        <w:rPr>
          <w:rFonts w:ascii="Times New Roman" w:hAnsi="Times New Roman" w:cs="Times New Roman"/>
          <w:sz w:val="24"/>
          <w:szCs w:val="24"/>
        </w:rPr>
        <w:t>Cd</w:t>
      </w:r>
      <w:r w:rsidRPr="00F07DEB">
        <w:rPr>
          <w:rFonts w:ascii="Times New Roman" w:hAnsi="Times New Roman" w:cs="Times New Roman"/>
          <w:sz w:val="24"/>
          <w:szCs w:val="24"/>
        </w:rPr>
        <w:t xml:space="preserve"> concentrations</w:t>
      </w:r>
      <w:r w:rsidR="00466AD0" w:rsidRPr="00F07DEB">
        <w:rPr>
          <w:rFonts w:ascii="Times New Roman" w:hAnsi="Times New Roman" w:cs="Times New Roman"/>
          <w:sz w:val="24"/>
          <w:szCs w:val="24"/>
        </w:rPr>
        <w:t xml:space="preserve">, presented in </w:t>
      </w:r>
      <w:r w:rsidR="00466AD0" w:rsidRPr="00F07DEB">
        <w:rPr>
          <w:rFonts w:ascii="Times New Roman" w:hAnsi="Times New Roman" w:cs="Times New Roman"/>
          <w:sz w:val="24"/>
          <w:szCs w:val="24"/>
        </w:rPr>
        <w:fldChar w:fldCharType="begin"/>
      </w:r>
      <w:r w:rsidR="00466AD0" w:rsidRPr="00F07DEB">
        <w:rPr>
          <w:rFonts w:ascii="Times New Roman" w:hAnsi="Times New Roman" w:cs="Times New Roman"/>
          <w:sz w:val="24"/>
          <w:szCs w:val="24"/>
        </w:rPr>
        <w:instrText xml:space="preserve"> REF _Ref56256653 \h  \* MERGEFORMAT </w:instrText>
      </w:r>
      <w:r w:rsidR="00466AD0" w:rsidRPr="00F07DEB">
        <w:rPr>
          <w:rFonts w:ascii="Times New Roman" w:hAnsi="Times New Roman" w:cs="Times New Roman"/>
          <w:sz w:val="24"/>
          <w:szCs w:val="24"/>
        </w:rPr>
      </w:r>
      <w:r w:rsidR="00466AD0"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Table </w:t>
      </w:r>
      <w:r w:rsidR="00E179CA" w:rsidRPr="00E179CA">
        <w:rPr>
          <w:rFonts w:ascii="Times New Roman" w:hAnsi="Times New Roman" w:cs="Times New Roman"/>
          <w:noProof/>
          <w:sz w:val="24"/>
          <w:szCs w:val="24"/>
        </w:rPr>
        <w:t>20</w:t>
      </w:r>
      <w:r w:rsidR="00466AD0" w:rsidRPr="00F07DEB">
        <w:rPr>
          <w:rFonts w:ascii="Times New Roman" w:hAnsi="Times New Roman" w:cs="Times New Roman"/>
          <w:sz w:val="24"/>
          <w:szCs w:val="24"/>
        </w:rPr>
        <w:fldChar w:fldCharType="end"/>
      </w:r>
      <w:r w:rsidR="00466AD0" w:rsidRPr="00F07DEB">
        <w:rPr>
          <w:rFonts w:ascii="Times New Roman" w:hAnsi="Times New Roman" w:cs="Times New Roman"/>
          <w:sz w:val="24"/>
          <w:szCs w:val="24"/>
        </w:rPr>
        <w:t xml:space="preserve"> and </w:t>
      </w:r>
      <w:r w:rsidR="00466AD0" w:rsidRPr="00F07DEB">
        <w:rPr>
          <w:rFonts w:ascii="Times New Roman" w:hAnsi="Times New Roman" w:cs="Times New Roman"/>
          <w:sz w:val="24"/>
          <w:szCs w:val="24"/>
        </w:rPr>
        <w:fldChar w:fldCharType="begin"/>
      </w:r>
      <w:r w:rsidR="00466AD0" w:rsidRPr="00F07DEB">
        <w:rPr>
          <w:rFonts w:ascii="Times New Roman" w:hAnsi="Times New Roman" w:cs="Times New Roman"/>
          <w:sz w:val="24"/>
          <w:szCs w:val="24"/>
        </w:rPr>
        <w:instrText xml:space="preserve"> REF _Ref56256660 \h  \* MERGEFORMAT </w:instrText>
      </w:r>
      <w:r w:rsidR="00466AD0" w:rsidRPr="00F07DEB">
        <w:rPr>
          <w:rFonts w:ascii="Times New Roman" w:hAnsi="Times New Roman" w:cs="Times New Roman"/>
          <w:sz w:val="24"/>
          <w:szCs w:val="24"/>
        </w:rPr>
      </w:r>
      <w:r w:rsidR="00466AD0"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36</w:t>
      </w:r>
      <w:r w:rsidR="00466AD0" w:rsidRPr="00F07DEB">
        <w:rPr>
          <w:rFonts w:ascii="Times New Roman" w:hAnsi="Times New Roman" w:cs="Times New Roman"/>
          <w:sz w:val="24"/>
          <w:szCs w:val="24"/>
        </w:rPr>
        <w:fldChar w:fldCharType="end"/>
      </w:r>
      <w:r w:rsidR="00466AD0" w:rsidRPr="00F07DEB">
        <w:rPr>
          <w:rFonts w:ascii="Times New Roman" w:hAnsi="Times New Roman" w:cs="Times New Roman"/>
          <w:sz w:val="24"/>
          <w:szCs w:val="24"/>
        </w:rPr>
        <w:t>,</w:t>
      </w:r>
      <w:r w:rsidRPr="00F07DEB">
        <w:rPr>
          <w:rFonts w:ascii="Times New Roman" w:hAnsi="Times New Roman" w:cs="Times New Roman"/>
          <w:sz w:val="24"/>
          <w:szCs w:val="24"/>
        </w:rPr>
        <w:t xml:space="preserve"> were highest in the roots for every species under both irrigation treatments. Mine water-irrigated corn and sorghum plants accumulated higher root Cd concentrations than their groundwater-irrigated counterparts</w:t>
      </w:r>
      <w:r w:rsidR="00421B82">
        <w:rPr>
          <w:rFonts w:ascii="Times New Roman" w:hAnsi="Times New Roman" w:cs="Times New Roman"/>
          <w:sz w:val="24"/>
          <w:szCs w:val="24"/>
        </w:rPr>
        <w:t xml:space="preserve"> (Table 20)</w:t>
      </w:r>
      <w:r w:rsidRPr="00F07DEB">
        <w:rPr>
          <w:rFonts w:ascii="Times New Roman" w:hAnsi="Times New Roman" w:cs="Times New Roman"/>
          <w:sz w:val="24"/>
          <w:szCs w:val="24"/>
        </w:rPr>
        <w:t>; no other structures exhibited significantly different Cd concentrations as a result of irrigation treatment</w:t>
      </w:r>
      <w:r w:rsidR="00421B82">
        <w:rPr>
          <w:rFonts w:ascii="Times New Roman" w:hAnsi="Times New Roman" w:cs="Times New Roman"/>
          <w:sz w:val="24"/>
          <w:szCs w:val="24"/>
        </w:rPr>
        <w:t xml:space="preserve"> (</w:t>
      </w:r>
      <w:r w:rsidR="005606CE">
        <w:rPr>
          <w:rFonts w:ascii="Times New Roman" w:hAnsi="Times New Roman" w:cs="Times New Roman"/>
          <w:sz w:val="24"/>
          <w:szCs w:val="24"/>
        </w:rPr>
        <w:t>Student’s t-test,</w:t>
      </w:r>
      <w:r w:rsidR="00421B82">
        <w:rPr>
          <w:rFonts w:ascii="Times New Roman" w:hAnsi="Times New Roman" w:cs="Times New Roman"/>
          <w:sz w:val="24"/>
          <w:szCs w:val="24"/>
        </w:rPr>
        <w:t xml:space="preserve"> </w:t>
      </w:r>
      <w:r w:rsidR="00421B82" w:rsidRPr="00385CDA">
        <w:rPr>
          <w:rFonts w:ascii="Times New Roman" w:hAnsi="Times New Roman" w:cs="Times New Roman"/>
          <w:i/>
          <w:sz w:val="24"/>
          <w:szCs w:val="24"/>
        </w:rPr>
        <w:t>p</w:t>
      </w:r>
      <w:r w:rsidR="00421B82">
        <w:rPr>
          <w:rFonts w:ascii="Times New Roman" w:hAnsi="Times New Roman" w:cs="Times New Roman"/>
          <w:sz w:val="24"/>
          <w:szCs w:val="24"/>
        </w:rPr>
        <w:t xml:space="preserve"> &gt; 0.05)</w:t>
      </w:r>
      <w:r w:rsidRPr="00F07DEB">
        <w:rPr>
          <w:rFonts w:ascii="Times New Roman" w:hAnsi="Times New Roman" w:cs="Times New Roman"/>
          <w:sz w:val="24"/>
          <w:szCs w:val="24"/>
        </w:rPr>
        <w:t xml:space="preserve">. This suggests that, while higher mine water </w:t>
      </w:r>
      <w:r w:rsidR="009678A2">
        <w:rPr>
          <w:rFonts w:ascii="Times New Roman" w:hAnsi="Times New Roman" w:cs="Times New Roman"/>
          <w:sz w:val="24"/>
          <w:szCs w:val="24"/>
        </w:rPr>
        <w:t>Cd</w:t>
      </w:r>
      <w:r w:rsidRPr="00F07DEB">
        <w:rPr>
          <w:rFonts w:ascii="Times New Roman" w:hAnsi="Times New Roman" w:cs="Times New Roman"/>
          <w:sz w:val="24"/>
          <w:szCs w:val="24"/>
        </w:rPr>
        <w:t xml:space="preserve"> concentrations result in elevated Cd exposure and accumulation in corn and sorghum, Cd translocation</w:t>
      </w:r>
      <w:r w:rsidR="00EC0629">
        <w:rPr>
          <w:rFonts w:ascii="Times New Roman" w:hAnsi="Times New Roman" w:cs="Times New Roman"/>
          <w:sz w:val="24"/>
          <w:szCs w:val="24"/>
        </w:rPr>
        <w:t xml:space="preserve"> is mitigated by complexation and sequestration in the roots</w:t>
      </w:r>
      <w:r w:rsidRPr="00F07DEB">
        <w:rPr>
          <w:rFonts w:ascii="Times New Roman" w:hAnsi="Times New Roman" w:cs="Times New Roman"/>
          <w:sz w:val="24"/>
          <w:szCs w:val="24"/>
        </w:rPr>
        <w:t xml:space="preserve">, rendering groundwater and mine water-irrigated aboveground biomass indistinguishable in terms of </w:t>
      </w:r>
      <w:r w:rsidR="009678A2">
        <w:rPr>
          <w:rFonts w:ascii="Times New Roman" w:hAnsi="Times New Roman" w:cs="Times New Roman"/>
          <w:sz w:val="24"/>
          <w:szCs w:val="24"/>
        </w:rPr>
        <w:t>Cd</w:t>
      </w:r>
      <w:r w:rsidRPr="00F07DEB">
        <w:rPr>
          <w:rFonts w:ascii="Times New Roman" w:hAnsi="Times New Roman" w:cs="Times New Roman"/>
          <w:sz w:val="24"/>
          <w:szCs w:val="24"/>
        </w:rPr>
        <w:t xml:space="preserve"> concentrations. </w:t>
      </w:r>
      <w:r w:rsidR="009678A2">
        <w:rPr>
          <w:rFonts w:ascii="Times New Roman" w:hAnsi="Times New Roman" w:cs="Times New Roman"/>
          <w:sz w:val="24"/>
          <w:szCs w:val="24"/>
        </w:rPr>
        <w:t>Cd</w:t>
      </w:r>
      <w:r w:rsidR="00E23C3A" w:rsidRPr="00F07DEB">
        <w:rPr>
          <w:rFonts w:ascii="Times New Roman" w:hAnsi="Times New Roman" w:cs="Times New Roman"/>
          <w:sz w:val="24"/>
          <w:szCs w:val="24"/>
        </w:rPr>
        <w:t xml:space="preserve"> uptake was similar to accumulation observed in the roots and leaves of corn grown near mine tailings, and although root Cd concentrations were above the norm</w:t>
      </w:r>
      <w:r w:rsidR="00421B82">
        <w:rPr>
          <w:rFonts w:ascii="Times New Roman" w:hAnsi="Times New Roman" w:cs="Times New Roman"/>
          <w:sz w:val="24"/>
          <w:szCs w:val="24"/>
        </w:rPr>
        <w:t>al range of 0.05 to 0.2 mg/kg DW</w:t>
      </w:r>
      <w:r w:rsidR="00E23C3A" w:rsidRPr="00F07DEB">
        <w:rPr>
          <w:rFonts w:ascii="Times New Roman" w:hAnsi="Times New Roman" w:cs="Times New Roman"/>
          <w:sz w:val="24"/>
          <w:szCs w:val="24"/>
        </w:rPr>
        <w:t xml:space="preserve"> in all species, they consistently remained below </w:t>
      </w:r>
      <w:r w:rsidR="00421B82">
        <w:rPr>
          <w:rFonts w:ascii="Times New Roman" w:hAnsi="Times New Roman" w:cs="Times New Roman"/>
          <w:sz w:val="24"/>
          <w:szCs w:val="24"/>
        </w:rPr>
        <w:t>toxic levels of 5 to 20 mg/kg DW</w:t>
      </w:r>
      <w:r w:rsidR="00E23C3A" w:rsidRPr="00F07DEB">
        <w:rPr>
          <w:rFonts w:ascii="Times New Roman" w:hAnsi="Times New Roman" w:cs="Times New Roman"/>
          <w:sz w:val="24"/>
          <w:szCs w:val="24"/>
        </w:rPr>
        <w:t xml:space="preserve"> </w:t>
      </w:r>
      <w:r w:rsidR="00E23C3A" w:rsidRPr="00F07DEB">
        <w:rPr>
          <w:rFonts w:ascii="Times New Roman" w:hAnsi="Times New Roman" w:cs="Times New Roman"/>
          <w:sz w:val="24"/>
          <w:szCs w:val="24"/>
        </w:rPr>
        <w:fldChar w:fldCharType="begin"/>
      </w:r>
      <w:r w:rsidR="006811C1" w:rsidRPr="00F07DEB">
        <w:rPr>
          <w:rFonts w:ascii="Times New Roman" w:hAnsi="Times New Roman" w:cs="Times New Roman"/>
          <w:sz w:val="24"/>
          <w:szCs w:val="24"/>
        </w:rPr>
        <w:instrText xml:space="preserve"> ADDIN ZOTERO_ITEM CSL_CITATION {"citationID":"amlqdnslfd","properties":{"formattedCitation":"(Armienta et al., 2020)","plainCitation":"(Armienta et al., 2020)","noteIndex":0},"citationItems":[{"id":869,"uris":["http://zotero.org/users/5446453/items/3HP465Q4"],"uri":["http://zotero.org/users/5446453/items/3HP465Q4"],"itemData":{"id":869,"type":"article-journal","container-title":"Environmental Geochemistry and Health","DOI":"10.1007/s10653-019-00424-1","ISSN":"0269-4042, 1573-2983","issue":"8","journalAbbreviation":"Environ Geochem Health","language":"en","page":"2361-2375","source":"DOI.org (Crossref)","title":"Heavy metal assimilation in maize (Zea mays L.) plants growing near mine tailings","volume":"42","author":[{"family":"Armienta","given":"María Aurora"},{"family":"Beltrán","given":"Margarita"},{"family":"Martínez","given":"Sarayth"},{"family":"Labastida","given":"Israel"}],"issued":{"date-parts":[["2020",8]]}}}],"schema":"https://github.com/citation-style-language/schema/raw/master/csl-citation.json"} </w:instrText>
      </w:r>
      <w:r w:rsidR="00E23C3A"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(Armienta et al., 2020)</w:t>
      </w:r>
      <w:r w:rsidR="00E23C3A" w:rsidRPr="00F07DEB">
        <w:rPr>
          <w:rFonts w:ascii="Times New Roman" w:hAnsi="Times New Roman" w:cs="Times New Roman"/>
          <w:sz w:val="24"/>
          <w:szCs w:val="24"/>
        </w:rPr>
        <w:fldChar w:fldCharType="end"/>
      </w:r>
      <w:r w:rsidR="00E23C3A" w:rsidRPr="00F07DEB">
        <w:rPr>
          <w:rFonts w:ascii="Times New Roman" w:hAnsi="Times New Roman" w:cs="Times New Roman"/>
          <w:sz w:val="24"/>
          <w:szCs w:val="24"/>
        </w:rPr>
        <w:t xml:space="preserve">. </w:t>
      </w:r>
    </w:p>
    <w:p w14:paraId="02DAE556" w14:textId="782B268E" w:rsidR="000B31CB" w:rsidRPr="00F07DEB" w:rsidRDefault="000B31CB" w:rsidP="00204C13">
      <w:pPr>
        <w:pStyle w:val="Caption"/>
      </w:pPr>
      <w:bookmarkStart w:id="140" w:name="_Ref56256653"/>
      <w:bookmarkStart w:id="141" w:name="_Toc58975206"/>
      <w:r w:rsidRPr="00F07DEB">
        <w:lastRenderedPageBreak/>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20</w:t>
      </w:r>
      <w:r w:rsidR="00DE3B90" w:rsidRPr="00F07DEB">
        <w:rPr>
          <w:noProof/>
        </w:rPr>
        <w:fldChar w:fldCharType="end"/>
      </w:r>
      <w:bookmarkEnd w:id="140"/>
      <w:r w:rsidRPr="00F07DEB">
        <w:t xml:space="preserve">: Means, standard deviations of plant Cd concentrations in mg/kg </w:t>
      </w:r>
      <w:r w:rsidR="008701DF" w:rsidRPr="00F07DEB">
        <w:t>compared via mixed ANOVA</w:t>
      </w:r>
      <w:bookmarkEnd w:id="141"/>
    </w:p>
    <w:tbl>
      <w:tblPr>
        <w:tblW w:w="5000" w:type="pct"/>
        <w:tblLook w:val="04A0" w:firstRow="1" w:lastRow="0" w:firstColumn="1" w:lastColumn="0" w:noHBand="0" w:noVBand="1"/>
      </w:tblPr>
      <w:tblGrid>
        <w:gridCol w:w="1850"/>
        <w:gridCol w:w="1625"/>
        <w:gridCol w:w="1078"/>
        <w:gridCol w:w="1391"/>
        <w:gridCol w:w="1078"/>
        <w:gridCol w:w="1181"/>
        <w:gridCol w:w="1157"/>
      </w:tblGrid>
      <w:tr w:rsidR="00692A23" w:rsidRPr="00F07DEB" w14:paraId="010F5C49" w14:textId="77777777" w:rsidTr="009D49F2">
        <w:trPr>
          <w:trHeight w:val="292"/>
        </w:trPr>
        <w:tc>
          <w:tcPr>
            <w:tcW w:w="988" w:type="pct"/>
            <w:tcBorders>
              <w:top w:val="single" w:sz="8" w:space="0" w:color="auto"/>
              <w:left w:val="nil"/>
              <w:bottom w:val="nil"/>
              <w:right w:val="nil"/>
            </w:tcBorders>
            <w:shd w:val="clear" w:color="auto" w:fill="auto"/>
            <w:noWrap/>
            <w:vAlign w:val="bottom"/>
            <w:hideMark/>
          </w:tcPr>
          <w:p w14:paraId="1966328A"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2763" w:type="pct"/>
            <w:gridSpan w:val="4"/>
            <w:tcBorders>
              <w:top w:val="single" w:sz="8" w:space="0" w:color="auto"/>
              <w:left w:val="nil"/>
              <w:bottom w:val="nil"/>
              <w:right w:val="nil"/>
            </w:tcBorders>
            <w:shd w:val="clear" w:color="auto" w:fill="auto"/>
            <w:noWrap/>
            <w:vAlign w:val="bottom"/>
            <w:hideMark/>
          </w:tcPr>
          <w:p w14:paraId="00AD89D1" w14:textId="77777777" w:rsidR="00692A23" w:rsidRPr="00F07DEB" w:rsidRDefault="00692A23" w:rsidP="00692A23">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Treatment</w:t>
            </w:r>
          </w:p>
        </w:tc>
        <w:tc>
          <w:tcPr>
            <w:tcW w:w="631" w:type="pct"/>
            <w:tcBorders>
              <w:top w:val="single" w:sz="8" w:space="0" w:color="auto"/>
              <w:left w:val="nil"/>
              <w:bottom w:val="nil"/>
              <w:right w:val="nil"/>
            </w:tcBorders>
            <w:shd w:val="clear" w:color="auto" w:fill="auto"/>
            <w:noWrap/>
            <w:vAlign w:val="bottom"/>
            <w:hideMark/>
          </w:tcPr>
          <w:p w14:paraId="1C8CB473" w14:textId="77777777" w:rsidR="00692A23" w:rsidRPr="00F07DEB" w:rsidRDefault="00692A23" w:rsidP="00692A23">
            <w:pPr>
              <w:spacing w:after="0" w:line="240" w:lineRule="auto"/>
              <w:jc w:val="center"/>
              <w:rPr>
                <w:rFonts w:ascii="Times New Roman" w:eastAsia="Times New Roman" w:hAnsi="Times New Roman" w:cs="Times New Roman"/>
                <w:color w:val="000000"/>
                <w:sz w:val="20"/>
                <w:szCs w:val="20"/>
                <w:lang w:eastAsia="en-US"/>
              </w:rPr>
            </w:pPr>
          </w:p>
        </w:tc>
        <w:tc>
          <w:tcPr>
            <w:tcW w:w="618" w:type="pct"/>
            <w:tcBorders>
              <w:top w:val="single" w:sz="8" w:space="0" w:color="auto"/>
              <w:left w:val="nil"/>
              <w:bottom w:val="nil"/>
              <w:right w:val="nil"/>
            </w:tcBorders>
            <w:shd w:val="clear" w:color="auto" w:fill="auto"/>
            <w:noWrap/>
            <w:vAlign w:val="bottom"/>
            <w:hideMark/>
          </w:tcPr>
          <w:p w14:paraId="5CF368FB"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r>
      <w:tr w:rsidR="00692A23" w:rsidRPr="00F07DEB" w14:paraId="4332F9CB" w14:textId="77777777" w:rsidTr="009D49F2">
        <w:trPr>
          <w:trHeight w:val="300"/>
        </w:trPr>
        <w:tc>
          <w:tcPr>
            <w:tcW w:w="988" w:type="pct"/>
            <w:tcBorders>
              <w:top w:val="nil"/>
              <w:left w:val="nil"/>
              <w:bottom w:val="nil"/>
              <w:right w:val="nil"/>
            </w:tcBorders>
            <w:shd w:val="clear" w:color="auto" w:fill="auto"/>
            <w:noWrap/>
            <w:vAlign w:val="bottom"/>
            <w:hideMark/>
          </w:tcPr>
          <w:p w14:paraId="45541850"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1444" w:type="pct"/>
            <w:gridSpan w:val="2"/>
            <w:tcBorders>
              <w:top w:val="nil"/>
              <w:left w:val="nil"/>
              <w:bottom w:val="single" w:sz="8" w:space="0" w:color="auto"/>
              <w:right w:val="nil"/>
            </w:tcBorders>
            <w:shd w:val="clear" w:color="auto" w:fill="auto"/>
            <w:noWrap/>
            <w:vAlign w:val="bottom"/>
            <w:hideMark/>
          </w:tcPr>
          <w:p w14:paraId="46358CF4" w14:textId="77777777" w:rsidR="00692A23" w:rsidRPr="00F07DEB" w:rsidRDefault="00692A23" w:rsidP="00692A23">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Groundwater</w:t>
            </w:r>
          </w:p>
        </w:tc>
        <w:tc>
          <w:tcPr>
            <w:tcW w:w="1319" w:type="pct"/>
            <w:gridSpan w:val="2"/>
            <w:tcBorders>
              <w:top w:val="nil"/>
              <w:left w:val="nil"/>
              <w:bottom w:val="single" w:sz="8" w:space="0" w:color="auto"/>
              <w:right w:val="nil"/>
            </w:tcBorders>
            <w:shd w:val="clear" w:color="auto" w:fill="auto"/>
            <w:noWrap/>
            <w:vAlign w:val="bottom"/>
            <w:hideMark/>
          </w:tcPr>
          <w:p w14:paraId="0F6D546B" w14:textId="77777777" w:rsidR="00692A23" w:rsidRPr="00F07DEB" w:rsidRDefault="00692A23" w:rsidP="00692A23">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Mine water</w:t>
            </w:r>
          </w:p>
        </w:tc>
        <w:tc>
          <w:tcPr>
            <w:tcW w:w="631" w:type="pct"/>
            <w:tcBorders>
              <w:top w:val="nil"/>
              <w:left w:val="nil"/>
              <w:bottom w:val="nil"/>
              <w:right w:val="nil"/>
            </w:tcBorders>
            <w:shd w:val="clear" w:color="auto" w:fill="auto"/>
            <w:noWrap/>
            <w:vAlign w:val="bottom"/>
            <w:hideMark/>
          </w:tcPr>
          <w:p w14:paraId="704C564C" w14:textId="77777777" w:rsidR="00692A23" w:rsidRPr="00F07DEB" w:rsidRDefault="00692A23" w:rsidP="00692A23">
            <w:pPr>
              <w:spacing w:after="0" w:line="240" w:lineRule="auto"/>
              <w:jc w:val="center"/>
              <w:rPr>
                <w:rFonts w:ascii="Times New Roman" w:eastAsia="Times New Roman" w:hAnsi="Times New Roman" w:cs="Times New Roman"/>
                <w:color w:val="000000"/>
                <w:sz w:val="20"/>
                <w:szCs w:val="20"/>
                <w:lang w:eastAsia="en-US"/>
              </w:rPr>
            </w:pPr>
          </w:p>
        </w:tc>
        <w:tc>
          <w:tcPr>
            <w:tcW w:w="618" w:type="pct"/>
            <w:vMerge w:val="restart"/>
            <w:tcBorders>
              <w:top w:val="nil"/>
              <w:left w:val="nil"/>
              <w:bottom w:val="single" w:sz="8" w:space="0" w:color="000000"/>
              <w:right w:val="nil"/>
            </w:tcBorders>
            <w:shd w:val="clear" w:color="auto" w:fill="auto"/>
            <w:vAlign w:val="bottom"/>
            <w:hideMark/>
          </w:tcPr>
          <w:p w14:paraId="3B97A21D" w14:textId="7E06E1FB" w:rsidR="00692A23" w:rsidRPr="00F07DEB" w:rsidRDefault="0057650B"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r>
      <w:tr w:rsidR="00692A23" w:rsidRPr="00F07DEB" w14:paraId="16F7EEF1" w14:textId="77777777" w:rsidTr="009D49F2">
        <w:trPr>
          <w:trHeight w:val="300"/>
        </w:trPr>
        <w:tc>
          <w:tcPr>
            <w:tcW w:w="988" w:type="pct"/>
            <w:tcBorders>
              <w:top w:val="nil"/>
              <w:left w:val="nil"/>
              <w:bottom w:val="single" w:sz="8" w:space="0" w:color="auto"/>
              <w:right w:val="nil"/>
            </w:tcBorders>
            <w:shd w:val="clear" w:color="auto" w:fill="auto"/>
            <w:noWrap/>
            <w:vAlign w:val="center"/>
            <w:hideMark/>
          </w:tcPr>
          <w:p w14:paraId="15A5B09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Structure</w:t>
            </w:r>
          </w:p>
        </w:tc>
        <w:tc>
          <w:tcPr>
            <w:tcW w:w="868" w:type="pct"/>
            <w:tcBorders>
              <w:top w:val="nil"/>
              <w:left w:val="nil"/>
              <w:bottom w:val="single" w:sz="8" w:space="0" w:color="auto"/>
              <w:right w:val="nil"/>
            </w:tcBorders>
            <w:shd w:val="clear" w:color="auto" w:fill="auto"/>
            <w:noWrap/>
            <w:vAlign w:val="center"/>
            <w:hideMark/>
          </w:tcPr>
          <w:p w14:paraId="10758F5E"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576" w:type="pct"/>
            <w:tcBorders>
              <w:top w:val="nil"/>
              <w:left w:val="nil"/>
              <w:bottom w:val="single" w:sz="8" w:space="0" w:color="auto"/>
              <w:right w:val="nil"/>
            </w:tcBorders>
            <w:shd w:val="clear" w:color="auto" w:fill="auto"/>
            <w:noWrap/>
            <w:vAlign w:val="center"/>
            <w:hideMark/>
          </w:tcPr>
          <w:p w14:paraId="0909C731"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743" w:type="pct"/>
            <w:tcBorders>
              <w:top w:val="nil"/>
              <w:left w:val="nil"/>
              <w:bottom w:val="single" w:sz="8" w:space="0" w:color="auto"/>
              <w:right w:val="nil"/>
            </w:tcBorders>
            <w:shd w:val="clear" w:color="auto" w:fill="auto"/>
            <w:noWrap/>
            <w:vAlign w:val="center"/>
            <w:hideMark/>
          </w:tcPr>
          <w:p w14:paraId="572B6590"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576" w:type="pct"/>
            <w:tcBorders>
              <w:top w:val="nil"/>
              <w:left w:val="nil"/>
              <w:bottom w:val="single" w:sz="8" w:space="0" w:color="auto"/>
              <w:right w:val="nil"/>
            </w:tcBorders>
            <w:shd w:val="clear" w:color="auto" w:fill="auto"/>
            <w:noWrap/>
            <w:vAlign w:val="center"/>
            <w:hideMark/>
          </w:tcPr>
          <w:p w14:paraId="36E41915"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631" w:type="pct"/>
            <w:tcBorders>
              <w:top w:val="nil"/>
              <w:left w:val="nil"/>
              <w:bottom w:val="single" w:sz="8" w:space="0" w:color="auto"/>
              <w:right w:val="nil"/>
            </w:tcBorders>
            <w:shd w:val="clear" w:color="auto" w:fill="auto"/>
            <w:noWrap/>
            <w:vAlign w:val="center"/>
            <w:hideMark/>
          </w:tcPr>
          <w:p w14:paraId="67A31750" w14:textId="77777777" w:rsidR="00692A23" w:rsidRPr="00F07DEB" w:rsidRDefault="00692A23" w:rsidP="00692A23">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618" w:type="pct"/>
            <w:vMerge/>
            <w:tcBorders>
              <w:top w:val="nil"/>
              <w:left w:val="nil"/>
              <w:bottom w:val="single" w:sz="8" w:space="0" w:color="000000"/>
              <w:right w:val="nil"/>
            </w:tcBorders>
            <w:vAlign w:val="center"/>
            <w:hideMark/>
          </w:tcPr>
          <w:p w14:paraId="76C24C59"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r>
      <w:tr w:rsidR="00692A23" w:rsidRPr="00F07DEB" w14:paraId="36E37B36" w14:textId="77777777" w:rsidTr="009D49F2">
        <w:trPr>
          <w:trHeight w:val="292"/>
        </w:trPr>
        <w:tc>
          <w:tcPr>
            <w:tcW w:w="988" w:type="pct"/>
            <w:tcBorders>
              <w:top w:val="nil"/>
              <w:left w:val="nil"/>
              <w:bottom w:val="nil"/>
              <w:right w:val="nil"/>
            </w:tcBorders>
            <w:shd w:val="clear" w:color="auto" w:fill="auto"/>
            <w:noWrap/>
            <w:vAlign w:val="center"/>
            <w:hideMark/>
          </w:tcPr>
          <w:p w14:paraId="409649B9"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Corn</w:t>
            </w:r>
          </w:p>
        </w:tc>
        <w:tc>
          <w:tcPr>
            <w:tcW w:w="868" w:type="pct"/>
            <w:tcBorders>
              <w:top w:val="nil"/>
              <w:left w:val="nil"/>
              <w:bottom w:val="nil"/>
              <w:right w:val="nil"/>
            </w:tcBorders>
            <w:shd w:val="clear" w:color="auto" w:fill="auto"/>
            <w:noWrap/>
            <w:vAlign w:val="center"/>
            <w:hideMark/>
          </w:tcPr>
          <w:p w14:paraId="6097248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c>
          <w:tcPr>
            <w:tcW w:w="576" w:type="pct"/>
            <w:tcBorders>
              <w:top w:val="nil"/>
              <w:left w:val="nil"/>
              <w:bottom w:val="nil"/>
              <w:right w:val="nil"/>
            </w:tcBorders>
            <w:shd w:val="clear" w:color="auto" w:fill="auto"/>
            <w:noWrap/>
            <w:vAlign w:val="center"/>
            <w:hideMark/>
          </w:tcPr>
          <w:p w14:paraId="21626070"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743" w:type="pct"/>
            <w:tcBorders>
              <w:top w:val="nil"/>
              <w:left w:val="nil"/>
              <w:bottom w:val="nil"/>
              <w:right w:val="nil"/>
            </w:tcBorders>
            <w:shd w:val="clear" w:color="auto" w:fill="auto"/>
            <w:noWrap/>
            <w:vAlign w:val="center"/>
            <w:hideMark/>
          </w:tcPr>
          <w:p w14:paraId="561A5E09"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576" w:type="pct"/>
            <w:tcBorders>
              <w:top w:val="nil"/>
              <w:left w:val="nil"/>
              <w:bottom w:val="nil"/>
              <w:right w:val="nil"/>
            </w:tcBorders>
            <w:shd w:val="clear" w:color="auto" w:fill="auto"/>
            <w:noWrap/>
            <w:vAlign w:val="center"/>
            <w:hideMark/>
          </w:tcPr>
          <w:p w14:paraId="4C9665B2"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40C8431E"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618" w:type="pct"/>
            <w:tcBorders>
              <w:top w:val="nil"/>
              <w:left w:val="nil"/>
              <w:bottom w:val="nil"/>
              <w:right w:val="nil"/>
            </w:tcBorders>
            <w:shd w:val="clear" w:color="auto" w:fill="auto"/>
            <w:noWrap/>
            <w:vAlign w:val="center"/>
            <w:hideMark/>
          </w:tcPr>
          <w:p w14:paraId="5DC3AD7D"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r>
      <w:tr w:rsidR="00692A23" w:rsidRPr="00F07DEB" w14:paraId="632065B2" w14:textId="77777777" w:rsidTr="009D49F2">
        <w:trPr>
          <w:trHeight w:val="292"/>
        </w:trPr>
        <w:tc>
          <w:tcPr>
            <w:tcW w:w="988" w:type="pct"/>
            <w:tcBorders>
              <w:top w:val="nil"/>
              <w:left w:val="nil"/>
              <w:bottom w:val="nil"/>
              <w:right w:val="nil"/>
            </w:tcBorders>
            <w:shd w:val="clear" w:color="auto" w:fill="auto"/>
            <w:noWrap/>
            <w:vAlign w:val="center"/>
            <w:hideMark/>
          </w:tcPr>
          <w:p w14:paraId="4FFAA88C"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w:t>
            </w:r>
          </w:p>
        </w:tc>
        <w:tc>
          <w:tcPr>
            <w:tcW w:w="868" w:type="pct"/>
            <w:tcBorders>
              <w:top w:val="nil"/>
              <w:left w:val="nil"/>
              <w:bottom w:val="nil"/>
              <w:right w:val="nil"/>
            </w:tcBorders>
            <w:shd w:val="clear" w:color="auto" w:fill="auto"/>
            <w:noWrap/>
            <w:vAlign w:val="center"/>
            <w:hideMark/>
          </w:tcPr>
          <w:p w14:paraId="5E20EC35"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0.160 ab</w:t>
            </w:r>
          </w:p>
        </w:tc>
        <w:tc>
          <w:tcPr>
            <w:tcW w:w="576" w:type="pct"/>
            <w:tcBorders>
              <w:top w:val="nil"/>
              <w:left w:val="nil"/>
              <w:bottom w:val="nil"/>
              <w:right w:val="nil"/>
            </w:tcBorders>
            <w:shd w:val="clear" w:color="auto" w:fill="auto"/>
            <w:noWrap/>
            <w:vAlign w:val="center"/>
            <w:hideMark/>
          </w:tcPr>
          <w:p w14:paraId="301295EE"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0.087</w:t>
            </w:r>
          </w:p>
        </w:tc>
        <w:tc>
          <w:tcPr>
            <w:tcW w:w="743" w:type="pct"/>
            <w:tcBorders>
              <w:top w:val="nil"/>
              <w:left w:val="nil"/>
              <w:bottom w:val="nil"/>
              <w:right w:val="nil"/>
            </w:tcBorders>
            <w:shd w:val="clear" w:color="auto" w:fill="auto"/>
            <w:noWrap/>
            <w:vAlign w:val="center"/>
            <w:hideMark/>
          </w:tcPr>
          <w:p w14:paraId="540E9BC8"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0.105 a</w:t>
            </w:r>
          </w:p>
        </w:tc>
        <w:tc>
          <w:tcPr>
            <w:tcW w:w="576" w:type="pct"/>
            <w:tcBorders>
              <w:top w:val="nil"/>
              <w:left w:val="nil"/>
              <w:bottom w:val="nil"/>
              <w:right w:val="nil"/>
            </w:tcBorders>
            <w:shd w:val="clear" w:color="auto" w:fill="auto"/>
            <w:noWrap/>
            <w:vAlign w:val="center"/>
            <w:hideMark/>
          </w:tcPr>
          <w:p w14:paraId="4F7B3D11"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0.020</w:t>
            </w:r>
          </w:p>
        </w:tc>
        <w:tc>
          <w:tcPr>
            <w:tcW w:w="631" w:type="pct"/>
            <w:tcBorders>
              <w:top w:val="nil"/>
              <w:left w:val="nil"/>
              <w:bottom w:val="nil"/>
              <w:right w:val="nil"/>
            </w:tcBorders>
            <w:shd w:val="clear" w:color="auto" w:fill="auto"/>
            <w:noWrap/>
            <w:vAlign w:val="center"/>
            <w:hideMark/>
          </w:tcPr>
          <w:p w14:paraId="45E2A73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0.164</w:t>
            </w:r>
          </w:p>
        </w:tc>
        <w:tc>
          <w:tcPr>
            <w:tcW w:w="618" w:type="pct"/>
            <w:tcBorders>
              <w:top w:val="nil"/>
              <w:left w:val="nil"/>
              <w:bottom w:val="nil"/>
              <w:right w:val="nil"/>
            </w:tcBorders>
            <w:shd w:val="clear" w:color="auto" w:fill="auto"/>
            <w:noWrap/>
            <w:vAlign w:val="center"/>
            <w:hideMark/>
          </w:tcPr>
          <w:p w14:paraId="2335D45B"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0.184</w:t>
            </w:r>
          </w:p>
        </w:tc>
      </w:tr>
      <w:tr w:rsidR="00692A23" w:rsidRPr="00F07DEB" w14:paraId="26586627" w14:textId="77777777" w:rsidTr="009D49F2">
        <w:trPr>
          <w:trHeight w:val="292"/>
        </w:trPr>
        <w:tc>
          <w:tcPr>
            <w:tcW w:w="988" w:type="pct"/>
            <w:tcBorders>
              <w:top w:val="nil"/>
              <w:left w:val="nil"/>
              <w:bottom w:val="nil"/>
              <w:right w:val="nil"/>
            </w:tcBorders>
            <w:shd w:val="clear" w:color="auto" w:fill="auto"/>
            <w:noWrap/>
            <w:vAlign w:val="center"/>
            <w:hideMark/>
          </w:tcPr>
          <w:p w14:paraId="6CEA582B" w14:textId="6918670C" w:rsidR="00692A23" w:rsidRPr="00F07DEB" w:rsidRDefault="001405F5" w:rsidP="001405F5">
            <w:pPr>
              <w:spacing w:after="0" w:line="240" w:lineRule="auto"/>
              <w:rPr>
                <w:rFonts w:ascii="Times New Roman" w:eastAsia="Times New Roman" w:hAnsi="Times New Roman" w:cs="Times New Roman"/>
                <w:color w:val="000000"/>
                <w:sz w:val="20"/>
                <w:szCs w:val="20"/>
                <w:lang w:eastAsia="en-US"/>
              </w:rPr>
            </w:pPr>
            <w:r>
              <w:rPr>
                <w:rFonts w:ascii="Times New Roman" w:eastAsia="Times New Roman" w:hAnsi="Times New Roman" w:cs="Times New Roman"/>
                <w:color w:val="000000"/>
                <w:sz w:val="20"/>
                <w:szCs w:val="20"/>
                <w:lang w:eastAsia="en-US"/>
              </w:rPr>
              <w:t xml:space="preserve">     Husk</w:t>
            </w:r>
          </w:p>
        </w:tc>
        <w:tc>
          <w:tcPr>
            <w:tcW w:w="868" w:type="pct"/>
            <w:tcBorders>
              <w:top w:val="nil"/>
              <w:left w:val="nil"/>
              <w:bottom w:val="nil"/>
              <w:right w:val="nil"/>
            </w:tcBorders>
            <w:shd w:val="clear" w:color="auto" w:fill="auto"/>
            <w:noWrap/>
            <w:vAlign w:val="center"/>
            <w:hideMark/>
          </w:tcPr>
          <w:p w14:paraId="75456925"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0.090 a</w:t>
            </w:r>
          </w:p>
        </w:tc>
        <w:tc>
          <w:tcPr>
            <w:tcW w:w="576" w:type="pct"/>
            <w:tcBorders>
              <w:top w:val="nil"/>
              <w:left w:val="nil"/>
              <w:bottom w:val="nil"/>
              <w:right w:val="nil"/>
            </w:tcBorders>
            <w:shd w:val="clear" w:color="auto" w:fill="auto"/>
            <w:noWrap/>
            <w:vAlign w:val="center"/>
            <w:hideMark/>
          </w:tcPr>
          <w:p w14:paraId="02DFB6A4"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0.031</w:t>
            </w:r>
          </w:p>
        </w:tc>
        <w:tc>
          <w:tcPr>
            <w:tcW w:w="743" w:type="pct"/>
            <w:tcBorders>
              <w:top w:val="nil"/>
              <w:left w:val="nil"/>
              <w:bottom w:val="nil"/>
              <w:right w:val="nil"/>
            </w:tcBorders>
            <w:shd w:val="clear" w:color="auto" w:fill="auto"/>
            <w:noWrap/>
            <w:vAlign w:val="center"/>
            <w:hideMark/>
          </w:tcPr>
          <w:p w14:paraId="5B6E715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0.081 a</w:t>
            </w:r>
          </w:p>
        </w:tc>
        <w:tc>
          <w:tcPr>
            <w:tcW w:w="576" w:type="pct"/>
            <w:tcBorders>
              <w:top w:val="nil"/>
              <w:left w:val="nil"/>
              <w:bottom w:val="nil"/>
              <w:right w:val="nil"/>
            </w:tcBorders>
            <w:shd w:val="clear" w:color="auto" w:fill="auto"/>
            <w:noWrap/>
            <w:vAlign w:val="center"/>
            <w:hideMark/>
          </w:tcPr>
          <w:p w14:paraId="36FF068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0.026</w:t>
            </w:r>
          </w:p>
        </w:tc>
        <w:tc>
          <w:tcPr>
            <w:tcW w:w="631" w:type="pct"/>
            <w:tcBorders>
              <w:top w:val="nil"/>
              <w:left w:val="nil"/>
              <w:bottom w:val="nil"/>
              <w:right w:val="nil"/>
            </w:tcBorders>
            <w:shd w:val="clear" w:color="auto" w:fill="auto"/>
            <w:noWrap/>
            <w:vAlign w:val="center"/>
            <w:hideMark/>
          </w:tcPr>
          <w:p w14:paraId="70AB27E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0.579</w:t>
            </w:r>
          </w:p>
        </w:tc>
        <w:tc>
          <w:tcPr>
            <w:tcW w:w="618" w:type="pct"/>
            <w:tcBorders>
              <w:top w:val="nil"/>
              <w:left w:val="nil"/>
              <w:bottom w:val="nil"/>
              <w:right w:val="nil"/>
            </w:tcBorders>
            <w:shd w:val="clear" w:color="auto" w:fill="auto"/>
            <w:noWrap/>
            <w:vAlign w:val="center"/>
            <w:hideMark/>
          </w:tcPr>
          <w:p w14:paraId="7127FE6C"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0.032</w:t>
            </w:r>
          </w:p>
        </w:tc>
      </w:tr>
      <w:tr w:rsidR="00692A23" w:rsidRPr="00F07DEB" w14:paraId="73BBAE06" w14:textId="77777777" w:rsidTr="009D49F2">
        <w:trPr>
          <w:trHeight w:val="292"/>
        </w:trPr>
        <w:tc>
          <w:tcPr>
            <w:tcW w:w="988" w:type="pct"/>
            <w:tcBorders>
              <w:top w:val="nil"/>
              <w:left w:val="nil"/>
              <w:bottom w:val="nil"/>
              <w:right w:val="nil"/>
            </w:tcBorders>
            <w:shd w:val="clear" w:color="auto" w:fill="auto"/>
            <w:noWrap/>
            <w:vAlign w:val="center"/>
            <w:hideMark/>
          </w:tcPr>
          <w:p w14:paraId="2853B5D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w:t>
            </w:r>
          </w:p>
        </w:tc>
        <w:tc>
          <w:tcPr>
            <w:tcW w:w="868" w:type="pct"/>
            <w:tcBorders>
              <w:top w:val="nil"/>
              <w:left w:val="nil"/>
              <w:bottom w:val="nil"/>
              <w:right w:val="nil"/>
            </w:tcBorders>
            <w:shd w:val="clear" w:color="auto" w:fill="auto"/>
            <w:noWrap/>
            <w:vAlign w:val="center"/>
            <w:hideMark/>
          </w:tcPr>
          <w:p w14:paraId="2E72EFF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0.100 a</w:t>
            </w:r>
          </w:p>
        </w:tc>
        <w:tc>
          <w:tcPr>
            <w:tcW w:w="576" w:type="pct"/>
            <w:tcBorders>
              <w:top w:val="nil"/>
              <w:left w:val="nil"/>
              <w:bottom w:val="nil"/>
              <w:right w:val="nil"/>
            </w:tcBorders>
            <w:shd w:val="clear" w:color="auto" w:fill="auto"/>
            <w:noWrap/>
            <w:vAlign w:val="center"/>
            <w:hideMark/>
          </w:tcPr>
          <w:p w14:paraId="0A6D8751"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0.029</w:t>
            </w:r>
          </w:p>
        </w:tc>
        <w:tc>
          <w:tcPr>
            <w:tcW w:w="743" w:type="pct"/>
            <w:tcBorders>
              <w:top w:val="nil"/>
              <w:left w:val="nil"/>
              <w:bottom w:val="nil"/>
              <w:right w:val="nil"/>
            </w:tcBorders>
            <w:shd w:val="clear" w:color="auto" w:fill="auto"/>
            <w:noWrap/>
            <w:vAlign w:val="center"/>
            <w:hideMark/>
          </w:tcPr>
          <w:p w14:paraId="26ECF011"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0.088 a</w:t>
            </w:r>
          </w:p>
        </w:tc>
        <w:tc>
          <w:tcPr>
            <w:tcW w:w="576" w:type="pct"/>
            <w:tcBorders>
              <w:top w:val="nil"/>
              <w:left w:val="nil"/>
              <w:bottom w:val="nil"/>
              <w:right w:val="nil"/>
            </w:tcBorders>
            <w:shd w:val="clear" w:color="auto" w:fill="auto"/>
            <w:noWrap/>
            <w:vAlign w:val="center"/>
            <w:hideMark/>
          </w:tcPr>
          <w:p w14:paraId="6AC27425"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0.019</w:t>
            </w:r>
          </w:p>
        </w:tc>
        <w:tc>
          <w:tcPr>
            <w:tcW w:w="631" w:type="pct"/>
            <w:tcBorders>
              <w:top w:val="nil"/>
              <w:left w:val="nil"/>
              <w:bottom w:val="nil"/>
              <w:right w:val="nil"/>
            </w:tcBorders>
            <w:shd w:val="clear" w:color="auto" w:fill="auto"/>
            <w:noWrap/>
            <w:vAlign w:val="center"/>
            <w:hideMark/>
          </w:tcPr>
          <w:p w14:paraId="40EEA395"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0.423</w:t>
            </w:r>
          </w:p>
        </w:tc>
        <w:tc>
          <w:tcPr>
            <w:tcW w:w="618" w:type="pct"/>
            <w:tcBorders>
              <w:top w:val="nil"/>
              <w:left w:val="nil"/>
              <w:bottom w:val="nil"/>
              <w:right w:val="nil"/>
            </w:tcBorders>
            <w:shd w:val="clear" w:color="auto" w:fill="auto"/>
            <w:noWrap/>
            <w:vAlign w:val="center"/>
            <w:hideMark/>
          </w:tcPr>
          <w:p w14:paraId="1E065370"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0.065</w:t>
            </w:r>
          </w:p>
        </w:tc>
      </w:tr>
      <w:tr w:rsidR="00692A23" w:rsidRPr="00F07DEB" w14:paraId="5157FD64" w14:textId="77777777" w:rsidTr="009D49F2">
        <w:trPr>
          <w:trHeight w:val="292"/>
        </w:trPr>
        <w:tc>
          <w:tcPr>
            <w:tcW w:w="988" w:type="pct"/>
            <w:tcBorders>
              <w:top w:val="nil"/>
              <w:left w:val="nil"/>
              <w:bottom w:val="nil"/>
              <w:right w:val="nil"/>
            </w:tcBorders>
            <w:shd w:val="clear" w:color="auto" w:fill="auto"/>
            <w:noWrap/>
            <w:vAlign w:val="center"/>
            <w:hideMark/>
          </w:tcPr>
          <w:p w14:paraId="0210212E"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Cob</w:t>
            </w:r>
          </w:p>
        </w:tc>
        <w:tc>
          <w:tcPr>
            <w:tcW w:w="868" w:type="pct"/>
            <w:tcBorders>
              <w:top w:val="nil"/>
              <w:left w:val="nil"/>
              <w:bottom w:val="nil"/>
              <w:right w:val="nil"/>
            </w:tcBorders>
            <w:shd w:val="clear" w:color="auto" w:fill="auto"/>
            <w:noWrap/>
            <w:vAlign w:val="center"/>
            <w:hideMark/>
          </w:tcPr>
          <w:p w14:paraId="3FD5A51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0.087 a</w:t>
            </w:r>
          </w:p>
        </w:tc>
        <w:tc>
          <w:tcPr>
            <w:tcW w:w="576" w:type="pct"/>
            <w:tcBorders>
              <w:top w:val="nil"/>
              <w:left w:val="nil"/>
              <w:bottom w:val="nil"/>
              <w:right w:val="nil"/>
            </w:tcBorders>
            <w:shd w:val="clear" w:color="auto" w:fill="auto"/>
            <w:noWrap/>
            <w:vAlign w:val="center"/>
            <w:hideMark/>
          </w:tcPr>
          <w:p w14:paraId="022A88B3"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0.035</w:t>
            </w:r>
          </w:p>
        </w:tc>
        <w:tc>
          <w:tcPr>
            <w:tcW w:w="743" w:type="pct"/>
            <w:tcBorders>
              <w:top w:val="nil"/>
              <w:left w:val="nil"/>
              <w:bottom w:val="nil"/>
              <w:right w:val="nil"/>
            </w:tcBorders>
            <w:shd w:val="clear" w:color="auto" w:fill="auto"/>
            <w:noWrap/>
            <w:vAlign w:val="center"/>
            <w:hideMark/>
          </w:tcPr>
          <w:p w14:paraId="34CAE763"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0.086 a</w:t>
            </w:r>
          </w:p>
        </w:tc>
        <w:tc>
          <w:tcPr>
            <w:tcW w:w="576" w:type="pct"/>
            <w:tcBorders>
              <w:top w:val="nil"/>
              <w:left w:val="nil"/>
              <w:bottom w:val="nil"/>
              <w:right w:val="nil"/>
            </w:tcBorders>
            <w:shd w:val="clear" w:color="auto" w:fill="auto"/>
            <w:noWrap/>
            <w:vAlign w:val="center"/>
            <w:hideMark/>
          </w:tcPr>
          <w:p w14:paraId="671B88D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0.020</w:t>
            </w:r>
          </w:p>
        </w:tc>
        <w:tc>
          <w:tcPr>
            <w:tcW w:w="631" w:type="pct"/>
            <w:tcBorders>
              <w:top w:val="nil"/>
              <w:left w:val="nil"/>
              <w:bottom w:val="nil"/>
              <w:right w:val="nil"/>
            </w:tcBorders>
            <w:shd w:val="clear" w:color="auto" w:fill="auto"/>
            <w:noWrap/>
            <w:vAlign w:val="center"/>
            <w:hideMark/>
          </w:tcPr>
          <w:p w14:paraId="265CD88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0.956</w:t>
            </w:r>
          </w:p>
        </w:tc>
        <w:tc>
          <w:tcPr>
            <w:tcW w:w="618" w:type="pct"/>
            <w:tcBorders>
              <w:top w:val="nil"/>
              <w:left w:val="nil"/>
              <w:bottom w:val="nil"/>
              <w:right w:val="nil"/>
            </w:tcBorders>
            <w:shd w:val="clear" w:color="auto" w:fill="auto"/>
            <w:noWrap/>
            <w:vAlign w:val="center"/>
            <w:hideMark/>
          </w:tcPr>
          <w:p w14:paraId="52EC612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0.001</w:t>
            </w:r>
          </w:p>
        </w:tc>
      </w:tr>
      <w:tr w:rsidR="00692A23" w:rsidRPr="00F07DEB" w14:paraId="3FECFD26" w14:textId="77777777" w:rsidTr="009D49F2">
        <w:trPr>
          <w:trHeight w:val="292"/>
        </w:trPr>
        <w:tc>
          <w:tcPr>
            <w:tcW w:w="988" w:type="pct"/>
            <w:tcBorders>
              <w:top w:val="nil"/>
              <w:left w:val="nil"/>
              <w:bottom w:val="nil"/>
              <w:right w:val="nil"/>
            </w:tcBorders>
            <w:shd w:val="clear" w:color="auto" w:fill="auto"/>
            <w:noWrap/>
            <w:vAlign w:val="center"/>
            <w:hideMark/>
          </w:tcPr>
          <w:p w14:paraId="37A0D89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w:t>
            </w:r>
          </w:p>
        </w:tc>
        <w:tc>
          <w:tcPr>
            <w:tcW w:w="868" w:type="pct"/>
            <w:tcBorders>
              <w:top w:val="nil"/>
              <w:left w:val="nil"/>
              <w:bottom w:val="nil"/>
              <w:right w:val="nil"/>
            </w:tcBorders>
            <w:shd w:val="clear" w:color="auto" w:fill="auto"/>
            <w:noWrap/>
            <w:vAlign w:val="center"/>
            <w:hideMark/>
          </w:tcPr>
          <w:p w14:paraId="30A11A74"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0.094 a</w:t>
            </w:r>
          </w:p>
        </w:tc>
        <w:tc>
          <w:tcPr>
            <w:tcW w:w="576" w:type="pct"/>
            <w:tcBorders>
              <w:top w:val="nil"/>
              <w:left w:val="nil"/>
              <w:bottom w:val="nil"/>
              <w:right w:val="nil"/>
            </w:tcBorders>
            <w:shd w:val="clear" w:color="auto" w:fill="auto"/>
            <w:noWrap/>
            <w:vAlign w:val="center"/>
            <w:hideMark/>
          </w:tcPr>
          <w:p w14:paraId="2F809D9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0.010</w:t>
            </w:r>
          </w:p>
        </w:tc>
        <w:tc>
          <w:tcPr>
            <w:tcW w:w="743" w:type="pct"/>
            <w:tcBorders>
              <w:top w:val="nil"/>
              <w:left w:val="nil"/>
              <w:bottom w:val="nil"/>
              <w:right w:val="nil"/>
            </w:tcBorders>
            <w:shd w:val="clear" w:color="auto" w:fill="auto"/>
            <w:noWrap/>
            <w:vAlign w:val="center"/>
            <w:hideMark/>
          </w:tcPr>
          <w:p w14:paraId="7429C42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0.096 a</w:t>
            </w:r>
          </w:p>
        </w:tc>
        <w:tc>
          <w:tcPr>
            <w:tcW w:w="576" w:type="pct"/>
            <w:tcBorders>
              <w:top w:val="nil"/>
              <w:left w:val="nil"/>
              <w:bottom w:val="nil"/>
              <w:right w:val="nil"/>
            </w:tcBorders>
            <w:shd w:val="clear" w:color="auto" w:fill="auto"/>
            <w:noWrap/>
            <w:vAlign w:val="center"/>
            <w:hideMark/>
          </w:tcPr>
          <w:p w14:paraId="0157DFE6"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0.018</w:t>
            </w:r>
          </w:p>
        </w:tc>
        <w:tc>
          <w:tcPr>
            <w:tcW w:w="631" w:type="pct"/>
            <w:tcBorders>
              <w:top w:val="nil"/>
              <w:left w:val="nil"/>
              <w:bottom w:val="nil"/>
              <w:right w:val="nil"/>
            </w:tcBorders>
            <w:shd w:val="clear" w:color="auto" w:fill="auto"/>
            <w:noWrap/>
            <w:vAlign w:val="center"/>
            <w:hideMark/>
          </w:tcPr>
          <w:p w14:paraId="23351D40"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0.798</w:t>
            </w:r>
          </w:p>
        </w:tc>
        <w:tc>
          <w:tcPr>
            <w:tcW w:w="618" w:type="pct"/>
            <w:tcBorders>
              <w:top w:val="nil"/>
              <w:left w:val="nil"/>
              <w:bottom w:val="nil"/>
              <w:right w:val="nil"/>
            </w:tcBorders>
            <w:shd w:val="clear" w:color="auto" w:fill="auto"/>
            <w:noWrap/>
            <w:vAlign w:val="center"/>
            <w:hideMark/>
          </w:tcPr>
          <w:p w14:paraId="47AFD78C"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0.007</w:t>
            </w:r>
          </w:p>
        </w:tc>
      </w:tr>
      <w:tr w:rsidR="00692A23" w:rsidRPr="00F07DEB" w14:paraId="7C14C973" w14:textId="77777777" w:rsidTr="009D49F2">
        <w:trPr>
          <w:trHeight w:val="300"/>
        </w:trPr>
        <w:tc>
          <w:tcPr>
            <w:tcW w:w="988" w:type="pct"/>
            <w:tcBorders>
              <w:top w:val="nil"/>
              <w:left w:val="nil"/>
              <w:bottom w:val="single" w:sz="8" w:space="0" w:color="auto"/>
              <w:right w:val="nil"/>
            </w:tcBorders>
            <w:shd w:val="clear" w:color="auto" w:fill="auto"/>
            <w:noWrap/>
            <w:vAlign w:val="center"/>
            <w:hideMark/>
          </w:tcPr>
          <w:p w14:paraId="01B8708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868" w:type="pct"/>
            <w:tcBorders>
              <w:top w:val="nil"/>
              <w:left w:val="nil"/>
              <w:bottom w:val="single" w:sz="8" w:space="0" w:color="auto"/>
              <w:right w:val="nil"/>
            </w:tcBorders>
            <w:shd w:val="clear" w:color="auto" w:fill="auto"/>
            <w:noWrap/>
            <w:vAlign w:val="center"/>
            <w:hideMark/>
          </w:tcPr>
          <w:p w14:paraId="1BC196BB"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0.234 b</w:t>
            </w:r>
          </w:p>
        </w:tc>
        <w:tc>
          <w:tcPr>
            <w:tcW w:w="576" w:type="pct"/>
            <w:tcBorders>
              <w:top w:val="nil"/>
              <w:left w:val="nil"/>
              <w:bottom w:val="single" w:sz="8" w:space="0" w:color="auto"/>
              <w:right w:val="nil"/>
            </w:tcBorders>
            <w:shd w:val="clear" w:color="auto" w:fill="auto"/>
            <w:noWrap/>
            <w:vAlign w:val="center"/>
            <w:hideMark/>
          </w:tcPr>
          <w:p w14:paraId="6CC03370"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0.035</w:t>
            </w:r>
          </w:p>
        </w:tc>
        <w:tc>
          <w:tcPr>
            <w:tcW w:w="743" w:type="pct"/>
            <w:tcBorders>
              <w:top w:val="nil"/>
              <w:left w:val="nil"/>
              <w:bottom w:val="single" w:sz="8" w:space="0" w:color="auto"/>
              <w:right w:val="nil"/>
            </w:tcBorders>
            <w:shd w:val="clear" w:color="auto" w:fill="auto"/>
            <w:noWrap/>
            <w:vAlign w:val="center"/>
            <w:hideMark/>
          </w:tcPr>
          <w:p w14:paraId="248246A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0.295</w:t>
            </w:r>
          </w:p>
        </w:tc>
        <w:tc>
          <w:tcPr>
            <w:tcW w:w="576" w:type="pct"/>
            <w:tcBorders>
              <w:top w:val="nil"/>
              <w:left w:val="nil"/>
              <w:bottom w:val="single" w:sz="8" w:space="0" w:color="auto"/>
              <w:right w:val="nil"/>
            </w:tcBorders>
            <w:shd w:val="clear" w:color="auto" w:fill="auto"/>
            <w:noWrap/>
            <w:vAlign w:val="center"/>
            <w:hideMark/>
          </w:tcPr>
          <w:p w14:paraId="34DE1F68"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0.045</w:t>
            </w:r>
          </w:p>
        </w:tc>
        <w:tc>
          <w:tcPr>
            <w:tcW w:w="631" w:type="pct"/>
            <w:tcBorders>
              <w:top w:val="nil"/>
              <w:left w:val="nil"/>
              <w:bottom w:val="single" w:sz="8" w:space="0" w:color="auto"/>
              <w:right w:val="nil"/>
            </w:tcBorders>
            <w:shd w:val="clear" w:color="auto" w:fill="auto"/>
            <w:noWrap/>
            <w:vAlign w:val="center"/>
            <w:hideMark/>
          </w:tcPr>
          <w:p w14:paraId="4867BA56"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0.024</w:t>
            </w:r>
          </w:p>
        </w:tc>
        <w:tc>
          <w:tcPr>
            <w:tcW w:w="618" w:type="pct"/>
            <w:tcBorders>
              <w:top w:val="nil"/>
              <w:left w:val="nil"/>
              <w:bottom w:val="single" w:sz="8" w:space="0" w:color="auto"/>
              <w:right w:val="nil"/>
            </w:tcBorders>
            <w:shd w:val="clear" w:color="auto" w:fill="auto"/>
            <w:noWrap/>
            <w:vAlign w:val="center"/>
            <w:hideMark/>
          </w:tcPr>
          <w:p w14:paraId="4E64621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0.415</w:t>
            </w:r>
          </w:p>
        </w:tc>
      </w:tr>
      <w:tr w:rsidR="00692A23" w:rsidRPr="00F07DEB" w14:paraId="6770C4EE" w14:textId="77777777" w:rsidTr="009D49F2">
        <w:trPr>
          <w:trHeight w:val="292"/>
        </w:trPr>
        <w:tc>
          <w:tcPr>
            <w:tcW w:w="988" w:type="pct"/>
            <w:tcBorders>
              <w:top w:val="nil"/>
              <w:left w:val="nil"/>
              <w:bottom w:val="nil"/>
              <w:right w:val="nil"/>
            </w:tcBorders>
            <w:shd w:val="clear" w:color="auto" w:fill="auto"/>
            <w:noWrap/>
            <w:vAlign w:val="center"/>
            <w:hideMark/>
          </w:tcPr>
          <w:p w14:paraId="4481359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Sorghum</w:t>
            </w:r>
          </w:p>
        </w:tc>
        <w:tc>
          <w:tcPr>
            <w:tcW w:w="868" w:type="pct"/>
            <w:tcBorders>
              <w:top w:val="nil"/>
              <w:left w:val="nil"/>
              <w:bottom w:val="nil"/>
              <w:right w:val="nil"/>
            </w:tcBorders>
            <w:shd w:val="clear" w:color="auto" w:fill="auto"/>
            <w:noWrap/>
            <w:vAlign w:val="center"/>
            <w:hideMark/>
          </w:tcPr>
          <w:p w14:paraId="2BF1C29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c>
          <w:tcPr>
            <w:tcW w:w="576" w:type="pct"/>
            <w:tcBorders>
              <w:top w:val="nil"/>
              <w:left w:val="nil"/>
              <w:bottom w:val="nil"/>
              <w:right w:val="nil"/>
            </w:tcBorders>
            <w:shd w:val="clear" w:color="auto" w:fill="auto"/>
            <w:noWrap/>
            <w:vAlign w:val="center"/>
            <w:hideMark/>
          </w:tcPr>
          <w:p w14:paraId="74C2E16F"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743" w:type="pct"/>
            <w:tcBorders>
              <w:top w:val="nil"/>
              <w:left w:val="nil"/>
              <w:bottom w:val="nil"/>
              <w:right w:val="nil"/>
            </w:tcBorders>
            <w:shd w:val="clear" w:color="auto" w:fill="auto"/>
            <w:noWrap/>
            <w:vAlign w:val="center"/>
            <w:hideMark/>
          </w:tcPr>
          <w:p w14:paraId="734F6392"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576" w:type="pct"/>
            <w:tcBorders>
              <w:top w:val="nil"/>
              <w:left w:val="nil"/>
              <w:bottom w:val="nil"/>
              <w:right w:val="nil"/>
            </w:tcBorders>
            <w:shd w:val="clear" w:color="auto" w:fill="auto"/>
            <w:noWrap/>
            <w:vAlign w:val="center"/>
            <w:hideMark/>
          </w:tcPr>
          <w:p w14:paraId="47ABC8CE"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24436EEA"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618" w:type="pct"/>
            <w:tcBorders>
              <w:top w:val="nil"/>
              <w:left w:val="nil"/>
              <w:bottom w:val="nil"/>
              <w:right w:val="nil"/>
            </w:tcBorders>
            <w:shd w:val="clear" w:color="auto" w:fill="auto"/>
            <w:noWrap/>
            <w:vAlign w:val="center"/>
            <w:hideMark/>
          </w:tcPr>
          <w:p w14:paraId="4A02C5F3"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r>
      <w:tr w:rsidR="00692A23" w:rsidRPr="00F07DEB" w14:paraId="23447ADE" w14:textId="77777777" w:rsidTr="009D49F2">
        <w:trPr>
          <w:trHeight w:val="292"/>
        </w:trPr>
        <w:tc>
          <w:tcPr>
            <w:tcW w:w="988" w:type="pct"/>
            <w:tcBorders>
              <w:top w:val="nil"/>
              <w:left w:val="nil"/>
              <w:bottom w:val="nil"/>
              <w:right w:val="nil"/>
            </w:tcBorders>
            <w:shd w:val="clear" w:color="auto" w:fill="auto"/>
            <w:noWrap/>
            <w:vAlign w:val="center"/>
            <w:hideMark/>
          </w:tcPr>
          <w:p w14:paraId="6C3FCD81"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w:t>
            </w:r>
          </w:p>
        </w:tc>
        <w:tc>
          <w:tcPr>
            <w:tcW w:w="868" w:type="pct"/>
            <w:tcBorders>
              <w:top w:val="nil"/>
              <w:left w:val="nil"/>
              <w:bottom w:val="nil"/>
              <w:right w:val="nil"/>
            </w:tcBorders>
            <w:shd w:val="clear" w:color="auto" w:fill="auto"/>
            <w:noWrap/>
            <w:vAlign w:val="center"/>
            <w:hideMark/>
          </w:tcPr>
          <w:p w14:paraId="66BBAF0B"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0.132 a</w:t>
            </w:r>
          </w:p>
        </w:tc>
        <w:tc>
          <w:tcPr>
            <w:tcW w:w="576" w:type="pct"/>
            <w:tcBorders>
              <w:top w:val="nil"/>
              <w:left w:val="nil"/>
              <w:bottom w:val="nil"/>
              <w:right w:val="nil"/>
            </w:tcBorders>
            <w:shd w:val="clear" w:color="auto" w:fill="auto"/>
            <w:noWrap/>
            <w:vAlign w:val="center"/>
            <w:hideMark/>
          </w:tcPr>
          <w:p w14:paraId="4937297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0.038</w:t>
            </w:r>
          </w:p>
        </w:tc>
        <w:tc>
          <w:tcPr>
            <w:tcW w:w="743" w:type="pct"/>
            <w:tcBorders>
              <w:top w:val="nil"/>
              <w:left w:val="nil"/>
              <w:bottom w:val="nil"/>
              <w:right w:val="nil"/>
            </w:tcBorders>
            <w:shd w:val="clear" w:color="auto" w:fill="auto"/>
            <w:noWrap/>
            <w:vAlign w:val="center"/>
            <w:hideMark/>
          </w:tcPr>
          <w:p w14:paraId="643E865B"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0.129 a</w:t>
            </w:r>
          </w:p>
        </w:tc>
        <w:tc>
          <w:tcPr>
            <w:tcW w:w="576" w:type="pct"/>
            <w:tcBorders>
              <w:top w:val="nil"/>
              <w:left w:val="nil"/>
              <w:bottom w:val="nil"/>
              <w:right w:val="nil"/>
            </w:tcBorders>
            <w:shd w:val="clear" w:color="auto" w:fill="auto"/>
            <w:noWrap/>
            <w:vAlign w:val="center"/>
            <w:hideMark/>
          </w:tcPr>
          <w:p w14:paraId="4DB53FE1"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0.032</w:t>
            </w:r>
          </w:p>
        </w:tc>
        <w:tc>
          <w:tcPr>
            <w:tcW w:w="631" w:type="pct"/>
            <w:tcBorders>
              <w:top w:val="nil"/>
              <w:left w:val="nil"/>
              <w:bottom w:val="nil"/>
              <w:right w:val="nil"/>
            </w:tcBorders>
            <w:shd w:val="clear" w:color="auto" w:fill="auto"/>
            <w:noWrap/>
            <w:vAlign w:val="center"/>
            <w:hideMark/>
          </w:tcPr>
          <w:p w14:paraId="3D606704"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0.864</w:t>
            </w:r>
          </w:p>
        </w:tc>
        <w:tc>
          <w:tcPr>
            <w:tcW w:w="618" w:type="pct"/>
            <w:tcBorders>
              <w:top w:val="nil"/>
              <w:left w:val="nil"/>
              <w:bottom w:val="nil"/>
              <w:right w:val="nil"/>
            </w:tcBorders>
            <w:shd w:val="clear" w:color="auto" w:fill="auto"/>
            <w:noWrap/>
            <w:vAlign w:val="center"/>
            <w:hideMark/>
          </w:tcPr>
          <w:p w14:paraId="365CDAD9"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0.003</w:t>
            </w:r>
          </w:p>
        </w:tc>
      </w:tr>
      <w:tr w:rsidR="00692A23" w:rsidRPr="00F07DEB" w14:paraId="646DA96D" w14:textId="77777777" w:rsidTr="009D49F2">
        <w:trPr>
          <w:trHeight w:val="292"/>
        </w:trPr>
        <w:tc>
          <w:tcPr>
            <w:tcW w:w="988" w:type="pct"/>
            <w:tcBorders>
              <w:top w:val="nil"/>
              <w:left w:val="nil"/>
              <w:bottom w:val="nil"/>
              <w:right w:val="nil"/>
            </w:tcBorders>
            <w:shd w:val="clear" w:color="auto" w:fill="auto"/>
            <w:noWrap/>
            <w:vAlign w:val="center"/>
            <w:hideMark/>
          </w:tcPr>
          <w:p w14:paraId="152A6DCB"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w:t>
            </w:r>
          </w:p>
        </w:tc>
        <w:tc>
          <w:tcPr>
            <w:tcW w:w="868" w:type="pct"/>
            <w:tcBorders>
              <w:top w:val="nil"/>
              <w:left w:val="nil"/>
              <w:bottom w:val="nil"/>
              <w:right w:val="nil"/>
            </w:tcBorders>
            <w:shd w:val="clear" w:color="auto" w:fill="auto"/>
            <w:noWrap/>
            <w:vAlign w:val="center"/>
            <w:hideMark/>
          </w:tcPr>
          <w:p w14:paraId="17C2C1BE"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0.111 a</w:t>
            </w:r>
          </w:p>
        </w:tc>
        <w:tc>
          <w:tcPr>
            <w:tcW w:w="576" w:type="pct"/>
            <w:tcBorders>
              <w:top w:val="nil"/>
              <w:left w:val="nil"/>
              <w:bottom w:val="nil"/>
              <w:right w:val="nil"/>
            </w:tcBorders>
            <w:shd w:val="clear" w:color="auto" w:fill="auto"/>
            <w:noWrap/>
            <w:vAlign w:val="center"/>
            <w:hideMark/>
          </w:tcPr>
          <w:p w14:paraId="258F43F5"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0.015</w:t>
            </w:r>
          </w:p>
        </w:tc>
        <w:tc>
          <w:tcPr>
            <w:tcW w:w="743" w:type="pct"/>
            <w:tcBorders>
              <w:top w:val="nil"/>
              <w:left w:val="nil"/>
              <w:bottom w:val="nil"/>
              <w:right w:val="nil"/>
            </w:tcBorders>
            <w:shd w:val="clear" w:color="auto" w:fill="auto"/>
            <w:noWrap/>
            <w:vAlign w:val="center"/>
            <w:hideMark/>
          </w:tcPr>
          <w:p w14:paraId="042ECEB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0.110 a</w:t>
            </w:r>
          </w:p>
        </w:tc>
        <w:tc>
          <w:tcPr>
            <w:tcW w:w="576" w:type="pct"/>
            <w:tcBorders>
              <w:top w:val="nil"/>
              <w:left w:val="nil"/>
              <w:bottom w:val="nil"/>
              <w:right w:val="nil"/>
            </w:tcBorders>
            <w:shd w:val="clear" w:color="auto" w:fill="auto"/>
            <w:noWrap/>
            <w:vAlign w:val="center"/>
            <w:hideMark/>
          </w:tcPr>
          <w:p w14:paraId="12BE2678"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0.012</w:t>
            </w:r>
          </w:p>
        </w:tc>
        <w:tc>
          <w:tcPr>
            <w:tcW w:w="631" w:type="pct"/>
            <w:tcBorders>
              <w:top w:val="nil"/>
              <w:left w:val="nil"/>
              <w:bottom w:val="nil"/>
              <w:right w:val="nil"/>
            </w:tcBorders>
            <w:shd w:val="clear" w:color="auto" w:fill="auto"/>
            <w:noWrap/>
            <w:vAlign w:val="center"/>
            <w:hideMark/>
          </w:tcPr>
          <w:p w14:paraId="23D67C19"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0.841</w:t>
            </w:r>
          </w:p>
        </w:tc>
        <w:tc>
          <w:tcPr>
            <w:tcW w:w="618" w:type="pct"/>
            <w:tcBorders>
              <w:top w:val="nil"/>
              <w:left w:val="nil"/>
              <w:bottom w:val="nil"/>
              <w:right w:val="nil"/>
            </w:tcBorders>
            <w:shd w:val="clear" w:color="auto" w:fill="auto"/>
            <w:noWrap/>
            <w:vAlign w:val="center"/>
            <w:hideMark/>
          </w:tcPr>
          <w:p w14:paraId="76638EE4"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0.004</w:t>
            </w:r>
          </w:p>
        </w:tc>
      </w:tr>
      <w:tr w:rsidR="00692A23" w:rsidRPr="00F07DEB" w14:paraId="4B692824" w14:textId="77777777" w:rsidTr="009D49F2">
        <w:trPr>
          <w:trHeight w:val="292"/>
        </w:trPr>
        <w:tc>
          <w:tcPr>
            <w:tcW w:w="988" w:type="pct"/>
            <w:tcBorders>
              <w:top w:val="nil"/>
              <w:left w:val="nil"/>
              <w:bottom w:val="nil"/>
              <w:right w:val="nil"/>
            </w:tcBorders>
            <w:shd w:val="clear" w:color="auto" w:fill="auto"/>
            <w:noWrap/>
            <w:vAlign w:val="center"/>
            <w:hideMark/>
          </w:tcPr>
          <w:p w14:paraId="5E09AA50"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w:t>
            </w:r>
          </w:p>
        </w:tc>
        <w:tc>
          <w:tcPr>
            <w:tcW w:w="868" w:type="pct"/>
            <w:tcBorders>
              <w:top w:val="nil"/>
              <w:left w:val="nil"/>
              <w:bottom w:val="nil"/>
              <w:right w:val="nil"/>
            </w:tcBorders>
            <w:shd w:val="clear" w:color="auto" w:fill="auto"/>
            <w:noWrap/>
            <w:vAlign w:val="center"/>
            <w:hideMark/>
          </w:tcPr>
          <w:p w14:paraId="33D7B899"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0.128 a</w:t>
            </w:r>
          </w:p>
        </w:tc>
        <w:tc>
          <w:tcPr>
            <w:tcW w:w="576" w:type="pct"/>
            <w:tcBorders>
              <w:top w:val="nil"/>
              <w:left w:val="nil"/>
              <w:bottom w:val="nil"/>
              <w:right w:val="nil"/>
            </w:tcBorders>
            <w:shd w:val="clear" w:color="auto" w:fill="auto"/>
            <w:noWrap/>
            <w:vAlign w:val="center"/>
            <w:hideMark/>
          </w:tcPr>
          <w:p w14:paraId="75D190E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0.013</w:t>
            </w:r>
          </w:p>
        </w:tc>
        <w:tc>
          <w:tcPr>
            <w:tcW w:w="743" w:type="pct"/>
            <w:tcBorders>
              <w:top w:val="nil"/>
              <w:left w:val="nil"/>
              <w:bottom w:val="nil"/>
              <w:right w:val="nil"/>
            </w:tcBorders>
            <w:shd w:val="clear" w:color="auto" w:fill="auto"/>
            <w:noWrap/>
            <w:vAlign w:val="center"/>
            <w:hideMark/>
          </w:tcPr>
          <w:p w14:paraId="03B01D00"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0.128 a</w:t>
            </w:r>
          </w:p>
        </w:tc>
        <w:tc>
          <w:tcPr>
            <w:tcW w:w="576" w:type="pct"/>
            <w:tcBorders>
              <w:top w:val="nil"/>
              <w:left w:val="nil"/>
              <w:bottom w:val="nil"/>
              <w:right w:val="nil"/>
            </w:tcBorders>
            <w:shd w:val="clear" w:color="auto" w:fill="auto"/>
            <w:noWrap/>
            <w:vAlign w:val="center"/>
            <w:hideMark/>
          </w:tcPr>
          <w:p w14:paraId="165535E3"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0.022</w:t>
            </w:r>
          </w:p>
        </w:tc>
        <w:tc>
          <w:tcPr>
            <w:tcW w:w="631" w:type="pct"/>
            <w:tcBorders>
              <w:top w:val="nil"/>
              <w:left w:val="nil"/>
              <w:bottom w:val="nil"/>
              <w:right w:val="nil"/>
            </w:tcBorders>
            <w:shd w:val="clear" w:color="auto" w:fill="auto"/>
            <w:noWrap/>
            <w:vAlign w:val="center"/>
            <w:hideMark/>
          </w:tcPr>
          <w:p w14:paraId="5E00F15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0.981</w:t>
            </w:r>
          </w:p>
        </w:tc>
        <w:tc>
          <w:tcPr>
            <w:tcW w:w="618" w:type="pct"/>
            <w:tcBorders>
              <w:top w:val="nil"/>
              <w:left w:val="nil"/>
              <w:bottom w:val="nil"/>
              <w:right w:val="nil"/>
            </w:tcBorders>
            <w:shd w:val="clear" w:color="auto" w:fill="auto"/>
            <w:noWrap/>
            <w:vAlign w:val="center"/>
            <w:hideMark/>
          </w:tcPr>
          <w:p w14:paraId="6538B448"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0.000</w:t>
            </w:r>
          </w:p>
        </w:tc>
      </w:tr>
      <w:tr w:rsidR="00692A23" w:rsidRPr="00F07DEB" w14:paraId="6472751A" w14:textId="77777777" w:rsidTr="009D49F2">
        <w:trPr>
          <w:trHeight w:val="300"/>
        </w:trPr>
        <w:tc>
          <w:tcPr>
            <w:tcW w:w="988" w:type="pct"/>
            <w:tcBorders>
              <w:top w:val="nil"/>
              <w:left w:val="nil"/>
              <w:bottom w:val="single" w:sz="8" w:space="0" w:color="auto"/>
              <w:right w:val="nil"/>
            </w:tcBorders>
            <w:shd w:val="clear" w:color="auto" w:fill="auto"/>
            <w:noWrap/>
            <w:vAlign w:val="center"/>
            <w:hideMark/>
          </w:tcPr>
          <w:p w14:paraId="1C35BBD5"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868" w:type="pct"/>
            <w:tcBorders>
              <w:top w:val="nil"/>
              <w:left w:val="nil"/>
              <w:bottom w:val="single" w:sz="8" w:space="0" w:color="auto"/>
              <w:right w:val="nil"/>
            </w:tcBorders>
            <w:shd w:val="clear" w:color="auto" w:fill="auto"/>
            <w:noWrap/>
            <w:vAlign w:val="center"/>
            <w:hideMark/>
          </w:tcPr>
          <w:p w14:paraId="54738A2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0.238</w:t>
            </w:r>
          </w:p>
        </w:tc>
        <w:tc>
          <w:tcPr>
            <w:tcW w:w="576" w:type="pct"/>
            <w:tcBorders>
              <w:top w:val="nil"/>
              <w:left w:val="nil"/>
              <w:bottom w:val="single" w:sz="8" w:space="0" w:color="auto"/>
              <w:right w:val="nil"/>
            </w:tcBorders>
            <w:shd w:val="clear" w:color="auto" w:fill="auto"/>
            <w:noWrap/>
            <w:vAlign w:val="center"/>
            <w:hideMark/>
          </w:tcPr>
          <w:p w14:paraId="6F890291"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0.039</w:t>
            </w:r>
          </w:p>
        </w:tc>
        <w:tc>
          <w:tcPr>
            <w:tcW w:w="743" w:type="pct"/>
            <w:tcBorders>
              <w:top w:val="nil"/>
              <w:left w:val="nil"/>
              <w:bottom w:val="single" w:sz="8" w:space="0" w:color="auto"/>
              <w:right w:val="nil"/>
            </w:tcBorders>
            <w:shd w:val="clear" w:color="auto" w:fill="auto"/>
            <w:noWrap/>
            <w:vAlign w:val="center"/>
            <w:hideMark/>
          </w:tcPr>
          <w:p w14:paraId="7634582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0.307</w:t>
            </w:r>
          </w:p>
        </w:tc>
        <w:tc>
          <w:tcPr>
            <w:tcW w:w="576" w:type="pct"/>
            <w:tcBorders>
              <w:top w:val="nil"/>
              <w:left w:val="nil"/>
              <w:bottom w:val="single" w:sz="8" w:space="0" w:color="auto"/>
              <w:right w:val="nil"/>
            </w:tcBorders>
            <w:shd w:val="clear" w:color="auto" w:fill="auto"/>
            <w:noWrap/>
            <w:vAlign w:val="center"/>
            <w:hideMark/>
          </w:tcPr>
          <w:p w14:paraId="5127BEF1"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0.036</w:t>
            </w:r>
          </w:p>
        </w:tc>
        <w:tc>
          <w:tcPr>
            <w:tcW w:w="631" w:type="pct"/>
            <w:tcBorders>
              <w:top w:val="nil"/>
              <w:left w:val="nil"/>
              <w:bottom w:val="single" w:sz="8" w:space="0" w:color="auto"/>
              <w:right w:val="nil"/>
            </w:tcBorders>
            <w:shd w:val="clear" w:color="auto" w:fill="auto"/>
            <w:noWrap/>
            <w:vAlign w:val="center"/>
            <w:hideMark/>
          </w:tcPr>
          <w:p w14:paraId="7CD5027B"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0.009</w:t>
            </w:r>
          </w:p>
        </w:tc>
        <w:tc>
          <w:tcPr>
            <w:tcW w:w="618" w:type="pct"/>
            <w:tcBorders>
              <w:top w:val="nil"/>
              <w:left w:val="nil"/>
              <w:bottom w:val="single" w:sz="8" w:space="0" w:color="auto"/>
              <w:right w:val="nil"/>
            </w:tcBorders>
            <w:shd w:val="clear" w:color="auto" w:fill="auto"/>
            <w:noWrap/>
            <w:vAlign w:val="center"/>
            <w:hideMark/>
          </w:tcPr>
          <w:p w14:paraId="12CD2E35"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0.508</w:t>
            </w:r>
          </w:p>
        </w:tc>
      </w:tr>
      <w:tr w:rsidR="00692A23" w:rsidRPr="00F07DEB" w14:paraId="22CF68A6" w14:textId="77777777" w:rsidTr="009D49F2">
        <w:trPr>
          <w:trHeight w:val="292"/>
        </w:trPr>
        <w:tc>
          <w:tcPr>
            <w:tcW w:w="988" w:type="pct"/>
            <w:tcBorders>
              <w:top w:val="nil"/>
              <w:left w:val="nil"/>
              <w:bottom w:val="nil"/>
              <w:right w:val="nil"/>
            </w:tcBorders>
            <w:shd w:val="clear" w:color="auto" w:fill="auto"/>
            <w:noWrap/>
            <w:vAlign w:val="center"/>
            <w:hideMark/>
          </w:tcPr>
          <w:p w14:paraId="16035C16"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Bermuda grass</w:t>
            </w:r>
          </w:p>
        </w:tc>
        <w:tc>
          <w:tcPr>
            <w:tcW w:w="868" w:type="pct"/>
            <w:tcBorders>
              <w:top w:val="nil"/>
              <w:left w:val="nil"/>
              <w:bottom w:val="nil"/>
              <w:right w:val="nil"/>
            </w:tcBorders>
            <w:shd w:val="clear" w:color="auto" w:fill="auto"/>
            <w:noWrap/>
            <w:vAlign w:val="center"/>
            <w:hideMark/>
          </w:tcPr>
          <w:p w14:paraId="19F0723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c>
          <w:tcPr>
            <w:tcW w:w="576" w:type="pct"/>
            <w:tcBorders>
              <w:top w:val="nil"/>
              <w:left w:val="nil"/>
              <w:bottom w:val="nil"/>
              <w:right w:val="nil"/>
            </w:tcBorders>
            <w:shd w:val="clear" w:color="auto" w:fill="auto"/>
            <w:noWrap/>
            <w:vAlign w:val="center"/>
            <w:hideMark/>
          </w:tcPr>
          <w:p w14:paraId="385A60A1"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743" w:type="pct"/>
            <w:tcBorders>
              <w:top w:val="nil"/>
              <w:left w:val="nil"/>
              <w:bottom w:val="nil"/>
              <w:right w:val="nil"/>
            </w:tcBorders>
            <w:shd w:val="clear" w:color="auto" w:fill="auto"/>
            <w:noWrap/>
            <w:vAlign w:val="center"/>
            <w:hideMark/>
          </w:tcPr>
          <w:p w14:paraId="7E39C040"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576" w:type="pct"/>
            <w:tcBorders>
              <w:top w:val="nil"/>
              <w:left w:val="nil"/>
              <w:bottom w:val="nil"/>
              <w:right w:val="nil"/>
            </w:tcBorders>
            <w:shd w:val="clear" w:color="auto" w:fill="auto"/>
            <w:noWrap/>
            <w:vAlign w:val="center"/>
            <w:hideMark/>
          </w:tcPr>
          <w:p w14:paraId="08914732"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48650B07"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618" w:type="pct"/>
            <w:tcBorders>
              <w:top w:val="nil"/>
              <w:left w:val="nil"/>
              <w:bottom w:val="nil"/>
              <w:right w:val="nil"/>
            </w:tcBorders>
            <w:shd w:val="clear" w:color="auto" w:fill="auto"/>
            <w:noWrap/>
            <w:vAlign w:val="center"/>
            <w:hideMark/>
          </w:tcPr>
          <w:p w14:paraId="6764D86B"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r>
      <w:tr w:rsidR="00692A23" w:rsidRPr="00F07DEB" w14:paraId="0DC15749" w14:textId="77777777" w:rsidTr="009D49F2">
        <w:trPr>
          <w:trHeight w:val="292"/>
        </w:trPr>
        <w:tc>
          <w:tcPr>
            <w:tcW w:w="988" w:type="pct"/>
            <w:tcBorders>
              <w:top w:val="nil"/>
              <w:left w:val="nil"/>
              <w:bottom w:val="nil"/>
              <w:right w:val="nil"/>
            </w:tcBorders>
            <w:shd w:val="clear" w:color="auto" w:fill="auto"/>
            <w:noWrap/>
            <w:vAlign w:val="center"/>
            <w:hideMark/>
          </w:tcPr>
          <w:p w14:paraId="09EE71B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Grass1 </w:t>
            </w:r>
          </w:p>
        </w:tc>
        <w:tc>
          <w:tcPr>
            <w:tcW w:w="868" w:type="pct"/>
            <w:tcBorders>
              <w:top w:val="nil"/>
              <w:left w:val="nil"/>
              <w:bottom w:val="nil"/>
              <w:right w:val="nil"/>
            </w:tcBorders>
            <w:shd w:val="clear" w:color="auto" w:fill="auto"/>
            <w:noWrap/>
            <w:vAlign w:val="center"/>
            <w:hideMark/>
          </w:tcPr>
          <w:p w14:paraId="1B8E1370"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0.122</w:t>
            </w:r>
          </w:p>
        </w:tc>
        <w:tc>
          <w:tcPr>
            <w:tcW w:w="576" w:type="pct"/>
            <w:tcBorders>
              <w:top w:val="nil"/>
              <w:left w:val="nil"/>
              <w:bottom w:val="nil"/>
              <w:right w:val="nil"/>
            </w:tcBorders>
            <w:shd w:val="clear" w:color="auto" w:fill="auto"/>
            <w:noWrap/>
            <w:vAlign w:val="center"/>
            <w:hideMark/>
          </w:tcPr>
          <w:p w14:paraId="348C76D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0.024</w:t>
            </w:r>
          </w:p>
        </w:tc>
        <w:tc>
          <w:tcPr>
            <w:tcW w:w="743" w:type="pct"/>
            <w:tcBorders>
              <w:top w:val="nil"/>
              <w:left w:val="nil"/>
              <w:bottom w:val="nil"/>
              <w:right w:val="nil"/>
            </w:tcBorders>
            <w:shd w:val="clear" w:color="auto" w:fill="auto"/>
            <w:noWrap/>
            <w:vAlign w:val="center"/>
            <w:hideMark/>
          </w:tcPr>
          <w:p w14:paraId="0BB911EC"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0.112</w:t>
            </w:r>
          </w:p>
        </w:tc>
        <w:tc>
          <w:tcPr>
            <w:tcW w:w="576" w:type="pct"/>
            <w:tcBorders>
              <w:top w:val="nil"/>
              <w:left w:val="nil"/>
              <w:bottom w:val="nil"/>
              <w:right w:val="nil"/>
            </w:tcBorders>
            <w:shd w:val="clear" w:color="auto" w:fill="auto"/>
            <w:noWrap/>
            <w:vAlign w:val="center"/>
            <w:hideMark/>
          </w:tcPr>
          <w:p w14:paraId="55F13418"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0.018</w:t>
            </w:r>
          </w:p>
        </w:tc>
        <w:tc>
          <w:tcPr>
            <w:tcW w:w="631" w:type="pct"/>
            <w:vMerge w:val="restart"/>
            <w:tcBorders>
              <w:top w:val="nil"/>
              <w:left w:val="nil"/>
              <w:bottom w:val="single" w:sz="8" w:space="0" w:color="000000"/>
              <w:right w:val="nil"/>
            </w:tcBorders>
            <w:shd w:val="clear" w:color="auto" w:fill="auto"/>
            <w:noWrap/>
            <w:vAlign w:val="center"/>
            <w:hideMark/>
          </w:tcPr>
          <w:p w14:paraId="216860C0"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0.767</w:t>
            </w:r>
          </w:p>
        </w:tc>
        <w:tc>
          <w:tcPr>
            <w:tcW w:w="618" w:type="pct"/>
            <w:vMerge w:val="restart"/>
            <w:tcBorders>
              <w:top w:val="nil"/>
              <w:left w:val="nil"/>
              <w:bottom w:val="single" w:sz="8" w:space="0" w:color="000000"/>
              <w:right w:val="nil"/>
            </w:tcBorders>
            <w:shd w:val="clear" w:color="auto" w:fill="auto"/>
            <w:noWrap/>
            <w:vAlign w:val="center"/>
            <w:hideMark/>
          </w:tcPr>
          <w:p w14:paraId="3C546C09"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0.009</w:t>
            </w:r>
          </w:p>
        </w:tc>
      </w:tr>
      <w:tr w:rsidR="00692A23" w:rsidRPr="00F07DEB" w14:paraId="0BC7D154" w14:textId="77777777" w:rsidTr="009D49F2">
        <w:trPr>
          <w:trHeight w:val="292"/>
        </w:trPr>
        <w:tc>
          <w:tcPr>
            <w:tcW w:w="988" w:type="pct"/>
            <w:tcBorders>
              <w:top w:val="nil"/>
              <w:left w:val="nil"/>
              <w:bottom w:val="nil"/>
              <w:right w:val="nil"/>
            </w:tcBorders>
            <w:shd w:val="clear" w:color="auto" w:fill="auto"/>
            <w:noWrap/>
            <w:vAlign w:val="center"/>
            <w:hideMark/>
          </w:tcPr>
          <w:p w14:paraId="4D3E3FF8"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Grass2</w:t>
            </w:r>
          </w:p>
        </w:tc>
        <w:tc>
          <w:tcPr>
            <w:tcW w:w="868" w:type="pct"/>
            <w:tcBorders>
              <w:top w:val="nil"/>
              <w:left w:val="nil"/>
              <w:bottom w:val="nil"/>
              <w:right w:val="nil"/>
            </w:tcBorders>
            <w:shd w:val="clear" w:color="auto" w:fill="auto"/>
            <w:noWrap/>
            <w:vAlign w:val="center"/>
            <w:hideMark/>
          </w:tcPr>
          <w:p w14:paraId="6828ECA0"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0.162</w:t>
            </w:r>
          </w:p>
        </w:tc>
        <w:tc>
          <w:tcPr>
            <w:tcW w:w="576" w:type="pct"/>
            <w:tcBorders>
              <w:top w:val="nil"/>
              <w:left w:val="nil"/>
              <w:bottom w:val="nil"/>
              <w:right w:val="nil"/>
            </w:tcBorders>
            <w:shd w:val="clear" w:color="auto" w:fill="auto"/>
            <w:noWrap/>
            <w:vAlign w:val="center"/>
            <w:hideMark/>
          </w:tcPr>
          <w:p w14:paraId="050AA6AC"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0.031</w:t>
            </w:r>
          </w:p>
        </w:tc>
        <w:tc>
          <w:tcPr>
            <w:tcW w:w="743" w:type="pct"/>
            <w:tcBorders>
              <w:top w:val="nil"/>
              <w:left w:val="nil"/>
              <w:bottom w:val="nil"/>
              <w:right w:val="nil"/>
            </w:tcBorders>
            <w:shd w:val="clear" w:color="auto" w:fill="auto"/>
            <w:noWrap/>
            <w:vAlign w:val="center"/>
            <w:hideMark/>
          </w:tcPr>
          <w:p w14:paraId="04A8C138"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0.136</w:t>
            </w:r>
          </w:p>
        </w:tc>
        <w:tc>
          <w:tcPr>
            <w:tcW w:w="576" w:type="pct"/>
            <w:tcBorders>
              <w:top w:val="nil"/>
              <w:left w:val="nil"/>
              <w:bottom w:val="nil"/>
              <w:right w:val="nil"/>
            </w:tcBorders>
            <w:shd w:val="clear" w:color="auto" w:fill="auto"/>
            <w:noWrap/>
            <w:vAlign w:val="center"/>
            <w:hideMark/>
          </w:tcPr>
          <w:p w14:paraId="590945A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0.012</w:t>
            </w:r>
          </w:p>
        </w:tc>
        <w:tc>
          <w:tcPr>
            <w:tcW w:w="631" w:type="pct"/>
            <w:vMerge/>
            <w:tcBorders>
              <w:top w:val="nil"/>
              <w:left w:val="nil"/>
              <w:bottom w:val="single" w:sz="8" w:space="0" w:color="000000"/>
              <w:right w:val="nil"/>
            </w:tcBorders>
            <w:vAlign w:val="center"/>
            <w:hideMark/>
          </w:tcPr>
          <w:p w14:paraId="53C2F0D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c>
          <w:tcPr>
            <w:tcW w:w="618" w:type="pct"/>
            <w:vMerge/>
            <w:tcBorders>
              <w:top w:val="nil"/>
              <w:left w:val="nil"/>
              <w:bottom w:val="single" w:sz="8" w:space="0" w:color="000000"/>
              <w:right w:val="nil"/>
            </w:tcBorders>
            <w:vAlign w:val="center"/>
            <w:hideMark/>
          </w:tcPr>
          <w:p w14:paraId="789F212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r>
      <w:tr w:rsidR="00692A23" w:rsidRPr="00F07DEB" w14:paraId="493E5103" w14:textId="77777777" w:rsidTr="009D49F2">
        <w:trPr>
          <w:trHeight w:val="300"/>
        </w:trPr>
        <w:tc>
          <w:tcPr>
            <w:tcW w:w="988" w:type="pct"/>
            <w:tcBorders>
              <w:top w:val="nil"/>
              <w:left w:val="nil"/>
              <w:bottom w:val="single" w:sz="8" w:space="0" w:color="auto"/>
              <w:right w:val="nil"/>
            </w:tcBorders>
            <w:shd w:val="clear" w:color="auto" w:fill="auto"/>
            <w:noWrap/>
            <w:vAlign w:val="center"/>
            <w:hideMark/>
          </w:tcPr>
          <w:p w14:paraId="0BB6363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868" w:type="pct"/>
            <w:tcBorders>
              <w:top w:val="nil"/>
              <w:left w:val="nil"/>
              <w:bottom w:val="single" w:sz="8" w:space="0" w:color="auto"/>
              <w:right w:val="nil"/>
            </w:tcBorders>
            <w:shd w:val="clear" w:color="auto" w:fill="auto"/>
            <w:noWrap/>
            <w:vAlign w:val="center"/>
            <w:hideMark/>
          </w:tcPr>
          <w:p w14:paraId="684BC13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0.372</w:t>
            </w:r>
          </w:p>
        </w:tc>
        <w:tc>
          <w:tcPr>
            <w:tcW w:w="576" w:type="pct"/>
            <w:tcBorders>
              <w:top w:val="nil"/>
              <w:left w:val="nil"/>
              <w:bottom w:val="single" w:sz="8" w:space="0" w:color="auto"/>
              <w:right w:val="nil"/>
            </w:tcBorders>
            <w:shd w:val="clear" w:color="auto" w:fill="auto"/>
            <w:noWrap/>
            <w:vAlign w:val="center"/>
            <w:hideMark/>
          </w:tcPr>
          <w:p w14:paraId="3D411D66"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0.082</w:t>
            </w:r>
          </w:p>
        </w:tc>
        <w:tc>
          <w:tcPr>
            <w:tcW w:w="743" w:type="pct"/>
            <w:tcBorders>
              <w:top w:val="nil"/>
              <w:left w:val="nil"/>
              <w:bottom w:val="single" w:sz="8" w:space="0" w:color="auto"/>
              <w:right w:val="nil"/>
            </w:tcBorders>
            <w:shd w:val="clear" w:color="auto" w:fill="auto"/>
            <w:noWrap/>
            <w:vAlign w:val="center"/>
            <w:hideMark/>
          </w:tcPr>
          <w:p w14:paraId="06119C8A"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0.397</w:t>
            </w:r>
          </w:p>
        </w:tc>
        <w:tc>
          <w:tcPr>
            <w:tcW w:w="576" w:type="pct"/>
            <w:tcBorders>
              <w:top w:val="nil"/>
              <w:left w:val="nil"/>
              <w:bottom w:val="single" w:sz="8" w:space="0" w:color="auto"/>
              <w:right w:val="nil"/>
            </w:tcBorders>
            <w:shd w:val="clear" w:color="auto" w:fill="auto"/>
            <w:noWrap/>
            <w:vAlign w:val="center"/>
            <w:hideMark/>
          </w:tcPr>
          <w:p w14:paraId="6CAEFC5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0.028</w:t>
            </w:r>
          </w:p>
        </w:tc>
        <w:tc>
          <w:tcPr>
            <w:tcW w:w="631" w:type="pct"/>
            <w:vMerge/>
            <w:tcBorders>
              <w:top w:val="nil"/>
              <w:left w:val="nil"/>
              <w:bottom w:val="single" w:sz="8" w:space="0" w:color="000000"/>
              <w:right w:val="nil"/>
            </w:tcBorders>
            <w:vAlign w:val="center"/>
            <w:hideMark/>
          </w:tcPr>
          <w:p w14:paraId="1014C918"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c>
          <w:tcPr>
            <w:tcW w:w="618" w:type="pct"/>
            <w:vMerge/>
            <w:tcBorders>
              <w:top w:val="nil"/>
              <w:left w:val="nil"/>
              <w:bottom w:val="single" w:sz="8" w:space="0" w:color="000000"/>
              <w:right w:val="nil"/>
            </w:tcBorders>
            <w:vAlign w:val="center"/>
            <w:hideMark/>
          </w:tcPr>
          <w:p w14:paraId="0873458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r>
    </w:tbl>
    <w:p w14:paraId="7628B1DA" w14:textId="538EE71C" w:rsidR="009D49F2" w:rsidRPr="00F07DEB" w:rsidRDefault="009D49F2" w:rsidP="009D49F2">
      <w:pPr>
        <w:spacing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sz w:val="20"/>
          <w:szCs w:val="20"/>
        </w:rPr>
        <w:t xml:space="preserve">When the interaction effect was not significant, the results of </w:t>
      </w:r>
      <w:proofErr w:type="spellStart"/>
      <w:r w:rsidRPr="00F07DEB">
        <w:rPr>
          <w:rFonts w:ascii="Times New Roman" w:hAnsi="Times New Roman" w:cs="Times New Roman"/>
          <w:sz w:val="20"/>
          <w:szCs w:val="20"/>
        </w:rPr>
        <w:t>Sidak</w:t>
      </w:r>
      <w:proofErr w:type="spellEnd"/>
      <w:r w:rsidRPr="00F07DEB">
        <w:rPr>
          <w:rFonts w:ascii="Times New Roman" w:hAnsi="Times New Roman" w:cs="Times New Roman"/>
          <w:sz w:val="20"/>
          <w:szCs w:val="20"/>
        </w:rPr>
        <w:t xml:space="preserve">-corrected pairwise comparisons of main effects are indicated by a single value in the </w:t>
      </w:r>
      <w:r w:rsidRPr="00F07DEB">
        <w:rPr>
          <w:rFonts w:ascii="Times New Roman" w:hAnsi="Times New Roman" w:cs="Times New Roman"/>
          <w:i/>
          <w:sz w:val="20"/>
          <w:szCs w:val="20"/>
        </w:rPr>
        <w:t>p</w:t>
      </w:r>
      <w:r w:rsidRPr="00F07DEB">
        <w:rPr>
          <w:rFonts w:ascii="Times New Roman" w:hAnsi="Times New Roman" w:cs="Times New Roman"/>
          <w:sz w:val="20"/>
          <w:szCs w:val="20"/>
        </w:rPr>
        <w:t xml:space="preserve"> column (irrigation treatment main effect) and symbols (e.g., </w:t>
      </w:r>
      <w:r w:rsidRPr="00F07DEB">
        <w:rPr>
          <w:rFonts w:ascii="Times New Roman" w:eastAsia="Times New Roman" w:hAnsi="Times New Roman" w:cs="Times New Roman"/>
          <w:color w:val="000000"/>
          <w:sz w:val="20"/>
          <w:szCs w:val="20"/>
          <w:lang w:eastAsia="en-US"/>
        </w:rPr>
        <w:t xml:space="preserve">†‡) next to structure names (plant structure main effect). Plant structures that share a symbol were not significantly different </w:t>
      </w:r>
      <w:r w:rsidR="007B463F">
        <w:rPr>
          <w:rFonts w:ascii="Times New Roman" w:eastAsia="Times New Roman" w:hAnsi="Times New Roman" w:cs="Times New Roman"/>
          <w:color w:val="000000"/>
          <w:sz w:val="20"/>
          <w:szCs w:val="20"/>
          <w:lang w:eastAsia="en-US"/>
        </w:rPr>
        <w:t>(</w:t>
      </w:r>
      <w:r w:rsidR="007B463F" w:rsidRPr="00204C13">
        <w:rPr>
          <w:rFonts w:ascii="Times New Roman" w:eastAsia="Times New Roman" w:hAnsi="Times New Roman" w:cs="Times New Roman"/>
          <w:i/>
          <w:color w:val="000000"/>
          <w:sz w:val="20"/>
          <w:szCs w:val="20"/>
          <w:lang w:eastAsia="en-US"/>
        </w:rPr>
        <w:t>p</w:t>
      </w:r>
      <w:r w:rsidR="007B463F">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lang w:eastAsia="en-US"/>
        </w:rPr>
        <w:t xml:space="preserve"> 0.05). When the interaction effect was significant for a </w:t>
      </w:r>
      <w:r w:rsidR="00B643F2">
        <w:rPr>
          <w:rFonts w:ascii="Times New Roman" w:eastAsia="Times New Roman" w:hAnsi="Times New Roman" w:cs="Times New Roman"/>
          <w:color w:val="000000"/>
          <w:sz w:val="20"/>
          <w:szCs w:val="20"/>
          <w:lang w:eastAsia="en-US"/>
        </w:rPr>
        <w:t>species</w:t>
      </w:r>
      <w:r w:rsidRPr="00F07DEB">
        <w:rPr>
          <w:rFonts w:ascii="Times New Roman" w:eastAsia="Times New Roman" w:hAnsi="Times New Roman" w:cs="Times New Roman"/>
          <w:color w:val="000000"/>
          <w:sz w:val="20"/>
          <w:szCs w:val="20"/>
          <w:lang w:eastAsia="en-US"/>
        </w:rPr>
        <w:t xml:space="preserve">, the results of </w:t>
      </w:r>
      <w:proofErr w:type="spellStart"/>
      <w:r w:rsidRPr="00F07DEB">
        <w:rPr>
          <w:rFonts w:ascii="Times New Roman" w:eastAsia="Times New Roman" w:hAnsi="Times New Roman" w:cs="Times New Roman"/>
          <w:color w:val="000000"/>
          <w:sz w:val="20"/>
          <w:szCs w:val="20"/>
          <w:lang w:eastAsia="en-US"/>
        </w:rPr>
        <w:t>Sidak</w:t>
      </w:r>
      <w:proofErr w:type="spellEnd"/>
      <w:r w:rsidRPr="00F07DEB">
        <w:rPr>
          <w:rFonts w:ascii="Times New Roman" w:eastAsia="Times New Roman" w:hAnsi="Times New Roman" w:cs="Times New Roman"/>
          <w:color w:val="000000"/>
          <w:sz w:val="20"/>
          <w:szCs w:val="20"/>
          <w:lang w:eastAsia="en-US"/>
        </w:rPr>
        <w:t>-corrected pairwise comparisons of simple main effects are indicated by a value in every row of the</w:t>
      </w:r>
      <w:r w:rsidRPr="00F07DEB">
        <w:rPr>
          <w:rFonts w:ascii="Times New Roman" w:eastAsia="Times New Roman" w:hAnsi="Times New Roman" w:cs="Times New Roman"/>
          <w:i/>
          <w:color w:val="000000"/>
          <w:sz w:val="20"/>
          <w:szCs w:val="20"/>
          <w:lang w:eastAsia="en-US"/>
        </w:rPr>
        <w:t xml:space="preserve"> p</w:t>
      </w:r>
      <w:r w:rsidRPr="00F07DEB">
        <w:rPr>
          <w:rFonts w:ascii="Times New Roman" w:eastAsia="Times New Roman" w:hAnsi="Times New Roman" w:cs="Times New Roman"/>
          <w:color w:val="000000"/>
          <w:sz w:val="20"/>
          <w:szCs w:val="20"/>
          <w:lang w:eastAsia="en-US"/>
        </w:rPr>
        <w:t xml:space="preserve"> column for the </w:t>
      </w:r>
      <w:r w:rsidR="00B643F2">
        <w:rPr>
          <w:rFonts w:ascii="Times New Roman" w:eastAsia="Times New Roman" w:hAnsi="Times New Roman" w:cs="Times New Roman"/>
          <w:color w:val="000000"/>
          <w:sz w:val="20"/>
          <w:szCs w:val="20"/>
          <w:lang w:eastAsia="en-US"/>
        </w:rPr>
        <w:t>species</w:t>
      </w:r>
      <w:r w:rsidR="00B643F2" w:rsidRPr="00F07DEB">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lang w:eastAsia="en-US"/>
        </w:rPr>
        <w:t>(irrigation treatment simple main effect) and letters (e</w:t>
      </w:r>
      <w:r w:rsidR="00B323D9">
        <w:rPr>
          <w:rFonts w:ascii="Times New Roman" w:eastAsia="Times New Roman" w:hAnsi="Times New Roman" w:cs="Times New Roman"/>
          <w:color w:val="000000"/>
          <w:sz w:val="20"/>
          <w:szCs w:val="20"/>
          <w:lang w:eastAsia="en-US"/>
        </w:rPr>
        <w:t>.</w:t>
      </w:r>
      <w:r w:rsidRPr="00F07DEB">
        <w:rPr>
          <w:rFonts w:ascii="Times New Roman" w:eastAsia="Times New Roman" w:hAnsi="Times New Roman" w:cs="Times New Roman"/>
          <w:color w:val="000000"/>
          <w:sz w:val="20"/>
          <w:szCs w:val="20"/>
          <w:lang w:eastAsia="en-US"/>
        </w:rPr>
        <w:t xml:space="preserve">g., ab) next to mean concentrations. Structure concentrations from the same </w:t>
      </w:r>
      <w:r w:rsidR="00B643F2">
        <w:rPr>
          <w:rFonts w:ascii="Times New Roman" w:eastAsia="Times New Roman" w:hAnsi="Times New Roman" w:cs="Times New Roman"/>
          <w:color w:val="000000"/>
          <w:sz w:val="20"/>
          <w:szCs w:val="20"/>
          <w:lang w:eastAsia="en-US"/>
        </w:rPr>
        <w:t>species</w:t>
      </w:r>
      <w:r w:rsidR="00B643F2" w:rsidRPr="00F07DEB">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lang w:eastAsia="en-US"/>
        </w:rPr>
        <w:t>and irrigation treatment that share a letter were not significantly different (plant structure simple main effect, alpha = 0.05).</w:t>
      </w:r>
    </w:p>
    <w:p w14:paraId="10E4DE9F" w14:textId="77777777" w:rsidR="00692A23" w:rsidRPr="00F07DEB" w:rsidRDefault="00692A23" w:rsidP="004617CB">
      <w:pPr>
        <w:spacing w:line="240" w:lineRule="auto"/>
        <w:rPr>
          <w:rFonts w:ascii="Times New Roman" w:hAnsi="Times New Roman" w:cs="Times New Roman"/>
        </w:rPr>
      </w:pPr>
    </w:p>
    <w:p w14:paraId="067617E5" w14:textId="683623C7" w:rsidR="005B4FE1" w:rsidRPr="00F07DEB" w:rsidRDefault="002E56C1" w:rsidP="005B4FE1">
      <w:pPr>
        <w:keepNext/>
        <w:spacing w:line="240" w:lineRule="auto"/>
        <w:rPr>
          <w:rFonts w:ascii="Times New Roman" w:hAnsi="Times New Roman" w:cs="Times New Roman"/>
        </w:rPr>
      </w:pPr>
      <w:r w:rsidRPr="002E56C1">
        <w:rPr>
          <w:rFonts w:ascii="Times New Roman" w:hAnsi="Times New Roman" w:cs="Times New Roman"/>
          <w:noProof/>
          <w:lang w:eastAsia="en-US"/>
        </w:rPr>
        <w:lastRenderedPageBreak/>
        <w:drawing>
          <wp:inline distT="0" distB="0" distL="0" distR="0" wp14:anchorId="29C08516" wp14:editId="2F9DA749">
            <wp:extent cx="5943600" cy="2971800"/>
            <wp:effectExtent l="0" t="0" r="0" b="0"/>
            <wp:docPr id="15" name="Picture 15" descr="C:\Users\harper3663\Documents\School\_CREW\Irrigation Project\R\Plots\Plant Metals\Corrected\PlantC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harper3663\Documents\School\_CREW\Irrigation Project\R\Plots\Plant Metals\Corrected\PlantCd1.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10C3195D" w14:textId="2AF026FA" w:rsidR="00692A23" w:rsidRDefault="005B4FE1" w:rsidP="00204C13">
      <w:pPr>
        <w:pStyle w:val="Caption"/>
      </w:pPr>
      <w:bookmarkStart w:id="142" w:name="_Ref56256660"/>
      <w:bookmarkStart w:id="143" w:name="_Toc58975246"/>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36</w:t>
      </w:r>
      <w:r w:rsidR="00DE3B90" w:rsidRPr="00F07DEB">
        <w:rPr>
          <w:noProof/>
        </w:rPr>
        <w:fldChar w:fldCharType="end"/>
      </w:r>
      <w:bookmarkEnd w:id="142"/>
      <w:r w:rsidRPr="00F07DEB">
        <w:t>: Box plots of Cd concentrations in each plant and structure in mg/kg</w:t>
      </w:r>
      <w:bookmarkEnd w:id="143"/>
    </w:p>
    <w:p w14:paraId="478447CE" w14:textId="77777777" w:rsidR="00B3002C" w:rsidRPr="00B3002C" w:rsidRDefault="00B3002C" w:rsidP="00B3002C"/>
    <w:p w14:paraId="41E75085" w14:textId="2A779755" w:rsidR="00692A23" w:rsidRPr="00F07DEB" w:rsidRDefault="004435CF" w:rsidP="00150F2B">
      <w:pPr>
        <w:spacing w:line="480" w:lineRule="auto"/>
        <w:rPr>
          <w:rFonts w:ascii="Times New Roman" w:hAnsi="Times New Roman" w:cs="Times New Roman"/>
          <w:sz w:val="24"/>
          <w:szCs w:val="24"/>
        </w:rPr>
      </w:pPr>
      <w:r w:rsidRPr="00F07DEB">
        <w:rPr>
          <w:rFonts w:ascii="Times New Roman" w:hAnsi="Times New Roman" w:cs="Times New Roman"/>
          <w:sz w:val="24"/>
          <w:szCs w:val="24"/>
        </w:rPr>
        <w:tab/>
      </w:r>
      <w:r w:rsidR="009678A2">
        <w:rPr>
          <w:rFonts w:ascii="Times New Roman" w:hAnsi="Times New Roman" w:cs="Times New Roman"/>
          <w:sz w:val="24"/>
          <w:szCs w:val="24"/>
        </w:rPr>
        <w:t>Mg</w:t>
      </w:r>
      <w:r w:rsidRPr="00F07DEB">
        <w:rPr>
          <w:rFonts w:ascii="Times New Roman" w:hAnsi="Times New Roman" w:cs="Times New Roman"/>
          <w:sz w:val="24"/>
          <w:szCs w:val="24"/>
        </w:rPr>
        <w:t xml:space="preserve"> can be a growth-limiting constraint at vegetative concent</w:t>
      </w:r>
      <w:r w:rsidR="00421B82">
        <w:rPr>
          <w:rFonts w:ascii="Times New Roman" w:hAnsi="Times New Roman" w:cs="Times New Roman"/>
          <w:sz w:val="24"/>
          <w:szCs w:val="24"/>
        </w:rPr>
        <w:t>rations below 1.5 to 3.5 g/kg DW</w:t>
      </w:r>
      <w:r w:rsidRPr="00F07DEB">
        <w:rPr>
          <w:rFonts w:ascii="Times New Roman" w:hAnsi="Times New Roman" w:cs="Times New Roman"/>
          <w:sz w:val="24"/>
          <w:szCs w:val="24"/>
        </w:rPr>
        <w:t xml:space="preserve"> </w:t>
      </w:r>
      <w:r w:rsidRPr="00F07DEB">
        <w:rPr>
          <w:rFonts w:ascii="Times New Roman" w:hAnsi="Times New Roman" w:cs="Times New Roman"/>
          <w:sz w:val="24"/>
          <w:szCs w:val="24"/>
        </w:rPr>
        <w:fldChar w:fldCharType="begin"/>
      </w:r>
      <w:r w:rsidR="006811C1" w:rsidRPr="00F07DEB">
        <w:rPr>
          <w:rFonts w:ascii="Times New Roman" w:hAnsi="Times New Roman" w:cs="Times New Roman"/>
          <w:sz w:val="24"/>
          <w:szCs w:val="24"/>
        </w:rPr>
        <w:instrText xml:space="preserve"> ADDIN ZOTERO_ITEM CSL_CITATION {"citationID":"a2p1cd4eb1o","properties":{"formattedCitation":"(Hawkesford et al., 2012)","plainCitation":"(Hawkesford et al., 2012)","noteIndex":0},"citationItems":[{"id":856,"uris":["http://zotero.org/users/5446453/items/DM5ELELU"],"uri":["http://zotero.org/users/5446453/items/DM5ELELU"],"itemData":{"id":856,"type":"chapter","abstract":"This chapter focuses on the role played by various macronutrients such as nitrogen (N), sulfur (S), phosphorus (P), magnesium (Mg), calcium (Ca), and potassium (K) in plant metabolism and growth and describes the symptoms of deficiency and toxicity of these macronutrients. N is the most essential element required after carbon, and it plays a central role in plant metabolism as a constituent of proteins, nucleic acids, chlorophyll, coenzymes, phytohormones, and secondary metabolites. When it is taken as ammonium or nitrate, it is assimilated into amino acids either in the roots or shoots and within the plant, it is translocated as nitrate or amino acids. Sulfur is taken up as sulphate and assimilated into S-containing amino acids such as cysteine that are used to synthesize S-containing enzymes and coenzymes as well as secondary compounds such as phytochelatins (detoxification of metals) or aliins and glucosinolates (feeding deterrents). Phosphorus is a structural element in nucleic acids, and as a component of adenosine phosphates, it plays an important role in energy transfer, and it is also essential for transfer of carbohydrates in leaf cells. Magnesium is a component of chlorophyll, and it is required for photosynthesis and protein synthesis. Calcium is important for cell wall and membrane stabilization, osmoregulation, and as second messenger, thereby allowing plants to regulate developmental processes in response to environmental stimuli. The main role of K is osmoregulation, which is important for cell extension and stomata movement, and it affects loading of sucrose and the rate of mass flow-driven solute movement within the plant.","container-title":"Marschner's Mineral Nutrition of Higher Plants (Third Edition)","event-place":"San Diego","ISBN":"978-0-12-384905-2","language":"en","note":"DOI: 10.1016/B978-0-12-384905-2.00006-6","page":"135-189","publisher":"Academic Press","publisher-place":"San Diego","source":"ScienceDirect","title":"Chapter 6 - Functions of Macronutrients","URL":"http://www.sciencedirect.com/science/article/pii/B9780123849052000066","author":[{"family":"Hawkesford","given":"Malcolm"},{"family":"Horst","given":"Walter"},{"family":"Kichey","given":"Thomas"},{"family":"Lambers","given":"Hans"},{"family":"Schjoerring","given":"Jan"},{"family":"Møller","given":"Inge Skrumsager"},{"family":"White","given":"Philip"}],"editor":[{"family":"Marschner","given":"Petra"}],"accessed":{"date-parts":[["2020",11,13]]},"issued":{"date-parts":[["2012",1,1]]}}}],"schema":"https://github.com/citation-style-language/schema/raw/master/csl-citation.json"} </w:instrText>
      </w:r>
      <w:r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(Hawkesford et al., 2012)</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w:t>
      </w:r>
      <w:r w:rsidR="00150F2B" w:rsidRPr="00F07DEB">
        <w:rPr>
          <w:rFonts w:ascii="Times New Roman" w:hAnsi="Times New Roman" w:cs="Times New Roman"/>
          <w:sz w:val="24"/>
          <w:szCs w:val="24"/>
        </w:rPr>
        <w:t>It is possible that all three species</w:t>
      </w:r>
      <w:r w:rsidR="00466AD0" w:rsidRPr="00F07DEB">
        <w:rPr>
          <w:rFonts w:ascii="Times New Roman" w:hAnsi="Times New Roman" w:cs="Times New Roman"/>
          <w:sz w:val="24"/>
          <w:szCs w:val="24"/>
        </w:rPr>
        <w:t xml:space="preserve">, seen in </w:t>
      </w:r>
      <w:r w:rsidR="00466AD0" w:rsidRPr="00F07DEB">
        <w:rPr>
          <w:rFonts w:ascii="Times New Roman" w:hAnsi="Times New Roman" w:cs="Times New Roman"/>
          <w:sz w:val="24"/>
          <w:szCs w:val="24"/>
        </w:rPr>
        <w:fldChar w:fldCharType="begin"/>
      </w:r>
      <w:r w:rsidR="00466AD0" w:rsidRPr="00F07DEB">
        <w:rPr>
          <w:rFonts w:ascii="Times New Roman" w:hAnsi="Times New Roman" w:cs="Times New Roman"/>
          <w:sz w:val="24"/>
          <w:szCs w:val="24"/>
        </w:rPr>
        <w:instrText xml:space="preserve"> REF _Ref56256729 \h  \* MERGEFORMAT </w:instrText>
      </w:r>
      <w:r w:rsidR="00466AD0" w:rsidRPr="00F07DEB">
        <w:rPr>
          <w:rFonts w:ascii="Times New Roman" w:hAnsi="Times New Roman" w:cs="Times New Roman"/>
          <w:sz w:val="24"/>
          <w:szCs w:val="24"/>
        </w:rPr>
      </w:r>
      <w:r w:rsidR="00466AD0"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Table </w:t>
      </w:r>
      <w:r w:rsidR="00E179CA" w:rsidRPr="00E179CA">
        <w:rPr>
          <w:rFonts w:ascii="Times New Roman" w:hAnsi="Times New Roman" w:cs="Times New Roman"/>
          <w:noProof/>
          <w:sz w:val="24"/>
          <w:szCs w:val="24"/>
        </w:rPr>
        <w:t>21</w:t>
      </w:r>
      <w:r w:rsidR="00466AD0" w:rsidRPr="00F07DEB">
        <w:rPr>
          <w:rFonts w:ascii="Times New Roman" w:hAnsi="Times New Roman" w:cs="Times New Roman"/>
          <w:sz w:val="24"/>
          <w:szCs w:val="24"/>
        </w:rPr>
        <w:fldChar w:fldCharType="end"/>
      </w:r>
      <w:r w:rsidR="00466AD0" w:rsidRPr="00F07DEB">
        <w:rPr>
          <w:rFonts w:ascii="Times New Roman" w:hAnsi="Times New Roman" w:cs="Times New Roman"/>
          <w:sz w:val="24"/>
          <w:szCs w:val="24"/>
        </w:rPr>
        <w:t xml:space="preserve"> and </w:t>
      </w:r>
      <w:r w:rsidR="00466AD0" w:rsidRPr="00F07DEB">
        <w:rPr>
          <w:rFonts w:ascii="Times New Roman" w:hAnsi="Times New Roman" w:cs="Times New Roman"/>
          <w:sz w:val="24"/>
          <w:szCs w:val="24"/>
        </w:rPr>
        <w:fldChar w:fldCharType="begin"/>
      </w:r>
      <w:r w:rsidR="00466AD0" w:rsidRPr="00F07DEB">
        <w:rPr>
          <w:rFonts w:ascii="Times New Roman" w:hAnsi="Times New Roman" w:cs="Times New Roman"/>
          <w:sz w:val="24"/>
          <w:szCs w:val="24"/>
        </w:rPr>
        <w:instrText xml:space="preserve"> REF _Ref56256736 \h  \* MERGEFORMAT </w:instrText>
      </w:r>
      <w:r w:rsidR="00466AD0" w:rsidRPr="00F07DEB">
        <w:rPr>
          <w:rFonts w:ascii="Times New Roman" w:hAnsi="Times New Roman" w:cs="Times New Roman"/>
          <w:sz w:val="24"/>
          <w:szCs w:val="24"/>
        </w:rPr>
      </w:r>
      <w:r w:rsidR="00466AD0"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37</w:t>
      </w:r>
      <w:r w:rsidR="00466AD0" w:rsidRPr="00F07DEB">
        <w:rPr>
          <w:rFonts w:ascii="Times New Roman" w:hAnsi="Times New Roman" w:cs="Times New Roman"/>
          <w:sz w:val="24"/>
          <w:szCs w:val="24"/>
        </w:rPr>
        <w:fldChar w:fldCharType="end"/>
      </w:r>
      <w:r w:rsidR="00466AD0" w:rsidRPr="00F07DEB">
        <w:rPr>
          <w:rFonts w:ascii="Times New Roman" w:hAnsi="Times New Roman" w:cs="Times New Roman"/>
          <w:sz w:val="24"/>
          <w:szCs w:val="24"/>
        </w:rPr>
        <w:t>,</w:t>
      </w:r>
      <w:r w:rsidR="00150F2B" w:rsidRPr="00F07DEB">
        <w:rPr>
          <w:rFonts w:ascii="Times New Roman" w:hAnsi="Times New Roman" w:cs="Times New Roman"/>
          <w:sz w:val="24"/>
          <w:szCs w:val="24"/>
        </w:rPr>
        <w:t xml:space="preserve"> were </w:t>
      </w:r>
      <w:r w:rsidR="009678A2">
        <w:rPr>
          <w:rFonts w:ascii="Times New Roman" w:hAnsi="Times New Roman" w:cs="Times New Roman"/>
          <w:sz w:val="24"/>
          <w:szCs w:val="24"/>
        </w:rPr>
        <w:t>Mg</w:t>
      </w:r>
      <w:r w:rsidR="00150F2B" w:rsidRPr="00F07DEB">
        <w:rPr>
          <w:rFonts w:ascii="Times New Roman" w:hAnsi="Times New Roman" w:cs="Times New Roman"/>
          <w:sz w:val="24"/>
          <w:szCs w:val="24"/>
        </w:rPr>
        <w:t>-deficient despite elevated concentrations in both irrigati</w:t>
      </w:r>
      <w:r w:rsidR="00466AD0" w:rsidRPr="00F07DEB">
        <w:rPr>
          <w:rFonts w:ascii="Times New Roman" w:hAnsi="Times New Roman" w:cs="Times New Roman"/>
          <w:sz w:val="24"/>
          <w:szCs w:val="24"/>
        </w:rPr>
        <w:t>on waters</w:t>
      </w:r>
      <w:r w:rsidR="00150F2B" w:rsidRPr="00F07DEB">
        <w:rPr>
          <w:rFonts w:ascii="Times New Roman" w:hAnsi="Times New Roman" w:cs="Times New Roman"/>
          <w:sz w:val="24"/>
          <w:szCs w:val="24"/>
        </w:rPr>
        <w:t>. The groundwater contained significantly less Mg than mine water</w:t>
      </w:r>
      <w:r w:rsidR="00421B82">
        <w:rPr>
          <w:rFonts w:ascii="Times New Roman" w:hAnsi="Times New Roman" w:cs="Times New Roman"/>
          <w:sz w:val="24"/>
          <w:szCs w:val="24"/>
        </w:rPr>
        <w:t xml:space="preserve"> (Welch’s t-test, </w:t>
      </w:r>
      <w:r w:rsidR="00421B82" w:rsidRPr="00385CDA">
        <w:rPr>
          <w:rFonts w:ascii="Times New Roman" w:hAnsi="Times New Roman" w:cs="Times New Roman"/>
          <w:i/>
          <w:sz w:val="24"/>
          <w:szCs w:val="24"/>
        </w:rPr>
        <w:t>p</w:t>
      </w:r>
      <w:r w:rsidR="00421B82">
        <w:rPr>
          <w:rFonts w:ascii="Times New Roman" w:hAnsi="Times New Roman" w:cs="Times New Roman"/>
          <w:sz w:val="24"/>
          <w:szCs w:val="24"/>
        </w:rPr>
        <w:t xml:space="preserve"> &lt; 0.001)</w:t>
      </w:r>
      <w:r w:rsidR="00150F2B" w:rsidRPr="00F07DEB">
        <w:rPr>
          <w:rFonts w:ascii="Times New Roman" w:hAnsi="Times New Roman" w:cs="Times New Roman"/>
          <w:sz w:val="24"/>
          <w:szCs w:val="24"/>
        </w:rPr>
        <w:t>, and groundwater-irrigated corn leaves, stalks, and roots accumulated smaller Mg concentrations than their mine water-irrigated counterparts</w:t>
      </w:r>
      <w:r w:rsidR="00CF3DDB">
        <w:rPr>
          <w:rFonts w:ascii="Times New Roman" w:hAnsi="Times New Roman" w:cs="Times New Roman"/>
          <w:sz w:val="24"/>
          <w:szCs w:val="24"/>
        </w:rPr>
        <w:t>,</w:t>
      </w:r>
      <w:r w:rsidR="00150F2B" w:rsidRPr="00F07DEB">
        <w:rPr>
          <w:rFonts w:ascii="Times New Roman" w:hAnsi="Times New Roman" w:cs="Times New Roman"/>
          <w:sz w:val="24"/>
          <w:szCs w:val="24"/>
        </w:rPr>
        <w:t xml:space="preserve"> accordingly</w:t>
      </w:r>
      <w:r w:rsidR="00421B82">
        <w:rPr>
          <w:rFonts w:ascii="Times New Roman" w:hAnsi="Times New Roman" w:cs="Times New Roman"/>
          <w:sz w:val="24"/>
          <w:szCs w:val="24"/>
        </w:rPr>
        <w:t xml:space="preserve"> (Table 21</w:t>
      </w:r>
      <w:r w:rsidR="00883783">
        <w:rPr>
          <w:rFonts w:ascii="Times New Roman" w:hAnsi="Times New Roman" w:cs="Times New Roman"/>
          <w:sz w:val="24"/>
          <w:szCs w:val="24"/>
        </w:rPr>
        <w:t>).</w:t>
      </w:r>
      <w:r w:rsidR="00B43A1D" w:rsidRPr="00F07DEB">
        <w:rPr>
          <w:rFonts w:ascii="Times New Roman" w:hAnsi="Times New Roman" w:cs="Times New Roman"/>
          <w:sz w:val="24"/>
          <w:szCs w:val="24"/>
        </w:rPr>
        <w:t xml:space="preserve"> Sorghum roots were the only s</w:t>
      </w:r>
      <w:r w:rsidR="00150F2B" w:rsidRPr="00F07DEB">
        <w:rPr>
          <w:rFonts w:ascii="Times New Roman" w:hAnsi="Times New Roman" w:cs="Times New Roman"/>
          <w:sz w:val="24"/>
          <w:szCs w:val="24"/>
        </w:rPr>
        <w:t xml:space="preserve">orghum structures with significantly </w:t>
      </w:r>
      <w:r w:rsidR="00B43A1D" w:rsidRPr="00F07DEB">
        <w:rPr>
          <w:rFonts w:ascii="Times New Roman" w:hAnsi="Times New Roman" w:cs="Times New Roman"/>
          <w:sz w:val="24"/>
          <w:szCs w:val="24"/>
        </w:rPr>
        <w:t>lesser</w:t>
      </w:r>
      <w:r w:rsidR="00150F2B" w:rsidRPr="00F07DEB">
        <w:rPr>
          <w:rFonts w:ascii="Times New Roman" w:hAnsi="Times New Roman" w:cs="Times New Roman"/>
          <w:sz w:val="24"/>
          <w:szCs w:val="24"/>
        </w:rPr>
        <w:t xml:space="preserve"> Mg concentrations under groundwater irrigation</w:t>
      </w:r>
      <w:r w:rsidR="00421B82">
        <w:rPr>
          <w:rFonts w:ascii="Times New Roman" w:hAnsi="Times New Roman" w:cs="Times New Roman"/>
          <w:sz w:val="24"/>
          <w:szCs w:val="24"/>
        </w:rPr>
        <w:t xml:space="preserve"> (</w:t>
      </w:r>
      <w:r w:rsidR="005606CE">
        <w:rPr>
          <w:rFonts w:ascii="Times New Roman" w:hAnsi="Times New Roman" w:cs="Times New Roman"/>
          <w:sz w:val="24"/>
          <w:szCs w:val="24"/>
        </w:rPr>
        <w:t>Student’s t-test</w:t>
      </w:r>
      <w:r w:rsidR="00421B82">
        <w:rPr>
          <w:rFonts w:ascii="Times New Roman" w:hAnsi="Times New Roman" w:cs="Times New Roman"/>
          <w:sz w:val="24"/>
          <w:szCs w:val="24"/>
        </w:rPr>
        <w:t xml:space="preserve">, </w:t>
      </w:r>
      <w:r w:rsidR="00421B82" w:rsidRPr="00385CDA">
        <w:rPr>
          <w:rFonts w:ascii="Times New Roman" w:hAnsi="Times New Roman" w:cs="Times New Roman"/>
          <w:i/>
          <w:sz w:val="24"/>
          <w:szCs w:val="24"/>
        </w:rPr>
        <w:t>p</w:t>
      </w:r>
      <w:r w:rsidR="00421B82">
        <w:rPr>
          <w:rFonts w:ascii="Times New Roman" w:hAnsi="Times New Roman" w:cs="Times New Roman"/>
          <w:sz w:val="24"/>
          <w:szCs w:val="24"/>
        </w:rPr>
        <w:t xml:space="preserve"> = 0.031)</w:t>
      </w:r>
      <w:r w:rsidR="00150F2B" w:rsidRPr="00F07DEB">
        <w:rPr>
          <w:rFonts w:ascii="Times New Roman" w:hAnsi="Times New Roman" w:cs="Times New Roman"/>
          <w:sz w:val="24"/>
          <w:szCs w:val="24"/>
        </w:rPr>
        <w:t xml:space="preserve">; irrespective of treatment, sorghum leaves contained sufficient Mg but stalks and roots </w:t>
      </w:r>
      <w:r w:rsidR="00883783">
        <w:rPr>
          <w:rFonts w:ascii="Times New Roman" w:hAnsi="Times New Roman" w:cs="Times New Roman"/>
          <w:sz w:val="24"/>
          <w:szCs w:val="24"/>
        </w:rPr>
        <w:t>did not</w:t>
      </w:r>
      <w:r w:rsidR="00150F2B" w:rsidRPr="00F07DEB">
        <w:rPr>
          <w:rFonts w:ascii="Times New Roman" w:hAnsi="Times New Roman" w:cs="Times New Roman"/>
          <w:sz w:val="24"/>
          <w:szCs w:val="24"/>
        </w:rPr>
        <w:t xml:space="preserve">. Unlike the first Bermuda grass harvest, the shoots and roots collected during the second harvest were at or below the critical deficiency concentration for </w:t>
      </w:r>
      <w:r w:rsidR="009678A2">
        <w:rPr>
          <w:rFonts w:ascii="Times New Roman" w:hAnsi="Times New Roman" w:cs="Times New Roman"/>
          <w:sz w:val="24"/>
          <w:szCs w:val="24"/>
        </w:rPr>
        <w:t>Mg</w:t>
      </w:r>
      <w:r w:rsidR="00150F2B" w:rsidRPr="00F07DEB">
        <w:rPr>
          <w:rFonts w:ascii="Times New Roman" w:hAnsi="Times New Roman" w:cs="Times New Roman"/>
          <w:sz w:val="24"/>
          <w:szCs w:val="24"/>
        </w:rPr>
        <w:t>.</w:t>
      </w:r>
      <w:r w:rsidR="008B76E3" w:rsidRPr="00F07DEB">
        <w:rPr>
          <w:rFonts w:ascii="Times New Roman" w:hAnsi="Times New Roman" w:cs="Times New Roman"/>
          <w:sz w:val="24"/>
          <w:szCs w:val="24"/>
        </w:rPr>
        <w:t xml:space="preserve"> This stark difference was likely due to rainfall frequency; the pots received </w:t>
      </w:r>
      <w:r w:rsidR="00B43A1D" w:rsidRPr="00F07DEB">
        <w:rPr>
          <w:rFonts w:ascii="Times New Roman" w:hAnsi="Times New Roman" w:cs="Times New Roman"/>
          <w:sz w:val="24"/>
          <w:szCs w:val="24"/>
        </w:rPr>
        <w:t>three</w:t>
      </w:r>
      <w:r w:rsidR="008B76E3" w:rsidRPr="00F07DEB">
        <w:rPr>
          <w:rFonts w:ascii="Times New Roman" w:hAnsi="Times New Roman" w:cs="Times New Roman"/>
          <w:sz w:val="24"/>
          <w:szCs w:val="24"/>
        </w:rPr>
        <w:t xml:space="preserve"> more</w:t>
      </w:r>
      <w:r w:rsidR="00B43A1D" w:rsidRPr="00F07DEB">
        <w:rPr>
          <w:rFonts w:ascii="Times New Roman" w:hAnsi="Times New Roman" w:cs="Times New Roman"/>
          <w:sz w:val="24"/>
          <w:szCs w:val="24"/>
        </w:rPr>
        <w:t xml:space="preserve"> inches of</w:t>
      </w:r>
      <w:r w:rsidR="008B76E3" w:rsidRPr="00F07DEB">
        <w:rPr>
          <w:rFonts w:ascii="Times New Roman" w:hAnsi="Times New Roman" w:cs="Times New Roman"/>
          <w:sz w:val="24"/>
          <w:szCs w:val="24"/>
        </w:rPr>
        <w:t xml:space="preserve"> rain during the 36 days between first and second Bermuda grass harvests than they did during the 71 days between planting and the first Bermuda grass harvest. The increased frequency and intensity of </w:t>
      </w:r>
      <w:r w:rsidR="008B76E3" w:rsidRPr="00F07DEB">
        <w:rPr>
          <w:rFonts w:ascii="Times New Roman" w:hAnsi="Times New Roman" w:cs="Times New Roman"/>
          <w:sz w:val="24"/>
          <w:szCs w:val="24"/>
        </w:rPr>
        <w:lastRenderedPageBreak/>
        <w:t xml:space="preserve">rainfall during the last month of the growing </w:t>
      </w:r>
      <w:r w:rsidR="00B43A1D" w:rsidRPr="00F07DEB">
        <w:rPr>
          <w:rFonts w:ascii="Times New Roman" w:hAnsi="Times New Roman" w:cs="Times New Roman"/>
          <w:sz w:val="24"/>
          <w:szCs w:val="24"/>
        </w:rPr>
        <w:t>period</w:t>
      </w:r>
      <w:r w:rsidR="008B76E3" w:rsidRPr="00F07DEB">
        <w:rPr>
          <w:rFonts w:ascii="Times New Roman" w:hAnsi="Times New Roman" w:cs="Times New Roman"/>
          <w:sz w:val="24"/>
          <w:szCs w:val="24"/>
        </w:rPr>
        <w:t xml:space="preserve"> reduced the amount of </w:t>
      </w:r>
      <w:r w:rsidR="009678A2">
        <w:rPr>
          <w:rFonts w:ascii="Times New Roman" w:hAnsi="Times New Roman" w:cs="Times New Roman"/>
          <w:sz w:val="24"/>
          <w:szCs w:val="24"/>
        </w:rPr>
        <w:t>Mg</w:t>
      </w:r>
      <w:r w:rsidR="008B76E3" w:rsidRPr="00F07DEB">
        <w:rPr>
          <w:rFonts w:ascii="Times New Roman" w:hAnsi="Times New Roman" w:cs="Times New Roman"/>
          <w:sz w:val="24"/>
          <w:szCs w:val="24"/>
        </w:rPr>
        <w:t>-rich irrigatio</w:t>
      </w:r>
      <w:r w:rsidR="00B14452" w:rsidRPr="00F07DEB">
        <w:rPr>
          <w:rFonts w:ascii="Times New Roman" w:hAnsi="Times New Roman" w:cs="Times New Roman"/>
          <w:sz w:val="24"/>
          <w:szCs w:val="24"/>
        </w:rPr>
        <w:t xml:space="preserve">n water applied to the pots and could have leached </w:t>
      </w:r>
      <w:r w:rsidR="009678A2">
        <w:rPr>
          <w:rFonts w:ascii="Times New Roman" w:hAnsi="Times New Roman" w:cs="Times New Roman"/>
          <w:sz w:val="24"/>
          <w:szCs w:val="24"/>
        </w:rPr>
        <w:t>Mg</w:t>
      </w:r>
      <w:r w:rsidR="00B14452" w:rsidRPr="00F07DEB">
        <w:rPr>
          <w:rFonts w:ascii="Times New Roman" w:hAnsi="Times New Roman" w:cs="Times New Roman"/>
          <w:sz w:val="24"/>
          <w:szCs w:val="24"/>
        </w:rPr>
        <w:t xml:space="preserve"> from the substrate, further reducing availability </w:t>
      </w:r>
      <w:r w:rsidR="00B14452"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{"citationID":"a1btfjjmevi","properties":{"formattedCitation":"(Ayers &amp; Westcot, 1985a; R\\uc0\\u246{}mheld, 2012)","plainCitation":"(Ayers &amp; Westcot, 1985a; Römheld, 2012)","dontUpdate":true,"noteIndex":0},"citationItems":[{"id":415,"uris":["http://zotero.org/users/5446453/items/5W5EXXQA"],"uri":["http://zotero.org/users/5446453/items/5W5EXXQA"],"itemData":{"id":415,"type":"webpage","container-title":"Food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id":862,"uris":["http://zotero.org/users/5446453/items/I885T64W"],"uri":["http://zotero.org/users/5446453/items/I885T64W"],"itemData":{"id":862,"type":"chapter","abstract":"This chapter describes the general relationship between nutrient concentration and plant growth/yield and explores the various visual symptoms used for diagnosing the deficiency and toxicity of nutrients. It discusses various nutrient concentrations that are considered to be in the deficient, adequate, and toxic range. Fluctuations in environmental factors such as temperature and soil water content can affect the nutrient concentration of leaves considerably, which in turn can adversely affect the availability and uptake of nutrients by the roots and the shoot growth rate. Plant age, plant part, and concentrations of other nutrients also play their part in increasing the critical deficiency concentrations. Visual diagnosis provides enough information for a recommendation on type and amount of fertilizer to be used, and for this additional information related to soil pH, results of soil testing for nutrients, soil water status (dry/waterlogged), weather conditions (low temperature or frost) and the application of fertilizers, fungicides, or pesticides are acquired. A combination of histological and histochemical methods is useful in the diagnosis of Cu and P deficiencies, whereas enzymatic methods involving marker enzymes offer another approach to assess the nutritional status of plants. Enzymatic, biochemical, and biophysical methods can be very valuable if the total concentration or the soluble fraction of a nutrient is poorly correlated with its physiological availability. Chemical soil analysis indicates the potential availability of nutrients that roots may take up under conditions favorable for root growth and root activity, whereas plant analysis in the strict sense reflects only the actual nutritional status of plants. Therefore, a combination of both methods provides a better basis for recommending fertilizer applications.","container-title":"Marschner's Mineral Nutrition of Higher Plants (Third Edition)","event-place":"San Diego","ISBN":"978-0-12-384905-2","language":"en","note":"DOI: 10.1016/B978-0-12-384905-2.00011-X","page":"299-312","publisher":"Academic Press","publisher-place":"San Diego","source":"ScienceDirect","title":"Chapter 11 - Diagnosis of Deficiency and Toxicity of Nutrients","URL":"http://www.sciencedirect.com/science/article/pii/B978012384905200011X","author":[{"family":"Römheld","given":"Volker"}],"editor":[{"family":"Marschner","given":"Petra"}],"accessed":{"date-parts":[["2020",11,13]]},"issued":{"date-parts":[["2012",1,1]]}}}],"schema":"https://github.com/citation-style-language/schema/raw/master/csl-citation.json"} </w:instrText>
      </w:r>
      <w:r w:rsidR="00B14452" w:rsidRPr="00F07DEB">
        <w:rPr>
          <w:rFonts w:ascii="Times New Roman" w:hAnsi="Times New Roman" w:cs="Times New Roman"/>
          <w:sz w:val="24"/>
          <w:szCs w:val="24"/>
        </w:rPr>
        <w:fldChar w:fldCharType="separate"/>
      </w:r>
      <w:r w:rsidR="006811C1" w:rsidRPr="00F07DEB">
        <w:rPr>
          <w:rFonts w:ascii="Times New Roman" w:hAnsi="Times New Roman" w:cs="Times New Roman"/>
          <w:sz w:val="24"/>
          <w:szCs w:val="24"/>
        </w:rPr>
        <w:t xml:space="preserve">(Ayers </w:t>
      </w:r>
      <w:r w:rsidR="002A6AB5">
        <w:rPr>
          <w:rFonts w:ascii="Times New Roman" w:hAnsi="Times New Roman" w:cs="Times New Roman"/>
          <w:sz w:val="24"/>
          <w:szCs w:val="24"/>
        </w:rPr>
        <w:t>and</w:t>
      </w:r>
      <w:r w:rsidR="006811C1" w:rsidRPr="00F07DEB">
        <w:rPr>
          <w:rFonts w:ascii="Times New Roman" w:hAnsi="Times New Roman" w:cs="Times New Roman"/>
          <w:sz w:val="24"/>
          <w:szCs w:val="24"/>
        </w:rPr>
        <w:t xml:space="preserve"> Westcot, 1985a; Römheld, 2012)</w:t>
      </w:r>
      <w:r w:rsidR="00B14452" w:rsidRPr="00F07DEB">
        <w:rPr>
          <w:rFonts w:ascii="Times New Roman" w:hAnsi="Times New Roman" w:cs="Times New Roman"/>
          <w:sz w:val="24"/>
          <w:szCs w:val="24"/>
        </w:rPr>
        <w:fldChar w:fldCharType="end"/>
      </w:r>
      <w:r w:rsidR="00B14452" w:rsidRPr="00F07DEB">
        <w:rPr>
          <w:rFonts w:ascii="Times New Roman" w:hAnsi="Times New Roman" w:cs="Times New Roman"/>
          <w:sz w:val="24"/>
          <w:szCs w:val="24"/>
        </w:rPr>
        <w:t>. This same environmental influence could explain the significant reduction in</w:t>
      </w:r>
      <w:r w:rsidR="00421B82">
        <w:rPr>
          <w:rFonts w:ascii="Times New Roman" w:hAnsi="Times New Roman" w:cs="Times New Roman"/>
          <w:sz w:val="24"/>
          <w:szCs w:val="24"/>
        </w:rPr>
        <w:t xml:space="preserve"> </w:t>
      </w:r>
      <w:r w:rsidR="009678A2">
        <w:rPr>
          <w:rFonts w:ascii="Times New Roman" w:hAnsi="Times New Roman" w:cs="Times New Roman"/>
          <w:sz w:val="24"/>
          <w:szCs w:val="24"/>
        </w:rPr>
        <w:t>Ca</w:t>
      </w:r>
      <w:r w:rsidR="00421B82">
        <w:rPr>
          <w:rFonts w:ascii="Times New Roman" w:hAnsi="Times New Roman" w:cs="Times New Roman"/>
          <w:sz w:val="24"/>
          <w:szCs w:val="24"/>
        </w:rPr>
        <w:t xml:space="preserve"> concentrations of</w:t>
      </w:r>
      <w:r w:rsidR="00B14452" w:rsidRPr="00F07DEB">
        <w:rPr>
          <w:rFonts w:ascii="Times New Roman" w:hAnsi="Times New Roman" w:cs="Times New Roman"/>
          <w:sz w:val="24"/>
          <w:szCs w:val="24"/>
        </w:rPr>
        <w:t xml:space="preserve"> aboveground Bermuda grass from the first harvest to the second</w:t>
      </w:r>
      <w:r w:rsidR="00421B82">
        <w:rPr>
          <w:rFonts w:ascii="Times New Roman" w:hAnsi="Times New Roman" w:cs="Times New Roman"/>
          <w:sz w:val="24"/>
          <w:szCs w:val="24"/>
        </w:rPr>
        <w:t xml:space="preserve"> </w:t>
      </w:r>
      <w:r w:rsidR="005606CE">
        <w:rPr>
          <w:rFonts w:ascii="Times New Roman" w:hAnsi="Times New Roman" w:cs="Times New Roman"/>
          <w:sz w:val="24"/>
          <w:szCs w:val="24"/>
        </w:rPr>
        <w:t xml:space="preserve">(Student’s t-test, </w:t>
      </w:r>
      <w:r w:rsidR="005606CE" w:rsidRPr="00385CDA">
        <w:rPr>
          <w:rFonts w:ascii="Times New Roman" w:hAnsi="Times New Roman" w:cs="Times New Roman"/>
          <w:i/>
          <w:sz w:val="24"/>
          <w:szCs w:val="24"/>
        </w:rPr>
        <w:t>p</w:t>
      </w:r>
      <w:r w:rsidR="005606CE">
        <w:rPr>
          <w:rFonts w:ascii="Times New Roman" w:hAnsi="Times New Roman" w:cs="Times New Roman"/>
          <w:sz w:val="24"/>
          <w:szCs w:val="24"/>
        </w:rPr>
        <w:t xml:space="preserve"> &lt; 0.001)</w:t>
      </w:r>
      <w:r w:rsidR="00B14452" w:rsidRPr="00F07DEB">
        <w:rPr>
          <w:rFonts w:ascii="Times New Roman" w:hAnsi="Times New Roman" w:cs="Times New Roman"/>
          <w:sz w:val="24"/>
          <w:szCs w:val="24"/>
        </w:rPr>
        <w:t>.</w:t>
      </w:r>
    </w:p>
    <w:p w14:paraId="5AC7CAA2" w14:textId="61679C91" w:rsidR="000B31CB" w:rsidRPr="00F07DEB" w:rsidRDefault="000B31CB" w:rsidP="00204C13">
      <w:pPr>
        <w:pStyle w:val="Caption"/>
      </w:pPr>
      <w:bookmarkStart w:id="144" w:name="_Ref56256729"/>
      <w:bookmarkStart w:id="145" w:name="_Ref56256724"/>
      <w:bookmarkStart w:id="146" w:name="_Toc58975207"/>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21</w:t>
      </w:r>
      <w:r w:rsidR="00DE3B90" w:rsidRPr="00F07DEB">
        <w:rPr>
          <w:noProof/>
        </w:rPr>
        <w:fldChar w:fldCharType="end"/>
      </w:r>
      <w:bookmarkEnd w:id="144"/>
      <w:r w:rsidRPr="00F07DEB">
        <w:t xml:space="preserve">: Means, standard deviations of plant Mg concentrations in mg/kg </w:t>
      </w:r>
      <w:r w:rsidR="008701DF" w:rsidRPr="00F07DEB">
        <w:t>compared via</w:t>
      </w:r>
      <w:r w:rsidRPr="00F07DEB">
        <w:t xml:space="preserve"> mixed ANOVA</w:t>
      </w:r>
      <w:bookmarkEnd w:id="145"/>
      <w:bookmarkEnd w:id="146"/>
    </w:p>
    <w:tbl>
      <w:tblPr>
        <w:tblW w:w="5000" w:type="pct"/>
        <w:tblLook w:val="04A0" w:firstRow="1" w:lastRow="0" w:firstColumn="1" w:lastColumn="0" w:noHBand="0" w:noVBand="1"/>
      </w:tblPr>
      <w:tblGrid>
        <w:gridCol w:w="1849"/>
        <w:gridCol w:w="1700"/>
        <w:gridCol w:w="970"/>
        <w:gridCol w:w="1533"/>
        <w:gridCol w:w="968"/>
        <w:gridCol w:w="1181"/>
        <w:gridCol w:w="1159"/>
      </w:tblGrid>
      <w:tr w:rsidR="00692A23" w:rsidRPr="00F07DEB" w14:paraId="7C3CE6E1" w14:textId="77777777" w:rsidTr="00692A23">
        <w:trPr>
          <w:trHeight w:val="258"/>
        </w:trPr>
        <w:tc>
          <w:tcPr>
            <w:tcW w:w="988" w:type="pct"/>
            <w:tcBorders>
              <w:top w:val="single" w:sz="8" w:space="0" w:color="auto"/>
              <w:left w:val="nil"/>
              <w:bottom w:val="nil"/>
              <w:right w:val="nil"/>
            </w:tcBorders>
            <w:shd w:val="clear" w:color="auto" w:fill="auto"/>
            <w:noWrap/>
            <w:vAlign w:val="bottom"/>
            <w:hideMark/>
          </w:tcPr>
          <w:p w14:paraId="3BEF5515" w14:textId="77777777" w:rsidR="00692A23" w:rsidRPr="00F07DEB" w:rsidRDefault="00692A23" w:rsidP="00692A23">
            <w:pPr>
              <w:spacing w:after="0" w:line="240" w:lineRule="auto"/>
              <w:rPr>
                <w:rFonts w:ascii="Times New Roman" w:eastAsia="Times New Roman" w:hAnsi="Times New Roman" w:cs="Times New Roman"/>
                <w:sz w:val="24"/>
                <w:szCs w:val="24"/>
                <w:lang w:eastAsia="en-US"/>
              </w:rPr>
            </w:pPr>
          </w:p>
        </w:tc>
        <w:tc>
          <w:tcPr>
            <w:tcW w:w="2762" w:type="pct"/>
            <w:gridSpan w:val="4"/>
            <w:tcBorders>
              <w:top w:val="single" w:sz="8" w:space="0" w:color="auto"/>
              <w:left w:val="nil"/>
              <w:bottom w:val="nil"/>
              <w:right w:val="nil"/>
            </w:tcBorders>
            <w:shd w:val="clear" w:color="auto" w:fill="auto"/>
            <w:noWrap/>
            <w:vAlign w:val="bottom"/>
            <w:hideMark/>
          </w:tcPr>
          <w:p w14:paraId="679FE9AF" w14:textId="77777777" w:rsidR="00692A23" w:rsidRPr="00F07DEB" w:rsidRDefault="00692A23" w:rsidP="00692A23">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Treatment</w:t>
            </w:r>
          </w:p>
        </w:tc>
        <w:tc>
          <w:tcPr>
            <w:tcW w:w="631" w:type="pct"/>
            <w:tcBorders>
              <w:top w:val="single" w:sz="8" w:space="0" w:color="auto"/>
              <w:left w:val="nil"/>
              <w:bottom w:val="nil"/>
              <w:right w:val="nil"/>
            </w:tcBorders>
            <w:shd w:val="clear" w:color="auto" w:fill="auto"/>
            <w:noWrap/>
            <w:vAlign w:val="bottom"/>
            <w:hideMark/>
          </w:tcPr>
          <w:p w14:paraId="7CD4BD5B" w14:textId="77777777" w:rsidR="00692A23" w:rsidRPr="00F07DEB" w:rsidRDefault="00692A23" w:rsidP="00692A23">
            <w:pPr>
              <w:spacing w:after="0" w:line="240" w:lineRule="auto"/>
              <w:jc w:val="center"/>
              <w:rPr>
                <w:rFonts w:ascii="Times New Roman" w:eastAsia="Times New Roman" w:hAnsi="Times New Roman" w:cs="Times New Roman"/>
                <w:color w:val="000000"/>
                <w:sz w:val="20"/>
                <w:szCs w:val="20"/>
                <w:lang w:eastAsia="en-US"/>
              </w:rPr>
            </w:pPr>
          </w:p>
        </w:tc>
        <w:tc>
          <w:tcPr>
            <w:tcW w:w="619" w:type="pct"/>
            <w:tcBorders>
              <w:top w:val="single" w:sz="8" w:space="0" w:color="auto"/>
              <w:left w:val="nil"/>
              <w:bottom w:val="nil"/>
              <w:right w:val="nil"/>
            </w:tcBorders>
            <w:shd w:val="clear" w:color="auto" w:fill="auto"/>
            <w:noWrap/>
            <w:vAlign w:val="bottom"/>
            <w:hideMark/>
          </w:tcPr>
          <w:p w14:paraId="087143A6"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r>
      <w:tr w:rsidR="00692A23" w:rsidRPr="00F07DEB" w14:paraId="337B1C7C" w14:textId="77777777" w:rsidTr="00692A23">
        <w:trPr>
          <w:trHeight w:val="387"/>
        </w:trPr>
        <w:tc>
          <w:tcPr>
            <w:tcW w:w="988" w:type="pct"/>
            <w:tcBorders>
              <w:top w:val="nil"/>
              <w:left w:val="nil"/>
              <w:bottom w:val="nil"/>
              <w:right w:val="nil"/>
            </w:tcBorders>
            <w:shd w:val="clear" w:color="auto" w:fill="auto"/>
            <w:noWrap/>
            <w:vAlign w:val="bottom"/>
            <w:hideMark/>
          </w:tcPr>
          <w:p w14:paraId="4772530E"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1426" w:type="pct"/>
            <w:gridSpan w:val="2"/>
            <w:tcBorders>
              <w:top w:val="nil"/>
              <w:left w:val="nil"/>
              <w:bottom w:val="single" w:sz="8" w:space="0" w:color="auto"/>
              <w:right w:val="nil"/>
            </w:tcBorders>
            <w:shd w:val="clear" w:color="auto" w:fill="auto"/>
            <w:noWrap/>
            <w:vAlign w:val="bottom"/>
            <w:hideMark/>
          </w:tcPr>
          <w:p w14:paraId="07E909BF" w14:textId="77777777" w:rsidR="00692A23" w:rsidRPr="00F07DEB" w:rsidRDefault="00692A23" w:rsidP="00692A23">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Groundwater</w:t>
            </w:r>
          </w:p>
        </w:tc>
        <w:tc>
          <w:tcPr>
            <w:tcW w:w="1336" w:type="pct"/>
            <w:gridSpan w:val="2"/>
            <w:tcBorders>
              <w:top w:val="nil"/>
              <w:left w:val="nil"/>
              <w:bottom w:val="single" w:sz="8" w:space="0" w:color="auto"/>
              <w:right w:val="nil"/>
            </w:tcBorders>
            <w:shd w:val="clear" w:color="auto" w:fill="auto"/>
            <w:noWrap/>
            <w:vAlign w:val="bottom"/>
            <w:hideMark/>
          </w:tcPr>
          <w:p w14:paraId="122786B5" w14:textId="77777777" w:rsidR="00692A23" w:rsidRPr="00F07DEB" w:rsidRDefault="00692A23" w:rsidP="00692A23">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Mine water</w:t>
            </w:r>
          </w:p>
        </w:tc>
        <w:tc>
          <w:tcPr>
            <w:tcW w:w="631" w:type="pct"/>
            <w:tcBorders>
              <w:top w:val="nil"/>
              <w:left w:val="nil"/>
              <w:bottom w:val="nil"/>
              <w:right w:val="nil"/>
            </w:tcBorders>
            <w:shd w:val="clear" w:color="auto" w:fill="auto"/>
            <w:noWrap/>
            <w:vAlign w:val="bottom"/>
            <w:hideMark/>
          </w:tcPr>
          <w:p w14:paraId="11678893" w14:textId="77777777" w:rsidR="00692A23" w:rsidRPr="00F07DEB" w:rsidRDefault="00692A23" w:rsidP="00692A23">
            <w:pPr>
              <w:spacing w:after="0" w:line="240" w:lineRule="auto"/>
              <w:jc w:val="center"/>
              <w:rPr>
                <w:rFonts w:ascii="Times New Roman" w:eastAsia="Times New Roman" w:hAnsi="Times New Roman" w:cs="Times New Roman"/>
                <w:color w:val="000000"/>
                <w:sz w:val="20"/>
                <w:szCs w:val="20"/>
                <w:lang w:eastAsia="en-US"/>
              </w:rPr>
            </w:pPr>
          </w:p>
        </w:tc>
        <w:tc>
          <w:tcPr>
            <w:tcW w:w="619" w:type="pct"/>
            <w:vMerge w:val="restart"/>
            <w:tcBorders>
              <w:top w:val="nil"/>
              <w:left w:val="nil"/>
              <w:bottom w:val="single" w:sz="8" w:space="0" w:color="000000"/>
              <w:right w:val="nil"/>
            </w:tcBorders>
            <w:shd w:val="clear" w:color="auto" w:fill="auto"/>
            <w:vAlign w:val="bottom"/>
            <w:hideMark/>
          </w:tcPr>
          <w:p w14:paraId="4BEF396E" w14:textId="00078321" w:rsidR="00692A23" w:rsidRPr="00F07DEB" w:rsidRDefault="00CF3DDB"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r>
      <w:tr w:rsidR="00692A23" w:rsidRPr="00F07DEB" w14:paraId="29725FA4" w14:textId="77777777" w:rsidTr="009D49F2">
        <w:trPr>
          <w:trHeight w:val="266"/>
        </w:trPr>
        <w:tc>
          <w:tcPr>
            <w:tcW w:w="988" w:type="pct"/>
            <w:tcBorders>
              <w:top w:val="nil"/>
              <w:left w:val="nil"/>
              <w:bottom w:val="single" w:sz="8" w:space="0" w:color="auto"/>
              <w:right w:val="nil"/>
            </w:tcBorders>
            <w:shd w:val="clear" w:color="auto" w:fill="auto"/>
            <w:noWrap/>
            <w:vAlign w:val="center"/>
            <w:hideMark/>
          </w:tcPr>
          <w:p w14:paraId="15008DA0"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Structure</w:t>
            </w:r>
          </w:p>
        </w:tc>
        <w:tc>
          <w:tcPr>
            <w:tcW w:w="908" w:type="pct"/>
            <w:tcBorders>
              <w:top w:val="nil"/>
              <w:left w:val="nil"/>
              <w:bottom w:val="single" w:sz="8" w:space="0" w:color="auto"/>
              <w:right w:val="nil"/>
            </w:tcBorders>
            <w:shd w:val="clear" w:color="auto" w:fill="auto"/>
            <w:noWrap/>
            <w:vAlign w:val="center"/>
            <w:hideMark/>
          </w:tcPr>
          <w:p w14:paraId="5145FF0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518" w:type="pct"/>
            <w:tcBorders>
              <w:top w:val="nil"/>
              <w:left w:val="nil"/>
              <w:bottom w:val="single" w:sz="8" w:space="0" w:color="auto"/>
              <w:right w:val="nil"/>
            </w:tcBorders>
            <w:shd w:val="clear" w:color="auto" w:fill="auto"/>
            <w:noWrap/>
            <w:vAlign w:val="center"/>
            <w:hideMark/>
          </w:tcPr>
          <w:p w14:paraId="05558976"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819" w:type="pct"/>
            <w:tcBorders>
              <w:top w:val="nil"/>
              <w:left w:val="nil"/>
              <w:bottom w:val="single" w:sz="8" w:space="0" w:color="auto"/>
              <w:right w:val="nil"/>
            </w:tcBorders>
            <w:shd w:val="clear" w:color="auto" w:fill="auto"/>
            <w:noWrap/>
            <w:vAlign w:val="center"/>
            <w:hideMark/>
          </w:tcPr>
          <w:p w14:paraId="3D872625"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517" w:type="pct"/>
            <w:tcBorders>
              <w:top w:val="nil"/>
              <w:left w:val="nil"/>
              <w:bottom w:val="single" w:sz="8" w:space="0" w:color="auto"/>
              <w:right w:val="nil"/>
            </w:tcBorders>
            <w:shd w:val="clear" w:color="auto" w:fill="auto"/>
            <w:noWrap/>
            <w:vAlign w:val="center"/>
            <w:hideMark/>
          </w:tcPr>
          <w:p w14:paraId="04CF2EB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631" w:type="pct"/>
            <w:tcBorders>
              <w:top w:val="nil"/>
              <w:left w:val="nil"/>
              <w:bottom w:val="single" w:sz="8" w:space="0" w:color="auto"/>
              <w:right w:val="nil"/>
            </w:tcBorders>
            <w:shd w:val="clear" w:color="auto" w:fill="auto"/>
            <w:noWrap/>
            <w:vAlign w:val="center"/>
            <w:hideMark/>
          </w:tcPr>
          <w:p w14:paraId="1B3FCAB8" w14:textId="77777777" w:rsidR="00692A23" w:rsidRPr="00F07DEB" w:rsidRDefault="00692A23" w:rsidP="00692A23">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619" w:type="pct"/>
            <w:vMerge/>
            <w:tcBorders>
              <w:top w:val="nil"/>
              <w:left w:val="nil"/>
              <w:bottom w:val="single" w:sz="8" w:space="0" w:color="000000"/>
              <w:right w:val="nil"/>
            </w:tcBorders>
            <w:vAlign w:val="center"/>
            <w:hideMark/>
          </w:tcPr>
          <w:p w14:paraId="7950BD1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r>
      <w:tr w:rsidR="00692A23" w:rsidRPr="00F07DEB" w14:paraId="0FA18B5F" w14:textId="77777777" w:rsidTr="009D49F2">
        <w:trPr>
          <w:trHeight w:val="258"/>
        </w:trPr>
        <w:tc>
          <w:tcPr>
            <w:tcW w:w="988" w:type="pct"/>
            <w:tcBorders>
              <w:top w:val="nil"/>
              <w:left w:val="nil"/>
              <w:bottom w:val="nil"/>
              <w:right w:val="nil"/>
            </w:tcBorders>
            <w:shd w:val="clear" w:color="auto" w:fill="auto"/>
            <w:noWrap/>
            <w:vAlign w:val="center"/>
            <w:hideMark/>
          </w:tcPr>
          <w:p w14:paraId="23CBD30C"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Corn</w:t>
            </w:r>
          </w:p>
        </w:tc>
        <w:tc>
          <w:tcPr>
            <w:tcW w:w="908" w:type="pct"/>
            <w:tcBorders>
              <w:top w:val="nil"/>
              <w:left w:val="nil"/>
              <w:bottom w:val="nil"/>
              <w:right w:val="nil"/>
            </w:tcBorders>
            <w:shd w:val="clear" w:color="auto" w:fill="auto"/>
            <w:noWrap/>
            <w:vAlign w:val="center"/>
            <w:hideMark/>
          </w:tcPr>
          <w:p w14:paraId="5D6C3D3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c>
          <w:tcPr>
            <w:tcW w:w="518" w:type="pct"/>
            <w:tcBorders>
              <w:top w:val="nil"/>
              <w:left w:val="nil"/>
              <w:bottom w:val="nil"/>
              <w:right w:val="nil"/>
            </w:tcBorders>
            <w:shd w:val="clear" w:color="auto" w:fill="auto"/>
            <w:noWrap/>
            <w:vAlign w:val="center"/>
            <w:hideMark/>
          </w:tcPr>
          <w:p w14:paraId="1C762AC0"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819" w:type="pct"/>
            <w:tcBorders>
              <w:top w:val="nil"/>
              <w:left w:val="nil"/>
              <w:bottom w:val="nil"/>
              <w:right w:val="nil"/>
            </w:tcBorders>
            <w:shd w:val="clear" w:color="auto" w:fill="auto"/>
            <w:noWrap/>
            <w:vAlign w:val="center"/>
            <w:hideMark/>
          </w:tcPr>
          <w:p w14:paraId="7C52B634"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517" w:type="pct"/>
            <w:tcBorders>
              <w:top w:val="nil"/>
              <w:left w:val="nil"/>
              <w:bottom w:val="nil"/>
              <w:right w:val="nil"/>
            </w:tcBorders>
            <w:shd w:val="clear" w:color="auto" w:fill="auto"/>
            <w:noWrap/>
            <w:vAlign w:val="center"/>
            <w:hideMark/>
          </w:tcPr>
          <w:p w14:paraId="0C24DA69"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7CDBA8CF"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619" w:type="pct"/>
            <w:tcBorders>
              <w:top w:val="nil"/>
              <w:left w:val="nil"/>
              <w:bottom w:val="nil"/>
              <w:right w:val="nil"/>
            </w:tcBorders>
            <w:shd w:val="clear" w:color="auto" w:fill="auto"/>
            <w:noWrap/>
            <w:vAlign w:val="center"/>
            <w:hideMark/>
          </w:tcPr>
          <w:p w14:paraId="11E81605"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r>
      <w:tr w:rsidR="00692A23" w:rsidRPr="00F07DEB" w14:paraId="1085AE3D" w14:textId="77777777" w:rsidTr="009D49F2">
        <w:trPr>
          <w:trHeight w:val="258"/>
        </w:trPr>
        <w:tc>
          <w:tcPr>
            <w:tcW w:w="988" w:type="pct"/>
            <w:tcBorders>
              <w:top w:val="nil"/>
              <w:left w:val="nil"/>
              <w:bottom w:val="nil"/>
              <w:right w:val="nil"/>
            </w:tcBorders>
            <w:shd w:val="clear" w:color="auto" w:fill="auto"/>
            <w:noWrap/>
            <w:vAlign w:val="center"/>
            <w:hideMark/>
          </w:tcPr>
          <w:p w14:paraId="436C6EEA"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w:t>
            </w:r>
          </w:p>
        </w:tc>
        <w:tc>
          <w:tcPr>
            <w:tcW w:w="908" w:type="pct"/>
            <w:tcBorders>
              <w:top w:val="nil"/>
              <w:left w:val="nil"/>
              <w:bottom w:val="nil"/>
              <w:right w:val="nil"/>
            </w:tcBorders>
            <w:shd w:val="clear" w:color="auto" w:fill="auto"/>
            <w:noWrap/>
            <w:vAlign w:val="center"/>
            <w:hideMark/>
          </w:tcPr>
          <w:p w14:paraId="31E7D1B6"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1589.23 </w:t>
            </w:r>
            <w:proofErr w:type="spellStart"/>
            <w:r w:rsidRPr="00F07DEB">
              <w:rPr>
                <w:rFonts w:ascii="Times New Roman" w:eastAsia="Times New Roman" w:hAnsi="Times New Roman" w:cs="Times New Roman"/>
                <w:color w:val="000000"/>
                <w:sz w:val="20"/>
                <w:szCs w:val="20"/>
                <w:lang w:eastAsia="en-US"/>
              </w:rPr>
              <w:t>abc</w:t>
            </w:r>
            <w:proofErr w:type="spellEnd"/>
          </w:p>
        </w:tc>
        <w:tc>
          <w:tcPr>
            <w:tcW w:w="518" w:type="pct"/>
            <w:tcBorders>
              <w:top w:val="nil"/>
              <w:left w:val="nil"/>
              <w:bottom w:val="nil"/>
              <w:right w:val="nil"/>
            </w:tcBorders>
            <w:shd w:val="clear" w:color="auto" w:fill="auto"/>
            <w:noWrap/>
            <w:vAlign w:val="center"/>
            <w:hideMark/>
          </w:tcPr>
          <w:p w14:paraId="256510A1"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553.86</w:t>
            </w:r>
          </w:p>
        </w:tc>
        <w:tc>
          <w:tcPr>
            <w:tcW w:w="819" w:type="pct"/>
            <w:tcBorders>
              <w:top w:val="nil"/>
              <w:left w:val="nil"/>
              <w:bottom w:val="nil"/>
              <w:right w:val="nil"/>
            </w:tcBorders>
            <w:shd w:val="clear" w:color="auto" w:fill="auto"/>
            <w:noWrap/>
            <w:vAlign w:val="center"/>
            <w:hideMark/>
          </w:tcPr>
          <w:p w14:paraId="313BBE5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2183.56 a</w:t>
            </w:r>
          </w:p>
        </w:tc>
        <w:tc>
          <w:tcPr>
            <w:tcW w:w="517" w:type="pct"/>
            <w:tcBorders>
              <w:top w:val="nil"/>
              <w:left w:val="nil"/>
              <w:bottom w:val="nil"/>
              <w:right w:val="nil"/>
            </w:tcBorders>
            <w:shd w:val="clear" w:color="auto" w:fill="auto"/>
            <w:noWrap/>
            <w:vAlign w:val="center"/>
            <w:hideMark/>
          </w:tcPr>
          <w:p w14:paraId="5C01DEE1"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240.10</w:t>
            </w:r>
          </w:p>
        </w:tc>
        <w:tc>
          <w:tcPr>
            <w:tcW w:w="631" w:type="pct"/>
            <w:tcBorders>
              <w:top w:val="nil"/>
              <w:left w:val="nil"/>
              <w:bottom w:val="nil"/>
              <w:right w:val="nil"/>
            </w:tcBorders>
            <w:shd w:val="clear" w:color="auto" w:fill="auto"/>
            <w:noWrap/>
            <w:vAlign w:val="center"/>
            <w:hideMark/>
          </w:tcPr>
          <w:p w14:paraId="4ED03E5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0.037</w:t>
            </w:r>
          </w:p>
        </w:tc>
        <w:tc>
          <w:tcPr>
            <w:tcW w:w="619" w:type="pct"/>
            <w:tcBorders>
              <w:top w:val="nil"/>
              <w:left w:val="nil"/>
              <w:bottom w:val="nil"/>
              <w:right w:val="nil"/>
            </w:tcBorders>
            <w:shd w:val="clear" w:color="auto" w:fill="auto"/>
            <w:noWrap/>
            <w:vAlign w:val="center"/>
            <w:hideMark/>
          </w:tcPr>
          <w:p w14:paraId="25F3AEC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0.368</w:t>
            </w:r>
          </w:p>
        </w:tc>
      </w:tr>
      <w:tr w:rsidR="00692A23" w:rsidRPr="00F07DEB" w14:paraId="311F2000" w14:textId="77777777" w:rsidTr="009D49F2">
        <w:trPr>
          <w:trHeight w:val="258"/>
        </w:trPr>
        <w:tc>
          <w:tcPr>
            <w:tcW w:w="988" w:type="pct"/>
            <w:tcBorders>
              <w:top w:val="nil"/>
              <w:left w:val="nil"/>
              <w:bottom w:val="nil"/>
              <w:right w:val="nil"/>
            </w:tcBorders>
            <w:shd w:val="clear" w:color="auto" w:fill="auto"/>
            <w:noWrap/>
            <w:vAlign w:val="center"/>
            <w:hideMark/>
          </w:tcPr>
          <w:p w14:paraId="737A23BD" w14:textId="3B3E49CD"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w:t>
            </w:r>
            <w:r w:rsidR="001405F5">
              <w:rPr>
                <w:rFonts w:ascii="Times New Roman" w:eastAsia="Times New Roman" w:hAnsi="Times New Roman" w:cs="Times New Roman"/>
                <w:color w:val="000000"/>
                <w:sz w:val="20"/>
                <w:szCs w:val="20"/>
                <w:lang w:eastAsia="en-US"/>
              </w:rPr>
              <w:t>Husk</w:t>
            </w:r>
          </w:p>
        </w:tc>
        <w:tc>
          <w:tcPr>
            <w:tcW w:w="908" w:type="pct"/>
            <w:tcBorders>
              <w:top w:val="nil"/>
              <w:left w:val="nil"/>
              <w:bottom w:val="nil"/>
              <w:right w:val="nil"/>
            </w:tcBorders>
            <w:shd w:val="clear" w:color="auto" w:fill="auto"/>
            <w:noWrap/>
            <w:vAlign w:val="center"/>
            <w:hideMark/>
          </w:tcPr>
          <w:p w14:paraId="2FB9F1B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1120.56 b</w:t>
            </w:r>
          </w:p>
        </w:tc>
        <w:tc>
          <w:tcPr>
            <w:tcW w:w="518" w:type="pct"/>
            <w:tcBorders>
              <w:top w:val="nil"/>
              <w:left w:val="nil"/>
              <w:bottom w:val="nil"/>
              <w:right w:val="nil"/>
            </w:tcBorders>
            <w:shd w:val="clear" w:color="auto" w:fill="auto"/>
            <w:noWrap/>
            <w:vAlign w:val="center"/>
            <w:hideMark/>
          </w:tcPr>
          <w:p w14:paraId="0B7B9EAE"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215.11</w:t>
            </w:r>
          </w:p>
        </w:tc>
        <w:tc>
          <w:tcPr>
            <w:tcW w:w="819" w:type="pct"/>
            <w:tcBorders>
              <w:top w:val="nil"/>
              <w:left w:val="nil"/>
              <w:bottom w:val="nil"/>
              <w:right w:val="nil"/>
            </w:tcBorders>
            <w:shd w:val="clear" w:color="auto" w:fill="auto"/>
            <w:noWrap/>
            <w:vAlign w:val="center"/>
            <w:hideMark/>
          </w:tcPr>
          <w:p w14:paraId="20832379"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1058.43 b</w:t>
            </w:r>
          </w:p>
        </w:tc>
        <w:tc>
          <w:tcPr>
            <w:tcW w:w="517" w:type="pct"/>
            <w:tcBorders>
              <w:top w:val="nil"/>
              <w:left w:val="nil"/>
              <w:bottom w:val="nil"/>
              <w:right w:val="nil"/>
            </w:tcBorders>
            <w:shd w:val="clear" w:color="auto" w:fill="auto"/>
            <w:noWrap/>
            <w:vAlign w:val="center"/>
            <w:hideMark/>
          </w:tcPr>
          <w:p w14:paraId="61F49D84"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135.52</w:t>
            </w:r>
          </w:p>
        </w:tc>
        <w:tc>
          <w:tcPr>
            <w:tcW w:w="631" w:type="pct"/>
            <w:tcBorders>
              <w:top w:val="nil"/>
              <w:left w:val="nil"/>
              <w:bottom w:val="nil"/>
              <w:right w:val="nil"/>
            </w:tcBorders>
            <w:shd w:val="clear" w:color="auto" w:fill="auto"/>
            <w:noWrap/>
            <w:vAlign w:val="center"/>
            <w:hideMark/>
          </w:tcPr>
          <w:p w14:paraId="004BB284"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0.563</w:t>
            </w:r>
          </w:p>
        </w:tc>
        <w:tc>
          <w:tcPr>
            <w:tcW w:w="619" w:type="pct"/>
            <w:tcBorders>
              <w:top w:val="nil"/>
              <w:left w:val="nil"/>
              <w:bottom w:val="nil"/>
              <w:right w:val="nil"/>
            </w:tcBorders>
            <w:shd w:val="clear" w:color="auto" w:fill="auto"/>
            <w:noWrap/>
            <w:vAlign w:val="center"/>
            <w:hideMark/>
          </w:tcPr>
          <w:p w14:paraId="730C1218"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0.035</w:t>
            </w:r>
          </w:p>
        </w:tc>
      </w:tr>
      <w:tr w:rsidR="00692A23" w:rsidRPr="00F07DEB" w14:paraId="65BD89F7" w14:textId="77777777" w:rsidTr="009D49F2">
        <w:trPr>
          <w:trHeight w:val="258"/>
        </w:trPr>
        <w:tc>
          <w:tcPr>
            <w:tcW w:w="988" w:type="pct"/>
            <w:tcBorders>
              <w:top w:val="nil"/>
              <w:left w:val="nil"/>
              <w:bottom w:val="nil"/>
              <w:right w:val="nil"/>
            </w:tcBorders>
            <w:shd w:val="clear" w:color="auto" w:fill="auto"/>
            <w:noWrap/>
            <w:vAlign w:val="center"/>
            <w:hideMark/>
          </w:tcPr>
          <w:p w14:paraId="121B7CD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w:t>
            </w:r>
          </w:p>
        </w:tc>
        <w:tc>
          <w:tcPr>
            <w:tcW w:w="908" w:type="pct"/>
            <w:tcBorders>
              <w:top w:val="nil"/>
              <w:left w:val="nil"/>
              <w:bottom w:val="nil"/>
              <w:right w:val="nil"/>
            </w:tcBorders>
            <w:shd w:val="clear" w:color="auto" w:fill="auto"/>
            <w:noWrap/>
            <w:vAlign w:val="center"/>
            <w:hideMark/>
          </w:tcPr>
          <w:p w14:paraId="4390F99B"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1947.48 c</w:t>
            </w:r>
          </w:p>
        </w:tc>
        <w:tc>
          <w:tcPr>
            <w:tcW w:w="518" w:type="pct"/>
            <w:tcBorders>
              <w:top w:val="nil"/>
              <w:left w:val="nil"/>
              <w:bottom w:val="nil"/>
              <w:right w:val="nil"/>
            </w:tcBorders>
            <w:shd w:val="clear" w:color="auto" w:fill="auto"/>
            <w:noWrap/>
            <w:vAlign w:val="center"/>
            <w:hideMark/>
          </w:tcPr>
          <w:p w14:paraId="2BC47D4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507.54</w:t>
            </w:r>
          </w:p>
        </w:tc>
        <w:tc>
          <w:tcPr>
            <w:tcW w:w="819" w:type="pct"/>
            <w:tcBorders>
              <w:top w:val="nil"/>
              <w:left w:val="nil"/>
              <w:bottom w:val="nil"/>
              <w:right w:val="nil"/>
            </w:tcBorders>
            <w:shd w:val="clear" w:color="auto" w:fill="auto"/>
            <w:noWrap/>
            <w:vAlign w:val="center"/>
            <w:hideMark/>
          </w:tcPr>
          <w:p w14:paraId="2C081CE9"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1581.59 ab</w:t>
            </w:r>
          </w:p>
        </w:tc>
        <w:tc>
          <w:tcPr>
            <w:tcW w:w="517" w:type="pct"/>
            <w:tcBorders>
              <w:top w:val="nil"/>
              <w:left w:val="nil"/>
              <w:bottom w:val="nil"/>
              <w:right w:val="nil"/>
            </w:tcBorders>
            <w:shd w:val="clear" w:color="auto" w:fill="auto"/>
            <w:noWrap/>
            <w:vAlign w:val="center"/>
            <w:hideMark/>
          </w:tcPr>
          <w:p w14:paraId="4E49EEFC"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266.24</w:t>
            </w:r>
          </w:p>
        </w:tc>
        <w:tc>
          <w:tcPr>
            <w:tcW w:w="631" w:type="pct"/>
            <w:tcBorders>
              <w:top w:val="nil"/>
              <w:left w:val="nil"/>
              <w:bottom w:val="nil"/>
              <w:right w:val="nil"/>
            </w:tcBorders>
            <w:shd w:val="clear" w:color="auto" w:fill="auto"/>
            <w:noWrap/>
            <w:vAlign w:val="center"/>
            <w:hideMark/>
          </w:tcPr>
          <w:p w14:paraId="0562194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0.149</w:t>
            </w:r>
          </w:p>
        </w:tc>
        <w:tc>
          <w:tcPr>
            <w:tcW w:w="619" w:type="pct"/>
            <w:tcBorders>
              <w:top w:val="nil"/>
              <w:left w:val="nil"/>
              <w:bottom w:val="nil"/>
              <w:right w:val="nil"/>
            </w:tcBorders>
            <w:shd w:val="clear" w:color="auto" w:fill="auto"/>
            <w:noWrap/>
            <w:vAlign w:val="center"/>
            <w:hideMark/>
          </w:tcPr>
          <w:p w14:paraId="1F71A46C"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0.196</w:t>
            </w:r>
          </w:p>
        </w:tc>
      </w:tr>
      <w:tr w:rsidR="00692A23" w:rsidRPr="00F07DEB" w14:paraId="1185864D" w14:textId="77777777" w:rsidTr="009D49F2">
        <w:trPr>
          <w:trHeight w:val="258"/>
        </w:trPr>
        <w:tc>
          <w:tcPr>
            <w:tcW w:w="988" w:type="pct"/>
            <w:tcBorders>
              <w:top w:val="nil"/>
              <w:left w:val="nil"/>
              <w:bottom w:val="nil"/>
              <w:right w:val="nil"/>
            </w:tcBorders>
            <w:shd w:val="clear" w:color="auto" w:fill="auto"/>
            <w:noWrap/>
            <w:vAlign w:val="center"/>
            <w:hideMark/>
          </w:tcPr>
          <w:p w14:paraId="3362B48E"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Cob</w:t>
            </w:r>
          </w:p>
        </w:tc>
        <w:tc>
          <w:tcPr>
            <w:tcW w:w="908" w:type="pct"/>
            <w:tcBorders>
              <w:top w:val="nil"/>
              <w:left w:val="nil"/>
              <w:bottom w:val="nil"/>
              <w:right w:val="nil"/>
            </w:tcBorders>
            <w:shd w:val="clear" w:color="auto" w:fill="auto"/>
            <w:noWrap/>
            <w:vAlign w:val="center"/>
            <w:hideMark/>
          </w:tcPr>
          <w:p w14:paraId="6CB56DAC"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1376.73 </w:t>
            </w:r>
            <w:proofErr w:type="spellStart"/>
            <w:r w:rsidRPr="00F07DEB">
              <w:rPr>
                <w:rFonts w:ascii="Times New Roman" w:eastAsia="Times New Roman" w:hAnsi="Times New Roman" w:cs="Times New Roman"/>
                <w:color w:val="000000"/>
                <w:sz w:val="20"/>
                <w:szCs w:val="20"/>
                <w:lang w:eastAsia="en-US"/>
              </w:rPr>
              <w:t>bcd</w:t>
            </w:r>
            <w:proofErr w:type="spellEnd"/>
          </w:p>
        </w:tc>
        <w:tc>
          <w:tcPr>
            <w:tcW w:w="518" w:type="pct"/>
            <w:tcBorders>
              <w:top w:val="nil"/>
              <w:left w:val="nil"/>
              <w:bottom w:val="nil"/>
              <w:right w:val="nil"/>
            </w:tcBorders>
            <w:shd w:val="clear" w:color="auto" w:fill="auto"/>
            <w:noWrap/>
            <w:vAlign w:val="center"/>
            <w:hideMark/>
          </w:tcPr>
          <w:p w14:paraId="073D4145"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331.47</w:t>
            </w:r>
          </w:p>
        </w:tc>
        <w:tc>
          <w:tcPr>
            <w:tcW w:w="819" w:type="pct"/>
            <w:tcBorders>
              <w:top w:val="nil"/>
              <w:left w:val="nil"/>
              <w:bottom w:val="nil"/>
              <w:right w:val="nil"/>
            </w:tcBorders>
            <w:shd w:val="clear" w:color="auto" w:fill="auto"/>
            <w:noWrap/>
            <w:vAlign w:val="center"/>
            <w:hideMark/>
          </w:tcPr>
          <w:p w14:paraId="53FDA931"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1134.37 </w:t>
            </w:r>
            <w:proofErr w:type="spellStart"/>
            <w:r w:rsidRPr="00F07DEB">
              <w:rPr>
                <w:rFonts w:ascii="Times New Roman" w:eastAsia="Times New Roman" w:hAnsi="Times New Roman" w:cs="Times New Roman"/>
                <w:color w:val="000000"/>
                <w:sz w:val="20"/>
                <w:szCs w:val="20"/>
                <w:lang w:eastAsia="en-US"/>
              </w:rPr>
              <w:t>bc</w:t>
            </w:r>
            <w:proofErr w:type="spellEnd"/>
          </w:p>
        </w:tc>
        <w:tc>
          <w:tcPr>
            <w:tcW w:w="517" w:type="pct"/>
            <w:tcBorders>
              <w:top w:val="nil"/>
              <w:left w:val="nil"/>
              <w:bottom w:val="nil"/>
              <w:right w:val="nil"/>
            </w:tcBorders>
            <w:shd w:val="clear" w:color="auto" w:fill="auto"/>
            <w:noWrap/>
            <w:vAlign w:val="center"/>
            <w:hideMark/>
          </w:tcPr>
          <w:p w14:paraId="45508E53"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376.37</w:t>
            </w:r>
          </w:p>
        </w:tc>
        <w:tc>
          <w:tcPr>
            <w:tcW w:w="631" w:type="pct"/>
            <w:tcBorders>
              <w:top w:val="nil"/>
              <w:left w:val="nil"/>
              <w:bottom w:val="nil"/>
              <w:right w:val="nil"/>
            </w:tcBorders>
            <w:shd w:val="clear" w:color="auto" w:fill="auto"/>
            <w:noWrap/>
            <w:vAlign w:val="center"/>
            <w:hideMark/>
          </w:tcPr>
          <w:p w14:paraId="3E70D19B"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0.264</w:t>
            </w:r>
          </w:p>
        </w:tc>
        <w:tc>
          <w:tcPr>
            <w:tcW w:w="619" w:type="pct"/>
            <w:tcBorders>
              <w:top w:val="nil"/>
              <w:left w:val="nil"/>
              <w:bottom w:val="nil"/>
              <w:right w:val="nil"/>
            </w:tcBorders>
            <w:shd w:val="clear" w:color="auto" w:fill="auto"/>
            <w:noWrap/>
            <w:vAlign w:val="center"/>
            <w:hideMark/>
          </w:tcPr>
          <w:p w14:paraId="0925FDC8"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0.123</w:t>
            </w:r>
          </w:p>
        </w:tc>
      </w:tr>
      <w:tr w:rsidR="00692A23" w:rsidRPr="00F07DEB" w14:paraId="7CA9EDD7" w14:textId="77777777" w:rsidTr="009D49F2">
        <w:trPr>
          <w:trHeight w:val="258"/>
        </w:trPr>
        <w:tc>
          <w:tcPr>
            <w:tcW w:w="988" w:type="pct"/>
            <w:tcBorders>
              <w:top w:val="nil"/>
              <w:left w:val="nil"/>
              <w:bottom w:val="nil"/>
              <w:right w:val="nil"/>
            </w:tcBorders>
            <w:shd w:val="clear" w:color="auto" w:fill="auto"/>
            <w:noWrap/>
            <w:vAlign w:val="center"/>
            <w:hideMark/>
          </w:tcPr>
          <w:p w14:paraId="4A7DE4A1"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w:t>
            </w:r>
          </w:p>
        </w:tc>
        <w:tc>
          <w:tcPr>
            <w:tcW w:w="908" w:type="pct"/>
            <w:tcBorders>
              <w:top w:val="nil"/>
              <w:left w:val="nil"/>
              <w:bottom w:val="nil"/>
              <w:right w:val="nil"/>
            </w:tcBorders>
            <w:shd w:val="clear" w:color="auto" w:fill="auto"/>
            <w:noWrap/>
            <w:vAlign w:val="center"/>
            <w:hideMark/>
          </w:tcPr>
          <w:p w14:paraId="5AB8D83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583.36 d</w:t>
            </w:r>
          </w:p>
        </w:tc>
        <w:tc>
          <w:tcPr>
            <w:tcW w:w="518" w:type="pct"/>
            <w:tcBorders>
              <w:top w:val="nil"/>
              <w:left w:val="nil"/>
              <w:bottom w:val="nil"/>
              <w:right w:val="nil"/>
            </w:tcBorders>
            <w:shd w:val="clear" w:color="auto" w:fill="auto"/>
            <w:noWrap/>
            <w:vAlign w:val="center"/>
            <w:hideMark/>
          </w:tcPr>
          <w:p w14:paraId="004BAD1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152.96</w:t>
            </w:r>
          </w:p>
        </w:tc>
        <w:tc>
          <w:tcPr>
            <w:tcW w:w="819" w:type="pct"/>
            <w:tcBorders>
              <w:top w:val="nil"/>
              <w:left w:val="nil"/>
              <w:bottom w:val="nil"/>
              <w:right w:val="nil"/>
            </w:tcBorders>
            <w:shd w:val="clear" w:color="auto" w:fill="auto"/>
            <w:noWrap/>
            <w:vAlign w:val="center"/>
            <w:hideMark/>
          </w:tcPr>
          <w:p w14:paraId="723D2A64"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889.49 b</w:t>
            </w:r>
          </w:p>
        </w:tc>
        <w:tc>
          <w:tcPr>
            <w:tcW w:w="517" w:type="pct"/>
            <w:tcBorders>
              <w:top w:val="nil"/>
              <w:left w:val="nil"/>
              <w:bottom w:val="nil"/>
              <w:right w:val="nil"/>
            </w:tcBorders>
            <w:shd w:val="clear" w:color="auto" w:fill="auto"/>
            <w:noWrap/>
            <w:vAlign w:val="center"/>
            <w:hideMark/>
          </w:tcPr>
          <w:p w14:paraId="2F903E0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280.76</w:t>
            </w:r>
          </w:p>
        </w:tc>
        <w:tc>
          <w:tcPr>
            <w:tcW w:w="631" w:type="pct"/>
            <w:tcBorders>
              <w:top w:val="nil"/>
              <w:left w:val="nil"/>
              <w:bottom w:val="nil"/>
              <w:right w:val="nil"/>
            </w:tcBorders>
            <w:shd w:val="clear" w:color="auto" w:fill="auto"/>
            <w:noWrap/>
            <w:vAlign w:val="center"/>
            <w:hideMark/>
          </w:tcPr>
          <w:p w14:paraId="4BA7A85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0.041</w:t>
            </w:r>
          </w:p>
        </w:tc>
        <w:tc>
          <w:tcPr>
            <w:tcW w:w="619" w:type="pct"/>
            <w:tcBorders>
              <w:top w:val="nil"/>
              <w:left w:val="nil"/>
              <w:bottom w:val="nil"/>
              <w:right w:val="nil"/>
            </w:tcBorders>
            <w:shd w:val="clear" w:color="auto" w:fill="auto"/>
            <w:noWrap/>
            <w:vAlign w:val="center"/>
            <w:hideMark/>
          </w:tcPr>
          <w:p w14:paraId="79F30F96"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0.355</w:t>
            </w:r>
          </w:p>
        </w:tc>
      </w:tr>
      <w:tr w:rsidR="00692A23" w:rsidRPr="00F07DEB" w14:paraId="5D3A89E9" w14:textId="77777777" w:rsidTr="009D49F2">
        <w:trPr>
          <w:trHeight w:val="266"/>
        </w:trPr>
        <w:tc>
          <w:tcPr>
            <w:tcW w:w="988" w:type="pct"/>
            <w:tcBorders>
              <w:top w:val="nil"/>
              <w:left w:val="nil"/>
              <w:bottom w:val="single" w:sz="8" w:space="0" w:color="auto"/>
              <w:right w:val="nil"/>
            </w:tcBorders>
            <w:shd w:val="clear" w:color="auto" w:fill="auto"/>
            <w:noWrap/>
            <w:vAlign w:val="center"/>
            <w:hideMark/>
          </w:tcPr>
          <w:p w14:paraId="1E165728"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908" w:type="pct"/>
            <w:tcBorders>
              <w:top w:val="nil"/>
              <w:left w:val="nil"/>
              <w:bottom w:val="single" w:sz="8" w:space="0" w:color="auto"/>
              <w:right w:val="nil"/>
            </w:tcBorders>
            <w:shd w:val="clear" w:color="auto" w:fill="auto"/>
            <w:noWrap/>
            <w:vAlign w:val="center"/>
            <w:hideMark/>
          </w:tcPr>
          <w:p w14:paraId="5A1A4B5B"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784.40 ad</w:t>
            </w:r>
          </w:p>
        </w:tc>
        <w:tc>
          <w:tcPr>
            <w:tcW w:w="518" w:type="pct"/>
            <w:tcBorders>
              <w:top w:val="nil"/>
              <w:left w:val="nil"/>
              <w:bottom w:val="single" w:sz="8" w:space="0" w:color="auto"/>
              <w:right w:val="nil"/>
            </w:tcBorders>
            <w:shd w:val="clear" w:color="auto" w:fill="auto"/>
            <w:noWrap/>
            <w:vAlign w:val="center"/>
            <w:hideMark/>
          </w:tcPr>
          <w:p w14:paraId="3DC9DA3E"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139.37</w:t>
            </w:r>
          </w:p>
        </w:tc>
        <w:tc>
          <w:tcPr>
            <w:tcW w:w="819" w:type="pct"/>
            <w:tcBorders>
              <w:top w:val="nil"/>
              <w:left w:val="nil"/>
              <w:bottom w:val="single" w:sz="8" w:space="0" w:color="auto"/>
              <w:right w:val="nil"/>
            </w:tcBorders>
            <w:shd w:val="clear" w:color="auto" w:fill="auto"/>
            <w:noWrap/>
            <w:vAlign w:val="center"/>
            <w:hideMark/>
          </w:tcPr>
          <w:p w14:paraId="03C663DB"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1628.20 ac</w:t>
            </w:r>
          </w:p>
        </w:tc>
        <w:tc>
          <w:tcPr>
            <w:tcW w:w="517" w:type="pct"/>
            <w:tcBorders>
              <w:top w:val="nil"/>
              <w:left w:val="nil"/>
              <w:bottom w:val="single" w:sz="8" w:space="0" w:color="auto"/>
              <w:right w:val="nil"/>
            </w:tcBorders>
            <w:shd w:val="clear" w:color="auto" w:fill="auto"/>
            <w:noWrap/>
            <w:vAlign w:val="center"/>
            <w:hideMark/>
          </w:tcPr>
          <w:p w14:paraId="6CF1682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98.34</w:t>
            </w:r>
          </w:p>
        </w:tc>
        <w:tc>
          <w:tcPr>
            <w:tcW w:w="631" w:type="pct"/>
            <w:tcBorders>
              <w:top w:val="nil"/>
              <w:left w:val="nil"/>
              <w:bottom w:val="single" w:sz="8" w:space="0" w:color="auto"/>
              <w:right w:val="nil"/>
            </w:tcBorders>
            <w:shd w:val="clear" w:color="auto" w:fill="auto"/>
            <w:noWrap/>
            <w:vAlign w:val="center"/>
            <w:hideMark/>
          </w:tcPr>
          <w:p w14:paraId="0436793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0.001</w:t>
            </w:r>
          </w:p>
        </w:tc>
        <w:tc>
          <w:tcPr>
            <w:tcW w:w="619" w:type="pct"/>
            <w:tcBorders>
              <w:top w:val="nil"/>
              <w:left w:val="nil"/>
              <w:bottom w:val="single" w:sz="8" w:space="0" w:color="auto"/>
              <w:right w:val="nil"/>
            </w:tcBorders>
            <w:shd w:val="clear" w:color="auto" w:fill="auto"/>
            <w:noWrap/>
            <w:vAlign w:val="center"/>
            <w:hideMark/>
          </w:tcPr>
          <w:p w14:paraId="38D4F7F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0.936</w:t>
            </w:r>
          </w:p>
        </w:tc>
      </w:tr>
      <w:tr w:rsidR="00692A23" w:rsidRPr="00F07DEB" w14:paraId="69983B0C" w14:textId="77777777" w:rsidTr="009D49F2">
        <w:trPr>
          <w:trHeight w:val="258"/>
        </w:trPr>
        <w:tc>
          <w:tcPr>
            <w:tcW w:w="988" w:type="pct"/>
            <w:tcBorders>
              <w:top w:val="nil"/>
              <w:left w:val="nil"/>
              <w:bottom w:val="nil"/>
              <w:right w:val="nil"/>
            </w:tcBorders>
            <w:shd w:val="clear" w:color="auto" w:fill="auto"/>
            <w:noWrap/>
            <w:vAlign w:val="center"/>
            <w:hideMark/>
          </w:tcPr>
          <w:p w14:paraId="29C9AA2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Sorghum *</w:t>
            </w:r>
          </w:p>
        </w:tc>
        <w:tc>
          <w:tcPr>
            <w:tcW w:w="908" w:type="pct"/>
            <w:tcBorders>
              <w:top w:val="nil"/>
              <w:left w:val="nil"/>
              <w:bottom w:val="nil"/>
              <w:right w:val="nil"/>
            </w:tcBorders>
            <w:shd w:val="clear" w:color="auto" w:fill="auto"/>
            <w:noWrap/>
            <w:vAlign w:val="center"/>
            <w:hideMark/>
          </w:tcPr>
          <w:p w14:paraId="38917355"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c>
          <w:tcPr>
            <w:tcW w:w="518" w:type="pct"/>
            <w:tcBorders>
              <w:top w:val="nil"/>
              <w:left w:val="nil"/>
              <w:bottom w:val="nil"/>
              <w:right w:val="nil"/>
            </w:tcBorders>
            <w:shd w:val="clear" w:color="auto" w:fill="auto"/>
            <w:noWrap/>
            <w:vAlign w:val="center"/>
            <w:hideMark/>
          </w:tcPr>
          <w:p w14:paraId="3F026390"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819" w:type="pct"/>
            <w:tcBorders>
              <w:top w:val="nil"/>
              <w:left w:val="nil"/>
              <w:bottom w:val="nil"/>
              <w:right w:val="nil"/>
            </w:tcBorders>
            <w:shd w:val="clear" w:color="auto" w:fill="auto"/>
            <w:noWrap/>
            <w:vAlign w:val="center"/>
            <w:hideMark/>
          </w:tcPr>
          <w:p w14:paraId="59B2636D"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517" w:type="pct"/>
            <w:tcBorders>
              <w:top w:val="nil"/>
              <w:left w:val="nil"/>
              <w:bottom w:val="nil"/>
              <w:right w:val="nil"/>
            </w:tcBorders>
            <w:shd w:val="clear" w:color="auto" w:fill="auto"/>
            <w:noWrap/>
            <w:vAlign w:val="center"/>
            <w:hideMark/>
          </w:tcPr>
          <w:p w14:paraId="2B9D3DD1"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4A594002"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619" w:type="pct"/>
            <w:tcBorders>
              <w:top w:val="nil"/>
              <w:left w:val="nil"/>
              <w:bottom w:val="nil"/>
              <w:right w:val="nil"/>
            </w:tcBorders>
            <w:shd w:val="clear" w:color="auto" w:fill="auto"/>
            <w:noWrap/>
            <w:vAlign w:val="center"/>
            <w:hideMark/>
          </w:tcPr>
          <w:p w14:paraId="5CF978B2"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r>
      <w:tr w:rsidR="00692A23" w:rsidRPr="00F07DEB" w14:paraId="332EA3E5" w14:textId="77777777" w:rsidTr="009D49F2">
        <w:trPr>
          <w:trHeight w:val="258"/>
        </w:trPr>
        <w:tc>
          <w:tcPr>
            <w:tcW w:w="988" w:type="pct"/>
            <w:tcBorders>
              <w:top w:val="nil"/>
              <w:left w:val="nil"/>
              <w:bottom w:val="nil"/>
              <w:right w:val="nil"/>
            </w:tcBorders>
            <w:shd w:val="clear" w:color="auto" w:fill="auto"/>
            <w:noWrap/>
            <w:vAlign w:val="center"/>
            <w:hideMark/>
          </w:tcPr>
          <w:p w14:paraId="101E3B44"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w:t>
            </w:r>
          </w:p>
        </w:tc>
        <w:tc>
          <w:tcPr>
            <w:tcW w:w="908" w:type="pct"/>
            <w:tcBorders>
              <w:top w:val="nil"/>
              <w:left w:val="nil"/>
              <w:bottom w:val="nil"/>
              <w:right w:val="nil"/>
            </w:tcBorders>
            <w:shd w:val="clear" w:color="auto" w:fill="auto"/>
            <w:noWrap/>
            <w:vAlign w:val="center"/>
            <w:hideMark/>
          </w:tcPr>
          <w:p w14:paraId="72D45580"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2521.69 a</w:t>
            </w:r>
          </w:p>
        </w:tc>
        <w:tc>
          <w:tcPr>
            <w:tcW w:w="518" w:type="pct"/>
            <w:tcBorders>
              <w:top w:val="nil"/>
              <w:left w:val="nil"/>
              <w:bottom w:val="nil"/>
              <w:right w:val="nil"/>
            </w:tcBorders>
            <w:shd w:val="clear" w:color="auto" w:fill="auto"/>
            <w:noWrap/>
            <w:vAlign w:val="center"/>
            <w:hideMark/>
          </w:tcPr>
          <w:p w14:paraId="56E0F95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279.19</w:t>
            </w:r>
          </w:p>
        </w:tc>
        <w:tc>
          <w:tcPr>
            <w:tcW w:w="819" w:type="pct"/>
            <w:tcBorders>
              <w:top w:val="nil"/>
              <w:left w:val="nil"/>
              <w:bottom w:val="nil"/>
              <w:right w:val="nil"/>
            </w:tcBorders>
            <w:shd w:val="clear" w:color="auto" w:fill="auto"/>
            <w:noWrap/>
            <w:vAlign w:val="center"/>
            <w:hideMark/>
          </w:tcPr>
          <w:p w14:paraId="0FCBA4AE"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2684.73 a</w:t>
            </w:r>
          </w:p>
        </w:tc>
        <w:tc>
          <w:tcPr>
            <w:tcW w:w="517" w:type="pct"/>
            <w:tcBorders>
              <w:top w:val="nil"/>
              <w:left w:val="nil"/>
              <w:bottom w:val="nil"/>
              <w:right w:val="nil"/>
            </w:tcBorders>
            <w:shd w:val="clear" w:color="auto" w:fill="auto"/>
            <w:noWrap/>
            <w:vAlign w:val="center"/>
            <w:hideMark/>
          </w:tcPr>
          <w:p w14:paraId="127961A8"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556.67</w:t>
            </w:r>
          </w:p>
        </w:tc>
        <w:tc>
          <w:tcPr>
            <w:tcW w:w="631" w:type="pct"/>
            <w:tcBorders>
              <w:top w:val="nil"/>
              <w:left w:val="nil"/>
              <w:bottom w:val="nil"/>
              <w:right w:val="nil"/>
            </w:tcBorders>
            <w:shd w:val="clear" w:color="auto" w:fill="auto"/>
            <w:noWrap/>
            <w:vAlign w:val="center"/>
            <w:hideMark/>
          </w:tcPr>
          <w:p w14:paraId="55A43795"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0.593</w:t>
            </w:r>
          </w:p>
        </w:tc>
        <w:tc>
          <w:tcPr>
            <w:tcW w:w="619" w:type="pct"/>
            <w:tcBorders>
              <w:top w:val="nil"/>
              <w:left w:val="nil"/>
              <w:bottom w:val="nil"/>
              <w:right w:val="nil"/>
            </w:tcBorders>
            <w:shd w:val="clear" w:color="auto" w:fill="auto"/>
            <w:noWrap/>
            <w:vAlign w:val="center"/>
            <w:hideMark/>
          </w:tcPr>
          <w:p w14:paraId="17F528E5"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0.030</w:t>
            </w:r>
          </w:p>
        </w:tc>
      </w:tr>
      <w:tr w:rsidR="00692A23" w:rsidRPr="00F07DEB" w14:paraId="01F2C94C" w14:textId="77777777" w:rsidTr="009D49F2">
        <w:trPr>
          <w:trHeight w:val="258"/>
        </w:trPr>
        <w:tc>
          <w:tcPr>
            <w:tcW w:w="988" w:type="pct"/>
            <w:tcBorders>
              <w:top w:val="nil"/>
              <w:left w:val="nil"/>
              <w:bottom w:val="nil"/>
              <w:right w:val="nil"/>
            </w:tcBorders>
            <w:shd w:val="clear" w:color="auto" w:fill="auto"/>
            <w:noWrap/>
            <w:vAlign w:val="center"/>
            <w:hideMark/>
          </w:tcPr>
          <w:p w14:paraId="1F5265B4"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 </w:t>
            </w:r>
          </w:p>
        </w:tc>
        <w:tc>
          <w:tcPr>
            <w:tcW w:w="908" w:type="pct"/>
            <w:tcBorders>
              <w:top w:val="nil"/>
              <w:left w:val="nil"/>
              <w:bottom w:val="nil"/>
              <w:right w:val="nil"/>
            </w:tcBorders>
            <w:shd w:val="clear" w:color="auto" w:fill="auto"/>
            <w:noWrap/>
            <w:vAlign w:val="center"/>
            <w:hideMark/>
          </w:tcPr>
          <w:p w14:paraId="3714783E"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3099.95 a</w:t>
            </w:r>
          </w:p>
        </w:tc>
        <w:tc>
          <w:tcPr>
            <w:tcW w:w="518" w:type="pct"/>
            <w:tcBorders>
              <w:top w:val="nil"/>
              <w:left w:val="nil"/>
              <w:bottom w:val="nil"/>
              <w:right w:val="nil"/>
            </w:tcBorders>
            <w:shd w:val="clear" w:color="auto" w:fill="auto"/>
            <w:noWrap/>
            <w:vAlign w:val="center"/>
            <w:hideMark/>
          </w:tcPr>
          <w:p w14:paraId="2755B1C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409.02</w:t>
            </w:r>
          </w:p>
        </w:tc>
        <w:tc>
          <w:tcPr>
            <w:tcW w:w="819" w:type="pct"/>
            <w:tcBorders>
              <w:top w:val="nil"/>
              <w:left w:val="nil"/>
              <w:bottom w:val="nil"/>
              <w:right w:val="nil"/>
            </w:tcBorders>
            <w:shd w:val="clear" w:color="auto" w:fill="auto"/>
            <w:noWrap/>
            <w:vAlign w:val="center"/>
            <w:hideMark/>
          </w:tcPr>
          <w:p w14:paraId="1D92BFB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2879.05 a</w:t>
            </w:r>
          </w:p>
        </w:tc>
        <w:tc>
          <w:tcPr>
            <w:tcW w:w="517" w:type="pct"/>
            <w:tcBorders>
              <w:top w:val="nil"/>
              <w:left w:val="nil"/>
              <w:bottom w:val="nil"/>
              <w:right w:val="nil"/>
            </w:tcBorders>
            <w:shd w:val="clear" w:color="auto" w:fill="auto"/>
            <w:noWrap/>
            <w:vAlign w:val="center"/>
            <w:hideMark/>
          </w:tcPr>
          <w:p w14:paraId="21D0C850"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229.90</w:t>
            </w:r>
          </w:p>
        </w:tc>
        <w:tc>
          <w:tcPr>
            <w:tcW w:w="631" w:type="pct"/>
            <w:tcBorders>
              <w:top w:val="nil"/>
              <w:left w:val="nil"/>
              <w:bottom w:val="nil"/>
              <w:right w:val="nil"/>
            </w:tcBorders>
            <w:shd w:val="clear" w:color="auto" w:fill="auto"/>
            <w:noWrap/>
            <w:vAlign w:val="center"/>
            <w:hideMark/>
          </w:tcPr>
          <w:p w14:paraId="61A164D3"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0.297</w:t>
            </w:r>
          </w:p>
        </w:tc>
        <w:tc>
          <w:tcPr>
            <w:tcW w:w="619" w:type="pct"/>
            <w:tcBorders>
              <w:top w:val="nil"/>
              <w:left w:val="nil"/>
              <w:bottom w:val="nil"/>
              <w:right w:val="nil"/>
            </w:tcBorders>
            <w:shd w:val="clear" w:color="auto" w:fill="auto"/>
            <w:noWrap/>
            <w:vAlign w:val="center"/>
            <w:hideMark/>
          </w:tcPr>
          <w:p w14:paraId="07A5E299"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0.108</w:t>
            </w:r>
          </w:p>
        </w:tc>
      </w:tr>
      <w:tr w:rsidR="00692A23" w:rsidRPr="00F07DEB" w14:paraId="3652DAB9" w14:textId="77777777" w:rsidTr="009D49F2">
        <w:trPr>
          <w:trHeight w:val="258"/>
        </w:trPr>
        <w:tc>
          <w:tcPr>
            <w:tcW w:w="988" w:type="pct"/>
            <w:tcBorders>
              <w:top w:val="nil"/>
              <w:left w:val="nil"/>
              <w:bottom w:val="nil"/>
              <w:right w:val="nil"/>
            </w:tcBorders>
            <w:shd w:val="clear" w:color="auto" w:fill="auto"/>
            <w:noWrap/>
            <w:vAlign w:val="center"/>
            <w:hideMark/>
          </w:tcPr>
          <w:p w14:paraId="5A21278C"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w:t>
            </w:r>
          </w:p>
        </w:tc>
        <w:tc>
          <w:tcPr>
            <w:tcW w:w="908" w:type="pct"/>
            <w:tcBorders>
              <w:top w:val="nil"/>
              <w:left w:val="nil"/>
              <w:bottom w:val="nil"/>
              <w:right w:val="nil"/>
            </w:tcBorders>
            <w:shd w:val="clear" w:color="auto" w:fill="auto"/>
            <w:noWrap/>
            <w:vAlign w:val="center"/>
            <w:hideMark/>
          </w:tcPr>
          <w:p w14:paraId="44F715E1"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1218.26</w:t>
            </w:r>
          </w:p>
        </w:tc>
        <w:tc>
          <w:tcPr>
            <w:tcW w:w="518" w:type="pct"/>
            <w:tcBorders>
              <w:top w:val="nil"/>
              <w:left w:val="nil"/>
              <w:bottom w:val="nil"/>
              <w:right w:val="nil"/>
            </w:tcBorders>
            <w:shd w:val="clear" w:color="auto" w:fill="auto"/>
            <w:noWrap/>
            <w:vAlign w:val="center"/>
            <w:hideMark/>
          </w:tcPr>
          <w:p w14:paraId="560F386C"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267.95</w:t>
            </w:r>
          </w:p>
        </w:tc>
        <w:tc>
          <w:tcPr>
            <w:tcW w:w="819" w:type="pct"/>
            <w:tcBorders>
              <w:top w:val="nil"/>
              <w:left w:val="nil"/>
              <w:bottom w:val="nil"/>
              <w:right w:val="nil"/>
            </w:tcBorders>
            <w:shd w:val="clear" w:color="auto" w:fill="auto"/>
            <w:noWrap/>
            <w:vAlign w:val="center"/>
            <w:hideMark/>
          </w:tcPr>
          <w:p w14:paraId="20F45F5A"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1029.20 b</w:t>
            </w:r>
          </w:p>
        </w:tc>
        <w:tc>
          <w:tcPr>
            <w:tcW w:w="517" w:type="pct"/>
            <w:tcBorders>
              <w:top w:val="nil"/>
              <w:left w:val="nil"/>
              <w:bottom w:val="nil"/>
              <w:right w:val="nil"/>
            </w:tcBorders>
            <w:shd w:val="clear" w:color="auto" w:fill="auto"/>
            <w:noWrap/>
            <w:vAlign w:val="center"/>
            <w:hideMark/>
          </w:tcPr>
          <w:p w14:paraId="59FACA8C"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80.57</w:t>
            </w:r>
          </w:p>
        </w:tc>
        <w:tc>
          <w:tcPr>
            <w:tcW w:w="631" w:type="pct"/>
            <w:tcBorders>
              <w:top w:val="nil"/>
              <w:left w:val="nil"/>
              <w:bottom w:val="nil"/>
              <w:right w:val="nil"/>
            </w:tcBorders>
            <w:shd w:val="clear" w:color="auto" w:fill="auto"/>
            <w:noWrap/>
            <w:vAlign w:val="center"/>
            <w:hideMark/>
          </w:tcPr>
          <w:p w14:paraId="0539484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0.161</w:t>
            </w:r>
          </w:p>
        </w:tc>
        <w:tc>
          <w:tcPr>
            <w:tcW w:w="619" w:type="pct"/>
            <w:tcBorders>
              <w:top w:val="nil"/>
              <w:left w:val="nil"/>
              <w:bottom w:val="nil"/>
              <w:right w:val="nil"/>
            </w:tcBorders>
            <w:shd w:val="clear" w:color="auto" w:fill="auto"/>
            <w:noWrap/>
            <w:vAlign w:val="center"/>
            <w:hideMark/>
          </w:tcPr>
          <w:p w14:paraId="0197C450"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0.186</w:t>
            </w:r>
          </w:p>
        </w:tc>
      </w:tr>
      <w:tr w:rsidR="00692A23" w:rsidRPr="00F07DEB" w14:paraId="5819DE11" w14:textId="77777777" w:rsidTr="009D49F2">
        <w:trPr>
          <w:trHeight w:val="266"/>
        </w:trPr>
        <w:tc>
          <w:tcPr>
            <w:tcW w:w="988" w:type="pct"/>
            <w:tcBorders>
              <w:top w:val="nil"/>
              <w:left w:val="nil"/>
              <w:bottom w:val="single" w:sz="8" w:space="0" w:color="auto"/>
              <w:right w:val="nil"/>
            </w:tcBorders>
            <w:shd w:val="clear" w:color="auto" w:fill="auto"/>
            <w:noWrap/>
            <w:vAlign w:val="center"/>
            <w:hideMark/>
          </w:tcPr>
          <w:p w14:paraId="239DC4C0"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908" w:type="pct"/>
            <w:tcBorders>
              <w:top w:val="nil"/>
              <w:left w:val="nil"/>
              <w:bottom w:val="single" w:sz="8" w:space="0" w:color="auto"/>
              <w:right w:val="nil"/>
            </w:tcBorders>
            <w:shd w:val="clear" w:color="auto" w:fill="auto"/>
            <w:noWrap/>
            <w:vAlign w:val="center"/>
            <w:hideMark/>
          </w:tcPr>
          <w:p w14:paraId="7691BB0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925.22</w:t>
            </w:r>
          </w:p>
        </w:tc>
        <w:tc>
          <w:tcPr>
            <w:tcW w:w="518" w:type="pct"/>
            <w:tcBorders>
              <w:top w:val="nil"/>
              <w:left w:val="nil"/>
              <w:bottom w:val="single" w:sz="8" w:space="0" w:color="auto"/>
              <w:right w:val="nil"/>
            </w:tcBorders>
            <w:shd w:val="clear" w:color="auto" w:fill="auto"/>
            <w:noWrap/>
            <w:vAlign w:val="center"/>
            <w:hideMark/>
          </w:tcPr>
          <w:p w14:paraId="4FC043F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164.21</w:t>
            </w:r>
          </w:p>
        </w:tc>
        <w:tc>
          <w:tcPr>
            <w:tcW w:w="819" w:type="pct"/>
            <w:tcBorders>
              <w:top w:val="nil"/>
              <w:left w:val="nil"/>
              <w:bottom w:val="single" w:sz="8" w:space="0" w:color="auto"/>
              <w:right w:val="nil"/>
            </w:tcBorders>
            <w:shd w:val="clear" w:color="auto" w:fill="auto"/>
            <w:noWrap/>
            <w:vAlign w:val="center"/>
            <w:hideMark/>
          </w:tcPr>
          <w:p w14:paraId="1DFB7D7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1190.34 b</w:t>
            </w:r>
          </w:p>
        </w:tc>
        <w:tc>
          <w:tcPr>
            <w:tcW w:w="517" w:type="pct"/>
            <w:tcBorders>
              <w:top w:val="nil"/>
              <w:left w:val="nil"/>
              <w:bottom w:val="single" w:sz="8" w:space="0" w:color="auto"/>
              <w:right w:val="nil"/>
            </w:tcBorders>
            <w:shd w:val="clear" w:color="auto" w:fill="auto"/>
            <w:noWrap/>
            <w:vAlign w:val="center"/>
            <w:hideMark/>
          </w:tcPr>
          <w:p w14:paraId="540852C8"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207.19</w:t>
            </w:r>
          </w:p>
        </w:tc>
        <w:tc>
          <w:tcPr>
            <w:tcW w:w="631" w:type="pct"/>
            <w:tcBorders>
              <w:top w:val="nil"/>
              <w:left w:val="nil"/>
              <w:bottom w:val="single" w:sz="8" w:space="0" w:color="auto"/>
              <w:right w:val="nil"/>
            </w:tcBorders>
            <w:shd w:val="clear" w:color="auto" w:fill="auto"/>
            <w:noWrap/>
            <w:vAlign w:val="center"/>
            <w:hideMark/>
          </w:tcPr>
          <w:p w14:paraId="5E5CB0B9"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0.031</w:t>
            </w:r>
          </w:p>
        </w:tc>
        <w:tc>
          <w:tcPr>
            <w:tcW w:w="619" w:type="pct"/>
            <w:tcBorders>
              <w:top w:val="nil"/>
              <w:left w:val="nil"/>
              <w:bottom w:val="single" w:sz="8" w:space="0" w:color="auto"/>
              <w:right w:val="nil"/>
            </w:tcBorders>
            <w:shd w:val="clear" w:color="auto" w:fill="auto"/>
            <w:noWrap/>
            <w:vAlign w:val="center"/>
            <w:hideMark/>
          </w:tcPr>
          <w:p w14:paraId="24F4A2E4"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0.387</w:t>
            </w:r>
          </w:p>
        </w:tc>
      </w:tr>
      <w:tr w:rsidR="00692A23" w:rsidRPr="00F07DEB" w14:paraId="3C689462" w14:textId="77777777" w:rsidTr="009D49F2">
        <w:trPr>
          <w:trHeight w:val="258"/>
        </w:trPr>
        <w:tc>
          <w:tcPr>
            <w:tcW w:w="988" w:type="pct"/>
            <w:tcBorders>
              <w:top w:val="nil"/>
              <w:left w:val="nil"/>
              <w:bottom w:val="nil"/>
              <w:right w:val="nil"/>
            </w:tcBorders>
            <w:shd w:val="clear" w:color="auto" w:fill="auto"/>
            <w:noWrap/>
            <w:vAlign w:val="center"/>
            <w:hideMark/>
          </w:tcPr>
          <w:p w14:paraId="736918D3"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Bermuda grass</w:t>
            </w:r>
          </w:p>
        </w:tc>
        <w:tc>
          <w:tcPr>
            <w:tcW w:w="908" w:type="pct"/>
            <w:tcBorders>
              <w:top w:val="nil"/>
              <w:left w:val="nil"/>
              <w:bottom w:val="nil"/>
              <w:right w:val="nil"/>
            </w:tcBorders>
            <w:shd w:val="clear" w:color="auto" w:fill="auto"/>
            <w:noWrap/>
            <w:vAlign w:val="center"/>
            <w:hideMark/>
          </w:tcPr>
          <w:p w14:paraId="21EA5103"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c>
          <w:tcPr>
            <w:tcW w:w="518" w:type="pct"/>
            <w:tcBorders>
              <w:top w:val="nil"/>
              <w:left w:val="nil"/>
              <w:bottom w:val="nil"/>
              <w:right w:val="nil"/>
            </w:tcBorders>
            <w:shd w:val="clear" w:color="auto" w:fill="auto"/>
            <w:noWrap/>
            <w:vAlign w:val="center"/>
            <w:hideMark/>
          </w:tcPr>
          <w:p w14:paraId="3532AB65"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819" w:type="pct"/>
            <w:tcBorders>
              <w:top w:val="nil"/>
              <w:left w:val="nil"/>
              <w:bottom w:val="nil"/>
              <w:right w:val="nil"/>
            </w:tcBorders>
            <w:shd w:val="clear" w:color="auto" w:fill="auto"/>
            <w:noWrap/>
            <w:vAlign w:val="center"/>
            <w:hideMark/>
          </w:tcPr>
          <w:p w14:paraId="73E60A38"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517" w:type="pct"/>
            <w:tcBorders>
              <w:top w:val="nil"/>
              <w:left w:val="nil"/>
              <w:bottom w:val="nil"/>
              <w:right w:val="nil"/>
            </w:tcBorders>
            <w:shd w:val="clear" w:color="auto" w:fill="auto"/>
            <w:noWrap/>
            <w:vAlign w:val="center"/>
            <w:hideMark/>
          </w:tcPr>
          <w:p w14:paraId="5B22FFF3"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68C205FC"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c>
          <w:tcPr>
            <w:tcW w:w="619" w:type="pct"/>
            <w:tcBorders>
              <w:top w:val="nil"/>
              <w:left w:val="nil"/>
              <w:bottom w:val="nil"/>
              <w:right w:val="nil"/>
            </w:tcBorders>
            <w:shd w:val="clear" w:color="auto" w:fill="auto"/>
            <w:noWrap/>
            <w:vAlign w:val="center"/>
            <w:hideMark/>
          </w:tcPr>
          <w:p w14:paraId="766C8649" w14:textId="77777777" w:rsidR="00692A23" w:rsidRPr="00F07DEB" w:rsidRDefault="00692A23" w:rsidP="00692A23">
            <w:pPr>
              <w:spacing w:after="0" w:line="240" w:lineRule="auto"/>
              <w:rPr>
                <w:rFonts w:ascii="Times New Roman" w:eastAsia="Times New Roman" w:hAnsi="Times New Roman" w:cs="Times New Roman"/>
                <w:sz w:val="20"/>
                <w:szCs w:val="20"/>
                <w:lang w:eastAsia="en-US"/>
              </w:rPr>
            </w:pPr>
          </w:p>
        </w:tc>
      </w:tr>
      <w:tr w:rsidR="00692A23" w:rsidRPr="00F07DEB" w14:paraId="700F7B98" w14:textId="77777777" w:rsidTr="009D49F2">
        <w:trPr>
          <w:trHeight w:val="258"/>
        </w:trPr>
        <w:tc>
          <w:tcPr>
            <w:tcW w:w="988" w:type="pct"/>
            <w:tcBorders>
              <w:top w:val="nil"/>
              <w:left w:val="nil"/>
              <w:bottom w:val="nil"/>
              <w:right w:val="nil"/>
            </w:tcBorders>
            <w:shd w:val="clear" w:color="auto" w:fill="auto"/>
            <w:noWrap/>
            <w:vAlign w:val="center"/>
            <w:hideMark/>
          </w:tcPr>
          <w:p w14:paraId="131142CE"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Grass1 </w:t>
            </w:r>
          </w:p>
        </w:tc>
        <w:tc>
          <w:tcPr>
            <w:tcW w:w="908" w:type="pct"/>
            <w:tcBorders>
              <w:top w:val="nil"/>
              <w:left w:val="nil"/>
              <w:bottom w:val="nil"/>
              <w:right w:val="nil"/>
            </w:tcBorders>
            <w:shd w:val="clear" w:color="auto" w:fill="auto"/>
            <w:noWrap/>
            <w:vAlign w:val="center"/>
            <w:hideMark/>
          </w:tcPr>
          <w:p w14:paraId="183C8C1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2583.32</w:t>
            </w:r>
          </w:p>
        </w:tc>
        <w:tc>
          <w:tcPr>
            <w:tcW w:w="518" w:type="pct"/>
            <w:tcBorders>
              <w:top w:val="nil"/>
              <w:left w:val="nil"/>
              <w:bottom w:val="nil"/>
              <w:right w:val="nil"/>
            </w:tcBorders>
            <w:shd w:val="clear" w:color="auto" w:fill="auto"/>
            <w:noWrap/>
            <w:vAlign w:val="center"/>
            <w:hideMark/>
          </w:tcPr>
          <w:p w14:paraId="65D70B1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242.02</w:t>
            </w:r>
          </w:p>
        </w:tc>
        <w:tc>
          <w:tcPr>
            <w:tcW w:w="819" w:type="pct"/>
            <w:tcBorders>
              <w:top w:val="nil"/>
              <w:left w:val="nil"/>
              <w:bottom w:val="nil"/>
              <w:right w:val="nil"/>
            </w:tcBorders>
            <w:shd w:val="clear" w:color="auto" w:fill="auto"/>
            <w:noWrap/>
            <w:vAlign w:val="center"/>
            <w:hideMark/>
          </w:tcPr>
          <w:p w14:paraId="05D28A05"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3076.19</w:t>
            </w:r>
          </w:p>
        </w:tc>
        <w:tc>
          <w:tcPr>
            <w:tcW w:w="517" w:type="pct"/>
            <w:tcBorders>
              <w:top w:val="nil"/>
              <w:left w:val="nil"/>
              <w:bottom w:val="nil"/>
              <w:right w:val="nil"/>
            </w:tcBorders>
            <w:shd w:val="clear" w:color="auto" w:fill="auto"/>
            <w:noWrap/>
            <w:vAlign w:val="center"/>
            <w:hideMark/>
          </w:tcPr>
          <w:p w14:paraId="7905888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220.46</w:t>
            </w:r>
          </w:p>
        </w:tc>
        <w:tc>
          <w:tcPr>
            <w:tcW w:w="631" w:type="pct"/>
            <w:vMerge w:val="restart"/>
            <w:tcBorders>
              <w:top w:val="nil"/>
              <w:left w:val="nil"/>
              <w:bottom w:val="single" w:sz="8" w:space="0" w:color="000000"/>
              <w:right w:val="nil"/>
            </w:tcBorders>
            <w:shd w:val="clear" w:color="auto" w:fill="auto"/>
            <w:noWrap/>
            <w:vAlign w:val="center"/>
            <w:hideMark/>
          </w:tcPr>
          <w:p w14:paraId="645485E7"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0.001</w:t>
            </w:r>
          </w:p>
        </w:tc>
        <w:tc>
          <w:tcPr>
            <w:tcW w:w="619" w:type="pct"/>
            <w:vMerge w:val="restart"/>
            <w:tcBorders>
              <w:top w:val="nil"/>
              <w:left w:val="nil"/>
              <w:bottom w:val="single" w:sz="8" w:space="0" w:color="000000"/>
              <w:right w:val="nil"/>
            </w:tcBorders>
            <w:shd w:val="clear" w:color="auto" w:fill="auto"/>
            <w:noWrap/>
            <w:vAlign w:val="center"/>
            <w:hideMark/>
          </w:tcPr>
          <w:p w14:paraId="19A1D25A"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0.696</w:t>
            </w:r>
          </w:p>
        </w:tc>
      </w:tr>
      <w:tr w:rsidR="00692A23" w:rsidRPr="00F07DEB" w14:paraId="0E21886A" w14:textId="77777777" w:rsidTr="009D49F2">
        <w:trPr>
          <w:trHeight w:val="258"/>
        </w:trPr>
        <w:tc>
          <w:tcPr>
            <w:tcW w:w="988" w:type="pct"/>
            <w:tcBorders>
              <w:top w:val="nil"/>
              <w:left w:val="nil"/>
              <w:bottom w:val="nil"/>
              <w:right w:val="nil"/>
            </w:tcBorders>
            <w:shd w:val="clear" w:color="auto" w:fill="auto"/>
            <w:noWrap/>
            <w:vAlign w:val="center"/>
            <w:hideMark/>
          </w:tcPr>
          <w:p w14:paraId="1D055934"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Grass2</w:t>
            </w:r>
          </w:p>
        </w:tc>
        <w:tc>
          <w:tcPr>
            <w:tcW w:w="908" w:type="pct"/>
            <w:tcBorders>
              <w:top w:val="nil"/>
              <w:left w:val="nil"/>
              <w:bottom w:val="nil"/>
              <w:right w:val="nil"/>
            </w:tcBorders>
            <w:shd w:val="clear" w:color="auto" w:fill="auto"/>
            <w:noWrap/>
            <w:vAlign w:val="center"/>
            <w:hideMark/>
          </w:tcPr>
          <w:p w14:paraId="713BD16A"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1207.75</w:t>
            </w:r>
          </w:p>
        </w:tc>
        <w:tc>
          <w:tcPr>
            <w:tcW w:w="518" w:type="pct"/>
            <w:tcBorders>
              <w:top w:val="nil"/>
              <w:left w:val="nil"/>
              <w:bottom w:val="nil"/>
              <w:right w:val="nil"/>
            </w:tcBorders>
            <w:shd w:val="clear" w:color="auto" w:fill="auto"/>
            <w:noWrap/>
            <w:vAlign w:val="center"/>
            <w:hideMark/>
          </w:tcPr>
          <w:p w14:paraId="1EDDD22F"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266.86</w:t>
            </w:r>
          </w:p>
        </w:tc>
        <w:tc>
          <w:tcPr>
            <w:tcW w:w="819" w:type="pct"/>
            <w:tcBorders>
              <w:top w:val="nil"/>
              <w:left w:val="nil"/>
              <w:bottom w:val="nil"/>
              <w:right w:val="nil"/>
            </w:tcBorders>
            <w:shd w:val="clear" w:color="auto" w:fill="auto"/>
            <w:noWrap/>
            <w:vAlign w:val="center"/>
            <w:hideMark/>
          </w:tcPr>
          <w:p w14:paraId="3ED52686"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1662.90</w:t>
            </w:r>
          </w:p>
        </w:tc>
        <w:tc>
          <w:tcPr>
            <w:tcW w:w="517" w:type="pct"/>
            <w:tcBorders>
              <w:top w:val="nil"/>
              <w:left w:val="nil"/>
              <w:bottom w:val="nil"/>
              <w:right w:val="nil"/>
            </w:tcBorders>
            <w:shd w:val="clear" w:color="auto" w:fill="auto"/>
            <w:noWrap/>
            <w:vAlign w:val="center"/>
            <w:hideMark/>
          </w:tcPr>
          <w:p w14:paraId="1233A72B"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170.68</w:t>
            </w:r>
          </w:p>
        </w:tc>
        <w:tc>
          <w:tcPr>
            <w:tcW w:w="631" w:type="pct"/>
            <w:vMerge/>
            <w:tcBorders>
              <w:top w:val="nil"/>
              <w:left w:val="nil"/>
              <w:bottom w:val="single" w:sz="8" w:space="0" w:color="000000"/>
              <w:right w:val="nil"/>
            </w:tcBorders>
            <w:vAlign w:val="center"/>
            <w:hideMark/>
          </w:tcPr>
          <w:p w14:paraId="62A0D0D8"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c>
          <w:tcPr>
            <w:tcW w:w="619" w:type="pct"/>
            <w:vMerge/>
            <w:tcBorders>
              <w:top w:val="nil"/>
              <w:left w:val="nil"/>
              <w:bottom w:val="single" w:sz="8" w:space="0" w:color="000000"/>
              <w:right w:val="nil"/>
            </w:tcBorders>
            <w:vAlign w:val="center"/>
            <w:hideMark/>
          </w:tcPr>
          <w:p w14:paraId="4E78DF76"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r>
      <w:tr w:rsidR="00692A23" w:rsidRPr="00F07DEB" w14:paraId="607E0879" w14:textId="77777777" w:rsidTr="009D49F2">
        <w:trPr>
          <w:trHeight w:val="266"/>
        </w:trPr>
        <w:tc>
          <w:tcPr>
            <w:tcW w:w="988" w:type="pct"/>
            <w:tcBorders>
              <w:top w:val="nil"/>
              <w:left w:val="nil"/>
              <w:bottom w:val="single" w:sz="8" w:space="0" w:color="auto"/>
              <w:right w:val="nil"/>
            </w:tcBorders>
            <w:shd w:val="clear" w:color="auto" w:fill="auto"/>
            <w:noWrap/>
            <w:vAlign w:val="center"/>
            <w:hideMark/>
          </w:tcPr>
          <w:p w14:paraId="377AF61E"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908" w:type="pct"/>
            <w:tcBorders>
              <w:top w:val="nil"/>
              <w:left w:val="nil"/>
              <w:bottom w:val="single" w:sz="8" w:space="0" w:color="auto"/>
              <w:right w:val="nil"/>
            </w:tcBorders>
            <w:shd w:val="clear" w:color="auto" w:fill="auto"/>
            <w:noWrap/>
            <w:vAlign w:val="center"/>
            <w:hideMark/>
          </w:tcPr>
          <w:p w14:paraId="0340ABCD"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880.24</w:t>
            </w:r>
          </w:p>
        </w:tc>
        <w:tc>
          <w:tcPr>
            <w:tcW w:w="518" w:type="pct"/>
            <w:tcBorders>
              <w:top w:val="nil"/>
              <w:left w:val="nil"/>
              <w:bottom w:val="single" w:sz="8" w:space="0" w:color="auto"/>
              <w:right w:val="nil"/>
            </w:tcBorders>
            <w:shd w:val="clear" w:color="auto" w:fill="auto"/>
            <w:noWrap/>
            <w:vAlign w:val="center"/>
            <w:hideMark/>
          </w:tcPr>
          <w:p w14:paraId="630B9536"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109.36</w:t>
            </w:r>
          </w:p>
        </w:tc>
        <w:tc>
          <w:tcPr>
            <w:tcW w:w="819" w:type="pct"/>
            <w:tcBorders>
              <w:top w:val="nil"/>
              <w:left w:val="nil"/>
              <w:bottom w:val="single" w:sz="8" w:space="0" w:color="auto"/>
              <w:right w:val="nil"/>
            </w:tcBorders>
            <w:shd w:val="clear" w:color="auto" w:fill="auto"/>
            <w:noWrap/>
            <w:vAlign w:val="center"/>
            <w:hideMark/>
          </w:tcPr>
          <w:p w14:paraId="4E682C3C"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1150.86</w:t>
            </w:r>
          </w:p>
        </w:tc>
        <w:tc>
          <w:tcPr>
            <w:tcW w:w="517" w:type="pct"/>
            <w:tcBorders>
              <w:top w:val="nil"/>
              <w:left w:val="nil"/>
              <w:bottom w:val="single" w:sz="8" w:space="0" w:color="auto"/>
              <w:right w:val="nil"/>
            </w:tcBorders>
            <w:shd w:val="clear" w:color="auto" w:fill="auto"/>
            <w:noWrap/>
            <w:vAlign w:val="center"/>
            <w:hideMark/>
          </w:tcPr>
          <w:p w14:paraId="0D75CEB2"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109.27</w:t>
            </w:r>
          </w:p>
        </w:tc>
        <w:tc>
          <w:tcPr>
            <w:tcW w:w="631" w:type="pct"/>
            <w:vMerge/>
            <w:tcBorders>
              <w:top w:val="nil"/>
              <w:left w:val="nil"/>
              <w:bottom w:val="single" w:sz="8" w:space="0" w:color="000000"/>
              <w:right w:val="nil"/>
            </w:tcBorders>
            <w:vAlign w:val="center"/>
            <w:hideMark/>
          </w:tcPr>
          <w:p w14:paraId="7B872E6B"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c>
          <w:tcPr>
            <w:tcW w:w="619" w:type="pct"/>
            <w:vMerge/>
            <w:tcBorders>
              <w:top w:val="nil"/>
              <w:left w:val="nil"/>
              <w:bottom w:val="single" w:sz="8" w:space="0" w:color="000000"/>
              <w:right w:val="nil"/>
            </w:tcBorders>
            <w:vAlign w:val="center"/>
            <w:hideMark/>
          </w:tcPr>
          <w:p w14:paraId="0C0CC213" w14:textId="77777777" w:rsidR="00692A23" w:rsidRPr="00F07DEB" w:rsidRDefault="00692A23" w:rsidP="00692A23">
            <w:pPr>
              <w:spacing w:after="0" w:line="240" w:lineRule="auto"/>
              <w:rPr>
                <w:rFonts w:ascii="Times New Roman" w:eastAsia="Times New Roman" w:hAnsi="Times New Roman" w:cs="Times New Roman"/>
                <w:color w:val="000000"/>
                <w:sz w:val="20"/>
                <w:szCs w:val="20"/>
                <w:lang w:eastAsia="en-US"/>
              </w:rPr>
            </w:pPr>
          </w:p>
        </w:tc>
      </w:tr>
    </w:tbl>
    <w:p w14:paraId="123BFFAB" w14:textId="2C450EFD" w:rsidR="009D49F2" w:rsidRPr="00F07DEB" w:rsidRDefault="009D49F2" w:rsidP="009D49F2">
      <w:pPr>
        <w:spacing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sz w:val="20"/>
          <w:szCs w:val="20"/>
        </w:rPr>
        <w:t xml:space="preserve">Species whose data were log-transformed for mixed ANOVA are indicated with an asterisk. When the interaction effect was not significant, the results of </w:t>
      </w:r>
      <w:proofErr w:type="spellStart"/>
      <w:r w:rsidRPr="00F07DEB">
        <w:rPr>
          <w:rFonts w:ascii="Times New Roman" w:hAnsi="Times New Roman" w:cs="Times New Roman"/>
          <w:sz w:val="20"/>
          <w:szCs w:val="20"/>
        </w:rPr>
        <w:t>Sidak</w:t>
      </w:r>
      <w:proofErr w:type="spellEnd"/>
      <w:r w:rsidRPr="00F07DEB">
        <w:rPr>
          <w:rFonts w:ascii="Times New Roman" w:hAnsi="Times New Roman" w:cs="Times New Roman"/>
          <w:sz w:val="20"/>
          <w:szCs w:val="20"/>
        </w:rPr>
        <w:t xml:space="preserve">-corrected pairwise comparisons of main effects are indicated by a single value in the </w:t>
      </w:r>
      <w:r w:rsidRPr="00F07DEB">
        <w:rPr>
          <w:rFonts w:ascii="Times New Roman" w:hAnsi="Times New Roman" w:cs="Times New Roman"/>
          <w:i/>
          <w:sz w:val="20"/>
          <w:szCs w:val="20"/>
        </w:rPr>
        <w:t>p</w:t>
      </w:r>
      <w:r w:rsidRPr="00F07DEB">
        <w:rPr>
          <w:rFonts w:ascii="Times New Roman" w:hAnsi="Times New Roman" w:cs="Times New Roman"/>
          <w:sz w:val="20"/>
          <w:szCs w:val="20"/>
        </w:rPr>
        <w:t xml:space="preserve"> column (irrigation treatment main effect) and symbols (e.g., </w:t>
      </w:r>
      <w:r w:rsidRPr="00F07DEB">
        <w:rPr>
          <w:rFonts w:ascii="Times New Roman" w:eastAsia="Times New Roman" w:hAnsi="Times New Roman" w:cs="Times New Roman"/>
          <w:color w:val="000000"/>
          <w:sz w:val="20"/>
          <w:szCs w:val="20"/>
          <w:lang w:eastAsia="en-US"/>
        </w:rPr>
        <w:t xml:space="preserve">†‡) next to structure names (plant structure main effect). Plant structures that share a symbol were not significantly different </w:t>
      </w:r>
      <w:r w:rsidR="007B463F">
        <w:rPr>
          <w:rFonts w:ascii="Times New Roman" w:eastAsia="Times New Roman" w:hAnsi="Times New Roman" w:cs="Times New Roman"/>
          <w:color w:val="000000"/>
          <w:sz w:val="20"/>
          <w:szCs w:val="20"/>
          <w:lang w:eastAsia="en-US"/>
        </w:rPr>
        <w:t>(</w:t>
      </w:r>
      <w:r w:rsidR="007B463F" w:rsidRPr="00204C13">
        <w:rPr>
          <w:rFonts w:ascii="Times New Roman" w:eastAsia="Times New Roman" w:hAnsi="Times New Roman" w:cs="Times New Roman"/>
          <w:i/>
          <w:color w:val="000000"/>
          <w:sz w:val="20"/>
          <w:szCs w:val="20"/>
          <w:lang w:eastAsia="en-US"/>
        </w:rPr>
        <w:t>p</w:t>
      </w:r>
      <w:r w:rsidR="007B463F">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lang w:eastAsia="en-US"/>
        </w:rPr>
        <w:t xml:space="preserve"> 0.05). When the interaction effect was significant for a </w:t>
      </w:r>
      <w:r w:rsidR="00B643F2">
        <w:rPr>
          <w:rFonts w:ascii="Times New Roman" w:eastAsia="Times New Roman" w:hAnsi="Times New Roman" w:cs="Times New Roman"/>
          <w:color w:val="000000"/>
          <w:sz w:val="20"/>
          <w:szCs w:val="20"/>
          <w:lang w:eastAsia="en-US"/>
        </w:rPr>
        <w:t>species</w:t>
      </w:r>
      <w:r w:rsidRPr="00F07DEB">
        <w:rPr>
          <w:rFonts w:ascii="Times New Roman" w:eastAsia="Times New Roman" w:hAnsi="Times New Roman" w:cs="Times New Roman"/>
          <w:color w:val="000000"/>
          <w:sz w:val="20"/>
          <w:szCs w:val="20"/>
          <w:lang w:eastAsia="en-US"/>
        </w:rPr>
        <w:t xml:space="preserve">, the results of </w:t>
      </w:r>
      <w:proofErr w:type="spellStart"/>
      <w:r w:rsidRPr="00F07DEB">
        <w:rPr>
          <w:rFonts w:ascii="Times New Roman" w:eastAsia="Times New Roman" w:hAnsi="Times New Roman" w:cs="Times New Roman"/>
          <w:color w:val="000000"/>
          <w:sz w:val="20"/>
          <w:szCs w:val="20"/>
          <w:lang w:eastAsia="en-US"/>
        </w:rPr>
        <w:t>Sidak</w:t>
      </w:r>
      <w:proofErr w:type="spellEnd"/>
      <w:r w:rsidRPr="00F07DEB">
        <w:rPr>
          <w:rFonts w:ascii="Times New Roman" w:eastAsia="Times New Roman" w:hAnsi="Times New Roman" w:cs="Times New Roman"/>
          <w:color w:val="000000"/>
          <w:sz w:val="20"/>
          <w:szCs w:val="20"/>
          <w:lang w:eastAsia="en-US"/>
        </w:rPr>
        <w:t>-corrected pairwise comparisons of simple main effects are indicated by a value in every row of the</w:t>
      </w:r>
      <w:r w:rsidRPr="00F07DEB">
        <w:rPr>
          <w:rFonts w:ascii="Times New Roman" w:eastAsia="Times New Roman" w:hAnsi="Times New Roman" w:cs="Times New Roman"/>
          <w:i/>
          <w:color w:val="000000"/>
          <w:sz w:val="20"/>
          <w:szCs w:val="20"/>
          <w:lang w:eastAsia="en-US"/>
        </w:rPr>
        <w:t xml:space="preserve"> p</w:t>
      </w:r>
      <w:r w:rsidRPr="00F07DEB">
        <w:rPr>
          <w:rFonts w:ascii="Times New Roman" w:eastAsia="Times New Roman" w:hAnsi="Times New Roman" w:cs="Times New Roman"/>
          <w:color w:val="000000"/>
          <w:sz w:val="20"/>
          <w:szCs w:val="20"/>
          <w:lang w:eastAsia="en-US"/>
        </w:rPr>
        <w:t xml:space="preserve"> column for the </w:t>
      </w:r>
      <w:r w:rsidR="00B643F2">
        <w:rPr>
          <w:rFonts w:ascii="Times New Roman" w:eastAsia="Times New Roman" w:hAnsi="Times New Roman" w:cs="Times New Roman"/>
          <w:color w:val="000000"/>
          <w:sz w:val="20"/>
          <w:szCs w:val="20"/>
          <w:lang w:eastAsia="en-US"/>
        </w:rPr>
        <w:t>species</w:t>
      </w:r>
      <w:r w:rsidRPr="00F07DEB">
        <w:rPr>
          <w:rFonts w:ascii="Times New Roman" w:eastAsia="Times New Roman" w:hAnsi="Times New Roman" w:cs="Times New Roman"/>
          <w:color w:val="000000"/>
          <w:sz w:val="20"/>
          <w:szCs w:val="20"/>
          <w:lang w:eastAsia="en-US"/>
        </w:rPr>
        <w:t xml:space="preserve"> (irrigation treatment simple main effect) and letters (e</w:t>
      </w:r>
      <w:r w:rsidR="00B323D9">
        <w:rPr>
          <w:rFonts w:ascii="Times New Roman" w:eastAsia="Times New Roman" w:hAnsi="Times New Roman" w:cs="Times New Roman"/>
          <w:color w:val="000000"/>
          <w:sz w:val="20"/>
          <w:szCs w:val="20"/>
          <w:lang w:eastAsia="en-US"/>
        </w:rPr>
        <w:t>.</w:t>
      </w:r>
      <w:r w:rsidRPr="00F07DEB">
        <w:rPr>
          <w:rFonts w:ascii="Times New Roman" w:eastAsia="Times New Roman" w:hAnsi="Times New Roman" w:cs="Times New Roman"/>
          <w:color w:val="000000"/>
          <w:sz w:val="20"/>
          <w:szCs w:val="20"/>
          <w:lang w:eastAsia="en-US"/>
        </w:rPr>
        <w:t xml:space="preserve">g., ab) next to mean concentrations. Structure concentrations from the same </w:t>
      </w:r>
      <w:r w:rsidR="00B643F2">
        <w:rPr>
          <w:rFonts w:ascii="Times New Roman" w:eastAsia="Times New Roman" w:hAnsi="Times New Roman" w:cs="Times New Roman"/>
          <w:color w:val="000000"/>
          <w:sz w:val="20"/>
          <w:szCs w:val="20"/>
          <w:lang w:eastAsia="en-US"/>
        </w:rPr>
        <w:t>species</w:t>
      </w:r>
      <w:r w:rsidR="00B643F2" w:rsidRPr="00F07DEB">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lang w:eastAsia="en-US"/>
        </w:rPr>
        <w:t>and irrigation treatment that share a letter were not significantly different (plant structure simple main effect, alpha = 0.05).</w:t>
      </w:r>
    </w:p>
    <w:p w14:paraId="4AA5F044" w14:textId="77777777" w:rsidR="00692A23" w:rsidRPr="00F07DEB" w:rsidRDefault="00692A23" w:rsidP="004617CB">
      <w:pPr>
        <w:spacing w:line="240" w:lineRule="auto"/>
        <w:rPr>
          <w:rFonts w:ascii="Times New Roman" w:hAnsi="Times New Roman" w:cs="Times New Roman"/>
        </w:rPr>
      </w:pPr>
    </w:p>
    <w:p w14:paraId="3D8D43DE" w14:textId="5FA21BE2" w:rsidR="005B4FE1" w:rsidRPr="00F07DEB" w:rsidRDefault="002E56C1" w:rsidP="005B4FE1">
      <w:pPr>
        <w:keepNext/>
        <w:spacing w:line="240" w:lineRule="auto"/>
        <w:jc w:val="center"/>
        <w:rPr>
          <w:rFonts w:ascii="Times New Roman" w:hAnsi="Times New Roman" w:cs="Times New Roman"/>
        </w:rPr>
      </w:pPr>
      <w:r w:rsidRPr="002E56C1">
        <w:rPr>
          <w:rFonts w:ascii="Times New Roman" w:hAnsi="Times New Roman" w:cs="Times New Roman"/>
          <w:noProof/>
          <w:lang w:eastAsia="en-US"/>
        </w:rPr>
        <w:lastRenderedPageBreak/>
        <w:drawing>
          <wp:inline distT="0" distB="0" distL="0" distR="0" wp14:anchorId="45C2536B" wp14:editId="4B0122BF">
            <wp:extent cx="5943600" cy="2971800"/>
            <wp:effectExtent l="0" t="0" r="0" b="0"/>
            <wp:docPr id="18" name="Picture 18" descr="C:\Users\harper3663\Documents\School\_CREW\Irrigation Project\R\Plots\Plant Metals\Corrected\Plant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harper3663\Documents\School\_CREW\Irrigation Project\R\Plots\Plant Metals\Corrected\PlantMg1.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5AFF4A93" w14:textId="720EB5F4" w:rsidR="00692A23" w:rsidRDefault="005B4FE1" w:rsidP="00204C13">
      <w:pPr>
        <w:pStyle w:val="Caption"/>
      </w:pPr>
      <w:bookmarkStart w:id="147" w:name="_Ref56256736"/>
      <w:bookmarkStart w:id="148" w:name="_Toc58975247"/>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37</w:t>
      </w:r>
      <w:r w:rsidR="00DE3B90" w:rsidRPr="00F07DEB">
        <w:rPr>
          <w:noProof/>
        </w:rPr>
        <w:fldChar w:fldCharType="end"/>
      </w:r>
      <w:bookmarkEnd w:id="147"/>
      <w:r w:rsidRPr="00F07DEB">
        <w:t>: Box plots of Mg concentrations in each plant and structure in mg/kg</w:t>
      </w:r>
      <w:bookmarkEnd w:id="148"/>
    </w:p>
    <w:p w14:paraId="38C38241" w14:textId="77777777" w:rsidR="00B3002C" w:rsidRPr="00B3002C" w:rsidRDefault="00B3002C" w:rsidP="00B3002C"/>
    <w:p w14:paraId="4D9DC88A" w14:textId="0885F9BD" w:rsidR="004E5FFD" w:rsidRPr="00F07DEB" w:rsidRDefault="00A378AA" w:rsidP="006F717C">
      <w:pPr>
        <w:spacing w:line="480" w:lineRule="auto"/>
        <w:rPr>
          <w:rFonts w:ascii="Times New Roman" w:hAnsi="Times New Roman" w:cs="Times New Roman"/>
          <w:noProof/>
          <w:sz w:val="24"/>
          <w:szCs w:val="24"/>
        </w:rPr>
      </w:pPr>
      <w:r w:rsidRPr="00F07DEB">
        <w:rPr>
          <w:rFonts w:ascii="Times New Roman" w:hAnsi="Times New Roman" w:cs="Times New Roman"/>
          <w:sz w:val="24"/>
          <w:szCs w:val="24"/>
        </w:rPr>
        <w:tab/>
      </w:r>
      <w:r w:rsidR="009678A2">
        <w:rPr>
          <w:rFonts w:ascii="Times New Roman" w:hAnsi="Times New Roman" w:cs="Times New Roman"/>
          <w:sz w:val="24"/>
          <w:szCs w:val="24"/>
        </w:rPr>
        <w:t>Na</w:t>
      </w:r>
      <w:r w:rsidRPr="00F07DEB">
        <w:rPr>
          <w:rFonts w:ascii="Times New Roman" w:hAnsi="Times New Roman" w:cs="Times New Roman"/>
          <w:sz w:val="24"/>
          <w:szCs w:val="24"/>
        </w:rPr>
        <w:t xml:space="preserve"> concentrations were elevated above either </w:t>
      </w:r>
      <w:r w:rsidR="009678A2">
        <w:rPr>
          <w:rFonts w:ascii="Times New Roman" w:hAnsi="Times New Roman" w:cs="Times New Roman"/>
          <w:sz w:val="24"/>
          <w:szCs w:val="24"/>
        </w:rPr>
        <w:t>Na</w:t>
      </w:r>
      <w:r w:rsidRPr="00F07DEB">
        <w:rPr>
          <w:rFonts w:ascii="Times New Roman" w:hAnsi="Times New Roman" w:cs="Times New Roman"/>
          <w:sz w:val="24"/>
          <w:szCs w:val="24"/>
        </w:rPr>
        <w:t xml:space="preserve"> toxicity- or soil </w:t>
      </w:r>
      <w:proofErr w:type="spellStart"/>
      <w:r w:rsidRPr="00F07DEB">
        <w:rPr>
          <w:rFonts w:ascii="Times New Roman" w:hAnsi="Times New Roman" w:cs="Times New Roman"/>
          <w:sz w:val="24"/>
          <w:szCs w:val="24"/>
        </w:rPr>
        <w:t>sodicity</w:t>
      </w:r>
      <w:proofErr w:type="spellEnd"/>
      <w:r w:rsidRPr="00F07DEB">
        <w:rPr>
          <w:rFonts w:ascii="Times New Roman" w:hAnsi="Times New Roman" w:cs="Times New Roman"/>
          <w:sz w:val="24"/>
          <w:szCs w:val="24"/>
        </w:rPr>
        <w:t>-derived irrigation criteria in both waters, and were significantly higher in mine water than in groundwater</w:t>
      </w:r>
      <w:r w:rsidR="00AD4274">
        <w:rPr>
          <w:rFonts w:ascii="Times New Roman" w:hAnsi="Times New Roman" w:cs="Times New Roman"/>
          <w:sz w:val="24"/>
          <w:szCs w:val="24"/>
        </w:rPr>
        <w:t xml:space="preserve"> (Welch’s t-test, </w:t>
      </w:r>
      <w:r w:rsidR="00AD4274" w:rsidRPr="00385CDA">
        <w:rPr>
          <w:rFonts w:ascii="Times New Roman" w:hAnsi="Times New Roman" w:cs="Times New Roman"/>
          <w:i/>
          <w:sz w:val="24"/>
          <w:szCs w:val="24"/>
        </w:rPr>
        <w:t>p</w:t>
      </w:r>
      <w:r w:rsidR="00AD4274">
        <w:rPr>
          <w:rFonts w:ascii="Times New Roman" w:hAnsi="Times New Roman" w:cs="Times New Roman"/>
          <w:sz w:val="24"/>
          <w:szCs w:val="24"/>
        </w:rPr>
        <w:t xml:space="preserve"> &lt; 0.001)</w:t>
      </w:r>
      <w:r w:rsidRPr="00F07DEB">
        <w:rPr>
          <w:rFonts w:ascii="Times New Roman" w:hAnsi="Times New Roman" w:cs="Times New Roman"/>
          <w:sz w:val="24"/>
          <w:szCs w:val="24"/>
        </w:rPr>
        <w:t>, but were effectively excluded from aboveground biomass in almost all corn and sorghum plants</w:t>
      </w:r>
      <w:r w:rsidR="004E5FFD" w:rsidRPr="00F07DEB">
        <w:rPr>
          <w:rFonts w:ascii="Times New Roman" w:hAnsi="Times New Roman" w:cs="Times New Roman"/>
          <w:sz w:val="24"/>
          <w:szCs w:val="24"/>
        </w:rPr>
        <w:t xml:space="preserve"> as seen in </w:t>
      </w:r>
      <w:r w:rsidR="004E5FFD" w:rsidRPr="008834FB">
        <w:rPr>
          <w:rFonts w:ascii="Times New Roman" w:hAnsi="Times New Roman" w:cs="Times New Roman"/>
          <w:sz w:val="24"/>
          <w:szCs w:val="24"/>
        </w:rPr>
        <w:fldChar w:fldCharType="begin"/>
      </w:r>
      <w:r w:rsidR="004E5FFD" w:rsidRPr="008834FB">
        <w:rPr>
          <w:rFonts w:ascii="Times New Roman" w:hAnsi="Times New Roman" w:cs="Times New Roman"/>
          <w:sz w:val="24"/>
          <w:szCs w:val="24"/>
        </w:rPr>
        <w:instrText xml:space="preserve"> REF _Ref56260121 \h  \* MERGEFORMAT </w:instrText>
      </w:r>
      <w:r w:rsidR="004E5FFD" w:rsidRPr="008834FB">
        <w:rPr>
          <w:rFonts w:ascii="Times New Roman" w:hAnsi="Times New Roman" w:cs="Times New Roman"/>
          <w:sz w:val="24"/>
          <w:szCs w:val="24"/>
        </w:rPr>
      </w:r>
      <w:r w:rsidR="004E5FFD" w:rsidRPr="008834FB">
        <w:rPr>
          <w:rFonts w:ascii="Times New Roman" w:hAnsi="Times New Roman" w:cs="Times New Roman"/>
          <w:sz w:val="24"/>
          <w:szCs w:val="24"/>
        </w:rPr>
        <w:fldChar w:fldCharType="separate"/>
      </w:r>
      <w:r w:rsidR="00E179CA" w:rsidRPr="008834FB">
        <w:rPr>
          <w:rFonts w:ascii="Times New Roman" w:hAnsi="Times New Roman" w:cs="Times New Roman"/>
          <w:sz w:val="24"/>
          <w:szCs w:val="24"/>
        </w:rPr>
        <w:t>Table</w:t>
      </w:r>
      <w:r w:rsidR="00E179CA" w:rsidRPr="008834FB">
        <w:rPr>
          <w:rFonts w:ascii="Times New Roman" w:hAnsi="Times New Roman" w:cs="Times New Roman"/>
          <w:noProof/>
          <w:sz w:val="24"/>
          <w:szCs w:val="24"/>
        </w:rPr>
        <w:t xml:space="preserve"> 22</w:t>
      </w:r>
      <w:r w:rsidR="004E5FFD" w:rsidRPr="008834FB">
        <w:rPr>
          <w:rFonts w:ascii="Times New Roman" w:hAnsi="Times New Roman" w:cs="Times New Roman"/>
          <w:sz w:val="24"/>
          <w:szCs w:val="24"/>
        </w:rPr>
        <w:fldChar w:fldCharType="end"/>
      </w:r>
      <w:r w:rsidR="004E5FFD" w:rsidRPr="008834FB">
        <w:rPr>
          <w:rFonts w:ascii="Times New Roman" w:hAnsi="Times New Roman" w:cs="Times New Roman"/>
          <w:sz w:val="24"/>
          <w:szCs w:val="24"/>
        </w:rPr>
        <w:t xml:space="preserve"> an</w:t>
      </w:r>
      <w:r w:rsidR="004E5FFD" w:rsidRPr="00375B31">
        <w:rPr>
          <w:rFonts w:ascii="Times New Roman" w:hAnsi="Times New Roman" w:cs="Times New Roman"/>
          <w:sz w:val="24"/>
          <w:szCs w:val="24"/>
        </w:rPr>
        <w:t>d</w:t>
      </w:r>
      <w:r w:rsidR="004E5FFD" w:rsidRPr="00F07DEB">
        <w:rPr>
          <w:rFonts w:ascii="Times New Roman" w:hAnsi="Times New Roman" w:cs="Times New Roman"/>
          <w:sz w:val="24"/>
          <w:szCs w:val="24"/>
        </w:rPr>
        <w:t xml:space="preserve"> </w:t>
      </w:r>
      <w:r w:rsidR="004E5FFD" w:rsidRPr="00F07DEB">
        <w:rPr>
          <w:rFonts w:ascii="Times New Roman" w:hAnsi="Times New Roman" w:cs="Times New Roman"/>
          <w:sz w:val="24"/>
          <w:szCs w:val="24"/>
        </w:rPr>
        <w:fldChar w:fldCharType="begin"/>
      </w:r>
      <w:r w:rsidR="004E5FFD" w:rsidRPr="00F07DEB">
        <w:rPr>
          <w:rFonts w:ascii="Times New Roman" w:hAnsi="Times New Roman" w:cs="Times New Roman"/>
          <w:sz w:val="24"/>
          <w:szCs w:val="24"/>
        </w:rPr>
        <w:instrText xml:space="preserve"> REF _Ref56260129 \h  \* MERGEFORMAT </w:instrText>
      </w:r>
      <w:r w:rsidR="004E5FFD" w:rsidRPr="00F07DEB">
        <w:rPr>
          <w:rFonts w:ascii="Times New Roman" w:hAnsi="Times New Roman" w:cs="Times New Roman"/>
          <w:sz w:val="24"/>
          <w:szCs w:val="24"/>
        </w:rPr>
      </w:r>
      <w:r w:rsidR="004E5FFD"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38</w:t>
      </w:r>
      <w:r w:rsidR="004E5FFD" w:rsidRPr="00F07DEB">
        <w:rPr>
          <w:rFonts w:ascii="Times New Roman" w:hAnsi="Times New Roman" w:cs="Times New Roman"/>
          <w:sz w:val="24"/>
          <w:szCs w:val="24"/>
        </w:rPr>
        <w:fldChar w:fldCharType="end"/>
      </w:r>
      <w:r w:rsidRPr="00F07DEB">
        <w:rPr>
          <w:rFonts w:ascii="Times New Roman" w:hAnsi="Times New Roman" w:cs="Times New Roman"/>
          <w:sz w:val="24"/>
          <w:szCs w:val="24"/>
        </w:rPr>
        <w:t>.</w:t>
      </w:r>
      <w:r w:rsidR="00B43A1D" w:rsidRPr="00F07DEB">
        <w:rPr>
          <w:rFonts w:ascii="Times New Roman" w:hAnsi="Times New Roman" w:cs="Times New Roman"/>
          <w:sz w:val="24"/>
          <w:szCs w:val="24"/>
        </w:rPr>
        <w:t xml:space="preserve"> As with </w:t>
      </w:r>
      <w:r w:rsidR="009678A2">
        <w:rPr>
          <w:rFonts w:ascii="Times New Roman" w:hAnsi="Times New Roman" w:cs="Times New Roman"/>
          <w:sz w:val="24"/>
          <w:szCs w:val="24"/>
        </w:rPr>
        <w:t>Ca</w:t>
      </w:r>
      <w:r w:rsidR="00B43A1D" w:rsidRPr="00F07DEB">
        <w:rPr>
          <w:rFonts w:ascii="Times New Roman" w:hAnsi="Times New Roman" w:cs="Times New Roman"/>
          <w:sz w:val="24"/>
          <w:szCs w:val="24"/>
        </w:rPr>
        <w:t xml:space="preserve"> and </w:t>
      </w:r>
      <w:r w:rsidR="009678A2">
        <w:rPr>
          <w:rFonts w:ascii="Times New Roman" w:hAnsi="Times New Roman" w:cs="Times New Roman"/>
          <w:sz w:val="24"/>
          <w:szCs w:val="24"/>
        </w:rPr>
        <w:t>Mg</w:t>
      </w:r>
      <w:r w:rsidR="00B43A1D" w:rsidRPr="00F07DEB">
        <w:rPr>
          <w:rFonts w:ascii="Times New Roman" w:hAnsi="Times New Roman" w:cs="Times New Roman"/>
          <w:sz w:val="24"/>
          <w:szCs w:val="24"/>
        </w:rPr>
        <w:t xml:space="preserve">, </w:t>
      </w:r>
      <w:r w:rsidR="009678A2">
        <w:rPr>
          <w:rFonts w:ascii="Times New Roman" w:hAnsi="Times New Roman" w:cs="Times New Roman"/>
          <w:sz w:val="24"/>
          <w:szCs w:val="24"/>
        </w:rPr>
        <w:t>Na</w:t>
      </w:r>
      <w:r w:rsidR="00B43A1D" w:rsidRPr="00F07DEB">
        <w:rPr>
          <w:rFonts w:ascii="Times New Roman" w:hAnsi="Times New Roman" w:cs="Times New Roman"/>
          <w:sz w:val="24"/>
          <w:szCs w:val="24"/>
        </w:rPr>
        <w:t xml:space="preserve"> concentrations in Bermuda grass shoots decreased from the first to second harvest</w:t>
      </w:r>
      <w:r w:rsidR="00AD4274">
        <w:rPr>
          <w:rFonts w:ascii="Times New Roman" w:hAnsi="Times New Roman" w:cs="Times New Roman"/>
          <w:sz w:val="24"/>
          <w:szCs w:val="24"/>
        </w:rPr>
        <w:t xml:space="preserve"> (Table 22)</w:t>
      </w:r>
      <w:r w:rsidR="00B43A1D" w:rsidRPr="00F07DEB">
        <w:rPr>
          <w:rFonts w:ascii="Times New Roman" w:hAnsi="Times New Roman" w:cs="Times New Roman"/>
          <w:sz w:val="24"/>
          <w:szCs w:val="24"/>
        </w:rPr>
        <w:t xml:space="preserve">, most likely due to the same discrepancies in rainfall and irrigation mass loadings identified during the discussion of </w:t>
      </w:r>
      <w:r w:rsidR="009678A2">
        <w:rPr>
          <w:rFonts w:ascii="Times New Roman" w:hAnsi="Times New Roman" w:cs="Times New Roman"/>
          <w:sz w:val="24"/>
          <w:szCs w:val="24"/>
        </w:rPr>
        <w:t>Mg</w:t>
      </w:r>
      <w:r w:rsidR="00B43A1D" w:rsidRPr="00F07DEB">
        <w:rPr>
          <w:rFonts w:ascii="Times New Roman" w:hAnsi="Times New Roman" w:cs="Times New Roman"/>
          <w:sz w:val="24"/>
          <w:szCs w:val="24"/>
        </w:rPr>
        <w:t xml:space="preserve"> uptake.  </w:t>
      </w:r>
      <w:r w:rsidRPr="00F07DEB">
        <w:rPr>
          <w:rFonts w:ascii="Times New Roman" w:hAnsi="Times New Roman" w:cs="Times New Roman"/>
          <w:sz w:val="24"/>
          <w:szCs w:val="24"/>
        </w:rPr>
        <w:t>Mine water irrigation did not increase Na concentrations in corn roots</w:t>
      </w:r>
      <w:r w:rsidR="00AD4274">
        <w:rPr>
          <w:rFonts w:ascii="Times New Roman" w:hAnsi="Times New Roman" w:cs="Times New Roman"/>
          <w:sz w:val="24"/>
          <w:szCs w:val="24"/>
        </w:rPr>
        <w:t xml:space="preserve"> (Table 22)</w:t>
      </w:r>
      <w:r w:rsidRPr="00F07DEB">
        <w:rPr>
          <w:rFonts w:ascii="Times New Roman" w:hAnsi="Times New Roman" w:cs="Times New Roman"/>
          <w:sz w:val="24"/>
          <w:szCs w:val="24"/>
        </w:rPr>
        <w:t xml:space="preserve">, but did result in significantly higher Na uptake in sorghum roots </w:t>
      </w:r>
      <w:r w:rsidR="00AD4274">
        <w:rPr>
          <w:rFonts w:ascii="Times New Roman" w:hAnsi="Times New Roman" w:cs="Times New Roman"/>
          <w:sz w:val="24"/>
          <w:szCs w:val="24"/>
        </w:rPr>
        <w:t xml:space="preserve">(Student’s t-test, </w:t>
      </w:r>
      <w:r w:rsidR="00AD4274" w:rsidRPr="00385CDA">
        <w:rPr>
          <w:rFonts w:ascii="Times New Roman" w:hAnsi="Times New Roman" w:cs="Times New Roman"/>
          <w:i/>
          <w:sz w:val="24"/>
          <w:szCs w:val="24"/>
        </w:rPr>
        <w:t>p</w:t>
      </w:r>
      <w:r w:rsidR="00AD4274">
        <w:rPr>
          <w:rFonts w:ascii="Times New Roman" w:hAnsi="Times New Roman" w:cs="Times New Roman"/>
          <w:sz w:val="24"/>
          <w:szCs w:val="24"/>
        </w:rPr>
        <w:t xml:space="preserve"> &lt; 0.001) </w:t>
      </w:r>
      <w:r w:rsidRPr="00F07DEB">
        <w:rPr>
          <w:rFonts w:ascii="Times New Roman" w:hAnsi="Times New Roman" w:cs="Times New Roman"/>
          <w:sz w:val="24"/>
          <w:szCs w:val="24"/>
        </w:rPr>
        <w:t>and Bermuda grass</w:t>
      </w:r>
      <w:r w:rsidR="00AD4274">
        <w:rPr>
          <w:rFonts w:ascii="Times New Roman" w:hAnsi="Times New Roman" w:cs="Times New Roman"/>
          <w:sz w:val="24"/>
          <w:szCs w:val="24"/>
        </w:rPr>
        <w:t xml:space="preserve"> (</w:t>
      </w:r>
      <w:r w:rsidR="00AD4274" w:rsidRPr="00EC0629">
        <w:rPr>
          <w:rFonts w:ascii="Times New Roman" w:hAnsi="Times New Roman" w:cs="Times New Roman"/>
          <w:i/>
          <w:sz w:val="24"/>
          <w:szCs w:val="24"/>
        </w:rPr>
        <w:t>F</w:t>
      </w:r>
      <w:r w:rsidR="00AD4274">
        <w:rPr>
          <w:rFonts w:ascii="Times New Roman" w:hAnsi="Times New Roman" w:cs="Times New Roman"/>
          <w:sz w:val="24"/>
          <w:szCs w:val="24"/>
        </w:rPr>
        <w:t xml:space="preserve">(1,10) = 62.78, </w:t>
      </w:r>
      <w:r w:rsidR="00AD4274" w:rsidRPr="00385CDA">
        <w:rPr>
          <w:rFonts w:ascii="Times New Roman" w:hAnsi="Times New Roman" w:cs="Times New Roman"/>
          <w:i/>
          <w:sz w:val="24"/>
          <w:szCs w:val="24"/>
        </w:rPr>
        <w:t>p</w:t>
      </w:r>
      <w:r w:rsidR="00AD4274">
        <w:rPr>
          <w:rFonts w:ascii="Times New Roman" w:hAnsi="Times New Roman" w:cs="Times New Roman"/>
          <w:sz w:val="24"/>
          <w:szCs w:val="24"/>
        </w:rPr>
        <w:t xml:space="preserve"> &lt; 0.001)</w:t>
      </w:r>
      <w:r w:rsidRPr="00F07DEB">
        <w:rPr>
          <w:rFonts w:ascii="Times New Roman" w:hAnsi="Times New Roman" w:cs="Times New Roman"/>
          <w:sz w:val="24"/>
          <w:szCs w:val="24"/>
        </w:rPr>
        <w:t xml:space="preserve">. </w:t>
      </w:r>
      <w:r w:rsidR="00B43A1D" w:rsidRPr="00F07DEB">
        <w:rPr>
          <w:rFonts w:ascii="Times New Roman" w:hAnsi="Times New Roman" w:cs="Times New Roman"/>
          <w:sz w:val="24"/>
          <w:szCs w:val="24"/>
        </w:rPr>
        <w:t>S</w:t>
      </w:r>
      <w:r w:rsidRPr="00F07DEB">
        <w:rPr>
          <w:rFonts w:ascii="Times New Roman" w:hAnsi="Times New Roman" w:cs="Times New Roman"/>
          <w:sz w:val="24"/>
          <w:szCs w:val="24"/>
        </w:rPr>
        <w:t xml:space="preserve">ignificantly greater Na concentrations in Bermuda grass shoots </w:t>
      </w:r>
      <w:r w:rsidR="007D5066" w:rsidRPr="00F07DEB">
        <w:rPr>
          <w:rFonts w:ascii="Times New Roman" w:hAnsi="Times New Roman" w:cs="Times New Roman"/>
          <w:sz w:val="24"/>
          <w:szCs w:val="24"/>
        </w:rPr>
        <w:t xml:space="preserve">compared to roots </w:t>
      </w:r>
      <w:r w:rsidR="00E97C14" w:rsidRPr="00F07DEB">
        <w:rPr>
          <w:rFonts w:ascii="Times New Roman" w:hAnsi="Times New Roman" w:cs="Times New Roman"/>
          <w:sz w:val="24"/>
          <w:szCs w:val="24"/>
        </w:rPr>
        <w:t>could reflect</w:t>
      </w:r>
      <w:r w:rsidRPr="00F07DEB">
        <w:rPr>
          <w:rFonts w:ascii="Times New Roman" w:hAnsi="Times New Roman" w:cs="Times New Roman"/>
          <w:sz w:val="24"/>
          <w:szCs w:val="24"/>
        </w:rPr>
        <w:t xml:space="preserve"> the irrigation method; Bermuda grass was watered from above, which initiated foliar contact with high concentrations of </w:t>
      </w:r>
      <w:r w:rsidR="009678A2">
        <w:rPr>
          <w:rFonts w:ascii="Times New Roman" w:hAnsi="Times New Roman" w:cs="Times New Roman"/>
          <w:sz w:val="24"/>
          <w:szCs w:val="24"/>
        </w:rPr>
        <w:t>Na</w:t>
      </w:r>
      <w:r w:rsidRPr="00F07DEB">
        <w:rPr>
          <w:rFonts w:ascii="Times New Roman" w:hAnsi="Times New Roman" w:cs="Times New Roman"/>
          <w:sz w:val="24"/>
          <w:szCs w:val="24"/>
        </w:rPr>
        <w:t xml:space="preserve"> avoided during drip i</w:t>
      </w:r>
      <w:r w:rsidR="00E97C14" w:rsidRPr="00F07DEB">
        <w:rPr>
          <w:rFonts w:ascii="Times New Roman" w:hAnsi="Times New Roman" w:cs="Times New Roman"/>
          <w:sz w:val="24"/>
          <w:szCs w:val="24"/>
        </w:rPr>
        <w:t xml:space="preserve">rrigation of corn and sorghum. However, another explanation for Bermuda grass </w:t>
      </w:r>
      <w:r w:rsidR="009678A2">
        <w:rPr>
          <w:rFonts w:ascii="Times New Roman" w:hAnsi="Times New Roman" w:cs="Times New Roman"/>
          <w:sz w:val="24"/>
          <w:szCs w:val="24"/>
        </w:rPr>
        <w:t>Na</w:t>
      </w:r>
      <w:r w:rsidR="00E97C14" w:rsidRPr="00F07DEB">
        <w:rPr>
          <w:rFonts w:ascii="Times New Roman" w:hAnsi="Times New Roman" w:cs="Times New Roman"/>
          <w:sz w:val="24"/>
          <w:szCs w:val="24"/>
        </w:rPr>
        <w:t xml:space="preserve"> uptake that could be more consequential examines the </w:t>
      </w:r>
      <w:r w:rsidR="009678A2">
        <w:rPr>
          <w:rFonts w:ascii="Times New Roman" w:hAnsi="Times New Roman" w:cs="Times New Roman"/>
          <w:sz w:val="24"/>
          <w:szCs w:val="24"/>
        </w:rPr>
        <w:t>Na</w:t>
      </w:r>
      <w:r w:rsidR="00E97C14" w:rsidRPr="00F07DEB">
        <w:rPr>
          <w:rFonts w:ascii="Times New Roman" w:hAnsi="Times New Roman" w:cs="Times New Roman"/>
          <w:sz w:val="24"/>
          <w:szCs w:val="24"/>
        </w:rPr>
        <w:t xml:space="preserve"> </w:t>
      </w:r>
      <w:r w:rsidR="0054460C" w:rsidRPr="00F07DEB">
        <w:rPr>
          <w:rFonts w:ascii="Times New Roman" w:hAnsi="Times New Roman" w:cs="Times New Roman"/>
          <w:sz w:val="24"/>
          <w:szCs w:val="24"/>
        </w:rPr>
        <w:lastRenderedPageBreak/>
        <w:t>tolerances</w:t>
      </w:r>
      <w:r w:rsidR="00E97C14" w:rsidRPr="00F07DEB">
        <w:rPr>
          <w:rFonts w:ascii="Times New Roman" w:hAnsi="Times New Roman" w:cs="Times New Roman"/>
          <w:sz w:val="24"/>
          <w:szCs w:val="24"/>
        </w:rPr>
        <w:t xml:space="preserve"> of C4 plants. </w:t>
      </w:r>
      <w:r w:rsidR="009678A2">
        <w:rPr>
          <w:rFonts w:ascii="Times New Roman" w:hAnsi="Times New Roman" w:cs="Times New Roman"/>
          <w:sz w:val="24"/>
          <w:szCs w:val="24"/>
        </w:rPr>
        <w:t>Na</w:t>
      </w:r>
      <w:r w:rsidRPr="00F07DEB">
        <w:rPr>
          <w:rFonts w:ascii="Times New Roman" w:hAnsi="Times New Roman" w:cs="Times New Roman"/>
          <w:sz w:val="24"/>
          <w:szCs w:val="24"/>
        </w:rPr>
        <w:t xml:space="preserve"> </w:t>
      </w:r>
      <w:r w:rsidR="0054460C" w:rsidRPr="00F07DEB">
        <w:rPr>
          <w:rFonts w:ascii="Times New Roman" w:hAnsi="Times New Roman" w:cs="Times New Roman"/>
          <w:sz w:val="24"/>
          <w:szCs w:val="24"/>
        </w:rPr>
        <w:t>is an essential element for a select number of warm-season C4 grasses for which deficiencies</w:t>
      </w:r>
      <w:r w:rsidRPr="00F07DEB">
        <w:rPr>
          <w:rFonts w:ascii="Times New Roman" w:hAnsi="Times New Roman" w:cs="Times New Roman"/>
          <w:sz w:val="24"/>
          <w:szCs w:val="24"/>
        </w:rPr>
        <w:t xml:space="preserve"> can disrupt </w:t>
      </w:r>
      <w:r w:rsidR="00234033">
        <w:rPr>
          <w:rFonts w:ascii="Times New Roman" w:hAnsi="Times New Roman" w:cs="Times New Roman"/>
          <w:sz w:val="24"/>
          <w:szCs w:val="24"/>
        </w:rPr>
        <w:t>conversion of pyruvate and accumulation of CO</w:t>
      </w:r>
      <w:r w:rsidR="00234033" w:rsidRPr="00204C13">
        <w:rPr>
          <w:rFonts w:ascii="Times New Roman" w:hAnsi="Times New Roman" w:cs="Times New Roman"/>
          <w:sz w:val="24"/>
          <w:szCs w:val="24"/>
          <w:vertAlign w:val="subscript"/>
        </w:rPr>
        <w:t>2</w:t>
      </w:r>
      <w:r w:rsidR="00234033">
        <w:rPr>
          <w:rFonts w:ascii="Times New Roman" w:hAnsi="Times New Roman" w:cs="Times New Roman"/>
          <w:sz w:val="24"/>
          <w:szCs w:val="24"/>
        </w:rPr>
        <w:t xml:space="preserve"> in leaves during C4 photosynthesis</w:t>
      </w:r>
      <w:r w:rsidRPr="00F07DEB">
        <w:rPr>
          <w:rFonts w:ascii="Times New Roman" w:hAnsi="Times New Roman" w:cs="Times New Roman"/>
          <w:sz w:val="24"/>
          <w:szCs w:val="24"/>
        </w:rPr>
        <w:t>, but corn and sorghum</w:t>
      </w:r>
      <w:r w:rsidR="00E97C14" w:rsidRPr="00F07DEB">
        <w:rPr>
          <w:rFonts w:ascii="Times New Roman" w:hAnsi="Times New Roman" w:cs="Times New Roman"/>
          <w:sz w:val="24"/>
          <w:szCs w:val="24"/>
        </w:rPr>
        <w:t xml:space="preserve"> – </w:t>
      </w:r>
      <w:r w:rsidR="0054460C" w:rsidRPr="00F07DEB">
        <w:rPr>
          <w:rFonts w:ascii="Times New Roman" w:hAnsi="Times New Roman" w:cs="Times New Roman"/>
          <w:sz w:val="24"/>
          <w:szCs w:val="24"/>
        </w:rPr>
        <w:t xml:space="preserve">intolerant </w:t>
      </w:r>
      <w:r w:rsidR="009678A2">
        <w:rPr>
          <w:rFonts w:ascii="Times New Roman" w:hAnsi="Times New Roman" w:cs="Times New Roman"/>
          <w:sz w:val="24"/>
          <w:szCs w:val="24"/>
        </w:rPr>
        <w:t>Na</w:t>
      </w:r>
      <w:r w:rsidR="00E97C14" w:rsidRPr="00F07DEB">
        <w:rPr>
          <w:rFonts w:ascii="Times New Roman" w:hAnsi="Times New Roman" w:cs="Times New Roman"/>
          <w:sz w:val="24"/>
          <w:szCs w:val="24"/>
        </w:rPr>
        <w:t xml:space="preserve"> excluders – ar</w:t>
      </w:r>
      <w:r w:rsidRPr="00F07DEB">
        <w:rPr>
          <w:rFonts w:ascii="Times New Roman" w:hAnsi="Times New Roman" w:cs="Times New Roman"/>
          <w:sz w:val="24"/>
          <w:szCs w:val="24"/>
        </w:rPr>
        <w:t xml:space="preserve">e specifically </w:t>
      </w:r>
      <w:r w:rsidR="0054460C" w:rsidRPr="00F07DEB">
        <w:rPr>
          <w:rFonts w:ascii="Times New Roman" w:hAnsi="Times New Roman" w:cs="Times New Roman"/>
          <w:sz w:val="24"/>
          <w:szCs w:val="24"/>
        </w:rPr>
        <w:t>omitted</w:t>
      </w:r>
      <w:r w:rsidRPr="00F07DEB">
        <w:rPr>
          <w:rFonts w:ascii="Times New Roman" w:hAnsi="Times New Roman" w:cs="Times New Roman"/>
          <w:sz w:val="24"/>
          <w:szCs w:val="24"/>
        </w:rPr>
        <w:t xml:space="preserve"> from this characterization </w:t>
      </w:r>
      <w:r w:rsidR="0054460C" w:rsidRPr="00F07DEB">
        <w:rPr>
          <w:rFonts w:ascii="Times New Roman" w:hAnsi="Times New Roman" w:cs="Times New Roman"/>
          <w:sz w:val="24"/>
          <w:szCs w:val="24"/>
        </w:rPr>
        <w:t xml:space="preserve">alongside most other plants, C4 or otherwise </w:t>
      </w:r>
      <w:r w:rsidR="00C2564D">
        <w:rPr>
          <w:rFonts w:ascii="Times New Roman" w:hAnsi="Times New Roman" w:cs="Times New Roman"/>
          <w:sz w:val="24"/>
          <w:szCs w:val="24"/>
        </w:rPr>
        <w:fldChar w:fldCharType="begin"/>
      </w:r>
      <w:r w:rsidR="00C2564D">
        <w:rPr>
          <w:rFonts w:ascii="Times New Roman" w:hAnsi="Times New Roman" w:cs="Times New Roman"/>
          <w:sz w:val="24"/>
          <w:szCs w:val="24"/>
        </w:rPr>
        <w:instrText xml:space="preserve"> ADDIN ZOTERO_ITEM CSL_CITATION {"citationID":"anemrmounj","properties":{"formattedCitation":"(Broadley, Brown, Cakmak, Ma, et al., 2012)","plainCitation":"(Broadley, Brown, Cakmak, Ma, et al., 2012)","noteIndex":0},"citationItems":[{"id":860,"uris":["http://zotero.org/users/5446453/items/IKXT4BH7"],"uri":["http://zotero.org/users/5446453/items/IKXT4BH7"],"itemData":{"id":860,"type":"chapter","abstract":"This chapter focuses on the role played by beneficial elements such as sodium (Na), silicon (Si), cobalt (Co), selenium (Se), and aluminum (Al). Sodium can stimulate growth of plants, particularly some C4 plants by aiding the movement of substrates between the mesophyll and the bundle sheath. It can also replace K to some extent in its role as osmoticum, and the application of Na fertilizers to sugar beet results in an increase in the leaf area index early in the growing season, thus increasing light interception and improving water use efficiency of leaves under conditions of moderate drought stress. Silicon plays an important role in cell wall stability by bridging between polyuronides and stimulating lignin synthesis. It can improve plant and leaf erectness, water use, and protect plants from pests and diseases. Silicon is also effective in alleviating toxicity of other metals such as Fe, Al, Cd, and Zn, which can be attributed to the interaction between Si and metals in the apoplasm or symplasm. Cobalt is essential for N2 fixing plants because it is part of the coenzyme cobalamin (vitamin B12), which is important in nodule metabolism. The chemistry of Se is similar to that of S and can replace S, to some extent, in proteins, particularly in Se hyperaccumulating plants. Selenium is essential for animals; therefore Se fertilization may be beneficial for human and animal health in areas with Se-deficient soils. Aluminum is beneficial to some plants, such as tea, and may alleviate proton toxicity and increase the activity of antioxidant enzymes.","container-title":"Marschner's Mineral Nutrition of Higher Plants (Third Edition)","event-place":"San Diego","ISBN":"978-0-12-384905-2","language":"en","note":"DOI: 10.1016/B978-0-12-384905-2.00008-X","page":"249-269","publisher":"Academic Press","publisher-place":"San Diego","source":"ScienceDirect","title":"Chapter 8 - Beneficial Elements","URL":"http://www.sciencedirect.com/science/article/pii/B978012384905200008X","author":[{"family":"Broadley","given":"Martin"},{"family":"Brown","given":"Patrick"},{"family":"Cakmak","given":"Ismail"},{"family":"Ma","given":"Jian Feng"},{"family":"Rengel","given":"Zed"},{"family":"Zhao","given":"Fangjie"}],"editor":[{"family":"Marschner","given":"Petra"}],"accessed":{"date-parts":[["2020",11,13]]},"issued":{"date-parts":[["2012"]]}}}],"schema":"https://github.com/citation-style-language/schema/raw/master/csl-citation.json"} </w:instrText>
      </w:r>
      <w:r w:rsidR="00C2564D">
        <w:rPr>
          <w:rFonts w:ascii="Times New Roman" w:hAnsi="Times New Roman" w:cs="Times New Roman"/>
          <w:sz w:val="24"/>
          <w:szCs w:val="24"/>
        </w:rPr>
        <w:fldChar w:fldCharType="separate"/>
      </w:r>
      <w:r w:rsidR="00375B31">
        <w:rPr>
          <w:rFonts w:ascii="Times New Roman" w:hAnsi="Times New Roman" w:cs="Times New Roman"/>
          <w:sz w:val="24"/>
        </w:rPr>
        <w:t>(Broadley</w:t>
      </w:r>
      <w:r w:rsidR="00234033" w:rsidRPr="00234033">
        <w:rPr>
          <w:rFonts w:ascii="Times New Roman" w:hAnsi="Times New Roman" w:cs="Times New Roman"/>
          <w:sz w:val="24"/>
        </w:rPr>
        <w:t xml:space="preserve"> et al., 2012</w:t>
      </w:r>
      <w:r w:rsidR="00375B31">
        <w:rPr>
          <w:rFonts w:ascii="Times New Roman" w:hAnsi="Times New Roman" w:cs="Times New Roman"/>
          <w:sz w:val="24"/>
        </w:rPr>
        <w:t>a</w:t>
      </w:r>
      <w:r w:rsidR="00234033" w:rsidRPr="00234033">
        <w:rPr>
          <w:rFonts w:ascii="Times New Roman" w:hAnsi="Times New Roman" w:cs="Times New Roman"/>
          <w:sz w:val="24"/>
        </w:rPr>
        <w:t>)</w:t>
      </w:r>
      <w:r w:rsidR="00C2564D">
        <w:rPr>
          <w:rFonts w:ascii="Times New Roman" w:hAnsi="Times New Roman" w:cs="Times New Roman"/>
          <w:sz w:val="24"/>
          <w:szCs w:val="24"/>
        </w:rPr>
        <w:fldChar w:fldCharType="end"/>
      </w:r>
      <w:r w:rsidR="00C2564D">
        <w:rPr>
          <w:rFonts w:ascii="Times New Roman" w:hAnsi="Times New Roman" w:cs="Times New Roman"/>
          <w:sz w:val="24"/>
          <w:szCs w:val="24"/>
        </w:rPr>
        <w:t>.</w:t>
      </w:r>
      <w:r w:rsidR="00C2564D" w:rsidDel="00C2564D">
        <w:rPr>
          <w:rFonts w:ascii="Times New Roman" w:hAnsi="Times New Roman" w:cs="Times New Roman"/>
          <w:sz w:val="24"/>
          <w:szCs w:val="24"/>
        </w:rPr>
        <w:t xml:space="preserve"> </w:t>
      </w:r>
      <w:r w:rsidR="00E97C14" w:rsidRPr="00F07DEB">
        <w:rPr>
          <w:rFonts w:ascii="Times New Roman" w:hAnsi="Times New Roman" w:cs="Times New Roman"/>
          <w:sz w:val="24"/>
          <w:szCs w:val="24"/>
        </w:rPr>
        <w:t xml:space="preserve">Bermuda grass, on the other hand, is more tolerant to </w:t>
      </w:r>
      <w:r w:rsidR="009678A2">
        <w:rPr>
          <w:rFonts w:ascii="Times New Roman" w:hAnsi="Times New Roman" w:cs="Times New Roman"/>
          <w:sz w:val="24"/>
          <w:szCs w:val="24"/>
        </w:rPr>
        <w:t>Na</w:t>
      </w:r>
      <w:r w:rsidR="00E97C14" w:rsidRPr="00F07DEB">
        <w:rPr>
          <w:rFonts w:ascii="Times New Roman" w:hAnsi="Times New Roman" w:cs="Times New Roman"/>
          <w:sz w:val="24"/>
          <w:szCs w:val="24"/>
        </w:rPr>
        <w:t xml:space="preserve"> and actively </w:t>
      </w:r>
      <w:proofErr w:type="spellStart"/>
      <w:r w:rsidR="00E97C14" w:rsidRPr="00F07DEB">
        <w:rPr>
          <w:rFonts w:ascii="Times New Roman" w:hAnsi="Times New Roman" w:cs="Times New Roman"/>
          <w:sz w:val="24"/>
          <w:szCs w:val="24"/>
        </w:rPr>
        <w:t>translocates</w:t>
      </w:r>
      <w:proofErr w:type="spellEnd"/>
      <w:r w:rsidR="00E97C14" w:rsidRPr="00F07DEB">
        <w:rPr>
          <w:rFonts w:ascii="Times New Roman" w:hAnsi="Times New Roman" w:cs="Times New Roman"/>
          <w:sz w:val="24"/>
          <w:szCs w:val="24"/>
        </w:rPr>
        <w:t xml:space="preserve"> </w:t>
      </w:r>
      <w:r w:rsidR="009678A2">
        <w:rPr>
          <w:rFonts w:ascii="Times New Roman" w:hAnsi="Times New Roman" w:cs="Times New Roman"/>
          <w:sz w:val="24"/>
          <w:szCs w:val="24"/>
        </w:rPr>
        <w:t>Na</w:t>
      </w:r>
      <w:r w:rsidR="00E97C14" w:rsidRPr="00F07DEB">
        <w:rPr>
          <w:rFonts w:ascii="Times New Roman" w:hAnsi="Times New Roman" w:cs="Times New Roman"/>
          <w:sz w:val="24"/>
          <w:szCs w:val="24"/>
        </w:rPr>
        <w:t xml:space="preserve"> from roots to shoots, where</w:t>
      </w:r>
      <w:r w:rsidR="00E331AA" w:rsidRPr="00F07DEB">
        <w:rPr>
          <w:rFonts w:ascii="Times New Roman" w:hAnsi="Times New Roman" w:cs="Times New Roman"/>
          <w:sz w:val="24"/>
          <w:szCs w:val="24"/>
        </w:rPr>
        <w:t>in</w:t>
      </w:r>
      <w:r w:rsidR="00E97C14" w:rsidRPr="00F07DEB">
        <w:rPr>
          <w:rFonts w:ascii="Times New Roman" w:hAnsi="Times New Roman" w:cs="Times New Roman"/>
          <w:sz w:val="24"/>
          <w:szCs w:val="24"/>
        </w:rPr>
        <w:t xml:space="preserve"> </w:t>
      </w:r>
      <w:r w:rsidR="009678A2">
        <w:rPr>
          <w:rFonts w:ascii="Times New Roman" w:hAnsi="Times New Roman" w:cs="Times New Roman"/>
          <w:sz w:val="24"/>
          <w:szCs w:val="24"/>
        </w:rPr>
        <w:t>Na</w:t>
      </w:r>
      <w:r w:rsidR="00E97C14" w:rsidRPr="00F07DEB">
        <w:rPr>
          <w:rFonts w:ascii="Times New Roman" w:hAnsi="Times New Roman" w:cs="Times New Roman"/>
          <w:sz w:val="24"/>
          <w:szCs w:val="24"/>
        </w:rPr>
        <w:t xml:space="preserve"> can optimize grass growth by compensating for </w:t>
      </w:r>
      <w:r w:rsidR="009678A2">
        <w:rPr>
          <w:rFonts w:ascii="Times New Roman" w:hAnsi="Times New Roman" w:cs="Times New Roman"/>
          <w:sz w:val="24"/>
          <w:szCs w:val="24"/>
        </w:rPr>
        <w:t>K</w:t>
      </w:r>
      <w:r w:rsidR="00E97C14" w:rsidRPr="00F07DEB">
        <w:rPr>
          <w:rFonts w:ascii="Times New Roman" w:hAnsi="Times New Roman" w:cs="Times New Roman"/>
          <w:sz w:val="24"/>
          <w:szCs w:val="24"/>
        </w:rPr>
        <w:t xml:space="preserve"> deficiencies, increasing cellular expansion and turgor, and better regulating water conservation during drought-induced stress </w:t>
      </w:r>
      <w:r w:rsidR="00C2564D">
        <w:rPr>
          <w:rFonts w:ascii="Times New Roman" w:hAnsi="Times New Roman" w:cs="Times New Roman"/>
          <w:sz w:val="24"/>
          <w:szCs w:val="24"/>
        </w:rPr>
        <w:fldChar w:fldCharType="begin"/>
      </w:r>
      <w:r w:rsidR="00C2564D">
        <w:rPr>
          <w:rFonts w:ascii="Times New Roman" w:hAnsi="Times New Roman" w:cs="Times New Roman"/>
          <w:sz w:val="24"/>
          <w:szCs w:val="24"/>
        </w:rPr>
        <w:instrText xml:space="preserve"> ADDIN ZOTERO_ITEM CSL_CITATION {"citationID":"a1sab1rlrm5","properties":{"formattedCitation":"(Broadley, Brown, Cakmak, Ma, et al., 2012)","plainCitation":"(Broadley, Brown, Cakmak, Ma, et al., 2012)","noteIndex":0},"citationItems":[{"id":860,"uris":["http://zotero.org/users/5446453/items/IKXT4BH7"],"uri":["http://zotero.org/users/5446453/items/IKXT4BH7"],"itemData":{"id":860,"type":"chapter","abstract":"This chapter focuses on the role played by beneficial elements such as sodium (Na), silicon (Si), cobalt (Co), selenium (Se), and aluminum (Al). Sodium can stimulate growth of plants, particularly some C4 plants by aiding the movement of substrates between the mesophyll and the bundle sheath. It can also replace K to some extent in its role as osmoticum, and the application of Na fertilizers to sugar beet results in an increase in the leaf area index early in the growing season, thus increasing light interception and improving water use efficiency of leaves under conditions of moderate drought stress. Silicon plays an important role in cell wall stability by bridging between polyuronides and stimulating lignin synthesis. It can improve plant and leaf erectness, water use, and protect plants from pests and diseases. Silicon is also effective in alleviating toxicity of other metals such as Fe, Al, Cd, and Zn, which can be attributed to the interaction between Si and metals in the apoplasm or symplasm. Cobalt is essential for N2 fixing plants because it is part of the coenzyme cobalamin (vitamin B12), which is important in nodule metabolism. The chemistry of Se is similar to that of S and can replace S, to some extent, in proteins, particularly in Se hyperaccumulating plants. Selenium is essential for animals; therefore Se fertilization may be beneficial for human and animal health in areas with Se-deficient soils. Aluminum is beneficial to some plants, such as tea, and may alleviate proton toxicity and increase the activity of antioxidant enzymes.","container-title":"Marschner's Mineral Nutrition of Higher Plants (Third Edition)","event-place":"San Diego","ISBN":"978-0-12-384905-2","language":"en","note":"DOI: 10.1016/B978-0-12-384905-2.00008-X","page":"249-269","publisher":"Academic Press","publisher-place":"San Diego","source":"ScienceDirect","title":"Chapter 8 - Beneficial Elements","URL":"http://www.sciencedirect.com/science/article/pii/B978012384905200008X","author":[{"family":"Broadley","given":"Martin"},{"family":"Brown","given":"Patrick"},{"family":"Cakmak","given":"Ismail"},{"family":"Ma","given":"Jian Feng"},{"family":"Rengel","given":"Zed"},{"family":"Zhao","given":"Fangjie"}],"editor":[{"family":"Marschner","given":"Petra"}],"accessed":{"date-parts":[["2020",11,13]]},"issued":{"date-parts":[["2012"]]}}}],"schema":"https://github.com/citation-style-language/schema/raw/master/csl-citation.json"} </w:instrText>
      </w:r>
      <w:r w:rsidR="00C2564D">
        <w:rPr>
          <w:rFonts w:ascii="Times New Roman" w:hAnsi="Times New Roman" w:cs="Times New Roman"/>
          <w:sz w:val="24"/>
          <w:szCs w:val="24"/>
        </w:rPr>
        <w:fldChar w:fldCharType="separate"/>
      </w:r>
      <w:r w:rsidR="00234033" w:rsidRPr="00234033">
        <w:rPr>
          <w:rFonts w:ascii="Times New Roman" w:hAnsi="Times New Roman" w:cs="Times New Roman"/>
          <w:sz w:val="24"/>
        </w:rPr>
        <w:t>(Broadley, et al., 2012</w:t>
      </w:r>
      <w:r w:rsidR="00375B31">
        <w:rPr>
          <w:rFonts w:ascii="Times New Roman" w:hAnsi="Times New Roman" w:cs="Times New Roman"/>
          <w:sz w:val="24"/>
        </w:rPr>
        <w:t>a</w:t>
      </w:r>
      <w:r w:rsidR="00234033" w:rsidRPr="00234033">
        <w:rPr>
          <w:rFonts w:ascii="Times New Roman" w:hAnsi="Times New Roman" w:cs="Times New Roman"/>
          <w:sz w:val="24"/>
        </w:rPr>
        <w:t>)</w:t>
      </w:r>
      <w:r w:rsidR="00C2564D">
        <w:rPr>
          <w:rFonts w:ascii="Times New Roman" w:hAnsi="Times New Roman" w:cs="Times New Roman"/>
          <w:sz w:val="24"/>
          <w:szCs w:val="24"/>
        </w:rPr>
        <w:fldChar w:fldCharType="end"/>
      </w:r>
      <w:r w:rsidR="00C2564D">
        <w:rPr>
          <w:rFonts w:ascii="Times New Roman" w:hAnsi="Times New Roman" w:cs="Times New Roman"/>
          <w:sz w:val="24"/>
          <w:szCs w:val="24"/>
        </w:rPr>
        <w:t xml:space="preserve">. </w:t>
      </w:r>
      <w:r w:rsidR="00162496" w:rsidRPr="00F07DEB">
        <w:rPr>
          <w:rFonts w:ascii="Times New Roman" w:hAnsi="Times New Roman" w:cs="Times New Roman"/>
          <w:sz w:val="24"/>
          <w:szCs w:val="24"/>
        </w:rPr>
        <w:t>Th</w:t>
      </w:r>
      <w:r w:rsidR="00162496">
        <w:rPr>
          <w:rFonts w:ascii="Times New Roman" w:hAnsi="Times New Roman" w:cs="Times New Roman"/>
          <w:sz w:val="24"/>
          <w:szCs w:val="24"/>
        </w:rPr>
        <w:t xml:space="preserve">ese </w:t>
      </w:r>
      <w:r w:rsidR="00162496" w:rsidRPr="00F07DEB">
        <w:rPr>
          <w:rFonts w:ascii="Times New Roman" w:hAnsi="Times New Roman" w:cs="Times New Roman"/>
          <w:sz w:val="24"/>
          <w:szCs w:val="24"/>
        </w:rPr>
        <w:t>phenomena</w:t>
      </w:r>
      <w:r w:rsidR="0054460C" w:rsidRPr="00F07DEB">
        <w:rPr>
          <w:rFonts w:ascii="Times New Roman" w:hAnsi="Times New Roman" w:cs="Times New Roman"/>
          <w:sz w:val="24"/>
          <w:szCs w:val="24"/>
        </w:rPr>
        <w:t xml:space="preserve"> likely contributed to higher mean biomass production of mine water-irrigated Bermuda grass, although the increase was not statistically significant (Student’s t-test</w:t>
      </w:r>
      <w:r w:rsidR="00AD4274">
        <w:rPr>
          <w:rFonts w:ascii="Times New Roman" w:hAnsi="Times New Roman" w:cs="Times New Roman"/>
          <w:sz w:val="24"/>
          <w:szCs w:val="24"/>
        </w:rPr>
        <w:t>,</w:t>
      </w:r>
      <w:r w:rsidR="00AD4274" w:rsidRPr="00AD4274">
        <w:rPr>
          <w:rFonts w:ascii="Times New Roman" w:hAnsi="Times New Roman" w:cs="Times New Roman"/>
          <w:sz w:val="24"/>
          <w:szCs w:val="24"/>
        </w:rPr>
        <w:t xml:space="preserve"> </w:t>
      </w:r>
      <w:r w:rsidR="00AD4274" w:rsidRPr="00385CDA">
        <w:rPr>
          <w:rFonts w:ascii="Times New Roman" w:hAnsi="Times New Roman" w:cs="Times New Roman"/>
          <w:i/>
          <w:sz w:val="24"/>
          <w:szCs w:val="24"/>
        </w:rPr>
        <w:t>p</w:t>
      </w:r>
      <w:r w:rsidR="00AD4274">
        <w:rPr>
          <w:rFonts w:ascii="Times New Roman" w:hAnsi="Times New Roman" w:cs="Times New Roman"/>
          <w:sz w:val="24"/>
          <w:szCs w:val="24"/>
        </w:rPr>
        <w:t xml:space="preserve"> = 0.063</w:t>
      </w:r>
      <w:r w:rsidR="0054460C" w:rsidRPr="00F07DEB">
        <w:rPr>
          <w:rFonts w:ascii="Times New Roman" w:hAnsi="Times New Roman" w:cs="Times New Roman"/>
          <w:sz w:val="24"/>
          <w:szCs w:val="24"/>
        </w:rPr>
        <w:t xml:space="preserve">). Additionally, </w:t>
      </w:r>
      <w:r w:rsidR="009678A2">
        <w:rPr>
          <w:rFonts w:ascii="Times New Roman" w:hAnsi="Times New Roman" w:cs="Times New Roman"/>
          <w:sz w:val="24"/>
          <w:szCs w:val="24"/>
        </w:rPr>
        <w:t>Na</w:t>
      </w:r>
      <w:r w:rsidR="0054460C" w:rsidRPr="00F07DEB">
        <w:rPr>
          <w:rFonts w:ascii="Times New Roman" w:hAnsi="Times New Roman" w:cs="Times New Roman"/>
          <w:sz w:val="24"/>
          <w:szCs w:val="24"/>
        </w:rPr>
        <w:t xml:space="preserve"> translocation in Bermuda grass can benefit more than just plant health; e</w:t>
      </w:r>
      <w:r w:rsidR="00E97C14" w:rsidRPr="00F07DEB">
        <w:rPr>
          <w:rFonts w:ascii="Times New Roman" w:hAnsi="Times New Roman" w:cs="Times New Roman"/>
          <w:sz w:val="24"/>
          <w:szCs w:val="24"/>
        </w:rPr>
        <w:t xml:space="preserve">levated </w:t>
      </w:r>
      <w:r w:rsidR="009678A2">
        <w:rPr>
          <w:rFonts w:ascii="Times New Roman" w:hAnsi="Times New Roman" w:cs="Times New Roman"/>
          <w:sz w:val="24"/>
          <w:szCs w:val="24"/>
        </w:rPr>
        <w:t>Na</w:t>
      </w:r>
      <w:r w:rsidR="00E97C14" w:rsidRPr="00F07DEB">
        <w:rPr>
          <w:rFonts w:ascii="Times New Roman" w:hAnsi="Times New Roman" w:cs="Times New Roman"/>
          <w:sz w:val="24"/>
          <w:szCs w:val="24"/>
        </w:rPr>
        <w:t xml:space="preserve"> concentrations in pasture grasses can actually be desirable for livestock, which sometimes exhibit </w:t>
      </w:r>
      <w:r w:rsidR="009678A2">
        <w:rPr>
          <w:rFonts w:ascii="Times New Roman" w:hAnsi="Times New Roman" w:cs="Times New Roman"/>
          <w:sz w:val="24"/>
          <w:szCs w:val="24"/>
        </w:rPr>
        <w:t>Na</w:t>
      </w:r>
      <w:r w:rsidR="00E97C14" w:rsidRPr="00F07DEB">
        <w:rPr>
          <w:rFonts w:ascii="Times New Roman" w:hAnsi="Times New Roman" w:cs="Times New Roman"/>
          <w:sz w:val="24"/>
          <w:szCs w:val="24"/>
        </w:rPr>
        <w:t xml:space="preserve"> demands greater than what is provided by </w:t>
      </w:r>
      <w:r w:rsidR="009678A2">
        <w:rPr>
          <w:rFonts w:ascii="Times New Roman" w:hAnsi="Times New Roman" w:cs="Times New Roman"/>
          <w:sz w:val="24"/>
          <w:szCs w:val="24"/>
        </w:rPr>
        <w:t>Na</w:t>
      </w:r>
      <w:r w:rsidR="00E97C14" w:rsidRPr="00F07DEB">
        <w:rPr>
          <w:rFonts w:ascii="Times New Roman" w:hAnsi="Times New Roman" w:cs="Times New Roman"/>
          <w:sz w:val="24"/>
          <w:szCs w:val="24"/>
        </w:rPr>
        <w:t xml:space="preserve">-excluding forage </w:t>
      </w:r>
      <w:r w:rsidR="00E97C14" w:rsidRPr="00F07DEB">
        <w:rPr>
          <w:rFonts w:ascii="Times New Roman" w:hAnsi="Times New Roman" w:cs="Times New Roman"/>
          <w:sz w:val="24"/>
          <w:szCs w:val="24"/>
        </w:rPr>
        <w:fldChar w:fldCharType="begin"/>
      </w:r>
      <w:r w:rsidR="00BA49C2">
        <w:rPr>
          <w:rFonts w:ascii="Times New Roman" w:hAnsi="Times New Roman" w:cs="Times New Roman"/>
          <w:sz w:val="24"/>
          <w:szCs w:val="24"/>
        </w:rPr>
        <w:instrText xml:space="preserve"> ADDIN ZOTERO_ITEM CSL_CITATION {"citationID":"aglruvl2uu","properties":{"formattedCitation":"(Broadley, Brown, Cakmak, Ma, et al., 2012)","plainCitation":"(Broadley, Brown, Cakmak, Ma, et al., 2012)","dontUpdate":true,"noteIndex":0},"citationItems":[{"id":860,"uris":["http://zotero.org/users/5446453/items/IKXT4BH7"],"uri":["http://zotero.org/users/5446453/items/IKXT4BH7"],"itemData":{"id":860,"type":"chapter","abstract":"This chapter focuses on the role played by beneficial elements such as sodium (Na), silicon (Si), cobalt (Co), selenium (Se), and aluminum (Al). Sodium can stimulate growth of plants, particularly some C4 plants by aiding the movement of substrates between the mesophyll and the bundle sheath. It can also replace K to some extent in its role as osmoticum, and the application of Na fertilizers to sugar beet results in an increase in the leaf area index early in the growing season, thus increasing light interception and improving water use efficiency of leaves under conditions of moderate drought stress. Silicon plays an important role in cell wall stability by bridging between polyuronides and stimulating lignin synthesis. It can improve plant and leaf erectness, water use, and protect plants from pests and diseases. Silicon is also effective in alleviating toxicity of other metals such as Fe, Al, Cd, and Zn, which can be attributed to the interaction between Si and metals in the apoplasm or symplasm. Cobalt is essential for N2 fixing plants because it is part of the coenzyme cobalamin (vitamin B12), which is important in nodule metabolism. The chemistry of Se is similar to that of S and can replace S, to some extent, in proteins, particularly in Se hyperaccumulating plants. Selenium is essential for animals; therefore Se fertilization may be beneficial for human and animal health in areas with Se-deficient soils. Aluminum is beneficial to some plants, such as tea, and may alleviate proton toxicity and increase the activity of antioxidant enzymes.","container-title":"Marschner's Mineral Nutrition of Higher Plants (Third Edition)","event-place":"San Diego","ISBN":"978-0-12-384905-2","language":"en","note":"DOI: 10.1016/B978-0-12-384905-2.00008-X","page":"249-269","publisher":"Academic Press","publisher-place":"San Diego","source":"ScienceDirect","title":"Chapter 8 - Beneficial Elements","URL":"http://www.sciencedirect.com/science/article/pii/B978012384905200008X","author":[{"family":"Broadley","given":"Martin"},{"family":"Brown","given":"Patrick"},{"family":"Cakmak","given":"Ismail"},{"family":"Ma","given":"Jian Feng"},{"family":"Rengel","given":"Zed"},{"family":"Zhao","given":"Fangjie"}],"editor":[{"family":"Marschner","given":"Petra"}],"accessed":{"date-parts":[["2020",11,13]]},"issued":{"date-parts":[["2012"]]}}}],"schema":"https://github.com/citation-style-language/schema/raw/master/csl-citation.json"} </w:instrText>
      </w:r>
      <w:r w:rsidR="00E97C14" w:rsidRPr="00F07DEB">
        <w:rPr>
          <w:rFonts w:ascii="Times New Roman" w:hAnsi="Times New Roman" w:cs="Times New Roman"/>
          <w:sz w:val="24"/>
          <w:szCs w:val="24"/>
        </w:rPr>
        <w:fldChar w:fldCharType="separate"/>
      </w:r>
      <w:r w:rsidR="00D76F3F">
        <w:rPr>
          <w:rFonts w:ascii="Times New Roman" w:hAnsi="Times New Roman" w:cs="Times New Roman"/>
          <w:sz w:val="24"/>
          <w:szCs w:val="24"/>
        </w:rPr>
        <w:t>(Broadley</w:t>
      </w:r>
      <w:r w:rsidR="006811C1" w:rsidRPr="00F07DEB">
        <w:rPr>
          <w:rFonts w:ascii="Times New Roman" w:hAnsi="Times New Roman" w:cs="Times New Roman"/>
          <w:sz w:val="24"/>
          <w:szCs w:val="24"/>
        </w:rPr>
        <w:t xml:space="preserve"> et al., 2012</w:t>
      </w:r>
      <w:r w:rsidR="00375B31">
        <w:rPr>
          <w:rFonts w:ascii="Times New Roman" w:hAnsi="Times New Roman" w:cs="Times New Roman"/>
          <w:sz w:val="24"/>
          <w:szCs w:val="24"/>
        </w:rPr>
        <w:t>a</w:t>
      </w:r>
      <w:r w:rsidR="006811C1" w:rsidRPr="00F07DEB">
        <w:rPr>
          <w:rFonts w:ascii="Times New Roman" w:hAnsi="Times New Roman" w:cs="Times New Roman"/>
          <w:sz w:val="24"/>
          <w:szCs w:val="24"/>
        </w:rPr>
        <w:t>)</w:t>
      </w:r>
      <w:r w:rsidR="00E97C14" w:rsidRPr="00F07DEB">
        <w:rPr>
          <w:rFonts w:ascii="Times New Roman" w:hAnsi="Times New Roman" w:cs="Times New Roman"/>
          <w:sz w:val="24"/>
          <w:szCs w:val="24"/>
        </w:rPr>
        <w:fldChar w:fldCharType="end"/>
      </w:r>
      <w:r w:rsidR="00E97C14" w:rsidRPr="00F07DEB">
        <w:rPr>
          <w:rFonts w:ascii="Times New Roman" w:hAnsi="Times New Roman" w:cs="Times New Roman"/>
          <w:sz w:val="24"/>
          <w:szCs w:val="24"/>
        </w:rPr>
        <w:t xml:space="preserve">. </w:t>
      </w:r>
    </w:p>
    <w:p w14:paraId="061C76B3" w14:textId="6F5F1CFB" w:rsidR="00252822" w:rsidRPr="00641A81" w:rsidRDefault="00E331AA" w:rsidP="00641A81">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Corn, sorghum, and Bermuda grass have been reported as sensitive, semi-tolerant, and tolerant to </w:t>
      </w:r>
      <w:r w:rsidR="009678A2">
        <w:rPr>
          <w:rFonts w:ascii="Times New Roman" w:hAnsi="Times New Roman" w:cs="Times New Roman"/>
          <w:sz w:val="24"/>
          <w:szCs w:val="24"/>
        </w:rPr>
        <w:t>Na</w:t>
      </w:r>
      <w:r w:rsidRPr="00F07DEB">
        <w:rPr>
          <w:rFonts w:ascii="Times New Roman" w:hAnsi="Times New Roman" w:cs="Times New Roman"/>
          <w:sz w:val="24"/>
          <w:szCs w:val="24"/>
        </w:rPr>
        <w:t xml:space="preserve">, respectively </w:t>
      </w:r>
      <w:r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{"citationID":"a2794n00621","properties":{"formattedCitation":"(Ayers &amp; Westcot, 1985a)","plainCitation":"(Ayers &amp; Westcot, 1985a)","dontUpdate":true,"noteIndex":0},"citationItems":[{"id":415,"uris":["http://zotero.org/users/5446453/items/5W5EXXQA"],"uri":["http://zotero.org/users/5446453/items/5W5EXXQA"],"itemData":{"id":415,"type":"webpage","container-title":"Food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schema":"https://github.com/citation-style-language/schema/raw/master/csl-citation.json"} </w:instrText>
      </w:r>
      <w:r w:rsidRPr="00F07DEB">
        <w:rPr>
          <w:rFonts w:ascii="Times New Roman" w:hAnsi="Times New Roman" w:cs="Times New Roman"/>
          <w:sz w:val="24"/>
          <w:szCs w:val="24"/>
        </w:rPr>
        <w:fldChar w:fldCharType="separate"/>
      </w:r>
      <w:r w:rsidR="006811C1" w:rsidRPr="00F07DEB">
        <w:rPr>
          <w:rFonts w:ascii="Times New Roman" w:hAnsi="Times New Roman" w:cs="Times New Roman"/>
          <w:sz w:val="24"/>
          <w:szCs w:val="24"/>
        </w:rPr>
        <w:t xml:space="preserve">(Ayers </w:t>
      </w:r>
      <w:r w:rsidR="002A6AB5">
        <w:rPr>
          <w:rFonts w:ascii="Times New Roman" w:hAnsi="Times New Roman" w:cs="Times New Roman"/>
          <w:sz w:val="24"/>
          <w:szCs w:val="24"/>
        </w:rPr>
        <w:t>and</w:t>
      </w:r>
      <w:r w:rsidR="006811C1" w:rsidRPr="00F07DEB">
        <w:rPr>
          <w:rFonts w:ascii="Times New Roman" w:hAnsi="Times New Roman" w:cs="Times New Roman"/>
          <w:sz w:val="24"/>
          <w:szCs w:val="24"/>
        </w:rPr>
        <w:t xml:space="preserve"> Westcot, 1985a)</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Relative sensitivities are used in place of </w:t>
      </w:r>
      <w:r w:rsidR="009678A2">
        <w:rPr>
          <w:rFonts w:ascii="Times New Roman" w:hAnsi="Times New Roman" w:cs="Times New Roman"/>
          <w:sz w:val="24"/>
          <w:szCs w:val="24"/>
        </w:rPr>
        <w:t>Na</w:t>
      </w:r>
      <w:r w:rsidRPr="00F07DEB">
        <w:rPr>
          <w:rFonts w:ascii="Times New Roman" w:hAnsi="Times New Roman" w:cs="Times New Roman"/>
          <w:sz w:val="24"/>
          <w:szCs w:val="24"/>
        </w:rPr>
        <w:t xml:space="preserve"> concentrations that cause direct toxicity because “usually, nutritional factors and adverse soil conditions stunt growth before reaching these levels” </w:t>
      </w:r>
      <w:r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{"citationID":"a10d1ik9etb","properties":{"formattedCitation":"(Ayers &amp; Westcot, 1985a)","plainCitation":"(Ayers &amp; Westcot, 1985a)","dontUpdate":true,"noteIndex":0},"citationItems":[{"id":415,"uris":["http://zotero.org/users/5446453/items/5W5EXXQA"],"uri":["http://zotero.org/users/5446453/items/5W5EXXQA"],"itemData":{"id":415,"type":"webpage","container-title":"Food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schema":"https://github.com/citation-style-language/schema/raw/master/csl-citation.json"} </w:instrText>
      </w:r>
      <w:r w:rsidRPr="00F07DEB">
        <w:rPr>
          <w:rFonts w:ascii="Times New Roman" w:hAnsi="Times New Roman" w:cs="Times New Roman"/>
          <w:sz w:val="24"/>
          <w:szCs w:val="24"/>
        </w:rPr>
        <w:fldChar w:fldCharType="separate"/>
      </w:r>
      <w:r w:rsidR="006811C1" w:rsidRPr="00F07DEB">
        <w:rPr>
          <w:rFonts w:ascii="Times New Roman" w:hAnsi="Times New Roman" w:cs="Times New Roman"/>
          <w:sz w:val="24"/>
          <w:szCs w:val="24"/>
        </w:rPr>
        <w:t xml:space="preserve">(Ayers </w:t>
      </w:r>
      <w:r w:rsidR="002A6AB5">
        <w:rPr>
          <w:rFonts w:ascii="Times New Roman" w:hAnsi="Times New Roman" w:cs="Times New Roman"/>
          <w:sz w:val="24"/>
          <w:szCs w:val="24"/>
        </w:rPr>
        <w:t>and</w:t>
      </w:r>
      <w:r w:rsidR="006811C1" w:rsidRPr="00F07DEB">
        <w:rPr>
          <w:rFonts w:ascii="Times New Roman" w:hAnsi="Times New Roman" w:cs="Times New Roman"/>
          <w:sz w:val="24"/>
          <w:szCs w:val="24"/>
        </w:rPr>
        <w:t xml:space="preserve"> Westcot, 1985a)</w:t>
      </w:r>
      <w:r w:rsidRPr="00F07DEB">
        <w:rPr>
          <w:rFonts w:ascii="Times New Roman" w:hAnsi="Times New Roman" w:cs="Times New Roman"/>
          <w:sz w:val="24"/>
          <w:szCs w:val="24"/>
        </w:rPr>
        <w:fldChar w:fldCharType="end"/>
      </w:r>
      <w:r w:rsidRPr="00F07DEB">
        <w:rPr>
          <w:rFonts w:ascii="Times New Roman" w:hAnsi="Times New Roman" w:cs="Times New Roman"/>
          <w:sz w:val="24"/>
          <w:szCs w:val="24"/>
        </w:rPr>
        <w:t xml:space="preserve">. </w:t>
      </w:r>
      <w:r w:rsidR="00B43A1D" w:rsidRPr="00F07DEB">
        <w:rPr>
          <w:rFonts w:ascii="Times New Roman" w:hAnsi="Times New Roman" w:cs="Times New Roman"/>
          <w:sz w:val="24"/>
          <w:szCs w:val="24"/>
        </w:rPr>
        <w:t>Corn’s status as the most sensitive of the three species</w:t>
      </w:r>
      <w:r w:rsidR="00622FB1" w:rsidRPr="00F07DEB">
        <w:rPr>
          <w:rFonts w:ascii="Times New Roman" w:hAnsi="Times New Roman" w:cs="Times New Roman"/>
          <w:sz w:val="24"/>
          <w:szCs w:val="24"/>
        </w:rPr>
        <w:t xml:space="preserve"> is exhibited by </w:t>
      </w:r>
      <w:r w:rsidR="00B43A1D" w:rsidRPr="00F07DEB">
        <w:rPr>
          <w:rFonts w:ascii="Times New Roman" w:hAnsi="Times New Roman" w:cs="Times New Roman"/>
          <w:sz w:val="24"/>
          <w:szCs w:val="24"/>
        </w:rPr>
        <w:t xml:space="preserve">elevated </w:t>
      </w:r>
      <w:r w:rsidR="009678A2">
        <w:rPr>
          <w:rFonts w:ascii="Times New Roman" w:hAnsi="Times New Roman" w:cs="Times New Roman"/>
          <w:sz w:val="24"/>
          <w:szCs w:val="24"/>
        </w:rPr>
        <w:t>Na</w:t>
      </w:r>
      <w:r w:rsidR="00B43A1D" w:rsidRPr="00F07DEB">
        <w:rPr>
          <w:rFonts w:ascii="Times New Roman" w:hAnsi="Times New Roman" w:cs="Times New Roman"/>
          <w:sz w:val="24"/>
          <w:szCs w:val="24"/>
        </w:rPr>
        <w:t xml:space="preserve"> uptake in corn roots, which far surpassed concentrations in sorghum and Bermuda grass roots. </w:t>
      </w:r>
      <w:r w:rsidR="009678A2">
        <w:rPr>
          <w:rFonts w:ascii="Times New Roman" w:hAnsi="Times New Roman" w:cs="Times New Roman"/>
          <w:sz w:val="24"/>
          <w:szCs w:val="24"/>
        </w:rPr>
        <w:t>Na</w:t>
      </w:r>
      <w:r w:rsidR="007D5066" w:rsidRPr="00F07DEB">
        <w:rPr>
          <w:rFonts w:ascii="Times New Roman" w:hAnsi="Times New Roman" w:cs="Times New Roman"/>
          <w:sz w:val="24"/>
          <w:szCs w:val="24"/>
        </w:rPr>
        <w:t xml:space="preserve"> exerts toxic effects on corn and sorghum through a plethora of </w:t>
      </w:r>
      <w:r w:rsidR="004E5FFD" w:rsidRPr="00F07DEB">
        <w:rPr>
          <w:rFonts w:ascii="Times New Roman" w:hAnsi="Times New Roman" w:cs="Times New Roman"/>
          <w:sz w:val="24"/>
          <w:szCs w:val="24"/>
        </w:rPr>
        <w:t>mechanisms</w:t>
      </w:r>
      <w:r w:rsidR="007D5066" w:rsidRPr="00F07DEB">
        <w:rPr>
          <w:rFonts w:ascii="Times New Roman" w:hAnsi="Times New Roman" w:cs="Times New Roman"/>
          <w:sz w:val="24"/>
          <w:szCs w:val="24"/>
        </w:rPr>
        <w:t xml:space="preserve">, some of which </w:t>
      </w:r>
      <w:r w:rsidR="004E5FFD" w:rsidRPr="00F07DEB">
        <w:rPr>
          <w:rFonts w:ascii="Times New Roman" w:hAnsi="Times New Roman" w:cs="Times New Roman"/>
          <w:sz w:val="24"/>
          <w:szCs w:val="24"/>
        </w:rPr>
        <w:t xml:space="preserve">are related to the mechanisms by which Bermuda grass benefits from </w:t>
      </w:r>
      <w:r w:rsidR="009678A2">
        <w:rPr>
          <w:rFonts w:ascii="Times New Roman" w:hAnsi="Times New Roman" w:cs="Times New Roman"/>
          <w:sz w:val="24"/>
          <w:szCs w:val="24"/>
        </w:rPr>
        <w:t>Na</w:t>
      </w:r>
      <w:r w:rsidR="004E5FFD" w:rsidRPr="00F07DEB">
        <w:rPr>
          <w:rFonts w:ascii="Times New Roman" w:hAnsi="Times New Roman" w:cs="Times New Roman"/>
          <w:sz w:val="24"/>
          <w:szCs w:val="24"/>
        </w:rPr>
        <w:t xml:space="preserve">. For example, researchers have shown that </w:t>
      </w:r>
      <w:r w:rsidR="009678A2">
        <w:rPr>
          <w:rFonts w:ascii="Times New Roman" w:hAnsi="Times New Roman" w:cs="Times New Roman"/>
          <w:sz w:val="24"/>
          <w:szCs w:val="24"/>
        </w:rPr>
        <w:t>Na</w:t>
      </w:r>
      <w:r w:rsidR="004E5FFD" w:rsidRPr="00F07DEB">
        <w:rPr>
          <w:rFonts w:ascii="Times New Roman" w:hAnsi="Times New Roman" w:cs="Times New Roman"/>
          <w:sz w:val="24"/>
          <w:szCs w:val="24"/>
        </w:rPr>
        <w:t xml:space="preserve"> decrease</w:t>
      </w:r>
      <w:r w:rsidR="007D5066" w:rsidRPr="00F07DEB">
        <w:rPr>
          <w:rFonts w:ascii="Times New Roman" w:hAnsi="Times New Roman" w:cs="Times New Roman"/>
          <w:sz w:val="24"/>
          <w:szCs w:val="24"/>
        </w:rPr>
        <w:t>s</w:t>
      </w:r>
      <w:r w:rsidR="004E5FFD" w:rsidRPr="00F07DEB">
        <w:rPr>
          <w:rFonts w:ascii="Times New Roman" w:hAnsi="Times New Roman" w:cs="Times New Roman"/>
          <w:sz w:val="24"/>
          <w:szCs w:val="24"/>
        </w:rPr>
        <w:t xml:space="preserve"> </w:t>
      </w:r>
      <w:r w:rsidR="009678A2">
        <w:rPr>
          <w:rFonts w:ascii="Times New Roman" w:hAnsi="Times New Roman" w:cs="Times New Roman"/>
          <w:sz w:val="24"/>
          <w:szCs w:val="24"/>
        </w:rPr>
        <w:t>K</w:t>
      </w:r>
      <w:r w:rsidR="004E5FFD" w:rsidRPr="00F07DEB">
        <w:rPr>
          <w:rFonts w:ascii="Times New Roman" w:hAnsi="Times New Roman" w:cs="Times New Roman"/>
          <w:sz w:val="24"/>
          <w:szCs w:val="24"/>
        </w:rPr>
        <w:t xml:space="preserve"> uptake and translocation in corn grown in saline solutions</w:t>
      </w:r>
      <w:r w:rsidRPr="00F07DEB">
        <w:rPr>
          <w:rFonts w:ascii="Times New Roman" w:hAnsi="Times New Roman" w:cs="Times New Roman"/>
          <w:sz w:val="24"/>
          <w:szCs w:val="24"/>
        </w:rPr>
        <w:t xml:space="preserve">, although the effect of increasing solution </w:t>
      </w:r>
      <w:r w:rsidR="009678A2">
        <w:rPr>
          <w:rFonts w:ascii="Times New Roman" w:hAnsi="Times New Roman" w:cs="Times New Roman"/>
          <w:sz w:val="24"/>
          <w:szCs w:val="24"/>
        </w:rPr>
        <w:t>Na</w:t>
      </w:r>
      <w:r w:rsidRPr="00F07DEB">
        <w:rPr>
          <w:rFonts w:ascii="Times New Roman" w:hAnsi="Times New Roman" w:cs="Times New Roman"/>
          <w:sz w:val="24"/>
          <w:szCs w:val="24"/>
        </w:rPr>
        <w:t xml:space="preserve"> concentrations on the roots’ ability to exclude </w:t>
      </w:r>
      <w:r w:rsidR="009678A2">
        <w:rPr>
          <w:rFonts w:ascii="Times New Roman" w:hAnsi="Times New Roman" w:cs="Times New Roman"/>
          <w:sz w:val="24"/>
          <w:szCs w:val="24"/>
        </w:rPr>
        <w:t>Na</w:t>
      </w:r>
      <w:r w:rsidRPr="00F07DEB">
        <w:rPr>
          <w:rFonts w:ascii="Times New Roman" w:hAnsi="Times New Roman" w:cs="Times New Roman"/>
          <w:sz w:val="24"/>
          <w:szCs w:val="24"/>
        </w:rPr>
        <w:t xml:space="preserve"> has been </w:t>
      </w:r>
      <w:r w:rsidRPr="00F07DEB">
        <w:rPr>
          <w:rFonts w:ascii="Times New Roman" w:hAnsi="Times New Roman" w:cs="Times New Roman"/>
          <w:sz w:val="24"/>
          <w:szCs w:val="24"/>
        </w:rPr>
        <w:lastRenderedPageBreak/>
        <w:t>disputed</w:t>
      </w:r>
      <w:r w:rsidR="003B0632" w:rsidRPr="00F07DEB">
        <w:rPr>
          <w:rFonts w:ascii="Times New Roman" w:hAnsi="Times New Roman" w:cs="Times New Roman"/>
          <w:sz w:val="24"/>
          <w:szCs w:val="24"/>
        </w:rPr>
        <w:t xml:space="preserve"> </w:t>
      </w:r>
      <w:r w:rsidR="003B0632"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{"citationID":"a782l0cggi","properties":{"formattedCitation":"(Botella et al., 1997; Drew &amp; Dikumwin, 1985)","plainCitation":"(Botella et al., 1997; Drew &amp; Dikumwin, 1985)","dontUpdate":true,"noteIndex":0},"citationItems":[{"id":690,"uris":["http://zotero.org/users/5446453/items/I28FEXWT"],"uri":["http://zotero.org/users/5446453/items/I28FEXWT"],"itemData":{"id":690,"type":"article-journal","abstract":"Maize (Zea mays L.) plants were grown in ½ Hoagland nutrient solutions to study the effect of two K+ levels (0.1 and 1 mmol/L) combined with low (0.1mmol/L) and high NaCl salinity (100mmol/L) on K+ uptake and translocation. Net uptake rates of K+ were determined by disappearance in the medium and by plant content. Salinity significantly decreased shoot growth when the level of K+ in the solution was 0.1 mmol/L, probably due to a salinity-induced K+ deficiency. NaCl reduced K+ net uptake rates and to a greater extent K+ translocation from root to shoot, which resulted in a lower K+ shoot content and a higher K+ root content. The inhibitory effect of salinity on K+ translocation was stronger with low K+ concentration in the nutrient solution. Net uptake of K+ was dependent on K+ concentration in the root medium and on K+ status of the root.","container-title":"Journal of Plant Physiology","DOI":"10.1016/S0176-1617(97)80203-9","ISSN":"0176-1617","issue":"1","journalAbbreviation":"Journal of Plant Physiology","language":"en","page":"200-205","source":"ScienceDirect","title":"Salinity induced potassium deficiency in maize plants","volume":"150","author":[{"family":"Botella","given":"M. A."},{"family":"Martinez","given":"V."},{"family":"Pardines","given":"J."},{"family":"Cerdá","given":"A."}],"issued":{"date-parts":[["1997",1,1]]}}},{"id":693,"uris":["http://zotero.org/users/5446453/items/LTP4I5UH"],"uri":["http://zotero.org/users/5446453/items/LTP4I5UH"],"itemData":{"id":693,"type":"article-journal","abstract":"Abstract.  The effects of sodium chloride salinity and root oxygen deficiency (anoxia) were studied in 11-12d old maize plants (Zea mays L. cv. LG 11) in nutrie","container-title":"Journal of Experimental Botany","DOI":"10.1093/jxb/36.1.55","ISSN":"0022-0957","issue":"1","journalAbbreviation":"J Exp Bot","language":"en","note":"publisher: Oxford Academic","page":"55-62","source":"academic.oup.com","title":"Sodium Exclusion from the Shoots by Roots of Zea mays (cv. LG 11) and its Breakdown with Oxygen Deficiency","volume":"36","author":[{"family":"Drew","given":"M. C."},{"family":"Dikumwin","given":"E."}],"issued":{"date-parts":[["1985",1,1]]}}}],"schema":"https://github.com/citation-style-language/schema/raw/master/csl-citation.json"} </w:instrText>
      </w:r>
      <w:r w:rsidR="003B0632" w:rsidRPr="00F07DEB">
        <w:rPr>
          <w:rFonts w:ascii="Times New Roman" w:hAnsi="Times New Roman" w:cs="Times New Roman"/>
          <w:sz w:val="24"/>
          <w:szCs w:val="24"/>
        </w:rPr>
        <w:fldChar w:fldCharType="separate"/>
      </w:r>
      <w:r w:rsidR="006811C1" w:rsidRPr="00F07DEB">
        <w:rPr>
          <w:rFonts w:ascii="Times New Roman" w:hAnsi="Times New Roman" w:cs="Times New Roman"/>
          <w:sz w:val="24"/>
          <w:szCs w:val="24"/>
        </w:rPr>
        <w:t xml:space="preserve">(Botella et al., 1997; Drew </w:t>
      </w:r>
      <w:r w:rsidR="002A6AB5">
        <w:rPr>
          <w:rFonts w:ascii="Times New Roman" w:hAnsi="Times New Roman" w:cs="Times New Roman"/>
          <w:sz w:val="24"/>
          <w:szCs w:val="24"/>
        </w:rPr>
        <w:t>and</w:t>
      </w:r>
      <w:r w:rsidR="006811C1" w:rsidRPr="00F07DEB">
        <w:rPr>
          <w:rFonts w:ascii="Times New Roman" w:hAnsi="Times New Roman" w:cs="Times New Roman"/>
          <w:sz w:val="24"/>
          <w:szCs w:val="24"/>
        </w:rPr>
        <w:t xml:space="preserve"> Dikumwin, 1985)</w:t>
      </w:r>
      <w:r w:rsidR="003B0632" w:rsidRPr="00F07DEB">
        <w:rPr>
          <w:rFonts w:ascii="Times New Roman" w:hAnsi="Times New Roman" w:cs="Times New Roman"/>
          <w:sz w:val="24"/>
          <w:szCs w:val="24"/>
        </w:rPr>
        <w:fldChar w:fldCharType="end"/>
      </w:r>
      <w:r w:rsidR="003B0632" w:rsidRPr="00F07DEB">
        <w:rPr>
          <w:rFonts w:ascii="Times New Roman" w:hAnsi="Times New Roman" w:cs="Times New Roman"/>
          <w:sz w:val="24"/>
          <w:szCs w:val="24"/>
        </w:rPr>
        <w:t>.</w:t>
      </w:r>
      <w:r w:rsidR="004E5FFD" w:rsidRPr="00F07DEB">
        <w:rPr>
          <w:rFonts w:ascii="Times New Roman" w:hAnsi="Times New Roman" w:cs="Times New Roman"/>
          <w:sz w:val="24"/>
          <w:szCs w:val="24"/>
        </w:rPr>
        <w:t xml:space="preserve"> </w:t>
      </w:r>
      <w:r w:rsidR="009678A2">
        <w:rPr>
          <w:rFonts w:ascii="Times New Roman" w:hAnsi="Times New Roman" w:cs="Times New Roman"/>
          <w:sz w:val="24"/>
          <w:szCs w:val="24"/>
        </w:rPr>
        <w:t>Na</w:t>
      </w:r>
      <w:r w:rsidR="003B0632" w:rsidRPr="00F07DEB">
        <w:rPr>
          <w:rFonts w:ascii="Times New Roman" w:hAnsi="Times New Roman" w:cs="Times New Roman"/>
          <w:sz w:val="24"/>
          <w:szCs w:val="24"/>
        </w:rPr>
        <w:t xml:space="preserve">’s tendency to interfere with corn and sorghum </w:t>
      </w:r>
      <w:r w:rsidR="009678A2">
        <w:rPr>
          <w:rFonts w:ascii="Times New Roman" w:hAnsi="Times New Roman" w:cs="Times New Roman"/>
          <w:sz w:val="24"/>
          <w:szCs w:val="24"/>
        </w:rPr>
        <w:t>K</w:t>
      </w:r>
      <w:r w:rsidR="003B0632" w:rsidRPr="00F07DEB">
        <w:rPr>
          <w:rFonts w:ascii="Times New Roman" w:hAnsi="Times New Roman" w:cs="Times New Roman"/>
          <w:sz w:val="24"/>
          <w:szCs w:val="24"/>
        </w:rPr>
        <w:t xml:space="preserve"> usage can decrease </w:t>
      </w:r>
      <w:r w:rsidR="004E5FFD" w:rsidRPr="00F07DEB">
        <w:rPr>
          <w:rFonts w:ascii="Times New Roman" w:hAnsi="Times New Roman" w:cs="Times New Roman"/>
          <w:sz w:val="24"/>
          <w:szCs w:val="24"/>
        </w:rPr>
        <w:t>biomass production</w:t>
      </w:r>
      <w:r w:rsidR="003B0632" w:rsidRPr="00F07DEB">
        <w:rPr>
          <w:rFonts w:ascii="Times New Roman" w:hAnsi="Times New Roman" w:cs="Times New Roman"/>
          <w:sz w:val="24"/>
          <w:szCs w:val="24"/>
        </w:rPr>
        <w:t xml:space="preserve"> and increase vegetative necrosis and water stress </w:t>
      </w:r>
      <w:r w:rsidR="003B0632" w:rsidRPr="00F07DEB">
        <w:rPr>
          <w:rFonts w:ascii="Times New Roman" w:hAnsi="Times New Roman" w:cs="Times New Roman"/>
          <w:sz w:val="24"/>
          <w:szCs w:val="24"/>
        </w:rPr>
        <w:fldChar w:fldCharType="begin"/>
      </w:r>
      <w:r w:rsidR="006811C1" w:rsidRPr="00F07DEB">
        <w:rPr>
          <w:rFonts w:ascii="Times New Roman" w:hAnsi="Times New Roman" w:cs="Times New Roman"/>
          <w:sz w:val="24"/>
          <w:szCs w:val="24"/>
        </w:rPr>
        <w:instrText xml:space="preserve"> ADDIN ZOTERO_ITEM CSL_CITATION {"citationID":"am8gq6jh0d","properties":{"formattedCitation":"(Botella et al., 1997; Farooq et al., 2015)","plainCitation":"(Botella et al., 1997; Farooq et al., 2015)","noteIndex":0},"citationItems":[{"id":690,"uris":["http://zotero.org/users/5446453/items/I28FEXWT"],"uri":["http://zotero.org/users/5446453/items/I28FEXWT"],"itemData":{"id":690,"type":"article-journal","abstract":"Maize (Zea mays L.) plants were grown in ½ Hoagland nutrient solutions to study the effect of two K+ levels (0.1 and 1 mmol/L) combined with low (0.1mmol/L) and high NaCl salinity (100mmol/L) on K+ uptake and translocation. Net uptake rates of K+ were determined by disappearance in the medium and by plant content. Salinity significantly decreased shoot growth when the level of K+ in the solution was 0.1 mmol/L, probably due to a salinity-induced K+ deficiency. NaCl reduced K+ net uptake rates and to a greater extent K+ translocation from root to shoot, which resulted in a lower K+ shoot content and a higher K+ root content. The inhibitory effect of salinity on K+ translocation was stronger with low K+ concentration in the nutrient solution. Net uptake of K+ was dependent on K+ concentration in the root medium and on K+ status of the root.","container-title":"Journal of Plant Physiology","DOI":"10.1016/S0176-1617(97)80203-9","ISSN":"0176-1617","issue":"1","journalAbbreviation":"Journal of Plant Physiology","language":"en","page":"200-205","source":"ScienceDirect","title":"Salinity induced potassium deficiency in maize plants","volume":"150","author":[{"family":"Botella","given":"M. A."},{"family":"Martinez","given":"V."},{"family":"Pardines","given":"J."},{"family":"Cerdá","given":"A."}],"issued":{"date-parts":[["1997",1,1]]}}},{"id":879,"uris":["http://zotero.org/users/5446453/items/HLXJX22K"],"uri":["http://zotero.org/users/5446453/items/HLXJX22K"],"itemData":{"id":879,"type":"article-journal","abstract":"Maize is grown under a wide spectrum of soil and climatic conditions. Maize is moderately sensitive to salt stress; therefore, soil salinity is a serious threat to its production worldwide. Understanding maize response to salt stress and resistance mechanisms and overviewing management options may help to devise strategies for improved maize performance in saline environments. Here, we reviewed the effects, resistance mechanisms, and management of salt stress in maize. Our main conclusions are as follows: (1) germination and stand establishment are more sensitive to salt stress than later developmental stages. (2) High rhizosphere sodium and chloride decrease plant uptake of nitrogen, potassium, calcium, magnesium, and iron. (3) Reduced grain weight and number are responsible for low grain yield in maize under salt stress. Sink limitations and reduced acid invertase activity in developing grains is responsible for poor kernel setting under salt stress. (4) Exclusion of excessive sodium or its compartmentation into vacuoles is an important adaptive strategy for maize under salt stress. (5) Apoplastic acidification, required for cell wall extensibility, is an important indicator of salt resistance, but not essential for better maize growth under salt stress. (6) Upregulation of antioxidant defense genes and β-expansin proteins is important for salt resistance in maize. (7) Arbuscular mycorrhizal fungi improve salt resistance in maize due to better plant nutrient availability. (8) Seed priming is an effective approach for improving maize germination under salt stress. (9) Integration of screening, breeding and ion homeostasis mechanisms into a functional paradigm for the whole plant may help to enhance salt resistance in maize.","container-title":"Agronomy for Sustainable Development","DOI":"10.1007/s13593-015-0287-0","ISSN":"1773-0155","issue":"2","journalAbbreviation":"Agron. Sustain. Dev.","language":"en","page":"461-481","source":"Springer Link","title":"Salt stress in maize: effects, resistance mechanisms, and management. A review","title-short":"Salt stress in maize","volume":"35","author":[{"family":"Farooq","given":"Muhammad"},{"family":"Hussain","given":"Mubshar"},{"family":"Wakeel","given":"Abdul"},{"family":"Siddique","given":"Kadambot H. M."}],"issued":{"date-parts":[["2015",4,1]]}}}],"schema":"https://github.com/citation-style-language/schema/raw/master/csl-citation.json"} </w:instrText>
      </w:r>
      <w:r w:rsidR="003B0632"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(Botella et al., 1997; Farooq et al., 2015)</w:t>
      </w:r>
      <w:r w:rsidR="003B0632" w:rsidRPr="00F07DEB">
        <w:rPr>
          <w:rFonts w:ascii="Times New Roman" w:hAnsi="Times New Roman" w:cs="Times New Roman"/>
          <w:sz w:val="24"/>
          <w:szCs w:val="24"/>
        </w:rPr>
        <w:fldChar w:fldCharType="end"/>
      </w:r>
      <w:r w:rsidR="004E5FFD" w:rsidRPr="00F07DEB">
        <w:rPr>
          <w:rFonts w:ascii="Times New Roman" w:hAnsi="Times New Roman" w:cs="Times New Roman"/>
          <w:sz w:val="24"/>
          <w:szCs w:val="24"/>
        </w:rPr>
        <w:t xml:space="preserve">. Furthermore, salt stress decreased sorghum grain production and growth and was associated with reduced concentrations of </w:t>
      </w:r>
      <w:r w:rsidR="009678A2">
        <w:rPr>
          <w:rFonts w:ascii="Times New Roman" w:hAnsi="Times New Roman" w:cs="Times New Roman"/>
          <w:sz w:val="24"/>
          <w:szCs w:val="24"/>
        </w:rPr>
        <w:t>K</w:t>
      </w:r>
      <w:r w:rsidR="004E5FFD" w:rsidRPr="00F07DEB">
        <w:rPr>
          <w:rFonts w:ascii="Times New Roman" w:hAnsi="Times New Roman" w:cs="Times New Roman"/>
          <w:sz w:val="24"/>
          <w:szCs w:val="24"/>
        </w:rPr>
        <w:t xml:space="preserve">, </w:t>
      </w:r>
      <w:r w:rsidR="009678A2">
        <w:rPr>
          <w:rFonts w:ascii="Times New Roman" w:hAnsi="Times New Roman" w:cs="Times New Roman"/>
          <w:sz w:val="24"/>
          <w:szCs w:val="24"/>
        </w:rPr>
        <w:t>P</w:t>
      </w:r>
      <w:r w:rsidR="004E5FFD" w:rsidRPr="00F07DEB">
        <w:rPr>
          <w:rFonts w:ascii="Times New Roman" w:hAnsi="Times New Roman" w:cs="Times New Roman"/>
          <w:sz w:val="24"/>
          <w:szCs w:val="24"/>
        </w:rPr>
        <w:t xml:space="preserve">, and </w:t>
      </w:r>
      <w:r w:rsidR="009678A2">
        <w:rPr>
          <w:rFonts w:ascii="Times New Roman" w:hAnsi="Times New Roman" w:cs="Times New Roman"/>
          <w:sz w:val="24"/>
          <w:szCs w:val="24"/>
        </w:rPr>
        <w:t>Mg</w:t>
      </w:r>
      <w:r w:rsidR="004E5FFD" w:rsidRPr="00F07DEB">
        <w:rPr>
          <w:rFonts w:ascii="Times New Roman" w:hAnsi="Times New Roman" w:cs="Times New Roman"/>
          <w:sz w:val="24"/>
          <w:szCs w:val="24"/>
        </w:rPr>
        <w:t xml:space="preserve"> in various sorghum structures depending on when salt stress occurred</w:t>
      </w:r>
      <w:r w:rsidR="003B0632" w:rsidRPr="00F07DEB">
        <w:rPr>
          <w:rFonts w:ascii="Times New Roman" w:hAnsi="Times New Roman" w:cs="Times New Roman"/>
          <w:sz w:val="24"/>
          <w:szCs w:val="24"/>
        </w:rPr>
        <w:t xml:space="preserve">; similar decreases in grain weight and quantity as well as diminished uptake of the aforementioned elements in addition to nitrogen, </w:t>
      </w:r>
      <w:r w:rsidR="009678A2">
        <w:rPr>
          <w:rFonts w:ascii="Times New Roman" w:hAnsi="Times New Roman" w:cs="Times New Roman"/>
          <w:sz w:val="24"/>
          <w:szCs w:val="24"/>
        </w:rPr>
        <w:t>Ca</w:t>
      </w:r>
      <w:r w:rsidR="003B0632" w:rsidRPr="00F07DEB">
        <w:rPr>
          <w:rFonts w:ascii="Times New Roman" w:hAnsi="Times New Roman" w:cs="Times New Roman"/>
          <w:sz w:val="24"/>
          <w:szCs w:val="24"/>
        </w:rPr>
        <w:t xml:space="preserve">, and </w:t>
      </w:r>
      <w:r w:rsidR="009678A2">
        <w:rPr>
          <w:rFonts w:ascii="Times New Roman" w:hAnsi="Times New Roman" w:cs="Times New Roman"/>
          <w:sz w:val="24"/>
          <w:szCs w:val="24"/>
        </w:rPr>
        <w:t xml:space="preserve">Fe </w:t>
      </w:r>
      <w:r w:rsidR="003B0632" w:rsidRPr="00F07DEB">
        <w:rPr>
          <w:rFonts w:ascii="Times New Roman" w:hAnsi="Times New Roman" w:cs="Times New Roman"/>
          <w:sz w:val="24"/>
          <w:szCs w:val="24"/>
        </w:rPr>
        <w:t xml:space="preserve">have been attributed to </w:t>
      </w:r>
      <w:r w:rsidR="009678A2">
        <w:rPr>
          <w:rFonts w:ascii="Times New Roman" w:hAnsi="Times New Roman" w:cs="Times New Roman"/>
          <w:sz w:val="24"/>
          <w:szCs w:val="24"/>
        </w:rPr>
        <w:t>Na</w:t>
      </w:r>
      <w:r w:rsidR="003B0632" w:rsidRPr="00F07DEB">
        <w:rPr>
          <w:rFonts w:ascii="Times New Roman" w:hAnsi="Times New Roman" w:cs="Times New Roman"/>
          <w:sz w:val="24"/>
          <w:szCs w:val="24"/>
        </w:rPr>
        <w:t xml:space="preserve"> toxicity in corn plants</w:t>
      </w:r>
      <w:r w:rsidR="004E5FFD" w:rsidRPr="00F07DEB">
        <w:rPr>
          <w:rFonts w:ascii="Times New Roman" w:hAnsi="Times New Roman" w:cs="Times New Roman"/>
          <w:sz w:val="24"/>
          <w:szCs w:val="24"/>
        </w:rPr>
        <w:t xml:space="preserve"> </w:t>
      </w:r>
      <w:r w:rsidR="004E5FFD" w:rsidRPr="00F07DEB">
        <w:rPr>
          <w:rFonts w:ascii="Times New Roman" w:hAnsi="Times New Roman" w:cs="Times New Roman"/>
          <w:sz w:val="24"/>
          <w:szCs w:val="24"/>
        </w:rPr>
        <w:fldChar w:fldCharType="begin"/>
      </w:r>
      <w:r w:rsidR="006811C1" w:rsidRPr="00F07DEB">
        <w:rPr>
          <w:rFonts w:ascii="Times New Roman" w:hAnsi="Times New Roman" w:cs="Times New Roman"/>
          <w:sz w:val="24"/>
          <w:szCs w:val="24"/>
        </w:rPr>
        <w:instrText xml:space="preserve"> ADDIN ZOTERO_ITEM CSL_CITATION {"citationID":"a2hbd7v1p1c","properties":{"formattedCitation":"(Farooq et al., 2015; Maas et al., 1986)","plainCitation":"(Farooq et al., 2015; Maas et al., 1986)","noteIndex":0},"citationItems":[{"id":879,"uris":["http://zotero.org/users/5446453/items/HLXJX22K"],"uri":["http://zotero.org/users/5446453/items/HLXJX22K"],"itemData":{"id":879,"type":"article-journal","abstract":"Maize is grown under a wide spectrum of soil and climatic conditions. Maize is moderately sensitive to salt stress; therefore, soil salinity is a serious threat to its production worldwide. Understanding maize response to salt stress and resistance mechanisms and overviewing management options may help to devise strategies for improved maize performance in saline environments. Here, we reviewed the effects, resistance mechanisms, and management of salt stress in maize. Our main conclusions are as follows: (1) germination and stand establishment are more sensitive to salt stress than later developmental stages. (2) High rhizosphere sodium and chloride decrease plant uptake of nitrogen, potassium, calcium, magnesium, and iron. (3) Reduced grain weight and number are responsible for low grain yield in maize under salt stress. Sink limitations and reduced acid invertase activity in developing grains is responsible for poor kernel setting under salt stress. (4) Exclusion of excessive sodium or its compartmentation into vacuoles is an important adaptive strategy for maize under salt stress. (5) Apoplastic acidification, required for cell wall extensibility, is an important indicator of salt resistance, but not essential for better maize growth under salt stress. (6) Upregulation of antioxidant defense genes and β-expansin proteins is important for salt resistance in maize. (7) Arbuscular mycorrhizal fungi improve salt resistance in maize due to better plant nutrient availability. (8) Seed priming is an effective approach for improving maize germination under salt stress. (9) Integration of screening, breeding and ion homeostasis mechanisms into a functional paradigm for the whole plant may help to enhance salt resistance in maize.","container-title":"Agronomy for Sustainable Development","DOI":"10.1007/s13593-015-0287-0","ISSN":"1773-0155","issue":"2","journalAbbreviation":"Agron. Sustain. Dev.","language":"en","page":"461-481","source":"Springer Link","title":"Salt stress in maize: effects, resistance mechanisms, and management. A review","title-short":"Salt stress in maize","volume":"35","author":[{"family":"Farooq","given":"Muhammad"},{"family":"Hussain","given":"Mubshar"},{"family":"Wakeel","given":"Abdul"},{"family":"Siddique","given":"Kadambot H. M."}],"issued":{"date-parts":[["2015",4,1]]}}},{"id":878,"uris":["http://zotero.org/users/5446453/items/6UQR8UM8"],"uri":["http://zotero.org/users/5446453/items/6UQR8UM8"],"itemData":{"id":878,"type":"article-journal","abstract":"The relative salt tolerance o f two sorghum cultivars [Sorghum bicolor (L.) Moench., cvs. Northrup King 265 and Asgrow Double TX] at three different stages of growth was determined in a greenhouse experiment. Plants were grown in sand cultures irrigated four times daily with modified Hoagland's solution. A nonsaline solution and six solutions salinized with NaC1 and CaC12 (2 : 1 molar ratio) provided treatments with osmotic potentials 0Ps) ranging from -0.05 to -1.05 MPa. The saline treatments were imposed for 30 days beginning at either Stage 1, 4, or 7 as defined by Vanderlip and Reeves (Agron J. 64:13, 1972). The 30-day stages are referred to here as the vegetative, reproductive and maturation stages although the first stage may have included initial panicle differentiation. Both cultivars were most sensitive to salinity during the vegetative stage and least sensitive during maturation. Based on a nonlinear leastsquares analysis, grain yield reductions of 50% were predicted at ~ps=-0.68, -1.02, and -1.14MPa for NK265 and at -0.62, -1.00, and -1.10MPa for Double TX when salinized during the vegetative, reproductive, and maturation stages, respectively. Although salinity had no significant effect on mean kernel weights, significant growth stage effects and interaction indicated that kernels were heaviest for plants salinized during the vegetative stage. Stover yields were significantly reduced by salination during the vegetative stage but were unaffected when plants were salinized during the maturation stage. Salination during the reproductive stage also decreased stover yield of Double TX but the effect was smaller than that during the first stage. Stover yield of NK265 was unaffected by salinity at this stage.","container-title":"Irrigation Science","DOI":"10.1007/BF00255690","ISSN":"0342-7188, 1432-1319","issue":"1","journalAbbreviation":"Irrig Sci","language":"en","source":"DOI.org (Crossref)","title":"Salinity sensitivity of sorghum at three growth stages","URL":"http://link.springer.com/10.1007/BF00255690","volume":"7","author":[{"family":"Maas","given":"E.V."},{"family":"Poss","given":"J.A."},{"family":"Hoffman","given":"G.J."}],"accessed":{"date-parts":[["2020",11,14]]},"issued":{"date-parts":[["1986",4]]}}}],"schema":"https://github.com/citation-style-language/schema/raw/master/csl-citation.json"} </w:instrText>
      </w:r>
      <w:r w:rsidR="004E5FFD"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(Farooq et al., 2015; Maas et al., 1986)</w:t>
      </w:r>
      <w:r w:rsidR="004E5FFD" w:rsidRPr="00F07DEB">
        <w:rPr>
          <w:rFonts w:ascii="Times New Roman" w:hAnsi="Times New Roman" w:cs="Times New Roman"/>
          <w:sz w:val="24"/>
          <w:szCs w:val="24"/>
        </w:rPr>
        <w:fldChar w:fldCharType="end"/>
      </w:r>
      <w:r w:rsidR="004E5FFD" w:rsidRPr="00F07DEB">
        <w:rPr>
          <w:rFonts w:ascii="Times New Roman" w:hAnsi="Times New Roman" w:cs="Times New Roman"/>
          <w:sz w:val="24"/>
          <w:szCs w:val="24"/>
        </w:rPr>
        <w:t xml:space="preserve">. </w:t>
      </w:r>
      <w:r w:rsidR="00311171" w:rsidRPr="00F07DEB">
        <w:rPr>
          <w:rFonts w:ascii="Times New Roman" w:hAnsi="Times New Roman" w:cs="Times New Roman"/>
          <w:sz w:val="24"/>
          <w:szCs w:val="24"/>
        </w:rPr>
        <w:t xml:space="preserve">Salt-tolerant corn hybrids have been developed </w:t>
      </w:r>
      <w:r w:rsidR="007D5066" w:rsidRPr="00F07DEB">
        <w:rPr>
          <w:rFonts w:ascii="Times New Roman" w:hAnsi="Times New Roman" w:cs="Times New Roman"/>
          <w:sz w:val="24"/>
          <w:szCs w:val="24"/>
        </w:rPr>
        <w:t>to</w:t>
      </w:r>
      <w:r w:rsidR="00311171" w:rsidRPr="00F07DEB">
        <w:rPr>
          <w:rFonts w:ascii="Times New Roman" w:hAnsi="Times New Roman" w:cs="Times New Roman"/>
          <w:sz w:val="24"/>
          <w:szCs w:val="24"/>
        </w:rPr>
        <w:t xml:space="preserve"> mitigate direct </w:t>
      </w:r>
      <w:r w:rsidR="009678A2">
        <w:rPr>
          <w:rFonts w:ascii="Times New Roman" w:hAnsi="Times New Roman" w:cs="Times New Roman"/>
          <w:sz w:val="24"/>
          <w:szCs w:val="24"/>
        </w:rPr>
        <w:t>Na</w:t>
      </w:r>
      <w:r w:rsidR="00311171" w:rsidRPr="00F07DEB">
        <w:rPr>
          <w:rFonts w:ascii="Times New Roman" w:hAnsi="Times New Roman" w:cs="Times New Roman"/>
          <w:sz w:val="24"/>
          <w:szCs w:val="24"/>
        </w:rPr>
        <w:t xml:space="preserve"> toxicity by accumulating the element in old leaves which are then shed from the plant, but this adaptation does not address indirect toxicity from salinization of soil and the resulting decreases in available soil water </w:t>
      </w:r>
      <w:r w:rsidR="00311171"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{"citationID":"arp6o437ht","properties":{"formattedCitation":"(Ayers &amp; Westcot, 1985a; Gao et al., 2016; Pearson, 2003)","plainCitation":"(Ayers &amp; Westcot, 1985a; Gao et al., 2016; Pearson, 2003)","dontUpdate":true,"noteIndex":0},"citationItems":[{"id":415,"uris":["http://zotero.org/users/5446453/items/5W5EXXQA"],"uri":["http://zotero.org/users/5446453/items/5W5EXXQA"],"itemData":{"id":415,"type":"webpage","container-title":"Food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id":695,"uris":["http://zotero.org/users/5446453/items/HMBDQ5TZ"],"uri":["http://zotero.org/users/5446453/items/HMBDQ5TZ"],"itemData":{"id":695,"type":"article-journal","abstract":"Maize is moderately sensitive to salt stress; therefore, soil salinity is a serious threat to its production worldwide. Here, excellent salt-tolerant maize inbred line TL1317 and extremely salt-sensitive maize inbred line SL1303 were screened to understand the maize response to salt stress and its tolerance mechanisms. Relative water content, membrane stability index, stomatal conductance, chlorophyll content, maximum photochemical efficiency, photochemical efficiency, shoot and root fresh/dry weight, and proline and water soluble sugar content analyses were used to identify that the physiological effects of osmotic stress of salt stress were obvious and manifested at about 3 days after salt stress in maize. Moreover, the ion concentration of two maize inbred lines revealed that the salt-tolerant maize inbred line could maintain low Na+ concentration by accumulating Na+ in old leaves and gradually shedding them to exclude excessive Na+. Furthermore, the K+ uptake and retention abilities of roots were important in maintaining K+ homeostasis for salt tolerance in maize. RNA-seq and qPCR results revealed some Na+/H+ antiporter genes and Ca2+ transport genes were up-regulated faster and higher in TL1317 than those in SL1303. Some K+ transport genes were down-regulated in SL1303 but up-regulated in TL1317. RNA-seq results, along with the phenotype and physiological results, suggested that the salt-tolerant maize inbred line TL1317 possesses more rapidly and effectively responses to remove toxic Na+ ions and maintain K+ under salt stress than the salt-sensitive maize inbred line SL1303. This response should facilitate cell homoeostasis under salt stress and result in salt tolerance in TL1317.","container-title":"Frontiers in Plant Science","DOI":"10.3389/fpls.2016.01716","ISSN":"1664-462X","issue":"1716","journalAbbreviation":"Front. Plant Sci.","language":"English","note":"publisher: Frontiers","page":"1-15","source":"Frontiers","title":"Ability to Remove Na+ and Retain K+ Correlates with Salt Tolerance in Two Maize Inbred Lines Seedlings","volume":"7","author":[{"family":"Gao","given":"Yong"},{"family":"Lu","given":"Yi"},{"family":"Wu","given":"Meiqin"},{"family":"Liang","given":"Enxing"},{"family":"Li","given":"Yan"},{"family":"Zhang","given":"Dongping"},{"family":"Yin","given":"Zhitong"},{"family":"Ren","given":"Xiaoyun"},{"family":"Dai","given":"Yi"},{"family":"Deng","given":"Dexiang"},{"family":"Chen","given":"Jianmin"}],"issued":{"date-parts":[["2016",11,16]]}}},{"id":826,"uris":["http://zotero.org/users/5446453/items/VQJM4BFV"],"uri":["http://zotero.org/users/5446453/items/VQJM4BFV"],"itemData":{"id":826,"type":"webpage","container-title":"Montana State University Extension","title":"Basics of Salinity and Sodicity Effects on Soil Physical Properties","URL":"https://waterquality.montana.edu/energy/cbm/background/soil-prop.html","author":[{"family":"Pearson","given":"Krista E."}],"accessed":{"date-parts":[["2020",11,12]]},"issued":{"date-parts":[["2003"]]}}}],"schema":"https://github.com/citation-style-language/schema/raw/master/csl-citation.json"} </w:instrText>
      </w:r>
      <w:r w:rsidR="00311171" w:rsidRPr="00F07DEB">
        <w:rPr>
          <w:rFonts w:ascii="Times New Roman" w:hAnsi="Times New Roman" w:cs="Times New Roman"/>
          <w:sz w:val="24"/>
          <w:szCs w:val="24"/>
        </w:rPr>
        <w:fldChar w:fldCharType="separate"/>
      </w:r>
      <w:r w:rsidR="006811C1" w:rsidRPr="00F07DEB">
        <w:rPr>
          <w:rFonts w:ascii="Times New Roman" w:hAnsi="Times New Roman" w:cs="Times New Roman"/>
          <w:sz w:val="24"/>
          <w:szCs w:val="24"/>
        </w:rPr>
        <w:t xml:space="preserve">(Ayers </w:t>
      </w:r>
      <w:r w:rsidR="002A6AB5">
        <w:rPr>
          <w:rFonts w:ascii="Times New Roman" w:hAnsi="Times New Roman" w:cs="Times New Roman"/>
          <w:sz w:val="24"/>
          <w:szCs w:val="24"/>
        </w:rPr>
        <w:t>and</w:t>
      </w:r>
      <w:r w:rsidR="006811C1" w:rsidRPr="00F07DEB">
        <w:rPr>
          <w:rFonts w:ascii="Times New Roman" w:hAnsi="Times New Roman" w:cs="Times New Roman"/>
          <w:sz w:val="24"/>
          <w:szCs w:val="24"/>
        </w:rPr>
        <w:t xml:space="preserve"> Westcot, 1985a; Gao et al., 2016; Pearson, 2003)</w:t>
      </w:r>
      <w:r w:rsidR="00311171" w:rsidRPr="00F07DEB">
        <w:rPr>
          <w:rFonts w:ascii="Times New Roman" w:hAnsi="Times New Roman" w:cs="Times New Roman"/>
          <w:sz w:val="24"/>
          <w:szCs w:val="24"/>
        </w:rPr>
        <w:fldChar w:fldCharType="end"/>
      </w:r>
      <w:r w:rsidR="00311171" w:rsidRPr="00F07DEB">
        <w:rPr>
          <w:rFonts w:ascii="Times New Roman" w:hAnsi="Times New Roman" w:cs="Times New Roman"/>
          <w:sz w:val="24"/>
          <w:szCs w:val="24"/>
        </w:rPr>
        <w:t>.</w:t>
      </w:r>
      <w:r w:rsidR="007D5066" w:rsidRPr="00F07DEB">
        <w:rPr>
          <w:rFonts w:ascii="Times New Roman" w:hAnsi="Times New Roman" w:cs="Times New Roman"/>
          <w:sz w:val="24"/>
          <w:szCs w:val="24"/>
        </w:rPr>
        <w:t xml:space="preserve"> </w:t>
      </w:r>
      <w:bookmarkStart w:id="149" w:name="_Ref56260121"/>
    </w:p>
    <w:p w14:paraId="1CCB3B68" w14:textId="153DFCEB" w:rsidR="000B31CB" w:rsidRPr="00F07DEB" w:rsidRDefault="000B31CB" w:rsidP="00204C13">
      <w:pPr>
        <w:pStyle w:val="Caption"/>
      </w:pPr>
      <w:bookmarkStart w:id="150" w:name="_Toc58975208"/>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22</w:t>
      </w:r>
      <w:r w:rsidR="00DE3B90" w:rsidRPr="00F07DEB">
        <w:rPr>
          <w:noProof/>
        </w:rPr>
        <w:fldChar w:fldCharType="end"/>
      </w:r>
      <w:bookmarkEnd w:id="149"/>
      <w:r w:rsidRPr="00F07DEB">
        <w:t xml:space="preserve">: Means, standard deviations of plant Na concentrations in mg/kg </w:t>
      </w:r>
      <w:r w:rsidR="008701DF" w:rsidRPr="00F07DEB">
        <w:t>compared via</w:t>
      </w:r>
      <w:r w:rsidRPr="00F07DEB">
        <w:t xml:space="preserve"> mixed ANOVA</w:t>
      </w:r>
      <w:bookmarkEnd w:id="150"/>
      <w:r w:rsidRPr="00F07DEB">
        <w:t xml:space="preserve"> </w:t>
      </w:r>
    </w:p>
    <w:tbl>
      <w:tblPr>
        <w:tblW w:w="5000" w:type="pct"/>
        <w:tblLook w:val="04A0" w:firstRow="1" w:lastRow="0" w:firstColumn="1" w:lastColumn="0" w:noHBand="0" w:noVBand="1"/>
      </w:tblPr>
      <w:tblGrid>
        <w:gridCol w:w="1849"/>
        <w:gridCol w:w="1394"/>
        <w:gridCol w:w="1191"/>
        <w:gridCol w:w="1395"/>
        <w:gridCol w:w="1191"/>
        <w:gridCol w:w="1181"/>
        <w:gridCol w:w="1159"/>
      </w:tblGrid>
      <w:tr w:rsidR="009D49F2" w:rsidRPr="00F07DEB" w14:paraId="04191DC2" w14:textId="77777777" w:rsidTr="009D49F2">
        <w:trPr>
          <w:trHeight w:val="258"/>
        </w:trPr>
        <w:tc>
          <w:tcPr>
            <w:tcW w:w="988" w:type="pct"/>
            <w:tcBorders>
              <w:top w:val="single" w:sz="8" w:space="0" w:color="auto"/>
              <w:left w:val="nil"/>
              <w:bottom w:val="nil"/>
              <w:right w:val="nil"/>
            </w:tcBorders>
            <w:shd w:val="clear" w:color="auto" w:fill="auto"/>
            <w:noWrap/>
            <w:vAlign w:val="bottom"/>
            <w:hideMark/>
          </w:tcPr>
          <w:p w14:paraId="1999E3FB" w14:textId="77777777" w:rsidR="009D49F2" w:rsidRPr="00F07DEB" w:rsidRDefault="009D49F2" w:rsidP="009D49F2">
            <w:pPr>
              <w:spacing w:after="0" w:line="240" w:lineRule="auto"/>
              <w:rPr>
                <w:rFonts w:ascii="Times New Roman" w:eastAsia="Times New Roman" w:hAnsi="Times New Roman" w:cs="Times New Roman"/>
                <w:sz w:val="24"/>
                <w:szCs w:val="24"/>
                <w:lang w:eastAsia="en-US"/>
              </w:rPr>
            </w:pPr>
          </w:p>
        </w:tc>
        <w:tc>
          <w:tcPr>
            <w:tcW w:w="2762" w:type="pct"/>
            <w:gridSpan w:val="4"/>
            <w:tcBorders>
              <w:top w:val="single" w:sz="8" w:space="0" w:color="auto"/>
              <w:left w:val="nil"/>
              <w:bottom w:val="nil"/>
              <w:right w:val="nil"/>
            </w:tcBorders>
            <w:shd w:val="clear" w:color="auto" w:fill="auto"/>
            <w:noWrap/>
            <w:vAlign w:val="bottom"/>
            <w:hideMark/>
          </w:tcPr>
          <w:p w14:paraId="3FCBC915" w14:textId="77777777" w:rsidR="009D49F2" w:rsidRPr="00F07DEB" w:rsidRDefault="009D49F2" w:rsidP="009D49F2">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Treatment</w:t>
            </w:r>
          </w:p>
        </w:tc>
        <w:tc>
          <w:tcPr>
            <w:tcW w:w="631" w:type="pct"/>
            <w:tcBorders>
              <w:top w:val="single" w:sz="8" w:space="0" w:color="auto"/>
              <w:left w:val="nil"/>
              <w:bottom w:val="nil"/>
              <w:right w:val="nil"/>
            </w:tcBorders>
            <w:shd w:val="clear" w:color="auto" w:fill="auto"/>
            <w:noWrap/>
            <w:vAlign w:val="bottom"/>
            <w:hideMark/>
          </w:tcPr>
          <w:p w14:paraId="07EE0D9D" w14:textId="77777777" w:rsidR="009D49F2" w:rsidRPr="00F07DEB" w:rsidRDefault="009D49F2" w:rsidP="009D49F2">
            <w:pPr>
              <w:spacing w:after="0" w:line="240" w:lineRule="auto"/>
              <w:jc w:val="center"/>
              <w:rPr>
                <w:rFonts w:ascii="Times New Roman" w:eastAsia="Times New Roman" w:hAnsi="Times New Roman" w:cs="Times New Roman"/>
                <w:color w:val="000000"/>
                <w:sz w:val="20"/>
                <w:szCs w:val="20"/>
                <w:lang w:eastAsia="en-US"/>
              </w:rPr>
            </w:pPr>
          </w:p>
        </w:tc>
        <w:tc>
          <w:tcPr>
            <w:tcW w:w="619" w:type="pct"/>
            <w:tcBorders>
              <w:top w:val="single" w:sz="8" w:space="0" w:color="auto"/>
              <w:left w:val="nil"/>
              <w:bottom w:val="nil"/>
              <w:right w:val="nil"/>
            </w:tcBorders>
            <w:shd w:val="clear" w:color="auto" w:fill="auto"/>
            <w:noWrap/>
            <w:vAlign w:val="bottom"/>
            <w:hideMark/>
          </w:tcPr>
          <w:p w14:paraId="528CF17D"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r>
      <w:tr w:rsidR="009D49F2" w:rsidRPr="00F07DEB" w14:paraId="707E6E4E" w14:textId="77777777" w:rsidTr="009D49F2">
        <w:trPr>
          <w:trHeight w:val="266"/>
        </w:trPr>
        <w:tc>
          <w:tcPr>
            <w:tcW w:w="988" w:type="pct"/>
            <w:tcBorders>
              <w:top w:val="nil"/>
              <w:left w:val="nil"/>
              <w:bottom w:val="nil"/>
              <w:right w:val="nil"/>
            </w:tcBorders>
            <w:shd w:val="clear" w:color="auto" w:fill="auto"/>
            <w:noWrap/>
            <w:vAlign w:val="bottom"/>
            <w:hideMark/>
          </w:tcPr>
          <w:p w14:paraId="52974AAE"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1381" w:type="pct"/>
            <w:gridSpan w:val="2"/>
            <w:tcBorders>
              <w:top w:val="nil"/>
              <w:left w:val="nil"/>
              <w:bottom w:val="single" w:sz="8" w:space="0" w:color="auto"/>
              <w:right w:val="nil"/>
            </w:tcBorders>
            <w:shd w:val="clear" w:color="auto" w:fill="auto"/>
            <w:noWrap/>
            <w:vAlign w:val="bottom"/>
            <w:hideMark/>
          </w:tcPr>
          <w:p w14:paraId="1118DFB0" w14:textId="77777777" w:rsidR="009D49F2" w:rsidRPr="00F07DEB" w:rsidRDefault="009D49F2" w:rsidP="009D49F2">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Groundwater</w:t>
            </w:r>
          </w:p>
        </w:tc>
        <w:tc>
          <w:tcPr>
            <w:tcW w:w="1381" w:type="pct"/>
            <w:gridSpan w:val="2"/>
            <w:tcBorders>
              <w:top w:val="nil"/>
              <w:left w:val="nil"/>
              <w:bottom w:val="single" w:sz="8" w:space="0" w:color="auto"/>
              <w:right w:val="nil"/>
            </w:tcBorders>
            <w:shd w:val="clear" w:color="auto" w:fill="auto"/>
            <w:noWrap/>
            <w:vAlign w:val="bottom"/>
            <w:hideMark/>
          </w:tcPr>
          <w:p w14:paraId="024A1AB0" w14:textId="77777777" w:rsidR="009D49F2" w:rsidRPr="00F07DEB" w:rsidRDefault="009D49F2" w:rsidP="009D49F2">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Mine water</w:t>
            </w:r>
          </w:p>
        </w:tc>
        <w:tc>
          <w:tcPr>
            <w:tcW w:w="631" w:type="pct"/>
            <w:tcBorders>
              <w:top w:val="nil"/>
              <w:left w:val="nil"/>
              <w:bottom w:val="nil"/>
              <w:right w:val="nil"/>
            </w:tcBorders>
            <w:shd w:val="clear" w:color="auto" w:fill="auto"/>
            <w:noWrap/>
            <w:vAlign w:val="bottom"/>
            <w:hideMark/>
          </w:tcPr>
          <w:p w14:paraId="6FEE8ACE" w14:textId="77777777" w:rsidR="009D49F2" w:rsidRPr="00F07DEB" w:rsidRDefault="009D49F2" w:rsidP="009D49F2">
            <w:pPr>
              <w:spacing w:after="0" w:line="240" w:lineRule="auto"/>
              <w:jc w:val="center"/>
              <w:rPr>
                <w:rFonts w:ascii="Times New Roman" w:eastAsia="Times New Roman" w:hAnsi="Times New Roman" w:cs="Times New Roman"/>
                <w:color w:val="000000"/>
                <w:sz w:val="20"/>
                <w:szCs w:val="20"/>
                <w:lang w:eastAsia="en-US"/>
              </w:rPr>
            </w:pPr>
          </w:p>
        </w:tc>
        <w:tc>
          <w:tcPr>
            <w:tcW w:w="619" w:type="pct"/>
            <w:vMerge w:val="restart"/>
            <w:tcBorders>
              <w:top w:val="nil"/>
              <w:left w:val="nil"/>
              <w:bottom w:val="single" w:sz="8" w:space="0" w:color="000000"/>
              <w:right w:val="nil"/>
            </w:tcBorders>
            <w:shd w:val="clear" w:color="auto" w:fill="auto"/>
            <w:vAlign w:val="bottom"/>
            <w:hideMark/>
          </w:tcPr>
          <w:p w14:paraId="2D4FFBDF" w14:textId="31F7512B"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Effect size</w:t>
            </w:r>
          </w:p>
        </w:tc>
      </w:tr>
      <w:tr w:rsidR="009D49F2" w:rsidRPr="00F07DEB" w14:paraId="0141237E" w14:textId="77777777" w:rsidTr="009D49F2">
        <w:trPr>
          <w:trHeight w:val="266"/>
        </w:trPr>
        <w:tc>
          <w:tcPr>
            <w:tcW w:w="988" w:type="pct"/>
            <w:tcBorders>
              <w:top w:val="nil"/>
              <w:left w:val="nil"/>
              <w:bottom w:val="single" w:sz="8" w:space="0" w:color="auto"/>
              <w:right w:val="nil"/>
            </w:tcBorders>
            <w:shd w:val="clear" w:color="auto" w:fill="auto"/>
            <w:noWrap/>
            <w:vAlign w:val="center"/>
            <w:hideMark/>
          </w:tcPr>
          <w:p w14:paraId="3D5A8D70"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Structure</w:t>
            </w:r>
          </w:p>
        </w:tc>
        <w:tc>
          <w:tcPr>
            <w:tcW w:w="745" w:type="pct"/>
            <w:tcBorders>
              <w:top w:val="nil"/>
              <w:left w:val="nil"/>
              <w:bottom w:val="single" w:sz="8" w:space="0" w:color="auto"/>
              <w:right w:val="nil"/>
            </w:tcBorders>
            <w:shd w:val="clear" w:color="auto" w:fill="auto"/>
            <w:noWrap/>
            <w:vAlign w:val="center"/>
            <w:hideMark/>
          </w:tcPr>
          <w:p w14:paraId="55F0D921"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636" w:type="pct"/>
            <w:tcBorders>
              <w:top w:val="nil"/>
              <w:left w:val="nil"/>
              <w:bottom w:val="single" w:sz="8" w:space="0" w:color="auto"/>
              <w:right w:val="nil"/>
            </w:tcBorders>
            <w:shd w:val="clear" w:color="auto" w:fill="auto"/>
            <w:noWrap/>
            <w:vAlign w:val="center"/>
            <w:hideMark/>
          </w:tcPr>
          <w:p w14:paraId="13C69FDB"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745" w:type="pct"/>
            <w:tcBorders>
              <w:top w:val="nil"/>
              <w:left w:val="nil"/>
              <w:bottom w:val="single" w:sz="8" w:space="0" w:color="auto"/>
              <w:right w:val="nil"/>
            </w:tcBorders>
            <w:shd w:val="clear" w:color="auto" w:fill="auto"/>
            <w:noWrap/>
            <w:vAlign w:val="center"/>
            <w:hideMark/>
          </w:tcPr>
          <w:p w14:paraId="45EF585E"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636" w:type="pct"/>
            <w:tcBorders>
              <w:top w:val="nil"/>
              <w:left w:val="nil"/>
              <w:bottom w:val="single" w:sz="8" w:space="0" w:color="auto"/>
              <w:right w:val="nil"/>
            </w:tcBorders>
            <w:shd w:val="clear" w:color="auto" w:fill="auto"/>
            <w:noWrap/>
            <w:vAlign w:val="center"/>
            <w:hideMark/>
          </w:tcPr>
          <w:p w14:paraId="0A1DF6C0"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631" w:type="pct"/>
            <w:tcBorders>
              <w:top w:val="nil"/>
              <w:left w:val="nil"/>
              <w:bottom w:val="single" w:sz="8" w:space="0" w:color="auto"/>
              <w:right w:val="nil"/>
            </w:tcBorders>
            <w:shd w:val="clear" w:color="auto" w:fill="auto"/>
            <w:noWrap/>
            <w:vAlign w:val="center"/>
            <w:hideMark/>
          </w:tcPr>
          <w:p w14:paraId="3A8FED1B" w14:textId="77777777" w:rsidR="009D49F2" w:rsidRPr="00F07DEB" w:rsidRDefault="009D49F2" w:rsidP="009D49F2">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619" w:type="pct"/>
            <w:vMerge/>
            <w:tcBorders>
              <w:top w:val="nil"/>
              <w:left w:val="nil"/>
              <w:bottom w:val="single" w:sz="8" w:space="0" w:color="000000"/>
              <w:right w:val="nil"/>
            </w:tcBorders>
            <w:vAlign w:val="center"/>
            <w:hideMark/>
          </w:tcPr>
          <w:p w14:paraId="3E87F7FB"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r>
      <w:tr w:rsidR="009D49F2" w:rsidRPr="00F07DEB" w14:paraId="270E221B" w14:textId="77777777" w:rsidTr="009D49F2">
        <w:trPr>
          <w:trHeight w:val="258"/>
        </w:trPr>
        <w:tc>
          <w:tcPr>
            <w:tcW w:w="988" w:type="pct"/>
            <w:tcBorders>
              <w:top w:val="nil"/>
              <w:left w:val="nil"/>
              <w:bottom w:val="nil"/>
              <w:right w:val="nil"/>
            </w:tcBorders>
            <w:shd w:val="clear" w:color="auto" w:fill="auto"/>
            <w:noWrap/>
            <w:vAlign w:val="center"/>
            <w:hideMark/>
          </w:tcPr>
          <w:p w14:paraId="3AFB3AF1"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Corn</w:t>
            </w:r>
          </w:p>
        </w:tc>
        <w:tc>
          <w:tcPr>
            <w:tcW w:w="745" w:type="pct"/>
            <w:tcBorders>
              <w:top w:val="nil"/>
              <w:left w:val="nil"/>
              <w:bottom w:val="nil"/>
              <w:right w:val="nil"/>
            </w:tcBorders>
            <w:shd w:val="clear" w:color="auto" w:fill="auto"/>
            <w:noWrap/>
            <w:vAlign w:val="center"/>
            <w:hideMark/>
          </w:tcPr>
          <w:p w14:paraId="531102CC"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c>
          <w:tcPr>
            <w:tcW w:w="636" w:type="pct"/>
            <w:tcBorders>
              <w:top w:val="nil"/>
              <w:left w:val="nil"/>
              <w:bottom w:val="nil"/>
              <w:right w:val="nil"/>
            </w:tcBorders>
            <w:shd w:val="clear" w:color="auto" w:fill="auto"/>
            <w:noWrap/>
            <w:vAlign w:val="center"/>
            <w:hideMark/>
          </w:tcPr>
          <w:p w14:paraId="4EA529D8"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745" w:type="pct"/>
            <w:tcBorders>
              <w:top w:val="nil"/>
              <w:left w:val="nil"/>
              <w:bottom w:val="nil"/>
              <w:right w:val="nil"/>
            </w:tcBorders>
            <w:shd w:val="clear" w:color="auto" w:fill="auto"/>
            <w:noWrap/>
            <w:vAlign w:val="center"/>
            <w:hideMark/>
          </w:tcPr>
          <w:p w14:paraId="3143263A"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36" w:type="pct"/>
            <w:tcBorders>
              <w:top w:val="nil"/>
              <w:left w:val="nil"/>
              <w:bottom w:val="nil"/>
              <w:right w:val="nil"/>
            </w:tcBorders>
            <w:shd w:val="clear" w:color="auto" w:fill="auto"/>
            <w:noWrap/>
            <w:vAlign w:val="center"/>
            <w:hideMark/>
          </w:tcPr>
          <w:p w14:paraId="781E41FA"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3BD61BE4"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19" w:type="pct"/>
            <w:tcBorders>
              <w:top w:val="nil"/>
              <w:left w:val="nil"/>
              <w:bottom w:val="nil"/>
              <w:right w:val="nil"/>
            </w:tcBorders>
            <w:shd w:val="clear" w:color="auto" w:fill="auto"/>
            <w:noWrap/>
            <w:vAlign w:val="center"/>
            <w:hideMark/>
          </w:tcPr>
          <w:p w14:paraId="1FF8CE46"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r>
      <w:tr w:rsidR="009D49F2" w:rsidRPr="00F07DEB" w14:paraId="5E12B4F1" w14:textId="77777777" w:rsidTr="009D49F2">
        <w:trPr>
          <w:trHeight w:val="258"/>
        </w:trPr>
        <w:tc>
          <w:tcPr>
            <w:tcW w:w="988" w:type="pct"/>
            <w:tcBorders>
              <w:top w:val="nil"/>
              <w:left w:val="nil"/>
              <w:bottom w:val="nil"/>
              <w:right w:val="nil"/>
            </w:tcBorders>
            <w:shd w:val="clear" w:color="auto" w:fill="auto"/>
            <w:noWrap/>
            <w:vAlign w:val="center"/>
            <w:hideMark/>
          </w:tcPr>
          <w:p w14:paraId="643F3502"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 (n = 3)</w:t>
            </w:r>
          </w:p>
        </w:tc>
        <w:tc>
          <w:tcPr>
            <w:tcW w:w="745" w:type="pct"/>
            <w:tcBorders>
              <w:top w:val="nil"/>
              <w:left w:val="nil"/>
              <w:bottom w:val="nil"/>
              <w:right w:val="nil"/>
            </w:tcBorders>
            <w:shd w:val="clear" w:color="auto" w:fill="auto"/>
            <w:noWrap/>
            <w:vAlign w:val="center"/>
            <w:hideMark/>
          </w:tcPr>
          <w:p w14:paraId="67E16757"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160.30</w:t>
            </w:r>
          </w:p>
        </w:tc>
        <w:tc>
          <w:tcPr>
            <w:tcW w:w="636" w:type="pct"/>
            <w:tcBorders>
              <w:top w:val="nil"/>
              <w:left w:val="nil"/>
              <w:bottom w:val="nil"/>
              <w:right w:val="nil"/>
            </w:tcBorders>
            <w:shd w:val="clear" w:color="auto" w:fill="auto"/>
            <w:noWrap/>
            <w:vAlign w:val="center"/>
            <w:hideMark/>
          </w:tcPr>
          <w:p w14:paraId="4D4657BC"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3.04</w:t>
            </w:r>
          </w:p>
        </w:tc>
        <w:tc>
          <w:tcPr>
            <w:tcW w:w="745" w:type="pct"/>
            <w:tcBorders>
              <w:top w:val="nil"/>
              <w:left w:val="nil"/>
              <w:bottom w:val="nil"/>
              <w:right w:val="nil"/>
            </w:tcBorders>
            <w:shd w:val="clear" w:color="auto" w:fill="auto"/>
            <w:noWrap/>
            <w:vAlign w:val="center"/>
            <w:hideMark/>
          </w:tcPr>
          <w:p w14:paraId="1EA0AD0D"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205.53</w:t>
            </w:r>
          </w:p>
        </w:tc>
        <w:tc>
          <w:tcPr>
            <w:tcW w:w="636" w:type="pct"/>
            <w:tcBorders>
              <w:top w:val="nil"/>
              <w:left w:val="nil"/>
              <w:bottom w:val="nil"/>
              <w:right w:val="nil"/>
            </w:tcBorders>
            <w:shd w:val="clear" w:color="auto" w:fill="auto"/>
            <w:noWrap/>
            <w:vAlign w:val="center"/>
            <w:hideMark/>
          </w:tcPr>
          <w:p w14:paraId="151B98D4"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c>
          <w:tcPr>
            <w:tcW w:w="631" w:type="pct"/>
            <w:tcBorders>
              <w:top w:val="nil"/>
              <w:left w:val="nil"/>
              <w:bottom w:val="nil"/>
              <w:right w:val="nil"/>
            </w:tcBorders>
            <w:shd w:val="clear" w:color="auto" w:fill="auto"/>
            <w:noWrap/>
            <w:vAlign w:val="center"/>
            <w:hideMark/>
          </w:tcPr>
          <w:p w14:paraId="5EC2ACF8"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19" w:type="pct"/>
            <w:tcBorders>
              <w:top w:val="nil"/>
              <w:left w:val="nil"/>
              <w:bottom w:val="nil"/>
              <w:right w:val="nil"/>
            </w:tcBorders>
            <w:shd w:val="clear" w:color="auto" w:fill="auto"/>
            <w:noWrap/>
            <w:vAlign w:val="center"/>
            <w:hideMark/>
          </w:tcPr>
          <w:p w14:paraId="6D728985"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r>
      <w:tr w:rsidR="009D49F2" w:rsidRPr="00F07DEB" w14:paraId="48874B13" w14:textId="77777777" w:rsidTr="009D49F2">
        <w:trPr>
          <w:trHeight w:val="266"/>
        </w:trPr>
        <w:tc>
          <w:tcPr>
            <w:tcW w:w="988" w:type="pct"/>
            <w:tcBorders>
              <w:top w:val="nil"/>
              <w:left w:val="nil"/>
              <w:bottom w:val="single" w:sz="8" w:space="0" w:color="auto"/>
              <w:right w:val="nil"/>
            </w:tcBorders>
            <w:shd w:val="clear" w:color="auto" w:fill="auto"/>
            <w:noWrap/>
            <w:vAlign w:val="center"/>
            <w:hideMark/>
          </w:tcPr>
          <w:p w14:paraId="0EB464A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745" w:type="pct"/>
            <w:tcBorders>
              <w:top w:val="nil"/>
              <w:left w:val="nil"/>
              <w:bottom w:val="single" w:sz="8" w:space="0" w:color="auto"/>
              <w:right w:val="nil"/>
            </w:tcBorders>
            <w:shd w:val="clear" w:color="auto" w:fill="auto"/>
            <w:noWrap/>
            <w:vAlign w:val="center"/>
            <w:hideMark/>
          </w:tcPr>
          <w:p w14:paraId="39874CF7"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2270.04</w:t>
            </w:r>
          </w:p>
        </w:tc>
        <w:tc>
          <w:tcPr>
            <w:tcW w:w="636" w:type="pct"/>
            <w:tcBorders>
              <w:top w:val="nil"/>
              <w:left w:val="nil"/>
              <w:bottom w:val="single" w:sz="8" w:space="0" w:color="auto"/>
              <w:right w:val="nil"/>
            </w:tcBorders>
            <w:shd w:val="clear" w:color="auto" w:fill="auto"/>
            <w:noWrap/>
            <w:vAlign w:val="center"/>
            <w:hideMark/>
          </w:tcPr>
          <w:p w14:paraId="16A06CD6"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652.17</w:t>
            </w:r>
          </w:p>
        </w:tc>
        <w:tc>
          <w:tcPr>
            <w:tcW w:w="745" w:type="pct"/>
            <w:tcBorders>
              <w:top w:val="nil"/>
              <w:left w:val="nil"/>
              <w:bottom w:val="single" w:sz="8" w:space="0" w:color="auto"/>
              <w:right w:val="nil"/>
            </w:tcBorders>
            <w:shd w:val="clear" w:color="auto" w:fill="auto"/>
            <w:noWrap/>
            <w:vAlign w:val="center"/>
            <w:hideMark/>
          </w:tcPr>
          <w:p w14:paraId="237BFDB3"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2238.03</w:t>
            </w:r>
          </w:p>
        </w:tc>
        <w:tc>
          <w:tcPr>
            <w:tcW w:w="636" w:type="pct"/>
            <w:tcBorders>
              <w:top w:val="nil"/>
              <w:left w:val="nil"/>
              <w:bottom w:val="single" w:sz="8" w:space="0" w:color="auto"/>
              <w:right w:val="nil"/>
            </w:tcBorders>
            <w:shd w:val="clear" w:color="auto" w:fill="auto"/>
            <w:noWrap/>
            <w:vAlign w:val="center"/>
            <w:hideMark/>
          </w:tcPr>
          <w:p w14:paraId="66C07918"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793.97</w:t>
            </w:r>
          </w:p>
        </w:tc>
        <w:tc>
          <w:tcPr>
            <w:tcW w:w="631" w:type="pct"/>
            <w:tcBorders>
              <w:top w:val="nil"/>
              <w:left w:val="nil"/>
              <w:bottom w:val="single" w:sz="8" w:space="0" w:color="auto"/>
              <w:right w:val="nil"/>
            </w:tcBorders>
            <w:shd w:val="clear" w:color="auto" w:fill="auto"/>
            <w:noWrap/>
            <w:vAlign w:val="center"/>
            <w:hideMark/>
          </w:tcPr>
          <w:p w14:paraId="00F268FC"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0.941</w:t>
            </w:r>
          </w:p>
        </w:tc>
        <w:tc>
          <w:tcPr>
            <w:tcW w:w="619" w:type="pct"/>
            <w:tcBorders>
              <w:top w:val="nil"/>
              <w:left w:val="nil"/>
              <w:bottom w:val="single" w:sz="8" w:space="0" w:color="auto"/>
              <w:right w:val="nil"/>
            </w:tcBorders>
            <w:shd w:val="clear" w:color="auto" w:fill="auto"/>
            <w:noWrap/>
            <w:vAlign w:val="center"/>
            <w:hideMark/>
          </w:tcPr>
          <w:p w14:paraId="6EB24829"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0.044</w:t>
            </w:r>
          </w:p>
        </w:tc>
      </w:tr>
      <w:tr w:rsidR="009D49F2" w:rsidRPr="00F07DEB" w14:paraId="1E8222C4" w14:textId="77777777" w:rsidTr="009D49F2">
        <w:trPr>
          <w:trHeight w:val="258"/>
        </w:trPr>
        <w:tc>
          <w:tcPr>
            <w:tcW w:w="988" w:type="pct"/>
            <w:tcBorders>
              <w:top w:val="nil"/>
              <w:left w:val="nil"/>
              <w:bottom w:val="nil"/>
              <w:right w:val="nil"/>
            </w:tcBorders>
            <w:shd w:val="clear" w:color="auto" w:fill="auto"/>
            <w:noWrap/>
            <w:vAlign w:val="center"/>
            <w:hideMark/>
          </w:tcPr>
          <w:p w14:paraId="0957F8CA"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Sorghum</w:t>
            </w:r>
          </w:p>
        </w:tc>
        <w:tc>
          <w:tcPr>
            <w:tcW w:w="745" w:type="pct"/>
            <w:tcBorders>
              <w:top w:val="nil"/>
              <w:left w:val="nil"/>
              <w:bottom w:val="nil"/>
              <w:right w:val="nil"/>
            </w:tcBorders>
            <w:shd w:val="clear" w:color="auto" w:fill="auto"/>
            <w:noWrap/>
            <w:vAlign w:val="center"/>
            <w:hideMark/>
          </w:tcPr>
          <w:p w14:paraId="0EF00B8B"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c>
          <w:tcPr>
            <w:tcW w:w="636" w:type="pct"/>
            <w:tcBorders>
              <w:top w:val="nil"/>
              <w:left w:val="nil"/>
              <w:bottom w:val="nil"/>
              <w:right w:val="nil"/>
            </w:tcBorders>
            <w:shd w:val="clear" w:color="auto" w:fill="auto"/>
            <w:noWrap/>
            <w:vAlign w:val="center"/>
            <w:hideMark/>
          </w:tcPr>
          <w:p w14:paraId="29F782C7"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745" w:type="pct"/>
            <w:tcBorders>
              <w:top w:val="nil"/>
              <w:left w:val="nil"/>
              <w:bottom w:val="nil"/>
              <w:right w:val="nil"/>
            </w:tcBorders>
            <w:shd w:val="clear" w:color="auto" w:fill="auto"/>
            <w:noWrap/>
            <w:vAlign w:val="center"/>
            <w:hideMark/>
          </w:tcPr>
          <w:p w14:paraId="1760D760"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36" w:type="pct"/>
            <w:tcBorders>
              <w:top w:val="nil"/>
              <w:left w:val="nil"/>
              <w:bottom w:val="nil"/>
              <w:right w:val="nil"/>
            </w:tcBorders>
            <w:shd w:val="clear" w:color="auto" w:fill="auto"/>
            <w:noWrap/>
            <w:vAlign w:val="center"/>
            <w:hideMark/>
          </w:tcPr>
          <w:p w14:paraId="7933317F"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3BFEDB1C"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19" w:type="pct"/>
            <w:tcBorders>
              <w:top w:val="nil"/>
              <w:left w:val="nil"/>
              <w:bottom w:val="nil"/>
              <w:right w:val="nil"/>
            </w:tcBorders>
            <w:shd w:val="clear" w:color="auto" w:fill="auto"/>
            <w:noWrap/>
            <w:vAlign w:val="center"/>
            <w:hideMark/>
          </w:tcPr>
          <w:p w14:paraId="3B289252"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r>
      <w:tr w:rsidR="009D49F2" w:rsidRPr="00F07DEB" w14:paraId="3EDB713C" w14:textId="77777777" w:rsidTr="009D49F2">
        <w:trPr>
          <w:trHeight w:val="258"/>
        </w:trPr>
        <w:tc>
          <w:tcPr>
            <w:tcW w:w="988" w:type="pct"/>
            <w:tcBorders>
              <w:top w:val="nil"/>
              <w:left w:val="nil"/>
              <w:bottom w:val="nil"/>
              <w:right w:val="nil"/>
            </w:tcBorders>
            <w:shd w:val="clear" w:color="auto" w:fill="auto"/>
            <w:noWrap/>
            <w:vAlign w:val="center"/>
            <w:hideMark/>
          </w:tcPr>
          <w:p w14:paraId="017C7DEB"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 (n = 1)</w:t>
            </w:r>
          </w:p>
        </w:tc>
        <w:tc>
          <w:tcPr>
            <w:tcW w:w="745" w:type="pct"/>
            <w:tcBorders>
              <w:top w:val="nil"/>
              <w:left w:val="nil"/>
              <w:bottom w:val="nil"/>
              <w:right w:val="nil"/>
            </w:tcBorders>
            <w:shd w:val="clear" w:color="auto" w:fill="auto"/>
            <w:noWrap/>
            <w:vAlign w:val="center"/>
            <w:hideMark/>
          </w:tcPr>
          <w:p w14:paraId="1FF74324"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c>
          <w:tcPr>
            <w:tcW w:w="636" w:type="pct"/>
            <w:tcBorders>
              <w:top w:val="nil"/>
              <w:left w:val="nil"/>
              <w:bottom w:val="nil"/>
              <w:right w:val="nil"/>
            </w:tcBorders>
            <w:shd w:val="clear" w:color="auto" w:fill="auto"/>
            <w:noWrap/>
            <w:vAlign w:val="center"/>
            <w:hideMark/>
          </w:tcPr>
          <w:p w14:paraId="6BD77A58"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745" w:type="pct"/>
            <w:tcBorders>
              <w:top w:val="nil"/>
              <w:left w:val="nil"/>
              <w:bottom w:val="nil"/>
              <w:right w:val="nil"/>
            </w:tcBorders>
            <w:shd w:val="clear" w:color="auto" w:fill="auto"/>
            <w:noWrap/>
            <w:vAlign w:val="center"/>
            <w:hideMark/>
          </w:tcPr>
          <w:p w14:paraId="447D6523"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154.80</w:t>
            </w:r>
          </w:p>
        </w:tc>
        <w:tc>
          <w:tcPr>
            <w:tcW w:w="636" w:type="pct"/>
            <w:tcBorders>
              <w:top w:val="nil"/>
              <w:left w:val="nil"/>
              <w:bottom w:val="nil"/>
              <w:right w:val="nil"/>
            </w:tcBorders>
            <w:shd w:val="clear" w:color="auto" w:fill="auto"/>
            <w:noWrap/>
            <w:vAlign w:val="center"/>
            <w:hideMark/>
          </w:tcPr>
          <w:p w14:paraId="199DC5C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c>
          <w:tcPr>
            <w:tcW w:w="631" w:type="pct"/>
            <w:tcBorders>
              <w:top w:val="nil"/>
              <w:left w:val="nil"/>
              <w:bottom w:val="nil"/>
              <w:right w:val="nil"/>
            </w:tcBorders>
            <w:shd w:val="clear" w:color="auto" w:fill="auto"/>
            <w:noWrap/>
            <w:vAlign w:val="center"/>
            <w:hideMark/>
          </w:tcPr>
          <w:p w14:paraId="54BA64B9"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19" w:type="pct"/>
            <w:tcBorders>
              <w:top w:val="nil"/>
              <w:left w:val="nil"/>
              <w:bottom w:val="nil"/>
              <w:right w:val="nil"/>
            </w:tcBorders>
            <w:shd w:val="clear" w:color="auto" w:fill="auto"/>
            <w:noWrap/>
            <w:vAlign w:val="center"/>
            <w:hideMark/>
          </w:tcPr>
          <w:p w14:paraId="0DB6F4D6"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r>
      <w:tr w:rsidR="009D49F2" w:rsidRPr="00F07DEB" w14:paraId="23D47933" w14:textId="77777777" w:rsidTr="009D49F2">
        <w:trPr>
          <w:trHeight w:val="266"/>
        </w:trPr>
        <w:tc>
          <w:tcPr>
            <w:tcW w:w="988" w:type="pct"/>
            <w:tcBorders>
              <w:top w:val="nil"/>
              <w:left w:val="nil"/>
              <w:bottom w:val="single" w:sz="8" w:space="0" w:color="auto"/>
              <w:right w:val="nil"/>
            </w:tcBorders>
            <w:shd w:val="clear" w:color="auto" w:fill="auto"/>
            <w:noWrap/>
            <w:vAlign w:val="center"/>
            <w:hideMark/>
          </w:tcPr>
          <w:p w14:paraId="0393ED2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745" w:type="pct"/>
            <w:tcBorders>
              <w:top w:val="nil"/>
              <w:left w:val="nil"/>
              <w:bottom w:val="single" w:sz="8" w:space="0" w:color="auto"/>
              <w:right w:val="nil"/>
            </w:tcBorders>
            <w:shd w:val="clear" w:color="auto" w:fill="auto"/>
            <w:noWrap/>
            <w:vAlign w:val="center"/>
            <w:hideMark/>
          </w:tcPr>
          <w:p w14:paraId="5CFEC424"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286.32</w:t>
            </w:r>
          </w:p>
        </w:tc>
        <w:tc>
          <w:tcPr>
            <w:tcW w:w="636" w:type="pct"/>
            <w:tcBorders>
              <w:top w:val="nil"/>
              <w:left w:val="nil"/>
              <w:bottom w:val="single" w:sz="8" w:space="0" w:color="auto"/>
              <w:right w:val="nil"/>
            </w:tcBorders>
            <w:shd w:val="clear" w:color="auto" w:fill="auto"/>
            <w:noWrap/>
            <w:vAlign w:val="center"/>
            <w:hideMark/>
          </w:tcPr>
          <w:p w14:paraId="34B78F64"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20.88</w:t>
            </w:r>
          </w:p>
        </w:tc>
        <w:tc>
          <w:tcPr>
            <w:tcW w:w="745" w:type="pct"/>
            <w:tcBorders>
              <w:top w:val="nil"/>
              <w:left w:val="nil"/>
              <w:bottom w:val="single" w:sz="8" w:space="0" w:color="auto"/>
              <w:right w:val="nil"/>
            </w:tcBorders>
            <w:shd w:val="clear" w:color="auto" w:fill="auto"/>
            <w:noWrap/>
            <w:vAlign w:val="center"/>
            <w:hideMark/>
          </w:tcPr>
          <w:p w14:paraId="0104C1E7"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461.93</w:t>
            </w:r>
          </w:p>
        </w:tc>
        <w:tc>
          <w:tcPr>
            <w:tcW w:w="636" w:type="pct"/>
            <w:tcBorders>
              <w:top w:val="nil"/>
              <w:left w:val="nil"/>
              <w:bottom w:val="single" w:sz="8" w:space="0" w:color="auto"/>
              <w:right w:val="nil"/>
            </w:tcBorders>
            <w:shd w:val="clear" w:color="auto" w:fill="auto"/>
            <w:noWrap/>
            <w:vAlign w:val="center"/>
            <w:hideMark/>
          </w:tcPr>
          <w:p w14:paraId="2E8F74D7"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45.38</w:t>
            </w:r>
          </w:p>
        </w:tc>
        <w:tc>
          <w:tcPr>
            <w:tcW w:w="631" w:type="pct"/>
            <w:tcBorders>
              <w:top w:val="nil"/>
              <w:left w:val="nil"/>
              <w:bottom w:val="single" w:sz="8" w:space="0" w:color="auto"/>
              <w:right w:val="nil"/>
            </w:tcBorders>
            <w:shd w:val="clear" w:color="auto" w:fill="auto"/>
            <w:noWrap/>
            <w:vAlign w:val="center"/>
            <w:hideMark/>
          </w:tcPr>
          <w:p w14:paraId="50821F3E"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0.001</w:t>
            </w:r>
          </w:p>
        </w:tc>
        <w:tc>
          <w:tcPr>
            <w:tcW w:w="619" w:type="pct"/>
            <w:tcBorders>
              <w:top w:val="nil"/>
              <w:left w:val="nil"/>
              <w:bottom w:val="single" w:sz="8" w:space="0" w:color="auto"/>
              <w:right w:val="nil"/>
            </w:tcBorders>
            <w:shd w:val="clear" w:color="auto" w:fill="auto"/>
            <w:noWrap/>
            <w:vAlign w:val="center"/>
            <w:hideMark/>
          </w:tcPr>
          <w:p w14:paraId="2AF56946"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4.970</w:t>
            </w:r>
          </w:p>
        </w:tc>
      </w:tr>
      <w:tr w:rsidR="009D49F2" w:rsidRPr="00F07DEB" w14:paraId="55EC9FDE" w14:textId="77777777" w:rsidTr="009D49F2">
        <w:trPr>
          <w:trHeight w:val="258"/>
        </w:trPr>
        <w:tc>
          <w:tcPr>
            <w:tcW w:w="988" w:type="pct"/>
            <w:tcBorders>
              <w:top w:val="nil"/>
              <w:left w:val="nil"/>
              <w:bottom w:val="nil"/>
              <w:right w:val="nil"/>
            </w:tcBorders>
            <w:shd w:val="clear" w:color="auto" w:fill="auto"/>
            <w:noWrap/>
            <w:vAlign w:val="center"/>
            <w:hideMark/>
          </w:tcPr>
          <w:p w14:paraId="293A5A0B"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Bermuda grass</w:t>
            </w:r>
          </w:p>
        </w:tc>
        <w:tc>
          <w:tcPr>
            <w:tcW w:w="745" w:type="pct"/>
            <w:tcBorders>
              <w:top w:val="nil"/>
              <w:left w:val="nil"/>
              <w:bottom w:val="nil"/>
              <w:right w:val="nil"/>
            </w:tcBorders>
            <w:shd w:val="clear" w:color="auto" w:fill="auto"/>
            <w:noWrap/>
            <w:vAlign w:val="center"/>
            <w:hideMark/>
          </w:tcPr>
          <w:p w14:paraId="3E9D1A88"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c>
          <w:tcPr>
            <w:tcW w:w="636" w:type="pct"/>
            <w:tcBorders>
              <w:top w:val="nil"/>
              <w:left w:val="nil"/>
              <w:bottom w:val="nil"/>
              <w:right w:val="nil"/>
            </w:tcBorders>
            <w:shd w:val="clear" w:color="auto" w:fill="auto"/>
            <w:noWrap/>
            <w:vAlign w:val="center"/>
            <w:hideMark/>
          </w:tcPr>
          <w:p w14:paraId="2C0FB8A3"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745" w:type="pct"/>
            <w:tcBorders>
              <w:top w:val="nil"/>
              <w:left w:val="nil"/>
              <w:bottom w:val="nil"/>
              <w:right w:val="nil"/>
            </w:tcBorders>
            <w:shd w:val="clear" w:color="auto" w:fill="auto"/>
            <w:noWrap/>
            <w:vAlign w:val="center"/>
            <w:hideMark/>
          </w:tcPr>
          <w:p w14:paraId="722B07E6"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36" w:type="pct"/>
            <w:tcBorders>
              <w:top w:val="nil"/>
              <w:left w:val="nil"/>
              <w:bottom w:val="nil"/>
              <w:right w:val="nil"/>
            </w:tcBorders>
            <w:shd w:val="clear" w:color="auto" w:fill="auto"/>
            <w:noWrap/>
            <w:vAlign w:val="center"/>
            <w:hideMark/>
          </w:tcPr>
          <w:p w14:paraId="77DAF5B7"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261174BA"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19" w:type="pct"/>
            <w:tcBorders>
              <w:top w:val="nil"/>
              <w:left w:val="nil"/>
              <w:bottom w:val="nil"/>
              <w:right w:val="nil"/>
            </w:tcBorders>
            <w:shd w:val="clear" w:color="auto" w:fill="auto"/>
            <w:noWrap/>
            <w:vAlign w:val="center"/>
            <w:hideMark/>
          </w:tcPr>
          <w:p w14:paraId="06B7D82B"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r>
      <w:tr w:rsidR="009D49F2" w:rsidRPr="00F07DEB" w14:paraId="7A673A60" w14:textId="77777777" w:rsidTr="009D49F2">
        <w:trPr>
          <w:trHeight w:val="258"/>
        </w:trPr>
        <w:tc>
          <w:tcPr>
            <w:tcW w:w="988" w:type="pct"/>
            <w:tcBorders>
              <w:top w:val="nil"/>
              <w:left w:val="nil"/>
              <w:bottom w:val="nil"/>
              <w:right w:val="nil"/>
            </w:tcBorders>
            <w:shd w:val="clear" w:color="auto" w:fill="auto"/>
            <w:noWrap/>
            <w:vAlign w:val="center"/>
            <w:hideMark/>
          </w:tcPr>
          <w:p w14:paraId="71BDF4F7"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Grass1</w:t>
            </w:r>
          </w:p>
        </w:tc>
        <w:tc>
          <w:tcPr>
            <w:tcW w:w="745" w:type="pct"/>
            <w:tcBorders>
              <w:top w:val="nil"/>
              <w:left w:val="nil"/>
              <w:bottom w:val="nil"/>
              <w:right w:val="nil"/>
            </w:tcBorders>
            <w:shd w:val="clear" w:color="auto" w:fill="auto"/>
            <w:noWrap/>
            <w:vAlign w:val="center"/>
            <w:hideMark/>
          </w:tcPr>
          <w:p w14:paraId="1F6BA876"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651.75</w:t>
            </w:r>
          </w:p>
        </w:tc>
        <w:tc>
          <w:tcPr>
            <w:tcW w:w="636" w:type="pct"/>
            <w:tcBorders>
              <w:top w:val="nil"/>
              <w:left w:val="nil"/>
              <w:bottom w:val="nil"/>
              <w:right w:val="nil"/>
            </w:tcBorders>
            <w:shd w:val="clear" w:color="auto" w:fill="auto"/>
            <w:noWrap/>
            <w:vAlign w:val="center"/>
            <w:hideMark/>
          </w:tcPr>
          <w:p w14:paraId="002A6CB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20.69</w:t>
            </w:r>
          </w:p>
        </w:tc>
        <w:tc>
          <w:tcPr>
            <w:tcW w:w="745" w:type="pct"/>
            <w:tcBorders>
              <w:top w:val="nil"/>
              <w:left w:val="nil"/>
              <w:bottom w:val="nil"/>
              <w:right w:val="nil"/>
            </w:tcBorders>
            <w:shd w:val="clear" w:color="auto" w:fill="auto"/>
            <w:noWrap/>
            <w:vAlign w:val="center"/>
            <w:hideMark/>
          </w:tcPr>
          <w:p w14:paraId="769A7F80"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737.81</w:t>
            </w:r>
          </w:p>
        </w:tc>
        <w:tc>
          <w:tcPr>
            <w:tcW w:w="636" w:type="pct"/>
            <w:tcBorders>
              <w:top w:val="nil"/>
              <w:left w:val="nil"/>
              <w:bottom w:val="nil"/>
              <w:right w:val="nil"/>
            </w:tcBorders>
            <w:shd w:val="clear" w:color="auto" w:fill="auto"/>
            <w:noWrap/>
            <w:vAlign w:val="center"/>
            <w:hideMark/>
          </w:tcPr>
          <w:p w14:paraId="201A4079"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96.52</w:t>
            </w:r>
          </w:p>
        </w:tc>
        <w:tc>
          <w:tcPr>
            <w:tcW w:w="631" w:type="pct"/>
            <w:vMerge w:val="restart"/>
            <w:tcBorders>
              <w:top w:val="nil"/>
              <w:left w:val="nil"/>
              <w:bottom w:val="single" w:sz="8" w:space="0" w:color="000000"/>
              <w:right w:val="nil"/>
            </w:tcBorders>
            <w:shd w:val="clear" w:color="auto" w:fill="auto"/>
            <w:noWrap/>
            <w:vAlign w:val="center"/>
            <w:hideMark/>
          </w:tcPr>
          <w:p w14:paraId="2A282445"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0.001</w:t>
            </w:r>
          </w:p>
        </w:tc>
        <w:tc>
          <w:tcPr>
            <w:tcW w:w="619" w:type="pct"/>
            <w:vMerge w:val="restart"/>
            <w:tcBorders>
              <w:top w:val="nil"/>
              <w:left w:val="nil"/>
              <w:bottom w:val="single" w:sz="8" w:space="0" w:color="000000"/>
              <w:right w:val="nil"/>
            </w:tcBorders>
            <w:shd w:val="clear" w:color="auto" w:fill="auto"/>
            <w:noWrap/>
            <w:vAlign w:val="center"/>
            <w:hideMark/>
          </w:tcPr>
          <w:p w14:paraId="61043B63"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0.863</w:t>
            </w:r>
          </w:p>
        </w:tc>
      </w:tr>
      <w:tr w:rsidR="009D49F2" w:rsidRPr="00F07DEB" w14:paraId="0FEC961B" w14:textId="77777777" w:rsidTr="009D49F2">
        <w:trPr>
          <w:trHeight w:val="258"/>
        </w:trPr>
        <w:tc>
          <w:tcPr>
            <w:tcW w:w="988" w:type="pct"/>
            <w:tcBorders>
              <w:top w:val="nil"/>
              <w:left w:val="nil"/>
              <w:bottom w:val="nil"/>
              <w:right w:val="nil"/>
            </w:tcBorders>
            <w:shd w:val="clear" w:color="auto" w:fill="auto"/>
            <w:noWrap/>
            <w:vAlign w:val="center"/>
            <w:hideMark/>
          </w:tcPr>
          <w:p w14:paraId="653766EA"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Grass2</w:t>
            </w:r>
          </w:p>
        </w:tc>
        <w:tc>
          <w:tcPr>
            <w:tcW w:w="745" w:type="pct"/>
            <w:tcBorders>
              <w:top w:val="nil"/>
              <w:left w:val="nil"/>
              <w:bottom w:val="nil"/>
              <w:right w:val="nil"/>
            </w:tcBorders>
            <w:shd w:val="clear" w:color="auto" w:fill="auto"/>
            <w:noWrap/>
            <w:vAlign w:val="center"/>
            <w:hideMark/>
          </w:tcPr>
          <w:p w14:paraId="19740A88"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272.90</w:t>
            </w:r>
          </w:p>
        </w:tc>
        <w:tc>
          <w:tcPr>
            <w:tcW w:w="636" w:type="pct"/>
            <w:tcBorders>
              <w:top w:val="nil"/>
              <w:left w:val="nil"/>
              <w:bottom w:val="nil"/>
              <w:right w:val="nil"/>
            </w:tcBorders>
            <w:shd w:val="clear" w:color="auto" w:fill="auto"/>
            <w:noWrap/>
            <w:vAlign w:val="center"/>
            <w:hideMark/>
          </w:tcPr>
          <w:p w14:paraId="13C4CFFC"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58.86</w:t>
            </w:r>
          </w:p>
        </w:tc>
        <w:tc>
          <w:tcPr>
            <w:tcW w:w="745" w:type="pct"/>
            <w:tcBorders>
              <w:top w:val="nil"/>
              <w:left w:val="nil"/>
              <w:bottom w:val="nil"/>
              <w:right w:val="nil"/>
            </w:tcBorders>
            <w:shd w:val="clear" w:color="auto" w:fill="auto"/>
            <w:noWrap/>
            <w:vAlign w:val="center"/>
            <w:hideMark/>
          </w:tcPr>
          <w:p w14:paraId="006BC274"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402.63</w:t>
            </w:r>
          </w:p>
        </w:tc>
        <w:tc>
          <w:tcPr>
            <w:tcW w:w="636" w:type="pct"/>
            <w:tcBorders>
              <w:top w:val="nil"/>
              <w:left w:val="nil"/>
              <w:bottom w:val="nil"/>
              <w:right w:val="nil"/>
            </w:tcBorders>
            <w:shd w:val="clear" w:color="auto" w:fill="auto"/>
            <w:noWrap/>
            <w:vAlign w:val="center"/>
            <w:hideMark/>
          </w:tcPr>
          <w:p w14:paraId="410F8FB1"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47.92</w:t>
            </w:r>
          </w:p>
        </w:tc>
        <w:tc>
          <w:tcPr>
            <w:tcW w:w="631" w:type="pct"/>
            <w:vMerge/>
            <w:tcBorders>
              <w:top w:val="nil"/>
              <w:left w:val="nil"/>
              <w:bottom w:val="single" w:sz="8" w:space="0" w:color="000000"/>
              <w:right w:val="nil"/>
            </w:tcBorders>
            <w:vAlign w:val="center"/>
            <w:hideMark/>
          </w:tcPr>
          <w:p w14:paraId="0D0851F2"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c>
          <w:tcPr>
            <w:tcW w:w="619" w:type="pct"/>
            <w:vMerge/>
            <w:tcBorders>
              <w:top w:val="nil"/>
              <w:left w:val="nil"/>
              <w:bottom w:val="single" w:sz="8" w:space="0" w:color="000000"/>
              <w:right w:val="nil"/>
            </w:tcBorders>
            <w:vAlign w:val="center"/>
            <w:hideMark/>
          </w:tcPr>
          <w:p w14:paraId="133C6B49"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r>
      <w:tr w:rsidR="009D49F2" w:rsidRPr="00F07DEB" w14:paraId="3A5A1F07" w14:textId="77777777" w:rsidTr="009D49F2">
        <w:trPr>
          <w:trHeight w:val="266"/>
        </w:trPr>
        <w:tc>
          <w:tcPr>
            <w:tcW w:w="988" w:type="pct"/>
            <w:tcBorders>
              <w:top w:val="nil"/>
              <w:left w:val="nil"/>
              <w:bottom w:val="single" w:sz="8" w:space="0" w:color="auto"/>
              <w:right w:val="nil"/>
            </w:tcBorders>
            <w:shd w:val="clear" w:color="auto" w:fill="auto"/>
            <w:noWrap/>
            <w:vAlign w:val="center"/>
            <w:hideMark/>
          </w:tcPr>
          <w:p w14:paraId="02474156"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745" w:type="pct"/>
            <w:tcBorders>
              <w:top w:val="nil"/>
              <w:left w:val="nil"/>
              <w:bottom w:val="single" w:sz="8" w:space="0" w:color="auto"/>
              <w:right w:val="nil"/>
            </w:tcBorders>
            <w:shd w:val="clear" w:color="auto" w:fill="auto"/>
            <w:noWrap/>
            <w:vAlign w:val="center"/>
            <w:hideMark/>
          </w:tcPr>
          <w:p w14:paraId="02A22436"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187.46</w:t>
            </w:r>
          </w:p>
        </w:tc>
        <w:tc>
          <w:tcPr>
            <w:tcW w:w="636" w:type="pct"/>
            <w:tcBorders>
              <w:top w:val="nil"/>
              <w:left w:val="nil"/>
              <w:bottom w:val="single" w:sz="8" w:space="0" w:color="auto"/>
              <w:right w:val="nil"/>
            </w:tcBorders>
            <w:shd w:val="clear" w:color="auto" w:fill="auto"/>
            <w:noWrap/>
            <w:vAlign w:val="center"/>
            <w:hideMark/>
          </w:tcPr>
          <w:p w14:paraId="2153E64A"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34.45</w:t>
            </w:r>
          </w:p>
        </w:tc>
        <w:tc>
          <w:tcPr>
            <w:tcW w:w="745" w:type="pct"/>
            <w:tcBorders>
              <w:top w:val="nil"/>
              <w:left w:val="nil"/>
              <w:bottom w:val="single" w:sz="8" w:space="0" w:color="auto"/>
              <w:right w:val="nil"/>
            </w:tcBorders>
            <w:shd w:val="clear" w:color="auto" w:fill="auto"/>
            <w:noWrap/>
            <w:vAlign w:val="center"/>
            <w:hideMark/>
          </w:tcPr>
          <w:p w14:paraId="2AB677FA"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355.82</w:t>
            </w:r>
          </w:p>
        </w:tc>
        <w:tc>
          <w:tcPr>
            <w:tcW w:w="636" w:type="pct"/>
            <w:tcBorders>
              <w:top w:val="nil"/>
              <w:left w:val="nil"/>
              <w:bottom w:val="single" w:sz="8" w:space="0" w:color="auto"/>
              <w:right w:val="nil"/>
            </w:tcBorders>
            <w:shd w:val="clear" w:color="auto" w:fill="auto"/>
            <w:noWrap/>
            <w:vAlign w:val="center"/>
            <w:hideMark/>
          </w:tcPr>
          <w:p w14:paraId="35256E83"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68.86</w:t>
            </w:r>
          </w:p>
        </w:tc>
        <w:tc>
          <w:tcPr>
            <w:tcW w:w="631" w:type="pct"/>
            <w:vMerge/>
            <w:tcBorders>
              <w:top w:val="nil"/>
              <w:left w:val="nil"/>
              <w:bottom w:val="single" w:sz="8" w:space="0" w:color="000000"/>
              <w:right w:val="nil"/>
            </w:tcBorders>
            <w:vAlign w:val="center"/>
            <w:hideMark/>
          </w:tcPr>
          <w:p w14:paraId="780D765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c>
          <w:tcPr>
            <w:tcW w:w="619" w:type="pct"/>
            <w:vMerge/>
            <w:tcBorders>
              <w:top w:val="nil"/>
              <w:left w:val="nil"/>
              <w:bottom w:val="single" w:sz="8" w:space="0" w:color="000000"/>
              <w:right w:val="nil"/>
            </w:tcBorders>
            <w:vAlign w:val="center"/>
            <w:hideMark/>
          </w:tcPr>
          <w:p w14:paraId="37831219"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r>
    </w:tbl>
    <w:p w14:paraId="22CC062F" w14:textId="014B3CB7" w:rsidR="009D49F2" w:rsidRDefault="009D49F2" w:rsidP="009D49F2">
      <w:pPr>
        <w:spacing w:line="240" w:lineRule="auto"/>
        <w:rPr>
          <w:rFonts w:ascii="Times New Roman" w:eastAsia="Times New Roman" w:hAnsi="Times New Roman" w:cs="Times New Roman"/>
          <w:color w:val="000000"/>
          <w:sz w:val="20"/>
          <w:szCs w:val="20"/>
          <w:lang w:eastAsia="en-US"/>
        </w:rPr>
      </w:pPr>
      <w:r w:rsidRPr="00F07DEB">
        <w:rPr>
          <w:rFonts w:ascii="Times New Roman" w:hAnsi="Times New Roman" w:cs="Times New Roman"/>
          <w:sz w:val="20"/>
          <w:szCs w:val="20"/>
        </w:rPr>
        <w:t xml:space="preserve">When the interaction effect was not significant, the results of </w:t>
      </w:r>
      <w:proofErr w:type="spellStart"/>
      <w:r w:rsidRPr="00F07DEB">
        <w:rPr>
          <w:rFonts w:ascii="Times New Roman" w:hAnsi="Times New Roman" w:cs="Times New Roman"/>
          <w:sz w:val="20"/>
          <w:szCs w:val="20"/>
        </w:rPr>
        <w:t>Sidak</w:t>
      </w:r>
      <w:proofErr w:type="spellEnd"/>
      <w:r w:rsidRPr="00F07DEB">
        <w:rPr>
          <w:rFonts w:ascii="Times New Roman" w:hAnsi="Times New Roman" w:cs="Times New Roman"/>
          <w:sz w:val="20"/>
          <w:szCs w:val="20"/>
        </w:rPr>
        <w:t xml:space="preserve">-corrected pairwise comparisons of main effects are indicated by a single value in the </w:t>
      </w:r>
      <w:r w:rsidRPr="00F07DEB">
        <w:rPr>
          <w:rFonts w:ascii="Times New Roman" w:hAnsi="Times New Roman" w:cs="Times New Roman"/>
          <w:i/>
          <w:sz w:val="20"/>
          <w:szCs w:val="20"/>
        </w:rPr>
        <w:t>p</w:t>
      </w:r>
      <w:r w:rsidRPr="00F07DEB">
        <w:rPr>
          <w:rFonts w:ascii="Times New Roman" w:hAnsi="Times New Roman" w:cs="Times New Roman"/>
          <w:sz w:val="20"/>
          <w:szCs w:val="20"/>
        </w:rPr>
        <w:t xml:space="preserve"> column (irrigation treatment main effect) and symbols (e.g., </w:t>
      </w:r>
      <w:r w:rsidRPr="00F07DEB">
        <w:rPr>
          <w:rFonts w:ascii="Times New Roman" w:eastAsia="Times New Roman" w:hAnsi="Times New Roman" w:cs="Times New Roman"/>
          <w:color w:val="000000"/>
          <w:sz w:val="20"/>
          <w:szCs w:val="20"/>
          <w:lang w:eastAsia="en-US"/>
        </w:rPr>
        <w:t xml:space="preserve">†‡) next to structure names (plant structure main effect). Plant structures that share a symbol were not significantly different </w:t>
      </w:r>
      <w:r w:rsidR="007B463F">
        <w:rPr>
          <w:rFonts w:ascii="Times New Roman" w:eastAsia="Times New Roman" w:hAnsi="Times New Roman" w:cs="Times New Roman"/>
          <w:color w:val="000000"/>
          <w:sz w:val="20"/>
          <w:szCs w:val="20"/>
          <w:lang w:eastAsia="en-US"/>
        </w:rPr>
        <w:t>(</w:t>
      </w:r>
      <w:r w:rsidR="007B463F" w:rsidRPr="00204C13">
        <w:rPr>
          <w:rFonts w:ascii="Times New Roman" w:eastAsia="Times New Roman" w:hAnsi="Times New Roman" w:cs="Times New Roman"/>
          <w:i/>
          <w:color w:val="000000"/>
          <w:sz w:val="20"/>
          <w:szCs w:val="20"/>
          <w:lang w:eastAsia="en-US"/>
        </w:rPr>
        <w:t>p</w:t>
      </w:r>
      <w:r w:rsidR="007B463F">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lang w:eastAsia="en-US"/>
        </w:rPr>
        <w:t xml:space="preserve"> 0.05). Insufficient data were available to compare corn and sorghum structures and treatments with mixed ANOVA, so a Student’s t-test was used to compare the effects of irrigation treatment on </w:t>
      </w:r>
      <w:r w:rsidR="009678A2">
        <w:rPr>
          <w:rFonts w:ascii="Times New Roman" w:eastAsia="Times New Roman" w:hAnsi="Times New Roman" w:cs="Times New Roman"/>
          <w:color w:val="000000"/>
          <w:sz w:val="20"/>
          <w:szCs w:val="20"/>
          <w:lang w:eastAsia="en-US"/>
        </w:rPr>
        <w:t>Na</w:t>
      </w:r>
      <w:r w:rsidRPr="00F07DEB">
        <w:rPr>
          <w:rFonts w:ascii="Times New Roman" w:eastAsia="Times New Roman" w:hAnsi="Times New Roman" w:cs="Times New Roman"/>
          <w:color w:val="000000"/>
          <w:sz w:val="20"/>
          <w:szCs w:val="20"/>
          <w:lang w:eastAsia="en-US"/>
        </w:rPr>
        <w:t xml:space="preserve"> concentrations in corn and sorghum roots. The effect sizes presented are Cohen’s d for corn and sorghum and partial eta squared for Bermuda grass.</w:t>
      </w:r>
    </w:p>
    <w:p w14:paraId="3F68B7FA" w14:textId="77777777" w:rsidR="00B3002C" w:rsidRPr="00F07DEB" w:rsidRDefault="00B3002C" w:rsidP="009D49F2">
      <w:pPr>
        <w:spacing w:line="240" w:lineRule="auto"/>
        <w:rPr>
          <w:rFonts w:ascii="Times New Roman" w:eastAsia="Times New Roman" w:hAnsi="Times New Roman" w:cs="Times New Roman"/>
          <w:color w:val="000000"/>
          <w:sz w:val="20"/>
          <w:szCs w:val="20"/>
          <w:lang w:eastAsia="en-US"/>
        </w:rPr>
      </w:pPr>
    </w:p>
    <w:p w14:paraId="0D3B6B0D" w14:textId="5537FDAE" w:rsidR="005B4FE1" w:rsidRPr="00F07DEB" w:rsidRDefault="002E56C1" w:rsidP="005B4FE1">
      <w:pPr>
        <w:keepNext/>
        <w:spacing w:line="240" w:lineRule="auto"/>
        <w:rPr>
          <w:rFonts w:ascii="Times New Roman" w:hAnsi="Times New Roman" w:cs="Times New Roman"/>
        </w:rPr>
      </w:pPr>
      <w:r w:rsidRPr="002E56C1">
        <w:rPr>
          <w:rFonts w:ascii="Times New Roman" w:hAnsi="Times New Roman" w:cs="Times New Roman"/>
          <w:noProof/>
          <w:lang w:eastAsia="en-US"/>
        </w:rPr>
        <w:lastRenderedPageBreak/>
        <w:drawing>
          <wp:inline distT="0" distB="0" distL="0" distR="0" wp14:anchorId="2E5DAD1D" wp14:editId="223037C6">
            <wp:extent cx="5943600" cy="2971800"/>
            <wp:effectExtent l="0" t="0" r="0" b="0"/>
            <wp:docPr id="23" name="Picture 23" descr="C:\Users\harper3663\Documents\School\_CREW\Irrigation Project\R\Plots\Plant Metals\Corrected\PlantN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harper3663\Documents\School\_CREW\Irrigation Project\R\Plots\Plant Metals\Corrected\PlantNa1.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37E35274" w14:textId="747E0A71" w:rsidR="009D49F2" w:rsidRDefault="005B4FE1" w:rsidP="00204C13">
      <w:pPr>
        <w:pStyle w:val="Caption"/>
      </w:pPr>
      <w:bookmarkStart w:id="151" w:name="_Ref56260129"/>
      <w:bookmarkStart w:id="152" w:name="_Toc58975248"/>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38</w:t>
      </w:r>
      <w:r w:rsidR="00DE3B90" w:rsidRPr="00F07DEB">
        <w:rPr>
          <w:noProof/>
        </w:rPr>
        <w:fldChar w:fldCharType="end"/>
      </w:r>
      <w:bookmarkEnd w:id="151"/>
      <w:r w:rsidRPr="00F07DEB">
        <w:t>: Box plots of Na concentrations in each plant and structure in mg/kg</w:t>
      </w:r>
      <w:bookmarkEnd w:id="152"/>
    </w:p>
    <w:p w14:paraId="2F66CCC9" w14:textId="77777777" w:rsidR="00B3002C" w:rsidRPr="00B3002C" w:rsidRDefault="00B3002C" w:rsidP="00B3002C"/>
    <w:p w14:paraId="32463E79" w14:textId="30EA18CE" w:rsidR="00252822" w:rsidRPr="00641A81" w:rsidRDefault="00F64F11" w:rsidP="00641A81">
      <w:pPr>
        <w:spacing w:line="480" w:lineRule="auto"/>
        <w:rPr>
          <w:rFonts w:ascii="Times New Roman" w:hAnsi="Times New Roman" w:cs="Times New Roman"/>
          <w:sz w:val="24"/>
          <w:szCs w:val="24"/>
        </w:rPr>
      </w:pPr>
      <w:r w:rsidRPr="00F07DEB">
        <w:rPr>
          <w:rFonts w:ascii="Times New Roman" w:hAnsi="Times New Roman" w:cs="Times New Roman"/>
        </w:rPr>
        <w:tab/>
      </w:r>
      <w:r w:rsidR="00BF2B5C" w:rsidRPr="00F07DEB">
        <w:rPr>
          <w:rFonts w:ascii="Times New Roman" w:hAnsi="Times New Roman" w:cs="Times New Roman"/>
          <w:sz w:val="24"/>
          <w:szCs w:val="24"/>
        </w:rPr>
        <w:t xml:space="preserve">Irrigation with treated mine water increased </w:t>
      </w:r>
      <w:r w:rsidR="009678A2">
        <w:rPr>
          <w:rFonts w:ascii="Times New Roman" w:hAnsi="Times New Roman" w:cs="Times New Roman"/>
          <w:sz w:val="24"/>
          <w:szCs w:val="24"/>
        </w:rPr>
        <w:t>S</w:t>
      </w:r>
      <w:r w:rsidR="00BF2B5C" w:rsidRPr="00F07DEB">
        <w:rPr>
          <w:rFonts w:ascii="Times New Roman" w:hAnsi="Times New Roman" w:cs="Times New Roman"/>
          <w:sz w:val="24"/>
          <w:szCs w:val="24"/>
        </w:rPr>
        <w:t xml:space="preserve"> concentrations in corn stalks and roots, sorghum roots, and Bermuda grass shoots and roots</w:t>
      </w:r>
      <w:r w:rsidR="00AD4274">
        <w:rPr>
          <w:rFonts w:ascii="Times New Roman" w:hAnsi="Times New Roman" w:cs="Times New Roman"/>
          <w:sz w:val="24"/>
          <w:szCs w:val="24"/>
        </w:rPr>
        <w:t xml:space="preserve"> (Table 23)</w:t>
      </w:r>
      <w:r w:rsidR="00BF2B5C" w:rsidRPr="00F07DEB">
        <w:rPr>
          <w:rFonts w:ascii="Times New Roman" w:hAnsi="Times New Roman" w:cs="Times New Roman"/>
          <w:sz w:val="24"/>
          <w:szCs w:val="24"/>
        </w:rPr>
        <w:t xml:space="preserve">. </w:t>
      </w:r>
      <w:r w:rsidR="00162A2E" w:rsidRPr="00F07DEB">
        <w:rPr>
          <w:rFonts w:ascii="Times New Roman" w:hAnsi="Times New Roman" w:cs="Times New Roman"/>
          <w:sz w:val="24"/>
          <w:szCs w:val="24"/>
        </w:rPr>
        <w:t xml:space="preserve">Plants need between 1000 and 5000 mg/kg S for normal growth; grasses skew towards the lower end </w:t>
      </w:r>
      <w:r w:rsidR="00162A2E" w:rsidRPr="00F07DEB">
        <w:rPr>
          <w:rFonts w:ascii="Times New Roman" w:hAnsi="Times New Roman" w:cs="Times New Roman"/>
          <w:sz w:val="24"/>
          <w:szCs w:val="24"/>
        </w:rPr>
        <w:fldChar w:fldCharType="begin"/>
      </w:r>
      <w:r w:rsidR="006811C1" w:rsidRPr="00F07DEB">
        <w:rPr>
          <w:rFonts w:ascii="Times New Roman" w:hAnsi="Times New Roman" w:cs="Times New Roman"/>
          <w:sz w:val="24"/>
          <w:szCs w:val="24"/>
        </w:rPr>
        <w:instrText xml:space="preserve"> ADDIN ZOTERO_ITEM CSL_CITATION {"citationID":"a8rctdq6ji","properties":{"formattedCitation":"(Hawkesford et al., 2012)","plainCitation":"(Hawkesford et al., 2012)","noteIndex":0},"citationItems":[{"id":856,"uris":["http://zotero.org/users/5446453/items/DM5ELELU"],"uri":["http://zotero.org/users/5446453/items/DM5ELELU"],"itemData":{"id":856,"type":"chapter","abstract":"This chapter focuses on the role played by various macronutrients such as nitrogen (N), sulfur (S), phosphorus (P), magnesium (Mg), calcium (Ca), and potassium (K) in plant metabolism and growth and describes the symptoms of deficiency and toxicity of these macronutrients. N is the most essential element required after carbon, and it plays a central role in plant metabolism as a constituent of proteins, nucleic acids, chlorophyll, coenzymes, phytohormones, and secondary metabolites. When it is taken as ammonium or nitrate, it is assimilated into amino acids either in the roots or shoots and within the plant, it is translocated as nitrate or amino acids. Sulfur is taken up as sulphate and assimilated into S-containing amino acids such as cysteine that are used to synthesize S-containing enzymes and coenzymes as well as secondary compounds such as phytochelatins (detoxification of metals) or aliins and glucosinolates (feeding deterrents). Phosphorus is a structural element in nucleic acids, and as a component of adenosine phosphates, it plays an important role in energy transfer, and it is also essential for transfer of carbohydrates in leaf cells. Magnesium is a component of chlorophyll, and it is required for photosynthesis and protein synthesis. Calcium is important for cell wall and membrane stabilization, osmoregulation, and as second messenger, thereby allowing plants to regulate developmental processes in response to environmental stimuli. The main role of K is osmoregulation, which is important for cell extension and stomata movement, and it affects loading of sucrose and the rate of mass flow-driven solute movement within the plant.","container-title":"Marschner's Mineral Nutrition of Higher Plants (Third Edition)","event-place":"San Diego","ISBN":"978-0-12-384905-2","language":"en","note":"DOI: 10.1016/B978-0-12-384905-2.00006-6","page":"135-189","publisher":"Academic Press","publisher-place":"San Diego","source":"ScienceDirect","title":"Chapter 6 - Functions of Macronutrients","URL":"http://www.sciencedirect.com/science/article/pii/B9780123849052000066","author":[{"family":"Hawkesford","given":"Malcolm"},{"family":"Horst","given":"Walter"},{"family":"Kichey","given":"Thomas"},{"family":"Lambers","given":"Hans"},{"family":"Schjoerring","given":"Jan"},{"family":"Møller","given":"Inge Skrumsager"},{"family":"White","given":"Philip"}],"editor":[{"family":"Marschner","given":"Petra"}],"accessed":{"date-parts":[["2020",11,13]]},"issued":{"date-parts":[["2012",1,1]]}}}],"schema":"https://github.com/citation-style-language/schema/raw/master/csl-citation.json"} </w:instrText>
      </w:r>
      <w:r w:rsidR="00162A2E"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(Hawkesford et al., 2012)</w:t>
      </w:r>
      <w:r w:rsidR="00162A2E" w:rsidRPr="00F07DEB">
        <w:rPr>
          <w:rFonts w:ascii="Times New Roman" w:hAnsi="Times New Roman" w:cs="Times New Roman"/>
          <w:sz w:val="24"/>
          <w:szCs w:val="24"/>
        </w:rPr>
        <w:fldChar w:fldCharType="end"/>
      </w:r>
      <w:r w:rsidR="00162A2E" w:rsidRPr="00F07DEB">
        <w:rPr>
          <w:rFonts w:ascii="Times New Roman" w:hAnsi="Times New Roman" w:cs="Times New Roman"/>
          <w:sz w:val="24"/>
          <w:szCs w:val="24"/>
        </w:rPr>
        <w:t xml:space="preserve">. Sulfur is often present in sufficient concentrations to satisfy corn growth needs in Kansas irrigation waters, and this seems to be the case in this study as well </w:t>
      </w:r>
      <w:r w:rsidR="00162A2E" w:rsidRPr="00F07DEB">
        <w:rPr>
          <w:rFonts w:ascii="Times New Roman" w:hAnsi="Times New Roman" w:cs="Times New Roman"/>
          <w:sz w:val="24"/>
          <w:szCs w:val="24"/>
        </w:rPr>
        <w:fldChar w:fldCharType="begin"/>
      </w:r>
      <w:r w:rsidR="006811C1" w:rsidRPr="00F07DEB">
        <w:rPr>
          <w:rFonts w:ascii="Times New Roman" w:hAnsi="Times New Roman" w:cs="Times New Roman"/>
          <w:sz w:val="24"/>
          <w:szCs w:val="24"/>
        </w:rPr>
        <w:instrText xml:space="preserve"> ADDIN ZOTERO_ITEM CSL_CITATION {"citationID":"a1v4e1gs10e","properties":{"formattedCitation":"(Duncan et al., 2007)","plainCitation":"(Duncan et al., 2007)","noteIndex":0},"citationItems":[{"id":779,"uris":["http://zotero.org/users/5446453/items/R6RQRMQ4"],"uri":["http://zotero.org/users/5446453/items/R6RQRMQ4"],"itemData":{"id":779,"type":"article","publisher":"Kansas State University","title":"Corn Production Handbook","URL":"https://bookstore.ksre.ksu.edu/pubs/c560.pdf","author":[{"family":"Duncan","given":"Stewart"},{"family":"Fjell","given":"Dale"},{"family":"Vanderlip","given":"Richard"}],"issued":{"date-parts":[["2007",9]]}}}],"schema":"https://github.com/citation-style-language/schema/raw/master/csl-citation.json"} </w:instrText>
      </w:r>
      <w:r w:rsidR="00162A2E"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(Duncan et al., 2007)</w:t>
      </w:r>
      <w:r w:rsidR="00162A2E" w:rsidRPr="00F07DEB">
        <w:rPr>
          <w:rFonts w:ascii="Times New Roman" w:hAnsi="Times New Roman" w:cs="Times New Roman"/>
          <w:sz w:val="24"/>
          <w:szCs w:val="24"/>
        </w:rPr>
        <w:fldChar w:fldCharType="end"/>
      </w:r>
      <w:r w:rsidR="00162A2E" w:rsidRPr="00F07DEB">
        <w:rPr>
          <w:rFonts w:ascii="Times New Roman" w:hAnsi="Times New Roman" w:cs="Times New Roman"/>
          <w:sz w:val="24"/>
          <w:szCs w:val="24"/>
        </w:rPr>
        <w:t>.</w:t>
      </w:r>
      <w:r w:rsidR="00304565" w:rsidRPr="00F07DEB">
        <w:rPr>
          <w:rFonts w:ascii="Times New Roman" w:hAnsi="Times New Roman" w:cs="Times New Roman"/>
          <w:sz w:val="24"/>
          <w:szCs w:val="24"/>
        </w:rPr>
        <w:t xml:space="preserve"> Mine water irrigation resulted in significantly higher </w:t>
      </w:r>
      <w:r w:rsidR="009678A2">
        <w:rPr>
          <w:rFonts w:ascii="Times New Roman" w:hAnsi="Times New Roman" w:cs="Times New Roman"/>
          <w:sz w:val="24"/>
          <w:szCs w:val="24"/>
        </w:rPr>
        <w:t>S</w:t>
      </w:r>
      <w:r w:rsidR="00304565" w:rsidRPr="00F07DEB">
        <w:rPr>
          <w:rFonts w:ascii="Times New Roman" w:hAnsi="Times New Roman" w:cs="Times New Roman"/>
          <w:sz w:val="24"/>
          <w:szCs w:val="24"/>
        </w:rPr>
        <w:t xml:space="preserve"> concentrations in the roots of corn and sorghum plants</w:t>
      </w:r>
      <w:r w:rsidR="00AD4274">
        <w:rPr>
          <w:rFonts w:ascii="Times New Roman" w:hAnsi="Times New Roman" w:cs="Times New Roman"/>
          <w:sz w:val="24"/>
          <w:szCs w:val="24"/>
        </w:rPr>
        <w:t xml:space="preserve"> (Student’s t-test, </w:t>
      </w:r>
      <w:r w:rsidR="00AD4274" w:rsidRPr="00385CDA">
        <w:rPr>
          <w:rFonts w:ascii="Times New Roman" w:hAnsi="Times New Roman" w:cs="Times New Roman"/>
          <w:i/>
          <w:sz w:val="24"/>
          <w:szCs w:val="24"/>
        </w:rPr>
        <w:t>p</w:t>
      </w:r>
      <w:r w:rsidR="00AD4274">
        <w:rPr>
          <w:rFonts w:ascii="Times New Roman" w:hAnsi="Times New Roman" w:cs="Times New Roman"/>
          <w:sz w:val="24"/>
          <w:szCs w:val="24"/>
        </w:rPr>
        <w:t xml:space="preserve"> &lt; 0.001)</w:t>
      </w:r>
      <w:r w:rsidR="00304565" w:rsidRPr="00F07DEB">
        <w:rPr>
          <w:rFonts w:ascii="Times New Roman" w:hAnsi="Times New Roman" w:cs="Times New Roman"/>
          <w:sz w:val="24"/>
          <w:szCs w:val="24"/>
        </w:rPr>
        <w:t xml:space="preserve">. While groundwater-irrigated corn and sorghum roots contained elevated </w:t>
      </w:r>
      <w:r w:rsidR="009678A2">
        <w:rPr>
          <w:rFonts w:ascii="Times New Roman" w:hAnsi="Times New Roman" w:cs="Times New Roman"/>
          <w:sz w:val="24"/>
          <w:szCs w:val="24"/>
        </w:rPr>
        <w:t>S</w:t>
      </w:r>
      <w:r w:rsidR="00304565" w:rsidRPr="00F07DEB">
        <w:rPr>
          <w:rFonts w:ascii="Times New Roman" w:hAnsi="Times New Roman" w:cs="Times New Roman"/>
          <w:sz w:val="24"/>
          <w:szCs w:val="24"/>
        </w:rPr>
        <w:t>, root concentrations were not significantly higher than concentrations in groundwater-irrigated leaves and grain</w:t>
      </w:r>
      <w:r w:rsidR="00AD4274">
        <w:rPr>
          <w:rFonts w:ascii="Times New Roman" w:hAnsi="Times New Roman" w:cs="Times New Roman"/>
          <w:sz w:val="24"/>
          <w:szCs w:val="24"/>
        </w:rPr>
        <w:t xml:space="preserve"> (Student’s t-test, </w:t>
      </w:r>
      <w:r w:rsidR="00AD4274" w:rsidRPr="00385CDA">
        <w:rPr>
          <w:rFonts w:ascii="Times New Roman" w:hAnsi="Times New Roman" w:cs="Times New Roman"/>
          <w:i/>
          <w:sz w:val="24"/>
          <w:szCs w:val="24"/>
        </w:rPr>
        <w:t>p</w:t>
      </w:r>
      <w:r w:rsidR="00AD4274">
        <w:rPr>
          <w:rFonts w:ascii="Times New Roman" w:hAnsi="Times New Roman" w:cs="Times New Roman"/>
          <w:sz w:val="24"/>
          <w:szCs w:val="24"/>
        </w:rPr>
        <w:t xml:space="preserve"> &gt; 0.05)</w:t>
      </w:r>
      <w:r w:rsidR="00304565" w:rsidRPr="00F07DEB">
        <w:rPr>
          <w:rFonts w:ascii="Times New Roman" w:hAnsi="Times New Roman" w:cs="Times New Roman"/>
          <w:sz w:val="24"/>
          <w:szCs w:val="24"/>
        </w:rPr>
        <w:t xml:space="preserve">. </w:t>
      </w:r>
      <w:r w:rsidR="00F24847" w:rsidRPr="00F07DEB">
        <w:rPr>
          <w:rFonts w:ascii="Times New Roman" w:hAnsi="Times New Roman" w:cs="Times New Roman"/>
          <w:sz w:val="24"/>
          <w:szCs w:val="24"/>
        </w:rPr>
        <w:t xml:space="preserve">Roots seemed to accumulate excess </w:t>
      </w:r>
      <w:r w:rsidR="009678A2">
        <w:rPr>
          <w:rFonts w:ascii="Times New Roman" w:hAnsi="Times New Roman" w:cs="Times New Roman"/>
          <w:sz w:val="24"/>
          <w:szCs w:val="24"/>
        </w:rPr>
        <w:t>S</w:t>
      </w:r>
      <w:r w:rsidR="00F24847" w:rsidRPr="00F07DEB">
        <w:rPr>
          <w:rFonts w:ascii="Times New Roman" w:hAnsi="Times New Roman" w:cs="Times New Roman"/>
          <w:sz w:val="24"/>
          <w:szCs w:val="24"/>
        </w:rPr>
        <w:t xml:space="preserve"> without translocating it into the aboveground biomass; this sequestration is especially noticeable for corn in </w:t>
      </w:r>
      <w:r w:rsidR="00F24847" w:rsidRPr="00F07DEB">
        <w:rPr>
          <w:rFonts w:ascii="Times New Roman" w:hAnsi="Times New Roman" w:cs="Times New Roman"/>
          <w:sz w:val="24"/>
          <w:szCs w:val="24"/>
        </w:rPr>
        <w:fldChar w:fldCharType="begin"/>
      </w:r>
      <w:r w:rsidR="00F24847" w:rsidRPr="00F07DEB">
        <w:rPr>
          <w:rFonts w:ascii="Times New Roman" w:hAnsi="Times New Roman" w:cs="Times New Roman"/>
          <w:sz w:val="24"/>
          <w:szCs w:val="24"/>
        </w:rPr>
        <w:instrText xml:space="preserve"> REF _Ref56273893 \h  \* MERGEFORMAT </w:instrText>
      </w:r>
      <w:r w:rsidR="00F24847" w:rsidRPr="00F07DEB">
        <w:rPr>
          <w:rFonts w:ascii="Times New Roman" w:hAnsi="Times New Roman" w:cs="Times New Roman"/>
          <w:sz w:val="24"/>
          <w:szCs w:val="24"/>
        </w:rPr>
      </w:r>
      <w:r w:rsidR="00F24847"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39</w:t>
      </w:r>
      <w:r w:rsidR="00F24847" w:rsidRPr="00F07DEB">
        <w:rPr>
          <w:rFonts w:ascii="Times New Roman" w:hAnsi="Times New Roman" w:cs="Times New Roman"/>
          <w:sz w:val="24"/>
          <w:szCs w:val="24"/>
        </w:rPr>
        <w:fldChar w:fldCharType="end"/>
      </w:r>
      <w:r w:rsidR="00F24847" w:rsidRPr="00F07DEB">
        <w:rPr>
          <w:rFonts w:ascii="Times New Roman" w:hAnsi="Times New Roman" w:cs="Times New Roman"/>
          <w:sz w:val="24"/>
          <w:szCs w:val="24"/>
        </w:rPr>
        <w:t xml:space="preserve">. This </w:t>
      </w:r>
      <w:r w:rsidR="009C72FD" w:rsidRPr="00F07DEB">
        <w:rPr>
          <w:rFonts w:ascii="Times New Roman" w:hAnsi="Times New Roman" w:cs="Times New Roman"/>
          <w:sz w:val="24"/>
          <w:szCs w:val="24"/>
        </w:rPr>
        <w:t>suggests that</w:t>
      </w:r>
      <w:r w:rsidR="00F24847" w:rsidRPr="00F07DEB">
        <w:rPr>
          <w:rFonts w:ascii="Times New Roman" w:hAnsi="Times New Roman" w:cs="Times New Roman"/>
          <w:sz w:val="24"/>
          <w:szCs w:val="24"/>
        </w:rPr>
        <w:t xml:space="preserve"> while </w:t>
      </w:r>
      <w:r w:rsidR="009678A2">
        <w:rPr>
          <w:rFonts w:ascii="Times New Roman" w:hAnsi="Times New Roman" w:cs="Times New Roman"/>
          <w:sz w:val="24"/>
          <w:szCs w:val="24"/>
        </w:rPr>
        <w:t>S</w:t>
      </w:r>
      <w:r w:rsidR="009C72FD" w:rsidRPr="00F07DEB">
        <w:rPr>
          <w:rFonts w:ascii="Times New Roman" w:hAnsi="Times New Roman" w:cs="Times New Roman"/>
          <w:sz w:val="24"/>
          <w:szCs w:val="24"/>
        </w:rPr>
        <w:t xml:space="preserve"> deficiency and toxicity can stunt plant growth and fruiting, grass roots can maintain healthy aboveground </w:t>
      </w:r>
      <w:r w:rsidR="009678A2">
        <w:rPr>
          <w:rFonts w:ascii="Times New Roman" w:hAnsi="Times New Roman" w:cs="Times New Roman"/>
          <w:sz w:val="24"/>
          <w:szCs w:val="24"/>
        </w:rPr>
        <w:t>S</w:t>
      </w:r>
      <w:r w:rsidR="009C72FD" w:rsidRPr="00F07DEB">
        <w:rPr>
          <w:rFonts w:ascii="Times New Roman" w:hAnsi="Times New Roman" w:cs="Times New Roman"/>
          <w:sz w:val="24"/>
          <w:szCs w:val="24"/>
        </w:rPr>
        <w:t xml:space="preserve"> concentrations by regulating </w:t>
      </w:r>
      <w:r w:rsidR="009678A2">
        <w:rPr>
          <w:rFonts w:ascii="Times New Roman" w:hAnsi="Times New Roman" w:cs="Times New Roman"/>
          <w:sz w:val="24"/>
          <w:szCs w:val="24"/>
        </w:rPr>
        <w:t>S</w:t>
      </w:r>
      <w:r w:rsidR="009C72FD" w:rsidRPr="00F07DEB">
        <w:rPr>
          <w:rFonts w:ascii="Times New Roman" w:hAnsi="Times New Roman" w:cs="Times New Roman"/>
          <w:sz w:val="24"/>
          <w:szCs w:val="24"/>
        </w:rPr>
        <w:t xml:space="preserve"> uptake and translocation, at least under drip irrigation schemes </w:t>
      </w:r>
      <w:r w:rsidR="009C72FD" w:rsidRPr="00F07DEB">
        <w:rPr>
          <w:rFonts w:ascii="Times New Roman" w:hAnsi="Times New Roman" w:cs="Times New Roman"/>
          <w:sz w:val="24"/>
          <w:szCs w:val="24"/>
        </w:rPr>
        <w:fldChar w:fldCharType="begin"/>
      </w:r>
      <w:r w:rsidR="004B13BE">
        <w:rPr>
          <w:rFonts w:ascii="Times New Roman" w:hAnsi="Times New Roman" w:cs="Times New Roman"/>
          <w:sz w:val="24"/>
          <w:szCs w:val="24"/>
        </w:rPr>
        <w:instrText xml:space="preserve"> ADDIN ZOTERO_ITEM CSL_CITATION {"citationID":"a10t6tknpai","properties":{"formattedCitation":"(G. M. Ward, 1976)","plainCitation":"(G. M. Ward, 1976)","dontUpdate":true,"noteIndex":0},"citationItems":[{"id":845,"uris":["http://zotero.org/users/5446453/items/Q57KF98Y"],"uri":["http://zotero.org/users/5446453/items/Q57KF98Y"],"itemData":{"id":845,"type":"article-journal","abstract":"Symptoms of sulphur deficiency and toxicity on greenhouse tomatoes (Lycopersicon esculentum Mill.) and cucumbers (Cucumis sativis L.) were produced experimentally in sand culture and are described in detail. The principal morphological effect was a general depression of growth and fruit production. A S content of less than 0.25% in any plant tissue was associated with severe deficiency. The distribution of S in various plant tissues is shown.","container-title":"Canadian Journal of Plant Science","DOI":"10.4141/cjps76-020","ISSN":"0008-4220, 1918-1833","issue":"1","journalAbbreviation":"Can. J. Plant Sci.","language":"en","page":"133-137","source":"DOI.org (Crossref)","title":"Sulphur deficiency and toxicity symptoms in greenhouse tomatoes and cucumbers","volume":"56","author":[{"family":"Ward","given":"G. M."}],"issued":{"date-parts":[["1976",1,1]]}}}],"schema":"https://github.com/citation-style-language/schema/raw/master/csl-citation.json"} </w:instrText>
      </w:r>
      <w:r w:rsidR="009C72FD" w:rsidRPr="00F07DEB">
        <w:rPr>
          <w:rFonts w:ascii="Times New Roman" w:hAnsi="Times New Roman" w:cs="Times New Roman"/>
          <w:sz w:val="24"/>
          <w:szCs w:val="24"/>
        </w:rPr>
        <w:fldChar w:fldCharType="separate"/>
      </w:r>
      <w:r w:rsidR="00FF5DF8" w:rsidRPr="00FF5DF8">
        <w:rPr>
          <w:rFonts w:ascii="Times New Roman" w:hAnsi="Times New Roman" w:cs="Times New Roman"/>
          <w:sz w:val="24"/>
        </w:rPr>
        <w:t>(Ward, 1976)</w:t>
      </w:r>
      <w:r w:rsidR="009C72FD" w:rsidRPr="00F07DEB">
        <w:rPr>
          <w:rFonts w:ascii="Times New Roman" w:hAnsi="Times New Roman" w:cs="Times New Roman"/>
          <w:sz w:val="24"/>
          <w:szCs w:val="24"/>
        </w:rPr>
        <w:fldChar w:fldCharType="end"/>
      </w:r>
      <w:r w:rsidR="009C72FD" w:rsidRPr="00F07DEB">
        <w:rPr>
          <w:rFonts w:ascii="Times New Roman" w:hAnsi="Times New Roman" w:cs="Times New Roman"/>
          <w:sz w:val="24"/>
          <w:szCs w:val="24"/>
        </w:rPr>
        <w:t xml:space="preserve">. </w:t>
      </w:r>
      <w:r w:rsidR="00F24847" w:rsidRPr="00F07DEB">
        <w:rPr>
          <w:rFonts w:ascii="Times New Roman" w:hAnsi="Times New Roman" w:cs="Times New Roman"/>
          <w:sz w:val="24"/>
          <w:szCs w:val="24"/>
        </w:rPr>
        <w:lastRenderedPageBreak/>
        <w:t xml:space="preserve">Bermuda grass </w:t>
      </w:r>
      <w:r w:rsidR="009C72FD" w:rsidRPr="00F07DEB">
        <w:rPr>
          <w:rFonts w:ascii="Times New Roman" w:hAnsi="Times New Roman" w:cs="Times New Roman"/>
          <w:sz w:val="24"/>
          <w:szCs w:val="24"/>
        </w:rPr>
        <w:t xml:space="preserve">aboveground </w:t>
      </w:r>
      <w:r w:rsidR="009678A2">
        <w:rPr>
          <w:rFonts w:ascii="Times New Roman" w:hAnsi="Times New Roman" w:cs="Times New Roman"/>
          <w:sz w:val="24"/>
          <w:szCs w:val="24"/>
        </w:rPr>
        <w:t>S</w:t>
      </w:r>
      <w:r w:rsidR="009C72FD" w:rsidRPr="00F07DEB">
        <w:rPr>
          <w:rFonts w:ascii="Times New Roman" w:hAnsi="Times New Roman" w:cs="Times New Roman"/>
          <w:sz w:val="24"/>
          <w:szCs w:val="24"/>
        </w:rPr>
        <w:t xml:space="preserve"> concentrations were significantly higher than levels in the roots</w:t>
      </w:r>
      <w:r w:rsidR="00AD4274">
        <w:rPr>
          <w:rFonts w:ascii="Times New Roman" w:hAnsi="Times New Roman" w:cs="Times New Roman"/>
          <w:sz w:val="24"/>
          <w:szCs w:val="24"/>
        </w:rPr>
        <w:t xml:space="preserve"> (Student’s t-test, </w:t>
      </w:r>
      <w:r w:rsidR="00AD4274" w:rsidRPr="00385CDA">
        <w:rPr>
          <w:rFonts w:ascii="Times New Roman" w:hAnsi="Times New Roman" w:cs="Times New Roman"/>
          <w:i/>
          <w:sz w:val="24"/>
          <w:szCs w:val="24"/>
        </w:rPr>
        <w:t>p</w:t>
      </w:r>
      <w:r w:rsidR="00AD4274">
        <w:rPr>
          <w:rFonts w:ascii="Times New Roman" w:hAnsi="Times New Roman" w:cs="Times New Roman"/>
          <w:sz w:val="24"/>
          <w:szCs w:val="24"/>
        </w:rPr>
        <w:t xml:space="preserve"> &lt; 0.001)</w:t>
      </w:r>
      <w:r w:rsidR="009C72FD" w:rsidRPr="00F07DEB">
        <w:rPr>
          <w:rFonts w:ascii="Times New Roman" w:hAnsi="Times New Roman" w:cs="Times New Roman"/>
          <w:sz w:val="24"/>
          <w:szCs w:val="24"/>
        </w:rPr>
        <w:t xml:space="preserve">, likely due to the irrigation method as previously discussed. The significant decrease in aerial </w:t>
      </w:r>
      <w:r w:rsidR="009678A2">
        <w:rPr>
          <w:rFonts w:ascii="Times New Roman" w:hAnsi="Times New Roman" w:cs="Times New Roman"/>
          <w:sz w:val="24"/>
          <w:szCs w:val="24"/>
        </w:rPr>
        <w:t>S</w:t>
      </w:r>
      <w:r w:rsidR="009C72FD" w:rsidRPr="00F07DEB">
        <w:rPr>
          <w:rFonts w:ascii="Times New Roman" w:hAnsi="Times New Roman" w:cs="Times New Roman"/>
          <w:sz w:val="24"/>
          <w:szCs w:val="24"/>
        </w:rPr>
        <w:t xml:space="preserve"> from first to second harvest mirrors the rainwater- and time-induced pattern witnessed in </w:t>
      </w:r>
      <w:r w:rsidR="009678A2">
        <w:rPr>
          <w:rFonts w:ascii="Times New Roman" w:hAnsi="Times New Roman" w:cs="Times New Roman"/>
          <w:sz w:val="24"/>
          <w:szCs w:val="24"/>
        </w:rPr>
        <w:t>Ca</w:t>
      </w:r>
      <w:r w:rsidR="009C72FD" w:rsidRPr="00F07DEB">
        <w:rPr>
          <w:rFonts w:ascii="Times New Roman" w:hAnsi="Times New Roman" w:cs="Times New Roman"/>
          <w:sz w:val="24"/>
          <w:szCs w:val="24"/>
        </w:rPr>
        <w:t xml:space="preserve">, </w:t>
      </w:r>
      <w:r w:rsidR="009678A2">
        <w:rPr>
          <w:rFonts w:ascii="Times New Roman" w:hAnsi="Times New Roman" w:cs="Times New Roman"/>
          <w:sz w:val="24"/>
          <w:szCs w:val="24"/>
        </w:rPr>
        <w:t>Mg</w:t>
      </w:r>
      <w:r w:rsidR="009C72FD" w:rsidRPr="00F07DEB">
        <w:rPr>
          <w:rFonts w:ascii="Times New Roman" w:hAnsi="Times New Roman" w:cs="Times New Roman"/>
          <w:sz w:val="24"/>
          <w:szCs w:val="24"/>
        </w:rPr>
        <w:t xml:space="preserve">, and </w:t>
      </w:r>
      <w:r w:rsidR="009678A2">
        <w:rPr>
          <w:rFonts w:ascii="Times New Roman" w:hAnsi="Times New Roman" w:cs="Times New Roman"/>
          <w:sz w:val="24"/>
          <w:szCs w:val="24"/>
        </w:rPr>
        <w:t>Na</w:t>
      </w:r>
      <w:r w:rsidR="009C72FD" w:rsidRPr="00F07DEB">
        <w:rPr>
          <w:rFonts w:ascii="Times New Roman" w:hAnsi="Times New Roman" w:cs="Times New Roman"/>
          <w:sz w:val="24"/>
          <w:szCs w:val="24"/>
        </w:rPr>
        <w:t xml:space="preserve"> concentrations</w:t>
      </w:r>
      <w:r w:rsidR="00AD4274">
        <w:rPr>
          <w:rFonts w:ascii="Times New Roman" w:hAnsi="Times New Roman" w:cs="Times New Roman"/>
          <w:sz w:val="24"/>
          <w:szCs w:val="24"/>
        </w:rPr>
        <w:t xml:space="preserve"> (Student’s t-test, </w:t>
      </w:r>
      <w:r w:rsidR="00AD4274" w:rsidRPr="00385CDA">
        <w:rPr>
          <w:rFonts w:ascii="Times New Roman" w:hAnsi="Times New Roman" w:cs="Times New Roman"/>
          <w:i/>
          <w:sz w:val="24"/>
          <w:szCs w:val="24"/>
        </w:rPr>
        <w:t>p</w:t>
      </w:r>
      <w:r w:rsidR="00AD4274">
        <w:rPr>
          <w:rFonts w:ascii="Times New Roman" w:hAnsi="Times New Roman" w:cs="Times New Roman"/>
          <w:sz w:val="24"/>
          <w:szCs w:val="24"/>
        </w:rPr>
        <w:t xml:space="preserve"> &lt; 0.001)</w:t>
      </w:r>
      <w:r w:rsidR="009C72FD" w:rsidRPr="00F07DEB">
        <w:rPr>
          <w:rFonts w:ascii="Times New Roman" w:hAnsi="Times New Roman" w:cs="Times New Roman"/>
          <w:sz w:val="24"/>
          <w:szCs w:val="24"/>
        </w:rPr>
        <w:t xml:space="preserve">. </w:t>
      </w:r>
      <w:r w:rsidR="00CF34FC" w:rsidRPr="00F07DEB">
        <w:rPr>
          <w:rFonts w:ascii="Times New Roman" w:hAnsi="Times New Roman" w:cs="Times New Roman"/>
          <w:sz w:val="24"/>
          <w:szCs w:val="24"/>
        </w:rPr>
        <w:t>The harvestable concentrations o</w:t>
      </w:r>
      <w:r w:rsidR="00AD4274">
        <w:rPr>
          <w:rFonts w:ascii="Times New Roman" w:hAnsi="Times New Roman" w:cs="Times New Roman"/>
          <w:sz w:val="24"/>
          <w:szCs w:val="24"/>
        </w:rPr>
        <w:t xml:space="preserve">f </w:t>
      </w:r>
      <w:r w:rsidR="009678A2">
        <w:rPr>
          <w:rFonts w:ascii="Times New Roman" w:hAnsi="Times New Roman" w:cs="Times New Roman"/>
          <w:sz w:val="24"/>
          <w:szCs w:val="24"/>
        </w:rPr>
        <w:t>S</w:t>
      </w:r>
      <w:r w:rsidR="00AD4274">
        <w:rPr>
          <w:rFonts w:ascii="Times New Roman" w:hAnsi="Times New Roman" w:cs="Times New Roman"/>
          <w:sz w:val="24"/>
          <w:szCs w:val="24"/>
        </w:rPr>
        <w:t xml:space="preserve"> in corn and sorghum are</w:t>
      </w:r>
      <w:r w:rsidR="00CF34FC" w:rsidRPr="00F07DEB">
        <w:rPr>
          <w:rFonts w:ascii="Times New Roman" w:hAnsi="Times New Roman" w:cs="Times New Roman"/>
          <w:sz w:val="24"/>
          <w:szCs w:val="24"/>
        </w:rPr>
        <w:t xml:space="preserve"> acceptable, but the elevated belowground biomass concentrations imply potentially unsustainable soil accumulation. Furthermore, the use of Bermuda grass with such elevated </w:t>
      </w:r>
      <w:r w:rsidR="009678A2">
        <w:rPr>
          <w:rFonts w:ascii="Times New Roman" w:hAnsi="Times New Roman" w:cs="Times New Roman"/>
          <w:sz w:val="24"/>
          <w:szCs w:val="24"/>
        </w:rPr>
        <w:t>S</w:t>
      </w:r>
      <w:r w:rsidR="00CF34FC" w:rsidRPr="00F07DEB">
        <w:rPr>
          <w:rFonts w:ascii="Times New Roman" w:hAnsi="Times New Roman" w:cs="Times New Roman"/>
          <w:sz w:val="24"/>
          <w:szCs w:val="24"/>
        </w:rPr>
        <w:t xml:space="preserve"> concentrations for livestock grazing could negatively impact cattle development and productivity via reduced retention of dietary </w:t>
      </w:r>
      <w:r w:rsidR="009678A2">
        <w:rPr>
          <w:rFonts w:ascii="Times New Roman" w:hAnsi="Times New Roman" w:cs="Times New Roman"/>
          <w:sz w:val="24"/>
          <w:szCs w:val="24"/>
        </w:rPr>
        <w:t>Cu</w:t>
      </w:r>
      <w:r w:rsidR="00CF34FC" w:rsidRPr="00F07DEB">
        <w:rPr>
          <w:rFonts w:ascii="Times New Roman" w:hAnsi="Times New Roman" w:cs="Times New Roman"/>
          <w:sz w:val="24"/>
          <w:szCs w:val="24"/>
        </w:rPr>
        <w:t xml:space="preserve">, </w:t>
      </w:r>
      <w:r w:rsidR="009678A2">
        <w:rPr>
          <w:rFonts w:ascii="Times New Roman" w:hAnsi="Times New Roman" w:cs="Times New Roman"/>
          <w:sz w:val="24"/>
          <w:szCs w:val="24"/>
        </w:rPr>
        <w:t>Zn</w:t>
      </w:r>
      <w:r w:rsidR="00CF34FC" w:rsidRPr="00F07DEB">
        <w:rPr>
          <w:rFonts w:ascii="Times New Roman" w:hAnsi="Times New Roman" w:cs="Times New Roman"/>
          <w:sz w:val="24"/>
          <w:szCs w:val="24"/>
        </w:rPr>
        <w:t xml:space="preserve">, and </w:t>
      </w:r>
      <w:proofErr w:type="spellStart"/>
      <w:r w:rsidR="009678A2">
        <w:rPr>
          <w:rFonts w:ascii="Times New Roman" w:hAnsi="Times New Roman" w:cs="Times New Roman"/>
          <w:sz w:val="24"/>
          <w:szCs w:val="24"/>
        </w:rPr>
        <w:t>Mn</w:t>
      </w:r>
      <w:proofErr w:type="spellEnd"/>
      <w:r w:rsidR="00CF34FC" w:rsidRPr="00F07DEB">
        <w:rPr>
          <w:rFonts w:ascii="Times New Roman" w:hAnsi="Times New Roman" w:cs="Times New Roman"/>
          <w:sz w:val="24"/>
          <w:szCs w:val="24"/>
        </w:rPr>
        <w:t xml:space="preserve"> </w:t>
      </w:r>
      <w:r w:rsidR="00CF34FC" w:rsidRPr="00F07DEB">
        <w:rPr>
          <w:rFonts w:ascii="Times New Roman" w:hAnsi="Times New Roman" w:cs="Times New Roman"/>
          <w:sz w:val="24"/>
          <w:szCs w:val="24"/>
        </w:rPr>
        <w:fldChar w:fldCharType="begin"/>
      </w:r>
      <w:r w:rsidR="006811C1" w:rsidRPr="00F07DEB">
        <w:rPr>
          <w:rFonts w:ascii="Times New Roman" w:hAnsi="Times New Roman" w:cs="Times New Roman"/>
          <w:sz w:val="24"/>
          <w:szCs w:val="24"/>
        </w:rPr>
        <w:instrText xml:space="preserve"> ADDIN ZOTERO_ITEM CSL_CITATION {"citationID":"aj07v4r7st","properties":{"formattedCitation":"(Pogge et al., 2014)","plainCitation":"(Pogge et al., 2014)","noteIndex":0},"citationItems":[{"id":292,"uris":["http://zotero.org/users/5446453/items/4SMCWMHU"],"uri":["http://zotero.org/users/5446453/items/4SMCWMHU"],"itemData":{"id":292,"type":"article-journal","abstract":"ABSTRACT: To examine the effects of dietary S on diet digestibility and apparent mineral absorption and retention, 16 steers [8 ruminally fistulated (368 ± 12 kg BW) and 8 unmodified (388 ± 10 kg BW)] were paired within modification status and BW, and within each of the 2 consecutive 28-d periods, 4 pairs of steers were randomly assigned to either a low-S (0.24%) or high-S (0.68%) pelleted diet. Bromegrass hay was fed at 5 or 7% of the diet, during periods 1 and 2, respectively. Sodium sulfate was used to increase the S content of the high-S diet. The low-S steers were fed the amount of feed their high-S counterpart consumed the previous day, while the high-S steers received 110% of the previous day’s intake. Steers were adapted to individual metabolism stalls for 4 d (d -3 to 0 of period), acclimated to diet for 7 d (d 1 to 7 of period), and after high-S steers were consuming ad libitum intake for 7 d (d 14 of period), total urine and feces were collected for 5 d. Feed intake and orts were recorded daily. Dry matter and OM digestibility were determined. Jugular blood was collected before and after each collection period on d 14 and 20, and liver biopsies were collected on d 0 and 27. Macromineral (Ca, K, Mg, and Na) and micromineral (Cu, Mn, and Zn) concentrations were determined for pellets and hay, orts, feces, urine, and plasma and liver samples from each steer via inductively coupled plasma spectrometry. Dry matter intake, DM and OM digestibility, and urine volume were not affected (P ≥ 0.11) by dietary treatment, but fecal output was greater (P = 0.02) in the low-S steers than the high-S steers. A high-S diet decreased plasma Cu (P = 0.04) and liver Zn (P = 0.03) compared to low-S steers. No differences (P ≥ 0.20) were noted among urinary excretion of Cu, Mn, and Zn. Sodium absorption was greater (P &lt; 0.01) and Cu, Mn, and Zn retention was lesser (P ≤ 0.01) in the high-S steers than the low-S steers. Apparent absorption of Ca, K, and Mg was not affected (P ≥ 0.18) by dietary treatment, while absorption of Cu, Mn, and Zn in the high-S treatment was lesser (P ≤ 0.06). In conclusion, consumption of a high-S diet for 28 d had limited effects on Ca, K, Mg, and Na absorption and retention, but decreased Cu, Mn, and Zn retention, which may limit growth and production of cattle consuming a high-S diet long-term.","container-title":"Journal of Animal Science","DOI":"10.2527/jas.2013-7481","ISSN":"0021-8812, 1525-3163","issue":"5","language":"en","page":"2182-2191","source":"DOI.org (Crossref)","title":"High dietary sulfur decreases the retention of copper, manganese, and zinc in steers","volume":"92","author":[{"family":"Pogge","given":"D. J."},{"family":"Drewnoski","given":"M. E."},{"family":"Hansen","given":"S. L."}],"issued":{"date-parts":[["2014",5,1]]}}}],"schema":"https://github.com/citation-style-language/schema/raw/master/csl-citation.json"} </w:instrText>
      </w:r>
      <w:r w:rsidR="00CF34FC"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(Pogge et al., 2014)</w:t>
      </w:r>
      <w:r w:rsidR="00CF34FC" w:rsidRPr="00F07DEB">
        <w:rPr>
          <w:rFonts w:ascii="Times New Roman" w:hAnsi="Times New Roman" w:cs="Times New Roman"/>
          <w:sz w:val="24"/>
          <w:szCs w:val="24"/>
        </w:rPr>
        <w:fldChar w:fldCharType="end"/>
      </w:r>
      <w:r w:rsidR="00CF34FC" w:rsidRPr="00F07DEB">
        <w:rPr>
          <w:rFonts w:ascii="Times New Roman" w:hAnsi="Times New Roman" w:cs="Times New Roman"/>
          <w:sz w:val="24"/>
          <w:szCs w:val="24"/>
        </w:rPr>
        <w:t>.</w:t>
      </w:r>
      <w:bookmarkStart w:id="153" w:name="_Ref56273624"/>
    </w:p>
    <w:p w14:paraId="31F1EE5D" w14:textId="0D0274C4" w:rsidR="000B31CB" w:rsidRPr="00F07DEB" w:rsidRDefault="000B31CB" w:rsidP="00204C13">
      <w:pPr>
        <w:pStyle w:val="Caption"/>
      </w:pPr>
      <w:bookmarkStart w:id="154" w:name="_Toc58975209"/>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23</w:t>
      </w:r>
      <w:r w:rsidR="00DE3B90" w:rsidRPr="00F07DEB">
        <w:rPr>
          <w:noProof/>
        </w:rPr>
        <w:fldChar w:fldCharType="end"/>
      </w:r>
      <w:bookmarkEnd w:id="153"/>
      <w:r w:rsidRPr="00F07DEB">
        <w:t xml:space="preserve">: Means, standard deviations of plant S concentrations in mg/kg </w:t>
      </w:r>
      <w:r w:rsidR="008701DF" w:rsidRPr="00F07DEB">
        <w:t xml:space="preserve">compared via </w:t>
      </w:r>
      <w:r w:rsidRPr="00F07DEB">
        <w:t>mixed ANOVA</w:t>
      </w:r>
      <w:bookmarkEnd w:id="154"/>
      <w:r w:rsidRPr="00F07DEB">
        <w:t xml:space="preserve"> </w:t>
      </w:r>
    </w:p>
    <w:tbl>
      <w:tblPr>
        <w:tblW w:w="5000" w:type="pct"/>
        <w:tblLook w:val="04A0" w:firstRow="1" w:lastRow="0" w:firstColumn="1" w:lastColumn="0" w:noHBand="0" w:noVBand="1"/>
      </w:tblPr>
      <w:tblGrid>
        <w:gridCol w:w="1850"/>
        <w:gridCol w:w="1571"/>
        <w:gridCol w:w="1005"/>
        <w:gridCol w:w="1591"/>
        <w:gridCol w:w="1003"/>
        <w:gridCol w:w="1181"/>
        <w:gridCol w:w="1159"/>
      </w:tblGrid>
      <w:tr w:rsidR="009D49F2" w:rsidRPr="00F07DEB" w14:paraId="3A1AFE07" w14:textId="77777777" w:rsidTr="009D49F2">
        <w:trPr>
          <w:trHeight w:val="258"/>
        </w:trPr>
        <w:tc>
          <w:tcPr>
            <w:tcW w:w="988" w:type="pct"/>
            <w:tcBorders>
              <w:top w:val="single" w:sz="8" w:space="0" w:color="auto"/>
              <w:left w:val="nil"/>
              <w:bottom w:val="nil"/>
              <w:right w:val="nil"/>
            </w:tcBorders>
            <w:shd w:val="clear" w:color="auto" w:fill="auto"/>
            <w:noWrap/>
            <w:vAlign w:val="bottom"/>
            <w:hideMark/>
          </w:tcPr>
          <w:p w14:paraId="02667714" w14:textId="77777777" w:rsidR="009D49F2" w:rsidRPr="00F07DEB" w:rsidRDefault="009D49F2" w:rsidP="009D49F2">
            <w:pPr>
              <w:spacing w:after="0" w:line="240" w:lineRule="auto"/>
              <w:rPr>
                <w:rFonts w:ascii="Times New Roman" w:eastAsia="Times New Roman" w:hAnsi="Times New Roman" w:cs="Times New Roman"/>
                <w:sz w:val="24"/>
                <w:szCs w:val="24"/>
                <w:lang w:eastAsia="en-US"/>
              </w:rPr>
            </w:pPr>
          </w:p>
        </w:tc>
        <w:tc>
          <w:tcPr>
            <w:tcW w:w="2762" w:type="pct"/>
            <w:gridSpan w:val="4"/>
            <w:tcBorders>
              <w:top w:val="single" w:sz="8" w:space="0" w:color="auto"/>
              <w:left w:val="nil"/>
              <w:bottom w:val="nil"/>
              <w:right w:val="nil"/>
            </w:tcBorders>
            <w:shd w:val="clear" w:color="auto" w:fill="auto"/>
            <w:noWrap/>
            <w:vAlign w:val="bottom"/>
            <w:hideMark/>
          </w:tcPr>
          <w:p w14:paraId="2FF2DE02" w14:textId="77777777" w:rsidR="009D49F2" w:rsidRPr="00F07DEB" w:rsidRDefault="009D49F2" w:rsidP="009D49F2">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Treatment</w:t>
            </w:r>
          </w:p>
        </w:tc>
        <w:tc>
          <w:tcPr>
            <w:tcW w:w="631" w:type="pct"/>
            <w:tcBorders>
              <w:top w:val="single" w:sz="8" w:space="0" w:color="auto"/>
              <w:left w:val="nil"/>
              <w:bottom w:val="nil"/>
              <w:right w:val="nil"/>
            </w:tcBorders>
            <w:shd w:val="clear" w:color="auto" w:fill="auto"/>
            <w:noWrap/>
            <w:vAlign w:val="bottom"/>
            <w:hideMark/>
          </w:tcPr>
          <w:p w14:paraId="133BBEDC" w14:textId="77777777" w:rsidR="009D49F2" w:rsidRPr="00F07DEB" w:rsidRDefault="009D49F2" w:rsidP="009D49F2">
            <w:pPr>
              <w:spacing w:after="0" w:line="240" w:lineRule="auto"/>
              <w:jc w:val="center"/>
              <w:rPr>
                <w:rFonts w:ascii="Times New Roman" w:eastAsia="Times New Roman" w:hAnsi="Times New Roman" w:cs="Times New Roman"/>
                <w:color w:val="000000"/>
                <w:sz w:val="20"/>
                <w:szCs w:val="20"/>
                <w:lang w:eastAsia="en-US"/>
              </w:rPr>
            </w:pPr>
          </w:p>
        </w:tc>
        <w:tc>
          <w:tcPr>
            <w:tcW w:w="619" w:type="pct"/>
            <w:tcBorders>
              <w:top w:val="single" w:sz="8" w:space="0" w:color="auto"/>
              <w:left w:val="nil"/>
              <w:bottom w:val="nil"/>
              <w:right w:val="nil"/>
            </w:tcBorders>
            <w:shd w:val="clear" w:color="auto" w:fill="auto"/>
            <w:noWrap/>
            <w:vAlign w:val="bottom"/>
            <w:hideMark/>
          </w:tcPr>
          <w:p w14:paraId="7615B704"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r>
      <w:tr w:rsidR="009D49F2" w:rsidRPr="00F07DEB" w14:paraId="0A7420EA" w14:textId="77777777" w:rsidTr="009D49F2">
        <w:trPr>
          <w:trHeight w:val="266"/>
        </w:trPr>
        <w:tc>
          <w:tcPr>
            <w:tcW w:w="988" w:type="pct"/>
            <w:tcBorders>
              <w:top w:val="nil"/>
              <w:left w:val="nil"/>
              <w:bottom w:val="nil"/>
              <w:right w:val="nil"/>
            </w:tcBorders>
            <w:shd w:val="clear" w:color="auto" w:fill="auto"/>
            <w:noWrap/>
            <w:vAlign w:val="center"/>
            <w:hideMark/>
          </w:tcPr>
          <w:p w14:paraId="389029D6"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1376" w:type="pct"/>
            <w:gridSpan w:val="2"/>
            <w:tcBorders>
              <w:top w:val="nil"/>
              <w:left w:val="nil"/>
              <w:bottom w:val="single" w:sz="8" w:space="0" w:color="auto"/>
              <w:right w:val="nil"/>
            </w:tcBorders>
            <w:shd w:val="clear" w:color="auto" w:fill="auto"/>
            <w:noWrap/>
            <w:vAlign w:val="bottom"/>
            <w:hideMark/>
          </w:tcPr>
          <w:p w14:paraId="0DA1C1AD" w14:textId="77777777" w:rsidR="009D49F2" w:rsidRPr="00F07DEB" w:rsidRDefault="009D49F2" w:rsidP="009D49F2">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Groundwater</w:t>
            </w:r>
          </w:p>
        </w:tc>
        <w:tc>
          <w:tcPr>
            <w:tcW w:w="1386" w:type="pct"/>
            <w:gridSpan w:val="2"/>
            <w:tcBorders>
              <w:top w:val="nil"/>
              <w:left w:val="nil"/>
              <w:bottom w:val="single" w:sz="8" w:space="0" w:color="auto"/>
              <w:right w:val="nil"/>
            </w:tcBorders>
            <w:shd w:val="clear" w:color="auto" w:fill="auto"/>
            <w:noWrap/>
            <w:vAlign w:val="bottom"/>
            <w:hideMark/>
          </w:tcPr>
          <w:p w14:paraId="118FAF8A" w14:textId="77777777" w:rsidR="009D49F2" w:rsidRPr="00F07DEB" w:rsidRDefault="009D49F2" w:rsidP="009D49F2">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Mine water</w:t>
            </w:r>
          </w:p>
        </w:tc>
        <w:tc>
          <w:tcPr>
            <w:tcW w:w="631" w:type="pct"/>
            <w:tcBorders>
              <w:top w:val="nil"/>
              <w:left w:val="nil"/>
              <w:bottom w:val="nil"/>
              <w:right w:val="nil"/>
            </w:tcBorders>
            <w:shd w:val="clear" w:color="auto" w:fill="auto"/>
            <w:noWrap/>
            <w:vAlign w:val="center"/>
            <w:hideMark/>
          </w:tcPr>
          <w:p w14:paraId="504E029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c>
          <w:tcPr>
            <w:tcW w:w="619" w:type="pct"/>
            <w:vMerge w:val="restart"/>
            <w:tcBorders>
              <w:top w:val="nil"/>
              <w:left w:val="nil"/>
              <w:bottom w:val="single" w:sz="8" w:space="0" w:color="000000"/>
              <w:right w:val="nil"/>
            </w:tcBorders>
            <w:shd w:val="clear" w:color="auto" w:fill="auto"/>
            <w:vAlign w:val="bottom"/>
            <w:hideMark/>
          </w:tcPr>
          <w:p w14:paraId="5BC75E29" w14:textId="434489B2" w:rsidR="009D49F2" w:rsidRPr="00F07DEB" w:rsidRDefault="00CF3DDB"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r>
      <w:tr w:rsidR="009D49F2" w:rsidRPr="00F07DEB" w14:paraId="2EEEB70C" w14:textId="77777777" w:rsidTr="009D49F2">
        <w:trPr>
          <w:trHeight w:val="266"/>
        </w:trPr>
        <w:tc>
          <w:tcPr>
            <w:tcW w:w="988" w:type="pct"/>
            <w:tcBorders>
              <w:top w:val="nil"/>
              <w:left w:val="nil"/>
              <w:bottom w:val="single" w:sz="8" w:space="0" w:color="auto"/>
              <w:right w:val="nil"/>
            </w:tcBorders>
            <w:shd w:val="clear" w:color="auto" w:fill="auto"/>
            <w:noWrap/>
            <w:vAlign w:val="center"/>
            <w:hideMark/>
          </w:tcPr>
          <w:p w14:paraId="241F7891"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Structure</w:t>
            </w:r>
          </w:p>
        </w:tc>
        <w:tc>
          <w:tcPr>
            <w:tcW w:w="839" w:type="pct"/>
            <w:tcBorders>
              <w:top w:val="nil"/>
              <w:left w:val="nil"/>
              <w:bottom w:val="single" w:sz="8" w:space="0" w:color="auto"/>
              <w:right w:val="nil"/>
            </w:tcBorders>
            <w:shd w:val="clear" w:color="auto" w:fill="auto"/>
            <w:noWrap/>
            <w:vAlign w:val="center"/>
            <w:hideMark/>
          </w:tcPr>
          <w:p w14:paraId="6661180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537" w:type="pct"/>
            <w:tcBorders>
              <w:top w:val="nil"/>
              <w:left w:val="nil"/>
              <w:bottom w:val="single" w:sz="8" w:space="0" w:color="auto"/>
              <w:right w:val="nil"/>
            </w:tcBorders>
            <w:shd w:val="clear" w:color="auto" w:fill="auto"/>
            <w:noWrap/>
            <w:vAlign w:val="center"/>
            <w:hideMark/>
          </w:tcPr>
          <w:p w14:paraId="35E4D8E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850" w:type="pct"/>
            <w:tcBorders>
              <w:top w:val="nil"/>
              <w:left w:val="nil"/>
              <w:bottom w:val="single" w:sz="8" w:space="0" w:color="auto"/>
              <w:right w:val="nil"/>
            </w:tcBorders>
            <w:shd w:val="clear" w:color="auto" w:fill="auto"/>
            <w:noWrap/>
            <w:vAlign w:val="center"/>
            <w:hideMark/>
          </w:tcPr>
          <w:p w14:paraId="2763085E"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536" w:type="pct"/>
            <w:tcBorders>
              <w:top w:val="nil"/>
              <w:left w:val="nil"/>
              <w:bottom w:val="single" w:sz="8" w:space="0" w:color="auto"/>
              <w:right w:val="nil"/>
            </w:tcBorders>
            <w:shd w:val="clear" w:color="auto" w:fill="auto"/>
            <w:noWrap/>
            <w:vAlign w:val="center"/>
            <w:hideMark/>
          </w:tcPr>
          <w:p w14:paraId="1D44B2D3"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631" w:type="pct"/>
            <w:tcBorders>
              <w:top w:val="nil"/>
              <w:left w:val="nil"/>
              <w:bottom w:val="single" w:sz="8" w:space="0" w:color="auto"/>
              <w:right w:val="nil"/>
            </w:tcBorders>
            <w:shd w:val="clear" w:color="auto" w:fill="auto"/>
            <w:noWrap/>
            <w:vAlign w:val="center"/>
            <w:hideMark/>
          </w:tcPr>
          <w:p w14:paraId="6F8D16BA" w14:textId="77777777" w:rsidR="009D49F2" w:rsidRPr="00F07DEB" w:rsidRDefault="009D49F2" w:rsidP="009D49F2">
            <w:pPr>
              <w:spacing w:after="0" w:line="240" w:lineRule="auto"/>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619" w:type="pct"/>
            <w:vMerge/>
            <w:tcBorders>
              <w:top w:val="nil"/>
              <w:left w:val="nil"/>
              <w:bottom w:val="single" w:sz="8" w:space="0" w:color="000000"/>
              <w:right w:val="nil"/>
            </w:tcBorders>
            <w:vAlign w:val="center"/>
            <w:hideMark/>
          </w:tcPr>
          <w:p w14:paraId="12ADC1C1"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r>
      <w:tr w:rsidR="009D49F2" w:rsidRPr="00F07DEB" w14:paraId="2FF35A80" w14:textId="77777777" w:rsidTr="009D49F2">
        <w:trPr>
          <w:trHeight w:val="258"/>
        </w:trPr>
        <w:tc>
          <w:tcPr>
            <w:tcW w:w="988" w:type="pct"/>
            <w:tcBorders>
              <w:top w:val="nil"/>
              <w:left w:val="nil"/>
              <w:bottom w:val="nil"/>
              <w:right w:val="nil"/>
            </w:tcBorders>
            <w:shd w:val="clear" w:color="auto" w:fill="auto"/>
            <w:noWrap/>
            <w:vAlign w:val="center"/>
            <w:hideMark/>
          </w:tcPr>
          <w:p w14:paraId="16F1081A"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Corn</w:t>
            </w:r>
          </w:p>
        </w:tc>
        <w:tc>
          <w:tcPr>
            <w:tcW w:w="839" w:type="pct"/>
            <w:tcBorders>
              <w:top w:val="nil"/>
              <w:left w:val="nil"/>
              <w:bottom w:val="nil"/>
              <w:right w:val="nil"/>
            </w:tcBorders>
            <w:shd w:val="clear" w:color="auto" w:fill="auto"/>
            <w:noWrap/>
            <w:vAlign w:val="center"/>
            <w:hideMark/>
          </w:tcPr>
          <w:p w14:paraId="37D07E86"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c>
          <w:tcPr>
            <w:tcW w:w="537" w:type="pct"/>
            <w:tcBorders>
              <w:top w:val="nil"/>
              <w:left w:val="nil"/>
              <w:bottom w:val="nil"/>
              <w:right w:val="nil"/>
            </w:tcBorders>
            <w:shd w:val="clear" w:color="auto" w:fill="auto"/>
            <w:noWrap/>
            <w:vAlign w:val="center"/>
            <w:hideMark/>
          </w:tcPr>
          <w:p w14:paraId="5492B38B"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850" w:type="pct"/>
            <w:tcBorders>
              <w:top w:val="nil"/>
              <w:left w:val="nil"/>
              <w:bottom w:val="nil"/>
              <w:right w:val="nil"/>
            </w:tcBorders>
            <w:shd w:val="clear" w:color="auto" w:fill="auto"/>
            <w:noWrap/>
            <w:vAlign w:val="center"/>
            <w:hideMark/>
          </w:tcPr>
          <w:p w14:paraId="1AFEC5AC"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536" w:type="pct"/>
            <w:tcBorders>
              <w:top w:val="nil"/>
              <w:left w:val="nil"/>
              <w:bottom w:val="nil"/>
              <w:right w:val="nil"/>
            </w:tcBorders>
            <w:shd w:val="clear" w:color="auto" w:fill="auto"/>
            <w:noWrap/>
            <w:vAlign w:val="center"/>
            <w:hideMark/>
          </w:tcPr>
          <w:p w14:paraId="3AF219B9"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74D1978F"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19" w:type="pct"/>
            <w:tcBorders>
              <w:top w:val="nil"/>
              <w:left w:val="nil"/>
              <w:bottom w:val="nil"/>
              <w:right w:val="nil"/>
            </w:tcBorders>
            <w:shd w:val="clear" w:color="auto" w:fill="auto"/>
            <w:noWrap/>
            <w:vAlign w:val="center"/>
            <w:hideMark/>
          </w:tcPr>
          <w:p w14:paraId="27B0427C"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r>
      <w:tr w:rsidR="009D49F2" w:rsidRPr="00F07DEB" w14:paraId="24DDEA01" w14:textId="77777777" w:rsidTr="009D49F2">
        <w:trPr>
          <w:trHeight w:val="258"/>
        </w:trPr>
        <w:tc>
          <w:tcPr>
            <w:tcW w:w="988" w:type="pct"/>
            <w:tcBorders>
              <w:top w:val="nil"/>
              <w:left w:val="nil"/>
              <w:bottom w:val="nil"/>
              <w:right w:val="nil"/>
            </w:tcBorders>
            <w:shd w:val="clear" w:color="auto" w:fill="auto"/>
            <w:noWrap/>
            <w:vAlign w:val="center"/>
            <w:hideMark/>
          </w:tcPr>
          <w:p w14:paraId="25E3B6F8"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w:t>
            </w:r>
          </w:p>
        </w:tc>
        <w:tc>
          <w:tcPr>
            <w:tcW w:w="839" w:type="pct"/>
            <w:tcBorders>
              <w:top w:val="nil"/>
              <w:left w:val="nil"/>
              <w:bottom w:val="nil"/>
              <w:right w:val="nil"/>
            </w:tcBorders>
            <w:shd w:val="clear" w:color="auto" w:fill="auto"/>
            <w:noWrap/>
            <w:vAlign w:val="center"/>
            <w:hideMark/>
          </w:tcPr>
          <w:p w14:paraId="2BEF1319"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1419.97 a</w:t>
            </w:r>
          </w:p>
        </w:tc>
        <w:tc>
          <w:tcPr>
            <w:tcW w:w="537" w:type="pct"/>
            <w:tcBorders>
              <w:top w:val="nil"/>
              <w:left w:val="nil"/>
              <w:bottom w:val="nil"/>
              <w:right w:val="nil"/>
            </w:tcBorders>
            <w:shd w:val="clear" w:color="auto" w:fill="auto"/>
            <w:noWrap/>
            <w:vAlign w:val="center"/>
            <w:hideMark/>
          </w:tcPr>
          <w:p w14:paraId="0DBC791B"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449.66</w:t>
            </w:r>
          </w:p>
        </w:tc>
        <w:tc>
          <w:tcPr>
            <w:tcW w:w="850" w:type="pct"/>
            <w:tcBorders>
              <w:top w:val="nil"/>
              <w:left w:val="nil"/>
              <w:bottom w:val="nil"/>
              <w:right w:val="nil"/>
            </w:tcBorders>
            <w:shd w:val="clear" w:color="auto" w:fill="auto"/>
            <w:noWrap/>
            <w:vAlign w:val="center"/>
            <w:hideMark/>
          </w:tcPr>
          <w:p w14:paraId="127EBE2E"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1638.25 a</w:t>
            </w:r>
          </w:p>
        </w:tc>
        <w:tc>
          <w:tcPr>
            <w:tcW w:w="536" w:type="pct"/>
            <w:tcBorders>
              <w:top w:val="nil"/>
              <w:left w:val="nil"/>
              <w:bottom w:val="nil"/>
              <w:right w:val="nil"/>
            </w:tcBorders>
            <w:shd w:val="clear" w:color="auto" w:fill="auto"/>
            <w:noWrap/>
            <w:vAlign w:val="center"/>
            <w:hideMark/>
          </w:tcPr>
          <w:p w14:paraId="2352951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557.01</w:t>
            </w:r>
          </w:p>
        </w:tc>
        <w:tc>
          <w:tcPr>
            <w:tcW w:w="631" w:type="pct"/>
            <w:tcBorders>
              <w:top w:val="nil"/>
              <w:left w:val="nil"/>
              <w:bottom w:val="nil"/>
              <w:right w:val="nil"/>
            </w:tcBorders>
            <w:shd w:val="clear" w:color="auto" w:fill="auto"/>
            <w:noWrap/>
            <w:vAlign w:val="center"/>
            <w:hideMark/>
          </w:tcPr>
          <w:p w14:paraId="322F98C2"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0.472</w:t>
            </w:r>
          </w:p>
        </w:tc>
        <w:tc>
          <w:tcPr>
            <w:tcW w:w="619" w:type="pct"/>
            <w:tcBorders>
              <w:top w:val="nil"/>
              <w:left w:val="nil"/>
              <w:bottom w:val="nil"/>
              <w:right w:val="nil"/>
            </w:tcBorders>
            <w:shd w:val="clear" w:color="auto" w:fill="auto"/>
            <w:noWrap/>
            <w:vAlign w:val="center"/>
            <w:hideMark/>
          </w:tcPr>
          <w:p w14:paraId="670423CA"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0.053</w:t>
            </w:r>
          </w:p>
        </w:tc>
      </w:tr>
      <w:tr w:rsidR="009D49F2" w:rsidRPr="00F07DEB" w14:paraId="328B5206" w14:textId="77777777" w:rsidTr="009D49F2">
        <w:trPr>
          <w:trHeight w:val="258"/>
        </w:trPr>
        <w:tc>
          <w:tcPr>
            <w:tcW w:w="988" w:type="pct"/>
            <w:tcBorders>
              <w:top w:val="nil"/>
              <w:left w:val="nil"/>
              <w:bottom w:val="nil"/>
              <w:right w:val="nil"/>
            </w:tcBorders>
            <w:shd w:val="clear" w:color="auto" w:fill="auto"/>
            <w:noWrap/>
            <w:vAlign w:val="center"/>
            <w:hideMark/>
          </w:tcPr>
          <w:p w14:paraId="7066F83C" w14:textId="37633733"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w:t>
            </w:r>
            <w:r w:rsidR="001405F5">
              <w:rPr>
                <w:rFonts w:ascii="Times New Roman" w:eastAsia="Times New Roman" w:hAnsi="Times New Roman" w:cs="Times New Roman"/>
                <w:color w:val="000000"/>
                <w:sz w:val="20"/>
                <w:szCs w:val="20"/>
                <w:lang w:eastAsia="en-US"/>
              </w:rPr>
              <w:t>Husk</w:t>
            </w:r>
          </w:p>
        </w:tc>
        <w:tc>
          <w:tcPr>
            <w:tcW w:w="839" w:type="pct"/>
            <w:tcBorders>
              <w:top w:val="nil"/>
              <w:left w:val="nil"/>
              <w:bottom w:val="nil"/>
              <w:right w:val="nil"/>
            </w:tcBorders>
            <w:shd w:val="clear" w:color="auto" w:fill="auto"/>
            <w:noWrap/>
            <w:vAlign w:val="center"/>
            <w:hideMark/>
          </w:tcPr>
          <w:p w14:paraId="394E07C3"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630.44 b</w:t>
            </w:r>
          </w:p>
        </w:tc>
        <w:tc>
          <w:tcPr>
            <w:tcW w:w="537" w:type="pct"/>
            <w:tcBorders>
              <w:top w:val="nil"/>
              <w:left w:val="nil"/>
              <w:bottom w:val="nil"/>
              <w:right w:val="nil"/>
            </w:tcBorders>
            <w:shd w:val="clear" w:color="auto" w:fill="auto"/>
            <w:noWrap/>
            <w:vAlign w:val="center"/>
            <w:hideMark/>
          </w:tcPr>
          <w:p w14:paraId="018CA853"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78.65</w:t>
            </w:r>
          </w:p>
        </w:tc>
        <w:tc>
          <w:tcPr>
            <w:tcW w:w="850" w:type="pct"/>
            <w:tcBorders>
              <w:top w:val="nil"/>
              <w:left w:val="nil"/>
              <w:bottom w:val="nil"/>
              <w:right w:val="nil"/>
            </w:tcBorders>
            <w:shd w:val="clear" w:color="auto" w:fill="auto"/>
            <w:noWrap/>
            <w:vAlign w:val="center"/>
            <w:hideMark/>
          </w:tcPr>
          <w:p w14:paraId="0C221B86"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579.89 b</w:t>
            </w:r>
          </w:p>
        </w:tc>
        <w:tc>
          <w:tcPr>
            <w:tcW w:w="536" w:type="pct"/>
            <w:tcBorders>
              <w:top w:val="nil"/>
              <w:left w:val="nil"/>
              <w:bottom w:val="nil"/>
              <w:right w:val="nil"/>
            </w:tcBorders>
            <w:shd w:val="clear" w:color="auto" w:fill="auto"/>
            <w:noWrap/>
            <w:vAlign w:val="center"/>
            <w:hideMark/>
          </w:tcPr>
          <w:p w14:paraId="13868CF8"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68.00</w:t>
            </w:r>
          </w:p>
        </w:tc>
        <w:tc>
          <w:tcPr>
            <w:tcW w:w="631" w:type="pct"/>
            <w:tcBorders>
              <w:top w:val="nil"/>
              <w:left w:val="nil"/>
              <w:bottom w:val="nil"/>
              <w:right w:val="nil"/>
            </w:tcBorders>
            <w:shd w:val="clear" w:color="auto" w:fill="auto"/>
            <w:noWrap/>
            <w:vAlign w:val="center"/>
            <w:hideMark/>
          </w:tcPr>
          <w:p w14:paraId="2BDAC84B"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0.261</w:t>
            </w:r>
          </w:p>
        </w:tc>
        <w:tc>
          <w:tcPr>
            <w:tcW w:w="619" w:type="pct"/>
            <w:tcBorders>
              <w:top w:val="nil"/>
              <w:left w:val="nil"/>
              <w:bottom w:val="nil"/>
              <w:right w:val="nil"/>
            </w:tcBorders>
            <w:shd w:val="clear" w:color="auto" w:fill="auto"/>
            <w:noWrap/>
            <w:vAlign w:val="center"/>
            <w:hideMark/>
          </w:tcPr>
          <w:p w14:paraId="0342BE4D"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0.124</w:t>
            </w:r>
          </w:p>
        </w:tc>
      </w:tr>
      <w:tr w:rsidR="009D49F2" w:rsidRPr="00F07DEB" w14:paraId="76A446D0" w14:textId="77777777" w:rsidTr="009D49F2">
        <w:trPr>
          <w:trHeight w:val="258"/>
        </w:trPr>
        <w:tc>
          <w:tcPr>
            <w:tcW w:w="988" w:type="pct"/>
            <w:tcBorders>
              <w:top w:val="nil"/>
              <w:left w:val="nil"/>
              <w:bottom w:val="nil"/>
              <w:right w:val="nil"/>
            </w:tcBorders>
            <w:shd w:val="clear" w:color="auto" w:fill="auto"/>
            <w:noWrap/>
            <w:vAlign w:val="center"/>
            <w:hideMark/>
          </w:tcPr>
          <w:p w14:paraId="25D67B4D"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w:t>
            </w:r>
          </w:p>
        </w:tc>
        <w:tc>
          <w:tcPr>
            <w:tcW w:w="839" w:type="pct"/>
            <w:tcBorders>
              <w:top w:val="nil"/>
              <w:left w:val="nil"/>
              <w:bottom w:val="nil"/>
              <w:right w:val="nil"/>
            </w:tcBorders>
            <w:shd w:val="clear" w:color="auto" w:fill="auto"/>
            <w:noWrap/>
            <w:vAlign w:val="center"/>
            <w:hideMark/>
          </w:tcPr>
          <w:p w14:paraId="3044F3E8"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1660.46 a</w:t>
            </w:r>
          </w:p>
        </w:tc>
        <w:tc>
          <w:tcPr>
            <w:tcW w:w="537" w:type="pct"/>
            <w:tcBorders>
              <w:top w:val="nil"/>
              <w:left w:val="nil"/>
              <w:bottom w:val="nil"/>
              <w:right w:val="nil"/>
            </w:tcBorders>
            <w:shd w:val="clear" w:color="auto" w:fill="auto"/>
            <w:noWrap/>
            <w:vAlign w:val="center"/>
            <w:hideMark/>
          </w:tcPr>
          <w:p w14:paraId="604DCC94"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423.89</w:t>
            </w:r>
          </w:p>
        </w:tc>
        <w:tc>
          <w:tcPr>
            <w:tcW w:w="850" w:type="pct"/>
            <w:tcBorders>
              <w:top w:val="nil"/>
              <w:left w:val="nil"/>
              <w:bottom w:val="nil"/>
              <w:right w:val="nil"/>
            </w:tcBorders>
            <w:shd w:val="clear" w:color="auto" w:fill="auto"/>
            <w:noWrap/>
            <w:vAlign w:val="center"/>
            <w:hideMark/>
          </w:tcPr>
          <w:p w14:paraId="23AE424A"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1263.24 ac</w:t>
            </w:r>
          </w:p>
        </w:tc>
        <w:tc>
          <w:tcPr>
            <w:tcW w:w="536" w:type="pct"/>
            <w:tcBorders>
              <w:top w:val="nil"/>
              <w:left w:val="nil"/>
              <w:bottom w:val="nil"/>
              <w:right w:val="nil"/>
            </w:tcBorders>
            <w:shd w:val="clear" w:color="auto" w:fill="auto"/>
            <w:noWrap/>
            <w:vAlign w:val="center"/>
            <w:hideMark/>
          </w:tcPr>
          <w:p w14:paraId="6F31DE0E"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287.45</w:t>
            </w:r>
          </w:p>
        </w:tc>
        <w:tc>
          <w:tcPr>
            <w:tcW w:w="631" w:type="pct"/>
            <w:tcBorders>
              <w:top w:val="nil"/>
              <w:left w:val="nil"/>
              <w:bottom w:val="nil"/>
              <w:right w:val="nil"/>
            </w:tcBorders>
            <w:shd w:val="clear" w:color="auto" w:fill="auto"/>
            <w:noWrap/>
            <w:vAlign w:val="center"/>
            <w:hideMark/>
          </w:tcPr>
          <w:p w14:paraId="6720C2BC"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0.087</w:t>
            </w:r>
          </w:p>
        </w:tc>
        <w:tc>
          <w:tcPr>
            <w:tcW w:w="619" w:type="pct"/>
            <w:tcBorders>
              <w:top w:val="nil"/>
              <w:left w:val="nil"/>
              <w:bottom w:val="nil"/>
              <w:right w:val="nil"/>
            </w:tcBorders>
            <w:shd w:val="clear" w:color="auto" w:fill="auto"/>
            <w:noWrap/>
            <w:vAlign w:val="center"/>
            <w:hideMark/>
          </w:tcPr>
          <w:p w14:paraId="6EDB85AE"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0.265</w:t>
            </w:r>
          </w:p>
        </w:tc>
      </w:tr>
      <w:tr w:rsidR="009D49F2" w:rsidRPr="00F07DEB" w14:paraId="62BF8919" w14:textId="77777777" w:rsidTr="009D49F2">
        <w:trPr>
          <w:trHeight w:val="258"/>
        </w:trPr>
        <w:tc>
          <w:tcPr>
            <w:tcW w:w="988" w:type="pct"/>
            <w:tcBorders>
              <w:top w:val="nil"/>
              <w:left w:val="nil"/>
              <w:bottom w:val="nil"/>
              <w:right w:val="nil"/>
            </w:tcBorders>
            <w:shd w:val="clear" w:color="auto" w:fill="auto"/>
            <w:noWrap/>
            <w:vAlign w:val="center"/>
            <w:hideMark/>
          </w:tcPr>
          <w:p w14:paraId="173D9B44"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Cob</w:t>
            </w:r>
          </w:p>
        </w:tc>
        <w:tc>
          <w:tcPr>
            <w:tcW w:w="839" w:type="pct"/>
            <w:tcBorders>
              <w:top w:val="nil"/>
              <w:left w:val="nil"/>
              <w:bottom w:val="nil"/>
              <w:right w:val="nil"/>
            </w:tcBorders>
            <w:shd w:val="clear" w:color="auto" w:fill="auto"/>
            <w:noWrap/>
            <w:vAlign w:val="center"/>
            <w:hideMark/>
          </w:tcPr>
          <w:p w14:paraId="317A435D"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1272.29 ac</w:t>
            </w:r>
          </w:p>
        </w:tc>
        <w:tc>
          <w:tcPr>
            <w:tcW w:w="537" w:type="pct"/>
            <w:tcBorders>
              <w:top w:val="nil"/>
              <w:left w:val="nil"/>
              <w:bottom w:val="nil"/>
              <w:right w:val="nil"/>
            </w:tcBorders>
            <w:shd w:val="clear" w:color="auto" w:fill="auto"/>
            <w:noWrap/>
            <w:vAlign w:val="center"/>
            <w:hideMark/>
          </w:tcPr>
          <w:p w14:paraId="3A772173"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457.00</w:t>
            </w:r>
          </w:p>
        </w:tc>
        <w:tc>
          <w:tcPr>
            <w:tcW w:w="850" w:type="pct"/>
            <w:tcBorders>
              <w:top w:val="nil"/>
              <w:left w:val="nil"/>
              <w:bottom w:val="nil"/>
              <w:right w:val="nil"/>
            </w:tcBorders>
            <w:shd w:val="clear" w:color="auto" w:fill="auto"/>
            <w:noWrap/>
            <w:vAlign w:val="center"/>
            <w:hideMark/>
          </w:tcPr>
          <w:p w14:paraId="074B0A61"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1039.17 ab</w:t>
            </w:r>
          </w:p>
        </w:tc>
        <w:tc>
          <w:tcPr>
            <w:tcW w:w="536" w:type="pct"/>
            <w:tcBorders>
              <w:top w:val="nil"/>
              <w:left w:val="nil"/>
              <w:bottom w:val="nil"/>
              <w:right w:val="nil"/>
            </w:tcBorders>
            <w:shd w:val="clear" w:color="auto" w:fill="auto"/>
            <w:noWrap/>
            <w:vAlign w:val="center"/>
            <w:hideMark/>
          </w:tcPr>
          <w:p w14:paraId="64D9D74B"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338.47</w:t>
            </w:r>
          </w:p>
        </w:tc>
        <w:tc>
          <w:tcPr>
            <w:tcW w:w="631" w:type="pct"/>
            <w:tcBorders>
              <w:top w:val="nil"/>
              <w:left w:val="nil"/>
              <w:bottom w:val="nil"/>
              <w:right w:val="nil"/>
            </w:tcBorders>
            <w:shd w:val="clear" w:color="auto" w:fill="auto"/>
            <w:noWrap/>
            <w:vAlign w:val="center"/>
            <w:hideMark/>
          </w:tcPr>
          <w:p w14:paraId="142550F5"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0.339</w:t>
            </w:r>
          </w:p>
        </w:tc>
        <w:tc>
          <w:tcPr>
            <w:tcW w:w="619" w:type="pct"/>
            <w:tcBorders>
              <w:top w:val="nil"/>
              <w:left w:val="nil"/>
              <w:bottom w:val="nil"/>
              <w:right w:val="nil"/>
            </w:tcBorders>
            <w:shd w:val="clear" w:color="auto" w:fill="auto"/>
            <w:noWrap/>
            <w:vAlign w:val="center"/>
            <w:hideMark/>
          </w:tcPr>
          <w:p w14:paraId="769F9261"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0.092</w:t>
            </w:r>
          </w:p>
        </w:tc>
      </w:tr>
      <w:tr w:rsidR="009D49F2" w:rsidRPr="00F07DEB" w14:paraId="4AA51B9C" w14:textId="77777777" w:rsidTr="009D49F2">
        <w:trPr>
          <w:trHeight w:val="258"/>
        </w:trPr>
        <w:tc>
          <w:tcPr>
            <w:tcW w:w="988" w:type="pct"/>
            <w:tcBorders>
              <w:top w:val="nil"/>
              <w:left w:val="nil"/>
              <w:bottom w:val="nil"/>
              <w:right w:val="nil"/>
            </w:tcBorders>
            <w:shd w:val="clear" w:color="auto" w:fill="auto"/>
            <w:noWrap/>
            <w:vAlign w:val="center"/>
            <w:hideMark/>
          </w:tcPr>
          <w:p w14:paraId="68FB79A4"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w:t>
            </w:r>
          </w:p>
        </w:tc>
        <w:tc>
          <w:tcPr>
            <w:tcW w:w="839" w:type="pct"/>
            <w:tcBorders>
              <w:top w:val="nil"/>
              <w:left w:val="nil"/>
              <w:bottom w:val="nil"/>
              <w:right w:val="nil"/>
            </w:tcBorders>
            <w:shd w:val="clear" w:color="auto" w:fill="auto"/>
            <w:noWrap/>
            <w:vAlign w:val="center"/>
            <w:hideMark/>
          </w:tcPr>
          <w:p w14:paraId="1276888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503.97 </w:t>
            </w:r>
            <w:proofErr w:type="spellStart"/>
            <w:r w:rsidRPr="00F07DEB">
              <w:rPr>
                <w:rFonts w:ascii="Times New Roman" w:eastAsia="Times New Roman" w:hAnsi="Times New Roman" w:cs="Times New Roman"/>
                <w:color w:val="000000"/>
                <w:sz w:val="20"/>
                <w:szCs w:val="20"/>
                <w:lang w:eastAsia="en-US"/>
              </w:rPr>
              <w:t>bc</w:t>
            </w:r>
            <w:proofErr w:type="spellEnd"/>
          </w:p>
        </w:tc>
        <w:tc>
          <w:tcPr>
            <w:tcW w:w="537" w:type="pct"/>
            <w:tcBorders>
              <w:top w:val="nil"/>
              <w:left w:val="nil"/>
              <w:bottom w:val="nil"/>
              <w:right w:val="nil"/>
            </w:tcBorders>
            <w:shd w:val="clear" w:color="auto" w:fill="auto"/>
            <w:noWrap/>
            <w:vAlign w:val="center"/>
            <w:hideMark/>
          </w:tcPr>
          <w:p w14:paraId="686192B7"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169.94</w:t>
            </w:r>
          </w:p>
        </w:tc>
        <w:tc>
          <w:tcPr>
            <w:tcW w:w="850" w:type="pct"/>
            <w:tcBorders>
              <w:top w:val="nil"/>
              <w:left w:val="nil"/>
              <w:bottom w:val="nil"/>
              <w:right w:val="nil"/>
            </w:tcBorders>
            <w:shd w:val="clear" w:color="auto" w:fill="auto"/>
            <w:noWrap/>
            <w:vAlign w:val="center"/>
            <w:hideMark/>
          </w:tcPr>
          <w:p w14:paraId="02465C3D"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888.45 </w:t>
            </w:r>
            <w:proofErr w:type="spellStart"/>
            <w:r w:rsidRPr="00F07DEB">
              <w:rPr>
                <w:rFonts w:ascii="Times New Roman" w:eastAsia="Times New Roman" w:hAnsi="Times New Roman" w:cs="Times New Roman"/>
                <w:color w:val="000000"/>
                <w:sz w:val="20"/>
                <w:szCs w:val="20"/>
                <w:lang w:eastAsia="en-US"/>
              </w:rPr>
              <w:t>bc</w:t>
            </w:r>
            <w:proofErr w:type="spellEnd"/>
          </w:p>
        </w:tc>
        <w:tc>
          <w:tcPr>
            <w:tcW w:w="536" w:type="pct"/>
            <w:tcBorders>
              <w:top w:val="nil"/>
              <w:left w:val="nil"/>
              <w:bottom w:val="nil"/>
              <w:right w:val="nil"/>
            </w:tcBorders>
            <w:shd w:val="clear" w:color="auto" w:fill="auto"/>
            <w:noWrap/>
            <w:vAlign w:val="center"/>
            <w:hideMark/>
          </w:tcPr>
          <w:p w14:paraId="604D36E5"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328.95</w:t>
            </w:r>
          </w:p>
        </w:tc>
        <w:tc>
          <w:tcPr>
            <w:tcW w:w="631" w:type="pct"/>
            <w:tcBorders>
              <w:top w:val="nil"/>
              <w:left w:val="nil"/>
              <w:bottom w:val="nil"/>
              <w:right w:val="nil"/>
            </w:tcBorders>
            <w:shd w:val="clear" w:color="auto" w:fill="auto"/>
            <w:noWrap/>
            <w:vAlign w:val="center"/>
            <w:hideMark/>
          </w:tcPr>
          <w:p w14:paraId="0D3FEBE1"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0.029</w:t>
            </w:r>
          </w:p>
        </w:tc>
        <w:tc>
          <w:tcPr>
            <w:tcW w:w="619" w:type="pct"/>
            <w:tcBorders>
              <w:top w:val="nil"/>
              <w:left w:val="nil"/>
              <w:bottom w:val="nil"/>
              <w:right w:val="nil"/>
            </w:tcBorders>
            <w:shd w:val="clear" w:color="auto" w:fill="auto"/>
            <w:noWrap/>
            <w:vAlign w:val="center"/>
            <w:hideMark/>
          </w:tcPr>
          <w:p w14:paraId="6848C471"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0.393</w:t>
            </w:r>
          </w:p>
        </w:tc>
      </w:tr>
      <w:tr w:rsidR="009D49F2" w:rsidRPr="00F07DEB" w14:paraId="0B08BB73" w14:textId="77777777" w:rsidTr="009D49F2">
        <w:trPr>
          <w:trHeight w:val="266"/>
        </w:trPr>
        <w:tc>
          <w:tcPr>
            <w:tcW w:w="988" w:type="pct"/>
            <w:tcBorders>
              <w:top w:val="nil"/>
              <w:left w:val="nil"/>
              <w:bottom w:val="single" w:sz="8" w:space="0" w:color="auto"/>
              <w:right w:val="nil"/>
            </w:tcBorders>
            <w:shd w:val="clear" w:color="auto" w:fill="auto"/>
            <w:noWrap/>
            <w:vAlign w:val="center"/>
            <w:hideMark/>
          </w:tcPr>
          <w:p w14:paraId="3B21137A"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839" w:type="pct"/>
            <w:tcBorders>
              <w:top w:val="nil"/>
              <w:left w:val="nil"/>
              <w:bottom w:val="single" w:sz="8" w:space="0" w:color="auto"/>
              <w:right w:val="nil"/>
            </w:tcBorders>
            <w:shd w:val="clear" w:color="auto" w:fill="auto"/>
            <w:noWrap/>
            <w:vAlign w:val="center"/>
            <w:hideMark/>
          </w:tcPr>
          <w:p w14:paraId="7EF5070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1997.39 a</w:t>
            </w:r>
          </w:p>
        </w:tc>
        <w:tc>
          <w:tcPr>
            <w:tcW w:w="537" w:type="pct"/>
            <w:tcBorders>
              <w:top w:val="nil"/>
              <w:left w:val="nil"/>
              <w:bottom w:val="single" w:sz="8" w:space="0" w:color="auto"/>
              <w:right w:val="nil"/>
            </w:tcBorders>
            <w:shd w:val="clear" w:color="auto" w:fill="auto"/>
            <w:noWrap/>
            <w:vAlign w:val="center"/>
            <w:hideMark/>
          </w:tcPr>
          <w:p w14:paraId="191CBF31"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373.26</w:t>
            </w:r>
          </w:p>
        </w:tc>
        <w:tc>
          <w:tcPr>
            <w:tcW w:w="850" w:type="pct"/>
            <w:tcBorders>
              <w:top w:val="nil"/>
              <w:left w:val="nil"/>
              <w:bottom w:val="single" w:sz="8" w:space="0" w:color="auto"/>
              <w:right w:val="nil"/>
            </w:tcBorders>
            <w:shd w:val="clear" w:color="auto" w:fill="auto"/>
            <w:noWrap/>
            <w:vAlign w:val="center"/>
            <w:hideMark/>
          </w:tcPr>
          <w:p w14:paraId="7EDF6E46"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6330.59</w:t>
            </w:r>
          </w:p>
        </w:tc>
        <w:tc>
          <w:tcPr>
            <w:tcW w:w="536" w:type="pct"/>
            <w:tcBorders>
              <w:top w:val="nil"/>
              <w:left w:val="nil"/>
              <w:bottom w:val="single" w:sz="8" w:space="0" w:color="auto"/>
              <w:right w:val="nil"/>
            </w:tcBorders>
            <w:shd w:val="clear" w:color="auto" w:fill="auto"/>
            <w:noWrap/>
            <w:vAlign w:val="center"/>
            <w:hideMark/>
          </w:tcPr>
          <w:p w14:paraId="5C966B77"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899.17</w:t>
            </w:r>
          </w:p>
        </w:tc>
        <w:tc>
          <w:tcPr>
            <w:tcW w:w="631" w:type="pct"/>
            <w:tcBorders>
              <w:top w:val="nil"/>
              <w:left w:val="nil"/>
              <w:bottom w:val="single" w:sz="8" w:space="0" w:color="auto"/>
              <w:right w:val="nil"/>
            </w:tcBorders>
            <w:shd w:val="clear" w:color="auto" w:fill="auto"/>
            <w:noWrap/>
            <w:vAlign w:val="center"/>
            <w:hideMark/>
          </w:tcPr>
          <w:p w14:paraId="11A58DC6"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0.001</w:t>
            </w:r>
          </w:p>
        </w:tc>
        <w:tc>
          <w:tcPr>
            <w:tcW w:w="619" w:type="pct"/>
            <w:tcBorders>
              <w:top w:val="nil"/>
              <w:left w:val="nil"/>
              <w:bottom w:val="single" w:sz="8" w:space="0" w:color="auto"/>
              <w:right w:val="nil"/>
            </w:tcBorders>
            <w:shd w:val="clear" w:color="auto" w:fill="auto"/>
            <w:noWrap/>
            <w:vAlign w:val="center"/>
            <w:hideMark/>
          </w:tcPr>
          <w:p w14:paraId="173C9ABB"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0.922</w:t>
            </w:r>
          </w:p>
        </w:tc>
      </w:tr>
      <w:tr w:rsidR="009D49F2" w:rsidRPr="00F07DEB" w14:paraId="5B484232" w14:textId="77777777" w:rsidTr="009D49F2">
        <w:trPr>
          <w:trHeight w:val="258"/>
        </w:trPr>
        <w:tc>
          <w:tcPr>
            <w:tcW w:w="988" w:type="pct"/>
            <w:tcBorders>
              <w:top w:val="nil"/>
              <w:left w:val="nil"/>
              <w:bottom w:val="nil"/>
              <w:right w:val="nil"/>
            </w:tcBorders>
            <w:shd w:val="clear" w:color="auto" w:fill="auto"/>
            <w:noWrap/>
            <w:vAlign w:val="center"/>
            <w:hideMark/>
          </w:tcPr>
          <w:p w14:paraId="690BD123"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Sorghum</w:t>
            </w:r>
          </w:p>
        </w:tc>
        <w:tc>
          <w:tcPr>
            <w:tcW w:w="839" w:type="pct"/>
            <w:tcBorders>
              <w:top w:val="nil"/>
              <w:left w:val="nil"/>
              <w:bottom w:val="nil"/>
              <w:right w:val="nil"/>
            </w:tcBorders>
            <w:shd w:val="clear" w:color="auto" w:fill="auto"/>
            <w:noWrap/>
            <w:vAlign w:val="center"/>
            <w:hideMark/>
          </w:tcPr>
          <w:p w14:paraId="05632BEC"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c>
          <w:tcPr>
            <w:tcW w:w="537" w:type="pct"/>
            <w:tcBorders>
              <w:top w:val="nil"/>
              <w:left w:val="nil"/>
              <w:bottom w:val="nil"/>
              <w:right w:val="nil"/>
            </w:tcBorders>
            <w:shd w:val="clear" w:color="auto" w:fill="auto"/>
            <w:noWrap/>
            <w:vAlign w:val="center"/>
            <w:hideMark/>
          </w:tcPr>
          <w:p w14:paraId="4898A80B"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850" w:type="pct"/>
            <w:tcBorders>
              <w:top w:val="nil"/>
              <w:left w:val="nil"/>
              <w:bottom w:val="nil"/>
              <w:right w:val="nil"/>
            </w:tcBorders>
            <w:shd w:val="clear" w:color="auto" w:fill="auto"/>
            <w:noWrap/>
            <w:vAlign w:val="center"/>
            <w:hideMark/>
          </w:tcPr>
          <w:p w14:paraId="23738763"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536" w:type="pct"/>
            <w:tcBorders>
              <w:top w:val="nil"/>
              <w:left w:val="nil"/>
              <w:bottom w:val="nil"/>
              <w:right w:val="nil"/>
            </w:tcBorders>
            <w:shd w:val="clear" w:color="auto" w:fill="auto"/>
            <w:noWrap/>
            <w:vAlign w:val="center"/>
            <w:hideMark/>
          </w:tcPr>
          <w:p w14:paraId="221DAF31"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67D6B68D"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19" w:type="pct"/>
            <w:tcBorders>
              <w:top w:val="nil"/>
              <w:left w:val="nil"/>
              <w:bottom w:val="nil"/>
              <w:right w:val="nil"/>
            </w:tcBorders>
            <w:shd w:val="clear" w:color="auto" w:fill="auto"/>
            <w:noWrap/>
            <w:vAlign w:val="center"/>
            <w:hideMark/>
          </w:tcPr>
          <w:p w14:paraId="33263190"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r>
      <w:tr w:rsidR="009D49F2" w:rsidRPr="00F07DEB" w14:paraId="4C7283DB" w14:textId="77777777" w:rsidTr="009D49F2">
        <w:trPr>
          <w:trHeight w:val="258"/>
        </w:trPr>
        <w:tc>
          <w:tcPr>
            <w:tcW w:w="988" w:type="pct"/>
            <w:tcBorders>
              <w:top w:val="nil"/>
              <w:left w:val="nil"/>
              <w:bottom w:val="nil"/>
              <w:right w:val="nil"/>
            </w:tcBorders>
            <w:shd w:val="clear" w:color="auto" w:fill="auto"/>
            <w:noWrap/>
            <w:vAlign w:val="center"/>
            <w:hideMark/>
          </w:tcPr>
          <w:p w14:paraId="7E204CAE"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w:t>
            </w:r>
          </w:p>
        </w:tc>
        <w:tc>
          <w:tcPr>
            <w:tcW w:w="839" w:type="pct"/>
            <w:tcBorders>
              <w:top w:val="nil"/>
              <w:left w:val="nil"/>
              <w:bottom w:val="nil"/>
              <w:right w:val="nil"/>
            </w:tcBorders>
            <w:shd w:val="clear" w:color="auto" w:fill="auto"/>
            <w:noWrap/>
            <w:vAlign w:val="center"/>
            <w:hideMark/>
          </w:tcPr>
          <w:p w14:paraId="382AAB38"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1044.40 a</w:t>
            </w:r>
          </w:p>
        </w:tc>
        <w:tc>
          <w:tcPr>
            <w:tcW w:w="537" w:type="pct"/>
            <w:tcBorders>
              <w:top w:val="nil"/>
              <w:left w:val="nil"/>
              <w:bottom w:val="nil"/>
              <w:right w:val="nil"/>
            </w:tcBorders>
            <w:shd w:val="clear" w:color="auto" w:fill="auto"/>
            <w:noWrap/>
            <w:vAlign w:val="center"/>
            <w:hideMark/>
          </w:tcPr>
          <w:p w14:paraId="57F74E7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168.38</w:t>
            </w:r>
          </w:p>
        </w:tc>
        <w:tc>
          <w:tcPr>
            <w:tcW w:w="850" w:type="pct"/>
            <w:tcBorders>
              <w:top w:val="nil"/>
              <w:left w:val="nil"/>
              <w:bottom w:val="nil"/>
              <w:right w:val="nil"/>
            </w:tcBorders>
            <w:shd w:val="clear" w:color="auto" w:fill="auto"/>
            <w:noWrap/>
            <w:vAlign w:val="center"/>
            <w:hideMark/>
          </w:tcPr>
          <w:p w14:paraId="458B3F18"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1137.68 a</w:t>
            </w:r>
          </w:p>
        </w:tc>
        <w:tc>
          <w:tcPr>
            <w:tcW w:w="536" w:type="pct"/>
            <w:tcBorders>
              <w:top w:val="nil"/>
              <w:left w:val="nil"/>
              <w:bottom w:val="nil"/>
              <w:right w:val="nil"/>
            </w:tcBorders>
            <w:shd w:val="clear" w:color="auto" w:fill="auto"/>
            <w:noWrap/>
            <w:vAlign w:val="center"/>
            <w:hideMark/>
          </w:tcPr>
          <w:p w14:paraId="0A005736"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194.13</w:t>
            </w:r>
          </w:p>
        </w:tc>
        <w:tc>
          <w:tcPr>
            <w:tcW w:w="631" w:type="pct"/>
            <w:tcBorders>
              <w:top w:val="nil"/>
              <w:left w:val="nil"/>
              <w:bottom w:val="nil"/>
              <w:right w:val="nil"/>
            </w:tcBorders>
            <w:shd w:val="clear" w:color="auto" w:fill="auto"/>
            <w:noWrap/>
            <w:vAlign w:val="center"/>
            <w:hideMark/>
          </w:tcPr>
          <w:p w14:paraId="4A1E5DC7"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0.395</w:t>
            </w:r>
          </w:p>
        </w:tc>
        <w:tc>
          <w:tcPr>
            <w:tcW w:w="619" w:type="pct"/>
            <w:tcBorders>
              <w:top w:val="nil"/>
              <w:left w:val="nil"/>
              <w:bottom w:val="nil"/>
              <w:right w:val="nil"/>
            </w:tcBorders>
            <w:shd w:val="clear" w:color="auto" w:fill="auto"/>
            <w:noWrap/>
            <w:vAlign w:val="center"/>
            <w:hideMark/>
          </w:tcPr>
          <w:p w14:paraId="0A0066C0"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0.073</w:t>
            </w:r>
          </w:p>
        </w:tc>
      </w:tr>
      <w:tr w:rsidR="009D49F2" w:rsidRPr="00F07DEB" w14:paraId="65005AFF" w14:textId="77777777" w:rsidTr="009D49F2">
        <w:trPr>
          <w:trHeight w:val="258"/>
        </w:trPr>
        <w:tc>
          <w:tcPr>
            <w:tcW w:w="988" w:type="pct"/>
            <w:tcBorders>
              <w:top w:val="nil"/>
              <w:left w:val="nil"/>
              <w:bottom w:val="nil"/>
              <w:right w:val="nil"/>
            </w:tcBorders>
            <w:shd w:val="clear" w:color="auto" w:fill="auto"/>
            <w:noWrap/>
            <w:vAlign w:val="center"/>
            <w:hideMark/>
          </w:tcPr>
          <w:p w14:paraId="6039338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w:t>
            </w:r>
          </w:p>
        </w:tc>
        <w:tc>
          <w:tcPr>
            <w:tcW w:w="839" w:type="pct"/>
            <w:tcBorders>
              <w:top w:val="nil"/>
              <w:left w:val="nil"/>
              <w:bottom w:val="nil"/>
              <w:right w:val="nil"/>
            </w:tcBorders>
            <w:shd w:val="clear" w:color="auto" w:fill="auto"/>
            <w:noWrap/>
            <w:vAlign w:val="center"/>
            <w:hideMark/>
          </w:tcPr>
          <w:p w14:paraId="0D7BEE56"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1122.83 a</w:t>
            </w:r>
          </w:p>
        </w:tc>
        <w:tc>
          <w:tcPr>
            <w:tcW w:w="537" w:type="pct"/>
            <w:tcBorders>
              <w:top w:val="nil"/>
              <w:left w:val="nil"/>
              <w:bottom w:val="nil"/>
              <w:right w:val="nil"/>
            </w:tcBorders>
            <w:shd w:val="clear" w:color="auto" w:fill="auto"/>
            <w:noWrap/>
            <w:vAlign w:val="center"/>
            <w:hideMark/>
          </w:tcPr>
          <w:p w14:paraId="6673169B"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138.77</w:t>
            </w:r>
          </w:p>
        </w:tc>
        <w:tc>
          <w:tcPr>
            <w:tcW w:w="850" w:type="pct"/>
            <w:tcBorders>
              <w:top w:val="nil"/>
              <w:left w:val="nil"/>
              <w:bottom w:val="nil"/>
              <w:right w:val="nil"/>
            </w:tcBorders>
            <w:shd w:val="clear" w:color="auto" w:fill="auto"/>
            <w:noWrap/>
            <w:vAlign w:val="center"/>
            <w:hideMark/>
          </w:tcPr>
          <w:p w14:paraId="68372F71"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1066.14 a</w:t>
            </w:r>
          </w:p>
        </w:tc>
        <w:tc>
          <w:tcPr>
            <w:tcW w:w="536" w:type="pct"/>
            <w:tcBorders>
              <w:top w:val="nil"/>
              <w:left w:val="nil"/>
              <w:bottom w:val="nil"/>
              <w:right w:val="nil"/>
            </w:tcBorders>
            <w:shd w:val="clear" w:color="auto" w:fill="auto"/>
            <w:noWrap/>
            <w:vAlign w:val="center"/>
            <w:hideMark/>
          </w:tcPr>
          <w:p w14:paraId="2823FAE9"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50.88</w:t>
            </w:r>
          </w:p>
        </w:tc>
        <w:tc>
          <w:tcPr>
            <w:tcW w:w="631" w:type="pct"/>
            <w:tcBorders>
              <w:top w:val="nil"/>
              <w:left w:val="nil"/>
              <w:bottom w:val="nil"/>
              <w:right w:val="nil"/>
            </w:tcBorders>
            <w:shd w:val="clear" w:color="auto" w:fill="auto"/>
            <w:noWrap/>
            <w:vAlign w:val="center"/>
            <w:hideMark/>
          </w:tcPr>
          <w:p w14:paraId="075D95F6"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0.370</w:t>
            </w:r>
          </w:p>
        </w:tc>
        <w:tc>
          <w:tcPr>
            <w:tcW w:w="619" w:type="pct"/>
            <w:tcBorders>
              <w:top w:val="nil"/>
              <w:left w:val="nil"/>
              <w:bottom w:val="nil"/>
              <w:right w:val="nil"/>
            </w:tcBorders>
            <w:shd w:val="clear" w:color="auto" w:fill="auto"/>
            <w:noWrap/>
            <w:vAlign w:val="center"/>
            <w:hideMark/>
          </w:tcPr>
          <w:p w14:paraId="2C4EC5A0"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0.081</w:t>
            </w:r>
          </w:p>
        </w:tc>
      </w:tr>
      <w:tr w:rsidR="009D49F2" w:rsidRPr="00F07DEB" w14:paraId="231648A8" w14:textId="77777777" w:rsidTr="009D49F2">
        <w:trPr>
          <w:trHeight w:val="258"/>
        </w:trPr>
        <w:tc>
          <w:tcPr>
            <w:tcW w:w="988" w:type="pct"/>
            <w:tcBorders>
              <w:top w:val="nil"/>
              <w:left w:val="nil"/>
              <w:bottom w:val="nil"/>
              <w:right w:val="nil"/>
            </w:tcBorders>
            <w:shd w:val="clear" w:color="auto" w:fill="auto"/>
            <w:noWrap/>
            <w:vAlign w:val="center"/>
            <w:hideMark/>
          </w:tcPr>
          <w:p w14:paraId="59AFDA9A"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w:t>
            </w:r>
          </w:p>
        </w:tc>
        <w:tc>
          <w:tcPr>
            <w:tcW w:w="839" w:type="pct"/>
            <w:tcBorders>
              <w:top w:val="nil"/>
              <w:left w:val="nil"/>
              <w:bottom w:val="nil"/>
              <w:right w:val="nil"/>
            </w:tcBorders>
            <w:shd w:val="clear" w:color="auto" w:fill="auto"/>
            <w:noWrap/>
            <w:vAlign w:val="center"/>
            <w:hideMark/>
          </w:tcPr>
          <w:p w14:paraId="4A622A59"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985.76 a</w:t>
            </w:r>
          </w:p>
        </w:tc>
        <w:tc>
          <w:tcPr>
            <w:tcW w:w="537" w:type="pct"/>
            <w:tcBorders>
              <w:top w:val="nil"/>
              <w:left w:val="nil"/>
              <w:bottom w:val="nil"/>
              <w:right w:val="nil"/>
            </w:tcBorders>
            <w:shd w:val="clear" w:color="auto" w:fill="auto"/>
            <w:noWrap/>
            <w:vAlign w:val="center"/>
            <w:hideMark/>
          </w:tcPr>
          <w:p w14:paraId="32FF8175"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224.48</w:t>
            </w:r>
          </w:p>
        </w:tc>
        <w:tc>
          <w:tcPr>
            <w:tcW w:w="850" w:type="pct"/>
            <w:tcBorders>
              <w:top w:val="nil"/>
              <w:left w:val="nil"/>
              <w:bottom w:val="nil"/>
              <w:right w:val="nil"/>
            </w:tcBorders>
            <w:shd w:val="clear" w:color="auto" w:fill="auto"/>
            <w:noWrap/>
            <w:vAlign w:val="center"/>
            <w:hideMark/>
          </w:tcPr>
          <w:p w14:paraId="0F163947"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1179.78 a</w:t>
            </w:r>
          </w:p>
        </w:tc>
        <w:tc>
          <w:tcPr>
            <w:tcW w:w="536" w:type="pct"/>
            <w:tcBorders>
              <w:top w:val="nil"/>
              <w:left w:val="nil"/>
              <w:bottom w:val="nil"/>
              <w:right w:val="nil"/>
            </w:tcBorders>
            <w:shd w:val="clear" w:color="auto" w:fill="auto"/>
            <w:noWrap/>
            <w:vAlign w:val="center"/>
            <w:hideMark/>
          </w:tcPr>
          <w:p w14:paraId="62A00F1D"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432.06</w:t>
            </w:r>
          </w:p>
        </w:tc>
        <w:tc>
          <w:tcPr>
            <w:tcW w:w="631" w:type="pct"/>
            <w:tcBorders>
              <w:top w:val="nil"/>
              <w:left w:val="nil"/>
              <w:bottom w:val="nil"/>
              <w:right w:val="nil"/>
            </w:tcBorders>
            <w:shd w:val="clear" w:color="auto" w:fill="auto"/>
            <w:noWrap/>
            <w:vAlign w:val="center"/>
            <w:hideMark/>
          </w:tcPr>
          <w:p w14:paraId="3170BFD3"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0.352</w:t>
            </w:r>
          </w:p>
        </w:tc>
        <w:tc>
          <w:tcPr>
            <w:tcW w:w="619" w:type="pct"/>
            <w:tcBorders>
              <w:top w:val="nil"/>
              <w:left w:val="nil"/>
              <w:bottom w:val="nil"/>
              <w:right w:val="nil"/>
            </w:tcBorders>
            <w:shd w:val="clear" w:color="auto" w:fill="auto"/>
            <w:noWrap/>
            <w:vAlign w:val="center"/>
            <w:hideMark/>
          </w:tcPr>
          <w:p w14:paraId="4D7BD7E5"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0.087</w:t>
            </w:r>
          </w:p>
        </w:tc>
      </w:tr>
      <w:tr w:rsidR="009D49F2" w:rsidRPr="00F07DEB" w14:paraId="76379AC8" w14:textId="77777777" w:rsidTr="009D49F2">
        <w:trPr>
          <w:trHeight w:val="266"/>
        </w:trPr>
        <w:tc>
          <w:tcPr>
            <w:tcW w:w="988" w:type="pct"/>
            <w:tcBorders>
              <w:top w:val="nil"/>
              <w:left w:val="nil"/>
              <w:bottom w:val="single" w:sz="8" w:space="0" w:color="auto"/>
              <w:right w:val="nil"/>
            </w:tcBorders>
            <w:shd w:val="clear" w:color="auto" w:fill="auto"/>
            <w:noWrap/>
            <w:vAlign w:val="center"/>
            <w:hideMark/>
          </w:tcPr>
          <w:p w14:paraId="28EE0E0E"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839" w:type="pct"/>
            <w:tcBorders>
              <w:top w:val="nil"/>
              <w:left w:val="nil"/>
              <w:bottom w:val="single" w:sz="8" w:space="0" w:color="auto"/>
              <w:right w:val="nil"/>
            </w:tcBorders>
            <w:shd w:val="clear" w:color="auto" w:fill="auto"/>
            <w:noWrap/>
            <w:vAlign w:val="center"/>
            <w:hideMark/>
          </w:tcPr>
          <w:p w14:paraId="4F9DEB54"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1295.92 a</w:t>
            </w:r>
          </w:p>
        </w:tc>
        <w:tc>
          <w:tcPr>
            <w:tcW w:w="537" w:type="pct"/>
            <w:tcBorders>
              <w:top w:val="nil"/>
              <w:left w:val="nil"/>
              <w:bottom w:val="single" w:sz="8" w:space="0" w:color="auto"/>
              <w:right w:val="nil"/>
            </w:tcBorders>
            <w:shd w:val="clear" w:color="auto" w:fill="auto"/>
            <w:noWrap/>
            <w:vAlign w:val="center"/>
            <w:hideMark/>
          </w:tcPr>
          <w:p w14:paraId="7859D0DA"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184.87</w:t>
            </w:r>
          </w:p>
        </w:tc>
        <w:tc>
          <w:tcPr>
            <w:tcW w:w="850" w:type="pct"/>
            <w:tcBorders>
              <w:top w:val="nil"/>
              <w:left w:val="nil"/>
              <w:bottom w:val="single" w:sz="8" w:space="0" w:color="auto"/>
              <w:right w:val="nil"/>
            </w:tcBorders>
            <w:shd w:val="clear" w:color="auto" w:fill="auto"/>
            <w:noWrap/>
            <w:vAlign w:val="center"/>
            <w:hideMark/>
          </w:tcPr>
          <w:p w14:paraId="28AE2525"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2475.65</w:t>
            </w:r>
          </w:p>
        </w:tc>
        <w:tc>
          <w:tcPr>
            <w:tcW w:w="536" w:type="pct"/>
            <w:tcBorders>
              <w:top w:val="nil"/>
              <w:left w:val="nil"/>
              <w:bottom w:val="single" w:sz="8" w:space="0" w:color="auto"/>
              <w:right w:val="nil"/>
            </w:tcBorders>
            <w:shd w:val="clear" w:color="auto" w:fill="auto"/>
            <w:noWrap/>
            <w:vAlign w:val="center"/>
            <w:hideMark/>
          </w:tcPr>
          <w:p w14:paraId="3BD3D049"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330.30</w:t>
            </w:r>
          </w:p>
        </w:tc>
        <w:tc>
          <w:tcPr>
            <w:tcW w:w="631" w:type="pct"/>
            <w:tcBorders>
              <w:top w:val="nil"/>
              <w:left w:val="nil"/>
              <w:bottom w:val="single" w:sz="8" w:space="0" w:color="auto"/>
              <w:right w:val="nil"/>
            </w:tcBorders>
            <w:shd w:val="clear" w:color="auto" w:fill="auto"/>
            <w:noWrap/>
            <w:vAlign w:val="center"/>
            <w:hideMark/>
          </w:tcPr>
          <w:p w14:paraId="47EA642D" w14:textId="6A79AD3C" w:rsidR="009D49F2" w:rsidRPr="00F07DEB" w:rsidRDefault="00AD4274" w:rsidP="009D49F2">
            <w:pPr>
              <w:spacing w:after="0" w:line="240" w:lineRule="auto"/>
              <w:rPr>
                <w:rFonts w:ascii="Times New Roman" w:eastAsia="Times New Roman" w:hAnsi="Times New Roman" w:cs="Times New Roman"/>
                <w:color w:val="000000"/>
                <w:sz w:val="20"/>
                <w:szCs w:val="20"/>
                <w:lang w:eastAsia="en-US"/>
              </w:rPr>
            </w:pPr>
            <w:r>
              <w:rPr>
                <w:rFonts w:ascii="Times New Roman" w:eastAsia="Times New Roman" w:hAnsi="Times New Roman" w:cs="Times New Roman"/>
                <w:color w:val="000000"/>
                <w:sz w:val="20"/>
                <w:szCs w:val="20"/>
                <w:lang w:eastAsia="en-US"/>
              </w:rPr>
              <w:t>&lt; 0.001</w:t>
            </w:r>
          </w:p>
        </w:tc>
        <w:tc>
          <w:tcPr>
            <w:tcW w:w="619" w:type="pct"/>
            <w:tcBorders>
              <w:top w:val="nil"/>
              <w:left w:val="nil"/>
              <w:bottom w:val="single" w:sz="8" w:space="0" w:color="auto"/>
              <w:right w:val="nil"/>
            </w:tcBorders>
            <w:shd w:val="clear" w:color="auto" w:fill="auto"/>
            <w:noWrap/>
            <w:vAlign w:val="center"/>
            <w:hideMark/>
          </w:tcPr>
          <w:p w14:paraId="0611DC28"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0.854</w:t>
            </w:r>
          </w:p>
        </w:tc>
      </w:tr>
      <w:tr w:rsidR="009D49F2" w:rsidRPr="00F07DEB" w14:paraId="4482FAAE" w14:textId="77777777" w:rsidTr="009D49F2">
        <w:trPr>
          <w:trHeight w:val="258"/>
        </w:trPr>
        <w:tc>
          <w:tcPr>
            <w:tcW w:w="988" w:type="pct"/>
            <w:tcBorders>
              <w:top w:val="nil"/>
              <w:left w:val="nil"/>
              <w:bottom w:val="nil"/>
              <w:right w:val="nil"/>
            </w:tcBorders>
            <w:shd w:val="clear" w:color="auto" w:fill="auto"/>
            <w:noWrap/>
            <w:vAlign w:val="center"/>
            <w:hideMark/>
          </w:tcPr>
          <w:p w14:paraId="4E39E9F5"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Bermuda grass</w:t>
            </w:r>
          </w:p>
        </w:tc>
        <w:tc>
          <w:tcPr>
            <w:tcW w:w="839" w:type="pct"/>
            <w:tcBorders>
              <w:top w:val="nil"/>
              <w:left w:val="nil"/>
              <w:bottom w:val="nil"/>
              <w:right w:val="nil"/>
            </w:tcBorders>
            <w:shd w:val="clear" w:color="auto" w:fill="auto"/>
            <w:noWrap/>
            <w:vAlign w:val="center"/>
            <w:hideMark/>
          </w:tcPr>
          <w:p w14:paraId="1ED14D39"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p>
        </w:tc>
        <w:tc>
          <w:tcPr>
            <w:tcW w:w="537" w:type="pct"/>
            <w:tcBorders>
              <w:top w:val="nil"/>
              <w:left w:val="nil"/>
              <w:bottom w:val="nil"/>
              <w:right w:val="nil"/>
            </w:tcBorders>
            <w:shd w:val="clear" w:color="auto" w:fill="auto"/>
            <w:noWrap/>
            <w:vAlign w:val="center"/>
            <w:hideMark/>
          </w:tcPr>
          <w:p w14:paraId="5E8C48CA"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850" w:type="pct"/>
            <w:tcBorders>
              <w:top w:val="nil"/>
              <w:left w:val="nil"/>
              <w:bottom w:val="nil"/>
              <w:right w:val="nil"/>
            </w:tcBorders>
            <w:shd w:val="clear" w:color="auto" w:fill="auto"/>
            <w:noWrap/>
            <w:vAlign w:val="center"/>
            <w:hideMark/>
          </w:tcPr>
          <w:p w14:paraId="46D1595B"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536" w:type="pct"/>
            <w:tcBorders>
              <w:top w:val="nil"/>
              <w:left w:val="nil"/>
              <w:bottom w:val="nil"/>
              <w:right w:val="nil"/>
            </w:tcBorders>
            <w:shd w:val="clear" w:color="auto" w:fill="auto"/>
            <w:noWrap/>
            <w:vAlign w:val="center"/>
            <w:hideMark/>
          </w:tcPr>
          <w:p w14:paraId="685DC814"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31" w:type="pct"/>
            <w:tcBorders>
              <w:top w:val="nil"/>
              <w:left w:val="nil"/>
              <w:bottom w:val="nil"/>
              <w:right w:val="nil"/>
            </w:tcBorders>
            <w:shd w:val="clear" w:color="auto" w:fill="auto"/>
            <w:noWrap/>
            <w:vAlign w:val="center"/>
            <w:hideMark/>
          </w:tcPr>
          <w:p w14:paraId="70D1A72A"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c>
          <w:tcPr>
            <w:tcW w:w="619" w:type="pct"/>
            <w:tcBorders>
              <w:top w:val="nil"/>
              <w:left w:val="nil"/>
              <w:bottom w:val="nil"/>
              <w:right w:val="nil"/>
            </w:tcBorders>
            <w:shd w:val="clear" w:color="auto" w:fill="auto"/>
            <w:noWrap/>
            <w:vAlign w:val="center"/>
            <w:hideMark/>
          </w:tcPr>
          <w:p w14:paraId="3606F8C9" w14:textId="77777777" w:rsidR="009D49F2" w:rsidRPr="00F07DEB" w:rsidRDefault="009D49F2" w:rsidP="009D49F2">
            <w:pPr>
              <w:spacing w:after="0" w:line="240" w:lineRule="auto"/>
              <w:rPr>
                <w:rFonts w:ascii="Times New Roman" w:eastAsia="Times New Roman" w:hAnsi="Times New Roman" w:cs="Times New Roman"/>
                <w:sz w:val="20"/>
                <w:szCs w:val="20"/>
                <w:lang w:eastAsia="en-US"/>
              </w:rPr>
            </w:pPr>
          </w:p>
        </w:tc>
      </w:tr>
      <w:tr w:rsidR="009D49F2" w:rsidRPr="00F07DEB" w14:paraId="382A8D89" w14:textId="77777777" w:rsidTr="009D49F2">
        <w:trPr>
          <w:trHeight w:val="258"/>
        </w:trPr>
        <w:tc>
          <w:tcPr>
            <w:tcW w:w="988" w:type="pct"/>
            <w:tcBorders>
              <w:top w:val="nil"/>
              <w:left w:val="nil"/>
              <w:bottom w:val="nil"/>
              <w:right w:val="nil"/>
            </w:tcBorders>
            <w:shd w:val="clear" w:color="auto" w:fill="auto"/>
            <w:noWrap/>
            <w:vAlign w:val="center"/>
            <w:hideMark/>
          </w:tcPr>
          <w:p w14:paraId="6FD7BFD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Grass1 </w:t>
            </w:r>
          </w:p>
        </w:tc>
        <w:tc>
          <w:tcPr>
            <w:tcW w:w="839" w:type="pct"/>
            <w:tcBorders>
              <w:top w:val="nil"/>
              <w:left w:val="nil"/>
              <w:bottom w:val="nil"/>
              <w:right w:val="nil"/>
            </w:tcBorders>
            <w:shd w:val="clear" w:color="auto" w:fill="auto"/>
            <w:noWrap/>
            <w:vAlign w:val="center"/>
            <w:hideMark/>
          </w:tcPr>
          <w:p w14:paraId="42E8C5F9"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8293.78</w:t>
            </w:r>
          </w:p>
        </w:tc>
        <w:tc>
          <w:tcPr>
            <w:tcW w:w="537" w:type="pct"/>
            <w:tcBorders>
              <w:top w:val="nil"/>
              <w:left w:val="nil"/>
              <w:bottom w:val="nil"/>
              <w:right w:val="nil"/>
            </w:tcBorders>
            <w:shd w:val="clear" w:color="auto" w:fill="auto"/>
            <w:noWrap/>
            <w:vAlign w:val="center"/>
            <w:hideMark/>
          </w:tcPr>
          <w:p w14:paraId="76FFB3F3"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804.87</w:t>
            </w:r>
          </w:p>
        </w:tc>
        <w:tc>
          <w:tcPr>
            <w:tcW w:w="850" w:type="pct"/>
            <w:tcBorders>
              <w:top w:val="nil"/>
              <w:left w:val="nil"/>
              <w:bottom w:val="nil"/>
              <w:right w:val="nil"/>
            </w:tcBorders>
            <w:shd w:val="clear" w:color="auto" w:fill="auto"/>
            <w:noWrap/>
            <w:vAlign w:val="center"/>
            <w:hideMark/>
          </w:tcPr>
          <w:p w14:paraId="4AA770F4"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9631.83</w:t>
            </w:r>
          </w:p>
        </w:tc>
        <w:tc>
          <w:tcPr>
            <w:tcW w:w="536" w:type="pct"/>
            <w:tcBorders>
              <w:top w:val="nil"/>
              <w:left w:val="nil"/>
              <w:bottom w:val="nil"/>
              <w:right w:val="nil"/>
            </w:tcBorders>
            <w:shd w:val="clear" w:color="auto" w:fill="auto"/>
            <w:noWrap/>
            <w:vAlign w:val="center"/>
            <w:hideMark/>
          </w:tcPr>
          <w:p w14:paraId="14A52E44"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905.41</w:t>
            </w:r>
          </w:p>
        </w:tc>
        <w:tc>
          <w:tcPr>
            <w:tcW w:w="631" w:type="pct"/>
            <w:tcBorders>
              <w:top w:val="nil"/>
              <w:left w:val="nil"/>
              <w:bottom w:val="nil"/>
              <w:right w:val="nil"/>
            </w:tcBorders>
            <w:shd w:val="clear" w:color="auto" w:fill="auto"/>
            <w:noWrap/>
            <w:vAlign w:val="center"/>
            <w:hideMark/>
          </w:tcPr>
          <w:p w14:paraId="1FEC9037"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0.022</w:t>
            </w:r>
          </w:p>
        </w:tc>
        <w:tc>
          <w:tcPr>
            <w:tcW w:w="619" w:type="pct"/>
            <w:tcBorders>
              <w:top w:val="nil"/>
              <w:left w:val="nil"/>
              <w:bottom w:val="nil"/>
              <w:right w:val="nil"/>
            </w:tcBorders>
            <w:shd w:val="clear" w:color="auto" w:fill="auto"/>
            <w:noWrap/>
            <w:vAlign w:val="center"/>
            <w:hideMark/>
          </w:tcPr>
          <w:p w14:paraId="51655995"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0.423</w:t>
            </w:r>
          </w:p>
        </w:tc>
      </w:tr>
      <w:tr w:rsidR="009D49F2" w:rsidRPr="00F07DEB" w14:paraId="1AB0B3A1" w14:textId="77777777" w:rsidTr="009D49F2">
        <w:trPr>
          <w:trHeight w:val="258"/>
        </w:trPr>
        <w:tc>
          <w:tcPr>
            <w:tcW w:w="988" w:type="pct"/>
            <w:tcBorders>
              <w:top w:val="nil"/>
              <w:left w:val="nil"/>
              <w:bottom w:val="nil"/>
              <w:right w:val="nil"/>
            </w:tcBorders>
            <w:shd w:val="clear" w:color="auto" w:fill="auto"/>
            <w:noWrap/>
            <w:vAlign w:val="center"/>
            <w:hideMark/>
          </w:tcPr>
          <w:p w14:paraId="53848388"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Grass2</w:t>
            </w:r>
          </w:p>
        </w:tc>
        <w:tc>
          <w:tcPr>
            <w:tcW w:w="839" w:type="pct"/>
            <w:tcBorders>
              <w:top w:val="nil"/>
              <w:left w:val="nil"/>
              <w:bottom w:val="nil"/>
              <w:right w:val="nil"/>
            </w:tcBorders>
            <w:shd w:val="clear" w:color="auto" w:fill="auto"/>
            <w:noWrap/>
            <w:vAlign w:val="center"/>
            <w:hideMark/>
          </w:tcPr>
          <w:p w14:paraId="1DB6CC2E"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4527.71</w:t>
            </w:r>
          </w:p>
        </w:tc>
        <w:tc>
          <w:tcPr>
            <w:tcW w:w="537" w:type="pct"/>
            <w:tcBorders>
              <w:top w:val="nil"/>
              <w:left w:val="nil"/>
              <w:bottom w:val="nil"/>
              <w:right w:val="nil"/>
            </w:tcBorders>
            <w:shd w:val="clear" w:color="auto" w:fill="auto"/>
            <w:noWrap/>
            <w:vAlign w:val="center"/>
            <w:hideMark/>
          </w:tcPr>
          <w:p w14:paraId="08C3B70A"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742.04</w:t>
            </w:r>
          </w:p>
        </w:tc>
        <w:tc>
          <w:tcPr>
            <w:tcW w:w="850" w:type="pct"/>
            <w:tcBorders>
              <w:top w:val="nil"/>
              <w:left w:val="nil"/>
              <w:bottom w:val="nil"/>
              <w:right w:val="nil"/>
            </w:tcBorders>
            <w:shd w:val="clear" w:color="auto" w:fill="auto"/>
            <w:noWrap/>
            <w:vAlign w:val="center"/>
            <w:hideMark/>
          </w:tcPr>
          <w:p w14:paraId="5751A232"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6185.55</w:t>
            </w:r>
          </w:p>
        </w:tc>
        <w:tc>
          <w:tcPr>
            <w:tcW w:w="536" w:type="pct"/>
            <w:tcBorders>
              <w:top w:val="nil"/>
              <w:left w:val="nil"/>
              <w:bottom w:val="nil"/>
              <w:right w:val="nil"/>
            </w:tcBorders>
            <w:shd w:val="clear" w:color="auto" w:fill="auto"/>
            <w:noWrap/>
            <w:vAlign w:val="center"/>
            <w:hideMark/>
          </w:tcPr>
          <w:p w14:paraId="71C82E67"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857.59</w:t>
            </w:r>
          </w:p>
        </w:tc>
        <w:tc>
          <w:tcPr>
            <w:tcW w:w="631" w:type="pct"/>
            <w:tcBorders>
              <w:top w:val="nil"/>
              <w:left w:val="nil"/>
              <w:bottom w:val="nil"/>
              <w:right w:val="nil"/>
            </w:tcBorders>
            <w:shd w:val="clear" w:color="auto" w:fill="auto"/>
            <w:noWrap/>
            <w:vAlign w:val="center"/>
            <w:hideMark/>
          </w:tcPr>
          <w:p w14:paraId="27A9283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0.005</w:t>
            </w:r>
          </w:p>
        </w:tc>
        <w:tc>
          <w:tcPr>
            <w:tcW w:w="619" w:type="pct"/>
            <w:tcBorders>
              <w:top w:val="nil"/>
              <w:left w:val="nil"/>
              <w:bottom w:val="nil"/>
              <w:right w:val="nil"/>
            </w:tcBorders>
            <w:shd w:val="clear" w:color="auto" w:fill="auto"/>
            <w:noWrap/>
            <w:vAlign w:val="center"/>
            <w:hideMark/>
          </w:tcPr>
          <w:p w14:paraId="1F79B20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0.562</w:t>
            </w:r>
          </w:p>
        </w:tc>
      </w:tr>
      <w:tr w:rsidR="009D49F2" w:rsidRPr="00F07DEB" w14:paraId="52DE6A37" w14:textId="77777777" w:rsidTr="009D49F2">
        <w:trPr>
          <w:trHeight w:val="266"/>
        </w:trPr>
        <w:tc>
          <w:tcPr>
            <w:tcW w:w="988" w:type="pct"/>
            <w:tcBorders>
              <w:top w:val="nil"/>
              <w:left w:val="nil"/>
              <w:bottom w:val="single" w:sz="8" w:space="0" w:color="auto"/>
              <w:right w:val="nil"/>
            </w:tcBorders>
            <w:shd w:val="clear" w:color="auto" w:fill="auto"/>
            <w:noWrap/>
            <w:vAlign w:val="center"/>
            <w:hideMark/>
          </w:tcPr>
          <w:p w14:paraId="07E7FA96"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839" w:type="pct"/>
            <w:tcBorders>
              <w:top w:val="nil"/>
              <w:left w:val="nil"/>
              <w:bottom w:val="single" w:sz="8" w:space="0" w:color="auto"/>
              <w:right w:val="nil"/>
            </w:tcBorders>
            <w:shd w:val="clear" w:color="auto" w:fill="auto"/>
            <w:noWrap/>
            <w:vAlign w:val="center"/>
            <w:hideMark/>
          </w:tcPr>
          <w:p w14:paraId="698510D3"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1806.12</w:t>
            </w:r>
          </w:p>
        </w:tc>
        <w:tc>
          <w:tcPr>
            <w:tcW w:w="537" w:type="pct"/>
            <w:tcBorders>
              <w:top w:val="nil"/>
              <w:left w:val="nil"/>
              <w:bottom w:val="single" w:sz="8" w:space="0" w:color="auto"/>
              <w:right w:val="nil"/>
            </w:tcBorders>
            <w:shd w:val="clear" w:color="auto" w:fill="auto"/>
            <w:noWrap/>
            <w:vAlign w:val="center"/>
            <w:hideMark/>
          </w:tcPr>
          <w:p w14:paraId="30E361AB"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203.64</w:t>
            </w:r>
          </w:p>
        </w:tc>
        <w:tc>
          <w:tcPr>
            <w:tcW w:w="850" w:type="pct"/>
            <w:tcBorders>
              <w:top w:val="nil"/>
              <w:left w:val="nil"/>
              <w:bottom w:val="single" w:sz="8" w:space="0" w:color="auto"/>
              <w:right w:val="nil"/>
            </w:tcBorders>
            <w:shd w:val="clear" w:color="auto" w:fill="auto"/>
            <w:noWrap/>
            <w:vAlign w:val="center"/>
            <w:hideMark/>
          </w:tcPr>
          <w:p w14:paraId="1E26AFFF"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2098.29</w:t>
            </w:r>
          </w:p>
        </w:tc>
        <w:tc>
          <w:tcPr>
            <w:tcW w:w="536" w:type="pct"/>
            <w:tcBorders>
              <w:top w:val="nil"/>
              <w:left w:val="nil"/>
              <w:bottom w:val="single" w:sz="8" w:space="0" w:color="auto"/>
              <w:right w:val="nil"/>
            </w:tcBorders>
            <w:shd w:val="clear" w:color="auto" w:fill="auto"/>
            <w:noWrap/>
            <w:vAlign w:val="center"/>
            <w:hideMark/>
          </w:tcPr>
          <w:p w14:paraId="4D3A7911"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220.21</w:t>
            </w:r>
          </w:p>
        </w:tc>
        <w:tc>
          <w:tcPr>
            <w:tcW w:w="631" w:type="pct"/>
            <w:tcBorders>
              <w:top w:val="nil"/>
              <w:left w:val="nil"/>
              <w:bottom w:val="single" w:sz="8" w:space="0" w:color="auto"/>
              <w:right w:val="nil"/>
            </w:tcBorders>
            <w:shd w:val="clear" w:color="auto" w:fill="auto"/>
            <w:noWrap/>
            <w:vAlign w:val="center"/>
            <w:hideMark/>
          </w:tcPr>
          <w:p w14:paraId="57435A31"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0.038</w:t>
            </w:r>
          </w:p>
        </w:tc>
        <w:tc>
          <w:tcPr>
            <w:tcW w:w="619" w:type="pct"/>
            <w:tcBorders>
              <w:top w:val="nil"/>
              <w:left w:val="nil"/>
              <w:bottom w:val="single" w:sz="8" w:space="0" w:color="auto"/>
              <w:right w:val="nil"/>
            </w:tcBorders>
            <w:shd w:val="clear" w:color="auto" w:fill="auto"/>
            <w:noWrap/>
            <w:vAlign w:val="center"/>
            <w:hideMark/>
          </w:tcPr>
          <w:p w14:paraId="4DE7DB8C" w14:textId="77777777" w:rsidR="009D49F2" w:rsidRPr="00F07DEB" w:rsidRDefault="009D49F2" w:rsidP="009D49F2">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0.363</w:t>
            </w:r>
          </w:p>
        </w:tc>
      </w:tr>
    </w:tbl>
    <w:p w14:paraId="00441737" w14:textId="705CD660" w:rsidR="009D49F2" w:rsidRPr="00F07DEB" w:rsidRDefault="009D49F2" w:rsidP="009D49F2">
      <w:pPr>
        <w:spacing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When the interaction effect was significant for a plant, the results of </w:t>
      </w:r>
      <w:proofErr w:type="spellStart"/>
      <w:r w:rsidRPr="00F07DEB">
        <w:rPr>
          <w:rFonts w:ascii="Times New Roman" w:eastAsia="Times New Roman" w:hAnsi="Times New Roman" w:cs="Times New Roman"/>
          <w:color w:val="000000"/>
          <w:sz w:val="20"/>
          <w:szCs w:val="20"/>
          <w:lang w:eastAsia="en-US"/>
        </w:rPr>
        <w:t>Sidak</w:t>
      </w:r>
      <w:proofErr w:type="spellEnd"/>
      <w:r w:rsidRPr="00F07DEB">
        <w:rPr>
          <w:rFonts w:ascii="Times New Roman" w:eastAsia="Times New Roman" w:hAnsi="Times New Roman" w:cs="Times New Roman"/>
          <w:color w:val="000000"/>
          <w:sz w:val="20"/>
          <w:szCs w:val="20"/>
          <w:lang w:eastAsia="en-US"/>
        </w:rPr>
        <w:t>-corrected pairwise comparisons of simple main effects are indicated by a value in every row of the</w:t>
      </w:r>
      <w:r w:rsidRPr="00F07DEB">
        <w:rPr>
          <w:rFonts w:ascii="Times New Roman" w:eastAsia="Times New Roman" w:hAnsi="Times New Roman" w:cs="Times New Roman"/>
          <w:i/>
          <w:color w:val="000000"/>
          <w:sz w:val="20"/>
          <w:szCs w:val="20"/>
          <w:lang w:eastAsia="en-US"/>
        </w:rPr>
        <w:t xml:space="preserve"> p</w:t>
      </w:r>
      <w:r w:rsidRPr="00F07DEB">
        <w:rPr>
          <w:rFonts w:ascii="Times New Roman" w:eastAsia="Times New Roman" w:hAnsi="Times New Roman" w:cs="Times New Roman"/>
          <w:color w:val="000000"/>
          <w:sz w:val="20"/>
          <w:szCs w:val="20"/>
          <w:lang w:eastAsia="en-US"/>
        </w:rPr>
        <w:t xml:space="preserve"> column for the </w:t>
      </w:r>
      <w:r w:rsidR="00B643F2">
        <w:rPr>
          <w:rFonts w:ascii="Times New Roman" w:eastAsia="Times New Roman" w:hAnsi="Times New Roman" w:cs="Times New Roman"/>
          <w:color w:val="000000"/>
          <w:sz w:val="20"/>
          <w:szCs w:val="20"/>
          <w:lang w:eastAsia="en-US"/>
        </w:rPr>
        <w:t>species</w:t>
      </w:r>
      <w:r w:rsidRPr="00F07DEB">
        <w:rPr>
          <w:rFonts w:ascii="Times New Roman" w:eastAsia="Times New Roman" w:hAnsi="Times New Roman" w:cs="Times New Roman"/>
          <w:color w:val="000000"/>
          <w:sz w:val="20"/>
          <w:szCs w:val="20"/>
          <w:lang w:eastAsia="en-US"/>
        </w:rPr>
        <w:t xml:space="preserve"> (irrigation treatment simple main effect) and letters (e</w:t>
      </w:r>
      <w:r w:rsidR="00B323D9">
        <w:rPr>
          <w:rFonts w:ascii="Times New Roman" w:eastAsia="Times New Roman" w:hAnsi="Times New Roman" w:cs="Times New Roman"/>
          <w:color w:val="000000"/>
          <w:sz w:val="20"/>
          <w:szCs w:val="20"/>
          <w:lang w:eastAsia="en-US"/>
        </w:rPr>
        <w:t>.</w:t>
      </w:r>
      <w:r w:rsidRPr="00F07DEB">
        <w:rPr>
          <w:rFonts w:ascii="Times New Roman" w:eastAsia="Times New Roman" w:hAnsi="Times New Roman" w:cs="Times New Roman"/>
          <w:color w:val="000000"/>
          <w:sz w:val="20"/>
          <w:szCs w:val="20"/>
          <w:lang w:eastAsia="en-US"/>
        </w:rPr>
        <w:t xml:space="preserve">g., ab) next to mean concentrations. Structure concentrations from the same </w:t>
      </w:r>
      <w:r w:rsidR="00B643F2">
        <w:rPr>
          <w:rFonts w:ascii="Times New Roman" w:eastAsia="Times New Roman" w:hAnsi="Times New Roman" w:cs="Times New Roman"/>
          <w:color w:val="000000"/>
          <w:sz w:val="20"/>
          <w:szCs w:val="20"/>
          <w:lang w:eastAsia="en-US"/>
        </w:rPr>
        <w:t>species</w:t>
      </w:r>
      <w:r w:rsidRPr="00F07DEB">
        <w:rPr>
          <w:rFonts w:ascii="Times New Roman" w:eastAsia="Times New Roman" w:hAnsi="Times New Roman" w:cs="Times New Roman"/>
          <w:color w:val="000000"/>
          <w:sz w:val="20"/>
          <w:szCs w:val="20"/>
          <w:lang w:eastAsia="en-US"/>
        </w:rPr>
        <w:t xml:space="preserve"> and irrigation treatment that share a letter were not significantly different (plant structure simple main effect, alpha = 0.05).</w:t>
      </w:r>
    </w:p>
    <w:p w14:paraId="540CF520" w14:textId="74496894" w:rsidR="005B4FE1" w:rsidRPr="00F07DEB" w:rsidRDefault="002E56C1" w:rsidP="005B4FE1">
      <w:pPr>
        <w:keepNext/>
        <w:spacing w:line="240" w:lineRule="auto"/>
        <w:rPr>
          <w:rFonts w:ascii="Times New Roman" w:hAnsi="Times New Roman" w:cs="Times New Roman"/>
        </w:rPr>
      </w:pPr>
      <w:r w:rsidRPr="002E56C1">
        <w:rPr>
          <w:rFonts w:ascii="Times New Roman" w:hAnsi="Times New Roman" w:cs="Times New Roman"/>
          <w:noProof/>
          <w:lang w:eastAsia="en-US"/>
        </w:rPr>
        <w:lastRenderedPageBreak/>
        <w:drawing>
          <wp:inline distT="0" distB="0" distL="0" distR="0" wp14:anchorId="0AE4EA61" wp14:editId="6212BE1D">
            <wp:extent cx="5943600" cy="2971800"/>
            <wp:effectExtent l="0" t="0" r="0" b="0"/>
            <wp:docPr id="24" name="Picture 24" descr="C:\Users\harper3663\Documents\School\_CREW\Irrigation Project\R\Plots\Plant Metals\Corrected\Plant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harper3663\Documents\School\_CREW\Irrigation Project\R\Plots\Plant Metals\Corrected\PlantS1.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0B3F0D78" w14:textId="34C1670C" w:rsidR="0053450F" w:rsidRDefault="005B4FE1" w:rsidP="00204C13">
      <w:pPr>
        <w:pStyle w:val="Caption"/>
      </w:pPr>
      <w:bookmarkStart w:id="155" w:name="_Ref56273893"/>
      <w:bookmarkStart w:id="156" w:name="_Toc58975249"/>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39</w:t>
      </w:r>
      <w:r w:rsidR="00DE3B90" w:rsidRPr="00F07DEB">
        <w:rPr>
          <w:noProof/>
        </w:rPr>
        <w:fldChar w:fldCharType="end"/>
      </w:r>
      <w:bookmarkEnd w:id="155"/>
      <w:r w:rsidRPr="00F07DEB">
        <w:t>: Box plots of S concentrations in each plant and structure in mg/kg</w:t>
      </w:r>
      <w:bookmarkEnd w:id="156"/>
    </w:p>
    <w:p w14:paraId="15CB0221" w14:textId="77777777" w:rsidR="00B3002C" w:rsidRPr="00B3002C" w:rsidRDefault="00B3002C" w:rsidP="00B3002C"/>
    <w:p w14:paraId="668B6A7F" w14:textId="5069FEC9" w:rsidR="00CF34FC" w:rsidRPr="00F07DEB" w:rsidRDefault="001048D3" w:rsidP="00B674D3">
      <w:pPr>
        <w:pStyle w:val="Heading3"/>
        <w:spacing w:line="480" w:lineRule="auto"/>
        <w:ind w:left="990"/>
      </w:pPr>
      <w:bookmarkStart w:id="157" w:name="_Toc58975177"/>
      <w:r w:rsidRPr="00F07DEB">
        <w:t xml:space="preserve">Substrate </w:t>
      </w:r>
      <w:r w:rsidR="00D70781" w:rsidRPr="00F07DEB">
        <w:t xml:space="preserve">pH and </w:t>
      </w:r>
      <w:r w:rsidRPr="00F07DEB">
        <w:t>Metal Concentrations</w:t>
      </w:r>
      <w:bookmarkEnd w:id="157"/>
    </w:p>
    <w:p w14:paraId="6CA89918" w14:textId="06AF866B" w:rsidR="00D70781" w:rsidRPr="00F07DEB" w:rsidRDefault="00D70781" w:rsidP="00B674D3">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Soil pH increased in both groundwater- and mine water-irrigated pots after a single growing season. Average pH increased from 6.81 to 7.60 in groundwater-irrigated substrates and 7.26 in mine water-irrigated substrates.</w:t>
      </w:r>
      <w:r w:rsidR="000F055A" w:rsidRPr="00F07DEB">
        <w:rPr>
          <w:rFonts w:ascii="Times New Roman" w:hAnsi="Times New Roman" w:cs="Times New Roman"/>
          <w:sz w:val="24"/>
          <w:szCs w:val="24"/>
        </w:rPr>
        <w:t xml:space="preserve"> </w:t>
      </w:r>
      <w:r w:rsidR="00D364A4" w:rsidRPr="00F07DEB">
        <w:rPr>
          <w:rFonts w:ascii="Times New Roman" w:hAnsi="Times New Roman" w:cs="Times New Roman"/>
          <w:sz w:val="24"/>
          <w:szCs w:val="24"/>
        </w:rPr>
        <w:t>Soil pH values were affected by soil composition, irrigation water inputs, fertilizer inputs, and rainwater-induced leaching of well-dra</w:t>
      </w:r>
      <w:r w:rsidR="0040402D" w:rsidRPr="00F07DEB">
        <w:rPr>
          <w:rFonts w:ascii="Times New Roman" w:hAnsi="Times New Roman" w:cs="Times New Roman"/>
          <w:sz w:val="24"/>
          <w:szCs w:val="24"/>
        </w:rPr>
        <w:t xml:space="preserve">ining potting mix, although the increases in pH correlate with the irrigation waters’ respective </w:t>
      </w:r>
      <w:r w:rsidR="00E03DE5">
        <w:rPr>
          <w:rFonts w:ascii="Times New Roman" w:hAnsi="Times New Roman" w:cs="Times New Roman"/>
          <w:sz w:val="24"/>
          <w:szCs w:val="24"/>
        </w:rPr>
        <w:t xml:space="preserve">pH values and </w:t>
      </w:r>
      <w:r w:rsidR="0040402D" w:rsidRPr="00F07DEB">
        <w:rPr>
          <w:rFonts w:ascii="Times New Roman" w:hAnsi="Times New Roman" w:cs="Times New Roman"/>
          <w:sz w:val="24"/>
          <w:szCs w:val="24"/>
        </w:rPr>
        <w:t>alkalinities.</w:t>
      </w:r>
      <w:r w:rsidR="00D364A4" w:rsidRPr="00F07DEB">
        <w:rPr>
          <w:rFonts w:ascii="Times New Roman" w:hAnsi="Times New Roman" w:cs="Times New Roman"/>
          <w:sz w:val="24"/>
          <w:szCs w:val="24"/>
        </w:rPr>
        <w:t xml:space="preserve"> As such, it is difficult to draw conclusions beyond perhaps the general increase in soil pH during both irrigation regimes</w:t>
      </w:r>
      <w:r w:rsidR="0040402D" w:rsidRPr="00F07DEB">
        <w:rPr>
          <w:rFonts w:ascii="Times New Roman" w:hAnsi="Times New Roman" w:cs="Times New Roman"/>
          <w:sz w:val="24"/>
          <w:szCs w:val="24"/>
        </w:rPr>
        <w:t>, but this is an important determination nonetheless</w:t>
      </w:r>
      <w:r w:rsidR="00D364A4" w:rsidRPr="00F07DEB">
        <w:rPr>
          <w:rFonts w:ascii="Times New Roman" w:hAnsi="Times New Roman" w:cs="Times New Roman"/>
          <w:sz w:val="24"/>
          <w:szCs w:val="24"/>
        </w:rPr>
        <w:t>. Corn and Bermuda grass experience optimal growth in soils with pH between 5.5-7.0 and 5.7-7.0, respectively</w:t>
      </w:r>
      <w:r w:rsidR="00DF2022" w:rsidRPr="00F07DEB">
        <w:rPr>
          <w:rFonts w:ascii="Times New Roman" w:hAnsi="Times New Roman" w:cs="Times New Roman"/>
          <w:sz w:val="24"/>
          <w:szCs w:val="24"/>
        </w:rPr>
        <w:t>, and many Oklahoma farmers use lime to raise pH values to this range following soil acidification from nitrogen fertilizers</w:t>
      </w:r>
      <w:r w:rsidR="00D364A4" w:rsidRPr="00F07DEB">
        <w:rPr>
          <w:rFonts w:ascii="Times New Roman" w:hAnsi="Times New Roman" w:cs="Times New Roman"/>
          <w:sz w:val="24"/>
          <w:szCs w:val="24"/>
        </w:rPr>
        <w:t xml:space="preserve"> </w:t>
      </w:r>
      <w:r w:rsidR="00D364A4" w:rsidRPr="00F07DEB">
        <w:rPr>
          <w:rFonts w:ascii="Times New Roman" w:hAnsi="Times New Roman" w:cs="Times New Roman"/>
          <w:sz w:val="24"/>
          <w:szCs w:val="24"/>
        </w:rPr>
        <w:fldChar w:fldCharType="begin"/>
      </w:r>
      <w:r w:rsidR="006811C1" w:rsidRPr="00F07DEB">
        <w:rPr>
          <w:rFonts w:ascii="Times New Roman" w:hAnsi="Times New Roman" w:cs="Times New Roman"/>
          <w:sz w:val="24"/>
          <w:szCs w:val="24"/>
        </w:rPr>
        <w:instrText xml:space="preserve"> ADDIN ZOTERO_ITEM CSL_CITATION {"citationID":"atuf45jqnu","properties":{"formattedCitation":"(Arnall et al., 2018; Australian OGTR, 2008)","plainCitation":"(Arnall et al., 2018; Australian OGTR, 2008)","noteIndex":0},"citationItems":[{"id":888,"uris":["http://zotero.org/users/5446453/items/KF39C346"],"uri":["http://zotero.org/users/5446453/items/KF39C346"],"itemData":{"id":888,"type":"report","event-place":"Stillwater, OK","language":"en","number":"E-1021","page":"56","publisher":"Oklahoma State University Extension Service, Division of Agricultural Sciences and Natural Resources","publisher-place":"Stillwater, OK","source":"Zotero","title":"Oklahoma forage and pasture fertility guide","author":[{"family":"Arnall","given":"Brian"},{"family":"Hanks","given":"Travis"},{"family":"Jones","given":"James"},{"family":"Payne","given":"Joshua"},{"family":"Penn","given":"Chad"},{"family":"Pugh","given":"Brian"},{"family":"Redfearn","given":"Daren"},{"family":"Rice","given":"Chris"},{"family":"Warren","given":"Jason"},{"family":"Zhang","given":"Hailin"}],"issued":{"date-parts":[["2018",4]]}}},{"id":787,"uris":["http://zotero.org/users/5446453/items/B489QULW"],"uri":["http://zotero.org/users/5446453/items/B489QULW"],"itemData":{"id":787,"type":"report","language":"en","page":"81","publisher":"Australian Government, Department of Health and Ageing, Office of the Gene Technology Regulator","source":"Zotero","title":"The Biology of Zea Mays L. ssp mays (maize or corn)","author":[{"literal":"Australian OGTR"}],"issued":{"date-parts":[["2008",9]]}}}],"schema":"https://github.com/citation-style-language/schema/raw/master/csl-citation.json"} </w:instrText>
      </w:r>
      <w:r w:rsidR="00D364A4"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(Arnall et al., 2018; Australian OGTR, 2008)</w:t>
      </w:r>
      <w:r w:rsidR="00D364A4" w:rsidRPr="00F07DEB">
        <w:rPr>
          <w:rFonts w:ascii="Times New Roman" w:hAnsi="Times New Roman" w:cs="Times New Roman"/>
          <w:sz w:val="24"/>
          <w:szCs w:val="24"/>
        </w:rPr>
        <w:fldChar w:fldCharType="end"/>
      </w:r>
      <w:r w:rsidR="00D364A4" w:rsidRPr="00F07DEB">
        <w:rPr>
          <w:rFonts w:ascii="Times New Roman" w:hAnsi="Times New Roman" w:cs="Times New Roman"/>
          <w:sz w:val="24"/>
          <w:szCs w:val="24"/>
        </w:rPr>
        <w:t xml:space="preserve">. </w:t>
      </w:r>
      <w:r w:rsidR="0040402D" w:rsidRPr="00F07DEB">
        <w:rPr>
          <w:rFonts w:ascii="Times New Roman" w:hAnsi="Times New Roman" w:cs="Times New Roman"/>
          <w:sz w:val="24"/>
          <w:szCs w:val="24"/>
        </w:rPr>
        <w:t xml:space="preserve">The pH 8 </w:t>
      </w:r>
      <w:r w:rsidR="004F01CD" w:rsidRPr="00F07DEB">
        <w:rPr>
          <w:rFonts w:ascii="Times New Roman" w:hAnsi="Times New Roman" w:cs="Times New Roman"/>
          <w:sz w:val="24"/>
          <w:szCs w:val="24"/>
        </w:rPr>
        <w:t>groundwater and mine water</w:t>
      </w:r>
      <w:r w:rsidR="0040402D" w:rsidRPr="00F07DEB">
        <w:rPr>
          <w:rFonts w:ascii="Times New Roman" w:hAnsi="Times New Roman" w:cs="Times New Roman"/>
          <w:sz w:val="24"/>
          <w:szCs w:val="24"/>
        </w:rPr>
        <w:t xml:space="preserve"> </w:t>
      </w:r>
      <w:r w:rsidR="004F01CD" w:rsidRPr="00F07DEB">
        <w:rPr>
          <w:rFonts w:ascii="Times New Roman" w:hAnsi="Times New Roman" w:cs="Times New Roman"/>
          <w:sz w:val="24"/>
          <w:szCs w:val="24"/>
        </w:rPr>
        <w:t>would</w:t>
      </w:r>
      <w:r w:rsidR="0040402D" w:rsidRPr="00F07DEB">
        <w:rPr>
          <w:rFonts w:ascii="Times New Roman" w:hAnsi="Times New Roman" w:cs="Times New Roman"/>
          <w:sz w:val="24"/>
          <w:szCs w:val="24"/>
        </w:rPr>
        <w:t xml:space="preserve"> continually add bicarbonate to the soil, </w:t>
      </w:r>
      <w:r w:rsidR="004F01CD" w:rsidRPr="00F07DEB">
        <w:rPr>
          <w:rFonts w:ascii="Times New Roman" w:hAnsi="Times New Roman" w:cs="Times New Roman"/>
          <w:sz w:val="24"/>
          <w:szCs w:val="24"/>
        </w:rPr>
        <w:t xml:space="preserve">buffering fertilizer-derived acidity and </w:t>
      </w:r>
      <w:r w:rsidR="0040402D" w:rsidRPr="00F07DEB">
        <w:rPr>
          <w:rFonts w:ascii="Times New Roman" w:hAnsi="Times New Roman" w:cs="Times New Roman"/>
          <w:sz w:val="24"/>
          <w:szCs w:val="24"/>
        </w:rPr>
        <w:t xml:space="preserve">potentially </w:t>
      </w:r>
      <w:r w:rsidR="004F01CD" w:rsidRPr="00F07DEB">
        <w:rPr>
          <w:rFonts w:ascii="Times New Roman" w:hAnsi="Times New Roman" w:cs="Times New Roman"/>
          <w:sz w:val="24"/>
          <w:szCs w:val="24"/>
        </w:rPr>
        <w:t>reducing the need for lime amendments.</w:t>
      </w:r>
    </w:p>
    <w:p w14:paraId="2CBCAA50" w14:textId="289FABFD" w:rsidR="000C68A5" w:rsidRPr="008834FB" w:rsidRDefault="00D70781" w:rsidP="008834FB">
      <w:pPr>
        <w:spacing w:line="480" w:lineRule="auto"/>
        <w:ind w:firstLine="720"/>
        <w:rPr>
          <w:rFonts w:ascii="Times New Roman" w:hAnsi="Times New Roman" w:cs="Times New Roman"/>
          <w:noProof/>
          <w:sz w:val="24"/>
          <w:szCs w:val="24"/>
        </w:rPr>
      </w:pPr>
      <w:r w:rsidRPr="00F07DEB">
        <w:rPr>
          <w:rFonts w:ascii="Times New Roman" w:hAnsi="Times New Roman" w:cs="Times New Roman"/>
          <w:sz w:val="24"/>
          <w:szCs w:val="24"/>
        </w:rPr>
        <w:lastRenderedPageBreak/>
        <w:t>Recoverable m</w:t>
      </w:r>
      <w:r w:rsidR="00B674D3" w:rsidRPr="00F07DEB">
        <w:rPr>
          <w:rFonts w:ascii="Times New Roman" w:hAnsi="Times New Roman" w:cs="Times New Roman"/>
          <w:sz w:val="24"/>
          <w:szCs w:val="24"/>
        </w:rPr>
        <w:t xml:space="preserve">etals concentrations in blocked random samples of pre- and post-experiment substrate were compared to evaluate the effect of irrigation treatment on substrate metal composition. </w:t>
      </w:r>
      <w:r w:rsidR="000C68A5" w:rsidRPr="00F07DEB">
        <w:rPr>
          <w:rFonts w:ascii="Times New Roman" w:hAnsi="Times New Roman" w:cs="Times New Roman"/>
          <w:sz w:val="24"/>
          <w:szCs w:val="24"/>
        </w:rPr>
        <w:t>The upper and lower horizons were sample</w:t>
      </w:r>
      <w:r w:rsidR="00CF3DDB">
        <w:rPr>
          <w:rFonts w:ascii="Times New Roman" w:hAnsi="Times New Roman" w:cs="Times New Roman"/>
          <w:sz w:val="24"/>
          <w:szCs w:val="24"/>
        </w:rPr>
        <w:t>d</w:t>
      </w:r>
      <w:r w:rsidR="000C68A5" w:rsidRPr="00F07DEB">
        <w:rPr>
          <w:rFonts w:ascii="Times New Roman" w:hAnsi="Times New Roman" w:cs="Times New Roman"/>
          <w:sz w:val="24"/>
          <w:szCs w:val="24"/>
        </w:rPr>
        <w:t xml:space="preserve"> simultaneously for each selected pot, analyzed, and then averaged to allow for hypothesis testing of independent samples. </w:t>
      </w:r>
      <w:r w:rsidR="00B674D3" w:rsidRPr="00F07DEB">
        <w:rPr>
          <w:rFonts w:ascii="Times New Roman" w:hAnsi="Times New Roman" w:cs="Times New Roman"/>
          <w:sz w:val="24"/>
          <w:szCs w:val="24"/>
        </w:rPr>
        <w:t xml:space="preserve">Wilcoxon signed-rank tests for paired samples </w:t>
      </w:r>
      <w:r w:rsidR="00401125" w:rsidRPr="00F07DEB">
        <w:rPr>
          <w:rFonts w:ascii="Times New Roman" w:hAnsi="Times New Roman" w:cs="Times New Roman"/>
          <w:sz w:val="24"/>
          <w:szCs w:val="24"/>
        </w:rPr>
        <w:t xml:space="preserve">were performed on pre- and post-experiment concentrations separately for mine water-irrigated pots and groundwater-irrigated pots </w:t>
      </w:r>
      <w:r w:rsidR="007261A2" w:rsidRPr="00F07DEB">
        <w:rPr>
          <w:rFonts w:ascii="Times New Roman" w:hAnsi="Times New Roman" w:cs="Times New Roman"/>
          <w:sz w:val="24"/>
          <w:szCs w:val="24"/>
        </w:rPr>
        <w:t>to test the null hypothesis</w:t>
      </w:r>
      <w:r w:rsidR="00CF3DDB">
        <w:rPr>
          <w:rFonts w:ascii="Times New Roman" w:hAnsi="Times New Roman" w:cs="Times New Roman"/>
          <w:sz w:val="24"/>
          <w:szCs w:val="24"/>
        </w:rPr>
        <w:t>,</w:t>
      </w:r>
      <w:r w:rsidR="007261A2" w:rsidRPr="00F07DEB">
        <w:rPr>
          <w:rFonts w:ascii="Times New Roman" w:hAnsi="Times New Roman" w:cs="Times New Roman"/>
          <w:sz w:val="24"/>
          <w:szCs w:val="24"/>
        </w:rPr>
        <w:t xml:space="preserve"> H</w:t>
      </w:r>
      <w:r w:rsidR="007261A2" w:rsidRPr="00F07DEB">
        <w:rPr>
          <w:rFonts w:ascii="Times New Roman" w:hAnsi="Times New Roman" w:cs="Times New Roman"/>
          <w:sz w:val="24"/>
          <w:szCs w:val="24"/>
          <w:vertAlign w:val="subscript"/>
        </w:rPr>
        <w:t>0</w:t>
      </w:r>
      <w:r w:rsidR="00CF3DDB">
        <w:rPr>
          <w:rFonts w:ascii="Times New Roman" w:hAnsi="Times New Roman" w:cs="Times New Roman"/>
          <w:sz w:val="24"/>
          <w:szCs w:val="24"/>
        </w:rPr>
        <w:t xml:space="preserve">, </w:t>
      </w:r>
      <w:r w:rsidR="007261A2" w:rsidRPr="00F07DEB">
        <w:rPr>
          <w:rFonts w:ascii="Times New Roman" w:hAnsi="Times New Roman" w:cs="Times New Roman"/>
          <w:sz w:val="24"/>
          <w:szCs w:val="24"/>
        </w:rPr>
        <w:t>that the median difference between pre- and post-experiment metals concentrations is zero. S</w:t>
      </w:r>
      <w:r w:rsidR="00B07EEE" w:rsidRPr="00F07DEB">
        <w:rPr>
          <w:rFonts w:ascii="Times New Roman" w:hAnsi="Times New Roman" w:cs="Times New Roman"/>
          <w:sz w:val="24"/>
          <w:szCs w:val="24"/>
        </w:rPr>
        <w:t>ymmetry of the paired differences was confirmed with the Shapiro-Wilk test. The results of these</w:t>
      </w:r>
      <w:r w:rsidR="000C68A5" w:rsidRPr="00F07DEB">
        <w:rPr>
          <w:rFonts w:ascii="Times New Roman" w:hAnsi="Times New Roman" w:cs="Times New Roman"/>
          <w:sz w:val="24"/>
          <w:szCs w:val="24"/>
        </w:rPr>
        <w:t xml:space="preserve"> nonparametric</w:t>
      </w:r>
      <w:r w:rsidR="007261A2" w:rsidRPr="00F07DEB">
        <w:rPr>
          <w:rFonts w:ascii="Times New Roman" w:hAnsi="Times New Roman" w:cs="Times New Roman"/>
          <w:sz w:val="24"/>
          <w:szCs w:val="24"/>
        </w:rPr>
        <w:t xml:space="preserve"> tests are </w:t>
      </w:r>
      <w:r w:rsidR="008701DF" w:rsidRPr="00F07DEB">
        <w:rPr>
          <w:rFonts w:ascii="Times New Roman" w:hAnsi="Times New Roman" w:cs="Times New Roman"/>
          <w:sz w:val="24"/>
          <w:szCs w:val="24"/>
        </w:rPr>
        <w:t xml:space="preserve">provided in </w:t>
      </w:r>
      <w:r w:rsidR="008701DF" w:rsidRPr="008834FB">
        <w:rPr>
          <w:rFonts w:ascii="Times New Roman" w:hAnsi="Times New Roman" w:cs="Times New Roman"/>
          <w:sz w:val="24"/>
          <w:szCs w:val="24"/>
        </w:rPr>
        <w:fldChar w:fldCharType="begin"/>
      </w:r>
      <w:r w:rsidR="008701DF" w:rsidRPr="008834FB">
        <w:rPr>
          <w:rFonts w:ascii="Times New Roman" w:hAnsi="Times New Roman" w:cs="Times New Roman"/>
          <w:sz w:val="24"/>
          <w:szCs w:val="24"/>
        </w:rPr>
        <w:instrText xml:space="preserve"> REF _Ref56281426 \h  \* MERGEFORMAT </w:instrText>
      </w:r>
      <w:r w:rsidR="008701DF" w:rsidRPr="008834FB">
        <w:rPr>
          <w:rFonts w:ascii="Times New Roman" w:hAnsi="Times New Roman" w:cs="Times New Roman"/>
          <w:sz w:val="24"/>
          <w:szCs w:val="24"/>
        </w:rPr>
      </w:r>
      <w:r w:rsidR="008701DF" w:rsidRPr="008834FB">
        <w:rPr>
          <w:rFonts w:ascii="Times New Roman" w:hAnsi="Times New Roman" w:cs="Times New Roman"/>
          <w:sz w:val="24"/>
          <w:szCs w:val="24"/>
        </w:rPr>
        <w:fldChar w:fldCharType="separate"/>
      </w:r>
      <w:r w:rsidR="00E179CA" w:rsidRPr="008834FB">
        <w:rPr>
          <w:rFonts w:ascii="Times New Roman" w:hAnsi="Times New Roman" w:cs="Times New Roman"/>
          <w:noProof/>
          <w:sz w:val="24"/>
          <w:szCs w:val="24"/>
        </w:rPr>
        <w:t>Table 24</w:t>
      </w:r>
      <w:r w:rsidR="008701DF" w:rsidRPr="008834FB">
        <w:rPr>
          <w:rFonts w:ascii="Times New Roman" w:hAnsi="Times New Roman" w:cs="Times New Roman"/>
          <w:sz w:val="24"/>
          <w:szCs w:val="24"/>
        </w:rPr>
        <w:fldChar w:fldCharType="end"/>
      </w:r>
      <w:r w:rsidR="008701DF" w:rsidRPr="008834FB">
        <w:rPr>
          <w:rFonts w:ascii="Times New Roman" w:hAnsi="Times New Roman" w:cs="Times New Roman"/>
          <w:sz w:val="24"/>
          <w:szCs w:val="24"/>
        </w:rPr>
        <w:t xml:space="preserve">. </w:t>
      </w:r>
      <w:bookmarkStart w:id="158" w:name="_Ref56281426"/>
    </w:p>
    <w:p w14:paraId="461E0A2D" w14:textId="4C2D488E" w:rsidR="008701DF" w:rsidRPr="00F07DEB" w:rsidRDefault="008701DF" w:rsidP="00204C13">
      <w:pPr>
        <w:pStyle w:val="Caption"/>
      </w:pPr>
      <w:bookmarkStart w:id="159" w:name="_Ref56285208"/>
      <w:bookmarkStart w:id="160" w:name="_Toc58975210"/>
      <w:r w:rsidRPr="00F07DEB">
        <w:t xml:space="preserve">Table </w:t>
      </w:r>
      <w:r w:rsidR="00DE3B90" w:rsidRPr="00F07DEB">
        <w:rPr>
          <w:noProof/>
        </w:rPr>
        <w:fldChar w:fldCharType="begin"/>
      </w:r>
      <w:r w:rsidR="00DE3B90" w:rsidRPr="00F07DEB">
        <w:rPr>
          <w:noProof/>
        </w:rPr>
        <w:instrText xml:space="preserve"> SEQ Table \* ARABIC </w:instrText>
      </w:r>
      <w:r w:rsidR="00DE3B90" w:rsidRPr="00F07DEB">
        <w:rPr>
          <w:noProof/>
        </w:rPr>
        <w:fldChar w:fldCharType="separate"/>
      </w:r>
      <w:r w:rsidR="00E179CA">
        <w:rPr>
          <w:noProof/>
        </w:rPr>
        <w:t>24</w:t>
      </w:r>
      <w:r w:rsidR="00DE3B90" w:rsidRPr="00F07DEB">
        <w:rPr>
          <w:noProof/>
        </w:rPr>
        <w:fldChar w:fldCharType="end"/>
      </w:r>
      <w:bookmarkEnd w:id="158"/>
      <w:bookmarkEnd w:id="159"/>
      <w:r w:rsidRPr="00F07DEB">
        <w:rPr>
          <w:noProof/>
        </w:rPr>
        <w:t>: Median subtrate metal concentrations (mg/kg) from groundwater- and mine water-irrigated pots pre- and post-experiment</w:t>
      </w:r>
      <w:bookmarkEnd w:id="160"/>
    </w:p>
    <w:tbl>
      <w:tblPr>
        <w:tblW w:w="5000" w:type="pct"/>
        <w:tblLook w:val="04A0" w:firstRow="1" w:lastRow="0" w:firstColumn="1" w:lastColumn="0" w:noHBand="0" w:noVBand="1"/>
      </w:tblPr>
      <w:tblGrid>
        <w:gridCol w:w="1253"/>
        <w:gridCol w:w="1557"/>
        <w:gridCol w:w="1558"/>
        <w:gridCol w:w="850"/>
        <w:gridCol w:w="326"/>
        <w:gridCol w:w="1571"/>
        <w:gridCol w:w="1391"/>
        <w:gridCol w:w="854"/>
      </w:tblGrid>
      <w:tr w:rsidR="00884B71" w:rsidRPr="00F07DEB" w14:paraId="1647E668" w14:textId="77777777" w:rsidTr="00F71E25">
        <w:trPr>
          <w:trHeight w:val="300"/>
        </w:trPr>
        <w:tc>
          <w:tcPr>
            <w:tcW w:w="670" w:type="pct"/>
            <w:tcBorders>
              <w:top w:val="single" w:sz="8" w:space="0" w:color="auto"/>
              <w:left w:val="nil"/>
              <w:bottom w:val="nil"/>
              <w:right w:val="nil"/>
            </w:tcBorders>
            <w:shd w:val="clear" w:color="auto" w:fill="auto"/>
            <w:noWrap/>
            <w:vAlign w:val="bottom"/>
            <w:hideMark/>
          </w:tcPr>
          <w:p w14:paraId="395FF336" w14:textId="77777777" w:rsidR="00884B71" w:rsidRPr="00F07DEB" w:rsidRDefault="00884B71" w:rsidP="00884B71">
            <w:pPr>
              <w:spacing w:after="0" w:line="240" w:lineRule="auto"/>
              <w:rPr>
                <w:rFonts w:ascii="Times New Roman" w:eastAsia="Times New Roman" w:hAnsi="Times New Roman" w:cs="Times New Roman"/>
                <w:sz w:val="20"/>
                <w:szCs w:val="20"/>
                <w:lang w:eastAsia="en-US"/>
              </w:rPr>
            </w:pPr>
          </w:p>
        </w:tc>
        <w:tc>
          <w:tcPr>
            <w:tcW w:w="2118" w:type="pct"/>
            <w:gridSpan w:val="3"/>
            <w:tcBorders>
              <w:top w:val="single" w:sz="8" w:space="0" w:color="auto"/>
              <w:left w:val="nil"/>
              <w:bottom w:val="single" w:sz="8" w:space="0" w:color="auto"/>
              <w:right w:val="nil"/>
            </w:tcBorders>
            <w:shd w:val="clear" w:color="auto" w:fill="auto"/>
            <w:noWrap/>
            <w:vAlign w:val="bottom"/>
            <w:hideMark/>
          </w:tcPr>
          <w:p w14:paraId="31023B9B" w14:textId="77777777" w:rsidR="00884B71" w:rsidRPr="00F07DEB" w:rsidRDefault="00884B71" w:rsidP="00884B71">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Groundwater</w:t>
            </w:r>
          </w:p>
        </w:tc>
        <w:tc>
          <w:tcPr>
            <w:tcW w:w="174" w:type="pct"/>
            <w:tcBorders>
              <w:top w:val="single" w:sz="8" w:space="0" w:color="auto"/>
              <w:left w:val="nil"/>
              <w:bottom w:val="nil"/>
              <w:right w:val="nil"/>
            </w:tcBorders>
            <w:shd w:val="clear" w:color="auto" w:fill="auto"/>
            <w:noWrap/>
            <w:vAlign w:val="bottom"/>
            <w:hideMark/>
          </w:tcPr>
          <w:p w14:paraId="3DB56CBF" w14:textId="77777777" w:rsidR="00884B71" w:rsidRPr="00F07DEB" w:rsidRDefault="00884B71" w:rsidP="00884B71">
            <w:pPr>
              <w:spacing w:after="0" w:line="240" w:lineRule="auto"/>
              <w:jc w:val="center"/>
              <w:rPr>
                <w:rFonts w:ascii="Times New Roman" w:eastAsia="Times New Roman" w:hAnsi="Times New Roman" w:cs="Times New Roman"/>
                <w:color w:val="000000"/>
                <w:sz w:val="20"/>
                <w:szCs w:val="20"/>
                <w:lang w:eastAsia="en-US"/>
              </w:rPr>
            </w:pPr>
          </w:p>
        </w:tc>
        <w:tc>
          <w:tcPr>
            <w:tcW w:w="2038" w:type="pct"/>
            <w:gridSpan w:val="3"/>
            <w:tcBorders>
              <w:top w:val="single" w:sz="8" w:space="0" w:color="auto"/>
              <w:left w:val="nil"/>
              <w:bottom w:val="single" w:sz="8" w:space="0" w:color="auto"/>
              <w:right w:val="nil"/>
            </w:tcBorders>
            <w:shd w:val="clear" w:color="auto" w:fill="auto"/>
            <w:noWrap/>
            <w:vAlign w:val="bottom"/>
            <w:hideMark/>
          </w:tcPr>
          <w:p w14:paraId="7419A124" w14:textId="77777777" w:rsidR="00884B71" w:rsidRPr="00F07DEB" w:rsidRDefault="00884B71" w:rsidP="00884B71">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Mine water</w:t>
            </w:r>
          </w:p>
        </w:tc>
      </w:tr>
      <w:tr w:rsidR="008701DF" w:rsidRPr="00F07DEB" w14:paraId="762A1F5B" w14:textId="77777777" w:rsidTr="008701DF">
        <w:trPr>
          <w:trHeight w:val="300"/>
        </w:trPr>
        <w:tc>
          <w:tcPr>
            <w:tcW w:w="670" w:type="pct"/>
            <w:tcBorders>
              <w:top w:val="nil"/>
              <w:left w:val="nil"/>
              <w:bottom w:val="single" w:sz="8" w:space="0" w:color="auto"/>
              <w:right w:val="nil"/>
            </w:tcBorders>
            <w:shd w:val="clear" w:color="auto" w:fill="auto"/>
            <w:noWrap/>
            <w:vAlign w:val="center"/>
            <w:hideMark/>
          </w:tcPr>
          <w:p w14:paraId="5F5ECEDD" w14:textId="77777777" w:rsidR="00884B71" w:rsidRPr="00F07DEB" w:rsidRDefault="00884B71" w:rsidP="00884B71">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Parameter</w:t>
            </w:r>
          </w:p>
        </w:tc>
        <w:tc>
          <w:tcPr>
            <w:tcW w:w="832" w:type="pct"/>
            <w:tcBorders>
              <w:top w:val="nil"/>
              <w:left w:val="nil"/>
              <w:bottom w:val="single" w:sz="8" w:space="0" w:color="auto"/>
              <w:right w:val="nil"/>
            </w:tcBorders>
            <w:shd w:val="clear" w:color="auto" w:fill="auto"/>
            <w:noWrap/>
            <w:vAlign w:val="center"/>
            <w:hideMark/>
          </w:tcPr>
          <w:p w14:paraId="5332DF22" w14:textId="09E2DB68" w:rsidR="00884B71" w:rsidRPr="00F07DEB" w:rsidRDefault="00884B71" w:rsidP="00884B71">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Pre</w:t>
            </w:r>
            <w:r w:rsidR="000C68A5" w:rsidRPr="00F07DEB">
              <w:rPr>
                <w:rFonts w:ascii="Times New Roman" w:eastAsia="Times New Roman" w:hAnsi="Times New Roman" w:cs="Times New Roman"/>
                <w:color w:val="000000"/>
                <w:sz w:val="20"/>
                <w:szCs w:val="20"/>
                <w:lang w:eastAsia="en-US"/>
              </w:rPr>
              <w:t>,</w:t>
            </w:r>
            <w:r w:rsidRPr="00F07DEB">
              <w:rPr>
                <w:rFonts w:ascii="Times New Roman" w:eastAsia="Times New Roman" w:hAnsi="Times New Roman" w:cs="Times New Roman"/>
                <w:color w:val="000000"/>
                <w:sz w:val="20"/>
                <w:szCs w:val="20"/>
                <w:lang w:eastAsia="en-US"/>
              </w:rPr>
              <w:t xml:space="preserve"> Median</w:t>
            </w:r>
          </w:p>
        </w:tc>
        <w:tc>
          <w:tcPr>
            <w:tcW w:w="832" w:type="pct"/>
            <w:tcBorders>
              <w:top w:val="nil"/>
              <w:left w:val="nil"/>
              <w:bottom w:val="single" w:sz="8" w:space="0" w:color="auto"/>
              <w:right w:val="nil"/>
            </w:tcBorders>
            <w:shd w:val="clear" w:color="auto" w:fill="auto"/>
            <w:noWrap/>
            <w:vAlign w:val="center"/>
            <w:hideMark/>
          </w:tcPr>
          <w:p w14:paraId="61A6F5F0" w14:textId="5F07E84A" w:rsidR="00884B71" w:rsidRPr="00F07DEB" w:rsidRDefault="00884B71" w:rsidP="00884B71">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Post</w:t>
            </w:r>
            <w:r w:rsidR="000C68A5" w:rsidRPr="00F07DEB">
              <w:rPr>
                <w:rFonts w:ascii="Times New Roman" w:eastAsia="Times New Roman" w:hAnsi="Times New Roman" w:cs="Times New Roman"/>
                <w:color w:val="000000"/>
                <w:sz w:val="20"/>
                <w:szCs w:val="20"/>
                <w:lang w:eastAsia="en-US"/>
              </w:rPr>
              <w:t>,</w:t>
            </w:r>
            <w:r w:rsidRPr="00F07DEB">
              <w:rPr>
                <w:rFonts w:ascii="Times New Roman" w:eastAsia="Times New Roman" w:hAnsi="Times New Roman" w:cs="Times New Roman"/>
                <w:color w:val="000000"/>
                <w:sz w:val="20"/>
                <w:szCs w:val="20"/>
                <w:lang w:eastAsia="en-US"/>
              </w:rPr>
              <w:t xml:space="preserve"> Median</w:t>
            </w:r>
          </w:p>
        </w:tc>
        <w:tc>
          <w:tcPr>
            <w:tcW w:w="453" w:type="pct"/>
            <w:tcBorders>
              <w:top w:val="nil"/>
              <w:left w:val="nil"/>
              <w:bottom w:val="single" w:sz="8" w:space="0" w:color="auto"/>
              <w:right w:val="nil"/>
            </w:tcBorders>
            <w:shd w:val="clear" w:color="auto" w:fill="auto"/>
            <w:noWrap/>
            <w:vAlign w:val="center"/>
            <w:hideMark/>
          </w:tcPr>
          <w:p w14:paraId="5D35E92E" w14:textId="77777777" w:rsidR="00884B71" w:rsidRPr="00F07DEB" w:rsidRDefault="00884B71" w:rsidP="00884B71">
            <w:pPr>
              <w:spacing w:after="0" w:line="240" w:lineRule="auto"/>
              <w:rPr>
                <w:rFonts w:ascii="Times New Roman" w:eastAsia="Times New Roman" w:hAnsi="Times New Roman" w:cs="Times New Roman"/>
                <w:i/>
                <w:color w:val="000000"/>
                <w:sz w:val="20"/>
                <w:szCs w:val="20"/>
                <w:lang w:eastAsia="en-US"/>
              </w:rPr>
            </w:pPr>
            <w:r w:rsidRPr="00F07DEB">
              <w:rPr>
                <w:rFonts w:ascii="Times New Roman" w:eastAsia="Times New Roman" w:hAnsi="Times New Roman" w:cs="Times New Roman"/>
                <w:i/>
                <w:color w:val="000000"/>
                <w:sz w:val="20"/>
                <w:szCs w:val="20"/>
                <w:lang w:eastAsia="en-US"/>
              </w:rPr>
              <w:t>p</w:t>
            </w:r>
          </w:p>
        </w:tc>
        <w:tc>
          <w:tcPr>
            <w:tcW w:w="174" w:type="pct"/>
            <w:tcBorders>
              <w:top w:val="nil"/>
              <w:left w:val="nil"/>
              <w:bottom w:val="single" w:sz="8" w:space="0" w:color="auto"/>
              <w:right w:val="nil"/>
            </w:tcBorders>
            <w:shd w:val="clear" w:color="auto" w:fill="auto"/>
            <w:noWrap/>
            <w:vAlign w:val="center"/>
            <w:hideMark/>
          </w:tcPr>
          <w:p w14:paraId="783F6040" w14:textId="77777777" w:rsidR="00884B71" w:rsidRPr="00F07DEB" w:rsidRDefault="00884B71" w:rsidP="00884B71">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c>
          <w:tcPr>
            <w:tcW w:w="839" w:type="pct"/>
            <w:tcBorders>
              <w:top w:val="nil"/>
              <w:left w:val="nil"/>
              <w:bottom w:val="single" w:sz="8" w:space="0" w:color="auto"/>
              <w:right w:val="nil"/>
            </w:tcBorders>
            <w:shd w:val="clear" w:color="auto" w:fill="auto"/>
            <w:noWrap/>
            <w:vAlign w:val="center"/>
            <w:hideMark/>
          </w:tcPr>
          <w:p w14:paraId="325C6F96" w14:textId="4D6751F9" w:rsidR="00884B71" w:rsidRPr="00F07DEB" w:rsidRDefault="00884B71" w:rsidP="00884B71">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Pre</w:t>
            </w:r>
            <w:r w:rsidR="000C68A5" w:rsidRPr="00F07DEB">
              <w:rPr>
                <w:rFonts w:ascii="Times New Roman" w:eastAsia="Times New Roman" w:hAnsi="Times New Roman" w:cs="Times New Roman"/>
                <w:color w:val="000000"/>
                <w:sz w:val="20"/>
                <w:szCs w:val="20"/>
                <w:lang w:eastAsia="en-US"/>
              </w:rPr>
              <w:t>,</w:t>
            </w:r>
            <w:r w:rsidRPr="00F07DEB">
              <w:rPr>
                <w:rFonts w:ascii="Times New Roman" w:eastAsia="Times New Roman" w:hAnsi="Times New Roman" w:cs="Times New Roman"/>
                <w:color w:val="000000"/>
                <w:sz w:val="20"/>
                <w:szCs w:val="20"/>
                <w:lang w:eastAsia="en-US"/>
              </w:rPr>
              <w:t xml:space="preserve"> Median</w:t>
            </w:r>
          </w:p>
        </w:tc>
        <w:tc>
          <w:tcPr>
            <w:tcW w:w="743" w:type="pct"/>
            <w:tcBorders>
              <w:top w:val="nil"/>
              <w:left w:val="nil"/>
              <w:bottom w:val="single" w:sz="8" w:space="0" w:color="auto"/>
              <w:right w:val="nil"/>
            </w:tcBorders>
            <w:shd w:val="clear" w:color="auto" w:fill="auto"/>
            <w:noWrap/>
            <w:vAlign w:val="center"/>
            <w:hideMark/>
          </w:tcPr>
          <w:p w14:paraId="1F319C8B" w14:textId="0FC0974D" w:rsidR="00884B71" w:rsidRPr="00F07DEB" w:rsidRDefault="00884B71" w:rsidP="00884B71">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Post</w:t>
            </w:r>
            <w:r w:rsidR="000C68A5" w:rsidRPr="00F07DEB">
              <w:rPr>
                <w:rFonts w:ascii="Times New Roman" w:eastAsia="Times New Roman" w:hAnsi="Times New Roman" w:cs="Times New Roman"/>
                <w:color w:val="000000"/>
                <w:sz w:val="20"/>
                <w:szCs w:val="20"/>
                <w:lang w:eastAsia="en-US"/>
              </w:rPr>
              <w:t>,</w:t>
            </w:r>
            <w:r w:rsidRPr="00F07DEB">
              <w:rPr>
                <w:rFonts w:ascii="Times New Roman" w:eastAsia="Times New Roman" w:hAnsi="Times New Roman" w:cs="Times New Roman"/>
                <w:color w:val="000000"/>
                <w:sz w:val="20"/>
                <w:szCs w:val="20"/>
                <w:lang w:eastAsia="en-US"/>
              </w:rPr>
              <w:t xml:space="preserve"> Median</w:t>
            </w:r>
          </w:p>
        </w:tc>
        <w:tc>
          <w:tcPr>
            <w:tcW w:w="456" w:type="pct"/>
            <w:tcBorders>
              <w:top w:val="nil"/>
              <w:left w:val="nil"/>
              <w:bottom w:val="single" w:sz="8" w:space="0" w:color="auto"/>
              <w:right w:val="nil"/>
            </w:tcBorders>
            <w:shd w:val="clear" w:color="auto" w:fill="auto"/>
            <w:noWrap/>
            <w:vAlign w:val="center"/>
            <w:hideMark/>
          </w:tcPr>
          <w:p w14:paraId="4D4F4C2C" w14:textId="77777777" w:rsidR="00884B71" w:rsidRPr="00F07DEB" w:rsidRDefault="00884B71" w:rsidP="00884B71">
            <w:pPr>
              <w:spacing w:after="0" w:line="240" w:lineRule="auto"/>
              <w:rPr>
                <w:rFonts w:ascii="Times New Roman" w:eastAsia="Times New Roman" w:hAnsi="Times New Roman" w:cs="Times New Roman"/>
                <w:i/>
                <w:color w:val="000000"/>
                <w:sz w:val="20"/>
                <w:szCs w:val="20"/>
                <w:lang w:eastAsia="en-US"/>
              </w:rPr>
            </w:pPr>
            <w:r w:rsidRPr="00F07DEB">
              <w:rPr>
                <w:rFonts w:ascii="Times New Roman" w:eastAsia="Times New Roman" w:hAnsi="Times New Roman" w:cs="Times New Roman"/>
                <w:i/>
                <w:color w:val="000000"/>
                <w:sz w:val="20"/>
                <w:szCs w:val="20"/>
                <w:lang w:eastAsia="en-US"/>
              </w:rPr>
              <w:t>p</w:t>
            </w:r>
          </w:p>
        </w:tc>
      </w:tr>
      <w:tr w:rsidR="00F71E25" w:rsidRPr="00F07DEB" w14:paraId="111643F4" w14:textId="77777777" w:rsidTr="00786475">
        <w:trPr>
          <w:trHeight w:val="292"/>
        </w:trPr>
        <w:tc>
          <w:tcPr>
            <w:tcW w:w="670" w:type="pct"/>
            <w:tcBorders>
              <w:top w:val="nil"/>
              <w:left w:val="nil"/>
              <w:bottom w:val="nil"/>
              <w:right w:val="nil"/>
            </w:tcBorders>
            <w:shd w:val="clear" w:color="auto" w:fill="auto"/>
            <w:noWrap/>
            <w:vAlign w:val="center"/>
            <w:hideMark/>
          </w:tcPr>
          <w:p w14:paraId="4901CB10"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eastAsia="Times New Roman" w:hAnsi="Times New Roman" w:cs="Times New Roman"/>
                <w:color w:val="000000"/>
                <w:sz w:val="20"/>
                <w:szCs w:val="20"/>
                <w:lang w:eastAsia="en-US"/>
              </w:rPr>
              <w:t>Ca</w:t>
            </w:r>
          </w:p>
        </w:tc>
        <w:tc>
          <w:tcPr>
            <w:tcW w:w="832" w:type="pct"/>
            <w:tcBorders>
              <w:top w:val="nil"/>
              <w:left w:val="nil"/>
              <w:bottom w:val="nil"/>
              <w:right w:val="nil"/>
            </w:tcBorders>
            <w:shd w:val="clear" w:color="auto" w:fill="auto"/>
            <w:noWrap/>
            <w:vAlign w:val="center"/>
            <w:hideMark/>
          </w:tcPr>
          <w:p w14:paraId="64D7F8F4" w14:textId="19A51EFF"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37500</w:t>
            </w:r>
          </w:p>
        </w:tc>
        <w:tc>
          <w:tcPr>
            <w:tcW w:w="832" w:type="pct"/>
            <w:tcBorders>
              <w:top w:val="nil"/>
              <w:left w:val="nil"/>
              <w:bottom w:val="nil"/>
              <w:right w:val="nil"/>
            </w:tcBorders>
            <w:shd w:val="clear" w:color="auto" w:fill="auto"/>
            <w:noWrap/>
            <w:vAlign w:val="center"/>
            <w:hideMark/>
          </w:tcPr>
          <w:p w14:paraId="4C76A82B" w14:textId="6EA2DEB9"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35300</w:t>
            </w:r>
          </w:p>
        </w:tc>
        <w:tc>
          <w:tcPr>
            <w:tcW w:w="453" w:type="pct"/>
            <w:tcBorders>
              <w:top w:val="nil"/>
              <w:left w:val="nil"/>
              <w:bottom w:val="nil"/>
              <w:right w:val="nil"/>
            </w:tcBorders>
            <w:shd w:val="clear" w:color="auto" w:fill="auto"/>
            <w:noWrap/>
            <w:vAlign w:val="center"/>
            <w:hideMark/>
          </w:tcPr>
          <w:p w14:paraId="7F1E594D" w14:textId="794740FC"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0.438</w:t>
            </w:r>
          </w:p>
        </w:tc>
        <w:tc>
          <w:tcPr>
            <w:tcW w:w="174" w:type="pct"/>
            <w:tcBorders>
              <w:top w:val="nil"/>
              <w:left w:val="nil"/>
              <w:bottom w:val="nil"/>
              <w:right w:val="nil"/>
            </w:tcBorders>
            <w:shd w:val="clear" w:color="auto" w:fill="auto"/>
            <w:noWrap/>
            <w:vAlign w:val="center"/>
            <w:hideMark/>
          </w:tcPr>
          <w:p w14:paraId="4A54DD74"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p>
        </w:tc>
        <w:tc>
          <w:tcPr>
            <w:tcW w:w="839" w:type="pct"/>
            <w:tcBorders>
              <w:top w:val="nil"/>
              <w:left w:val="nil"/>
              <w:bottom w:val="nil"/>
              <w:right w:val="nil"/>
            </w:tcBorders>
            <w:shd w:val="clear" w:color="auto" w:fill="auto"/>
            <w:noWrap/>
            <w:vAlign w:val="center"/>
            <w:hideMark/>
          </w:tcPr>
          <w:p w14:paraId="34C075FF" w14:textId="3D950566"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37800</w:t>
            </w:r>
          </w:p>
        </w:tc>
        <w:tc>
          <w:tcPr>
            <w:tcW w:w="743" w:type="pct"/>
            <w:tcBorders>
              <w:top w:val="nil"/>
              <w:left w:val="nil"/>
              <w:bottom w:val="nil"/>
              <w:right w:val="nil"/>
            </w:tcBorders>
            <w:shd w:val="clear" w:color="auto" w:fill="auto"/>
            <w:noWrap/>
            <w:vAlign w:val="center"/>
            <w:hideMark/>
          </w:tcPr>
          <w:p w14:paraId="567B7CB8" w14:textId="18FCEBA8"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39300</w:t>
            </w:r>
          </w:p>
        </w:tc>
        <w:tc>
          <w:tcPr>
            <w:tcW w:w="456" w:type="pct"/>
            <w:tcBorders>
              <w:top w:val="nil"/>
              <w:left w:val="nil"/>
              <w:bottom w:val="nil"/>
              <w:right w:val="nil"/>
            </w:tcBorders>
            <w:shd w:val="clear" w:color="auto" w:fill="auto"/>
            <w:noWrap/>
            <w:vAlign w:val="center"/>
            <w:hideMark/>
          </w:tcPr>
          <w:p w14:paraId="5A6C8AD0" w14:textId="39E9381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0.844</w:t>
            </w:r>
          </w:p>
        </w:tc>
      </w:tr>
      <w:tr w:rsidR="00F71E25" w:rsidRPr="00F07DEB" w14:paraId="39210B1A" w14:textId="77777777" w:rsidTr="00786475">
        <w:trPr>
          <w:trHeight w:val="292"/>
        </w:trPr>
        <w:tc>
          <w:tcPr>
            <w:tcW w:w="670" w:type="pct"/>
            <w:tcBorders>
              <w:top w:val="nil"/>
              <w:left w:val="nil"/>
              <w:bottom w:val="nil"/>
              <w:right w:val="nil"/>
            </w:tcBorders>
            <w:shd w:val="clear" w:color="auto" w:fill="auto"/>
            <w:noWrap/>
            <w:vAlign w:val="center"/>
            <w:hideMark/>
          </w:tcPr>
          <w:p w14:paraId="1E399AD2"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eastAsia="Times New Roman" w:hAnsi="Times New Roman" w:cs="Times New Roman"/>
                <w:color w:val="000000"/>
                <w:sz w:val="20"/>
                <w:szCs w:val="20"/>
                <w:lang w:eastAsia="en-US"/>
              </w:rPr>
              <w:t>Cd</w:t>
            </w:r>
          </w:p>
        </w:tc>
        <w:tc>
          <w:tcPr>
            <w:tcW w:w="832" w:type="pct"/>
            <w:tcBorders>
              <w:top w:val="nil"/>
              <w:left w:val="nil"/>
              <w:bottom w:val="nil"/>
              <w:right w:val="nil"/>
            </w:tcBorders>
            <w:shd w:val="clear" w:color="auto" w:fill="auto"/>
            <w:noWrap/>
            <w:vAlign w:val="center"/>
            <w:hideMark/>
          </w:tcPr>
          <w:p w14:paraId="22F52017" w14:textId="43199CB4"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0.896</w:t>
            </w:r>
          </w:p>
        </w:tc>
        <w:tc>
          <w:tcPr>
            <w:tcW w:w="832" w:type="pct"/>
            <w:tcBorders>
              <w:top w:val="nil"/>
              <w:left w:val="nil"/>
              <w:bottom w:val="nil"/>
              <w:right w:val="nil"/>
            </w:tcBorders>
            <w:shd w:val="clear" w:color="auto" w:fill="auto"/>
            <w:noWrap/>
            <w:vAlign w:val="center"/>
            <w:hideMark/>
          </w:tcPr>
          <w:p w14:paraId="30DCD5DE" w14:textId="5AFC0510"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1.02</w:t>
            </w:r>
          </w:p>
        </w:tc>
        <w:tc>
          <w:tcPr>
            <w:tcW w:w="453" w:type="pct"/>
            <w:tcBorders>
              <w:top w:val="nil"/>
              <w:left w:val="nil"/>
              <w:bottom w:val="nil"/>
              <w:right w:val="nil"/>
            </w:tcBorders>
            <w:shd w:val="clear" w:color="auto" w:fill="auto"/>
            <w:noWrap/>
            <w:vAlign w:val="center"/>
            <w:hideMark/>
          </w:tcPr>
          <w:p w14:paraId="23057261" w14:textId="115B2C4E"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0.156</w:t>
            </w:r>
          </w:p>
        </w:tc>
        <w:tc>
          <w:tcPr>
            <w:tcW w:w="174" w:type="pct"/>
            <w:tcBorders>
              <w:top w:val="nil"/>
              <w:left w:val="nil"/>
              <w:bottom w:val="nil"/>
              <w:right w:val="nil"/>
            </w:tcBorders>
            <w:shd w:val="clear" w:color="auto" w:fill="auto"/>
            <w:noWrap/>
            <w:vAlign w:val="center"/>
            <w:hideMark/>
          </w:tcPr>
          <w:p w14:paraId="2301A6B7"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p>
        </w:tc>
        <w:tc>
          <w:tcPr>
            <w:tcW w:w="839" w:type="pct"/>
            <w:tcBorders>
              <w:top w:val="nil"/>
              <w:left w:val="nil"/>
              <w:bottom w:val="nil"/>
              <w:right w:val="nil"/>
            </w:tcBorders>
            <w:shd w:val="clear" w:color="auto" w:fill="auto"/>
            <w:noWrap/>
            <w:vAlign w:val="center"/>
            <w:hideMark/>
          </w:tcPr>
          <w:p w14:paraId="11658C28" w14:textId="54B78CA6"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0.922</w:t>
            </w:r>
          </w:p>
        </w:tc>
        <w:tc>
          <w:tcPr>
            <w:tcW w:w="743" w:type="pct"/>
            <w:tcBorders>
              <w:top w:val="nil"/>
              <w:left w:val="nil"/>
              <w:bottom w:val="nil"/>
              <w:right w:val="nil"/>
            </w:tcBorders>
            <w:shd w:val="clear" w:color="auto" w:fill="auto"/>
            <w:noWrap/>
            <w:vAlign w:val="center"/>
            <w:hideMark/>
          </w:tcPr>
          <w:p w14:paraId="7FBE8D8E" w14:textId="209BA1D6"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1.01</w:t>
            </w:r>
          </w:p>
        </w:tc>
        <w:tc>
          <w:tcPr>
            <w:tcW w:w="456" w:type="pct"/>
            <w:tcBorders>
              <w:top w:val="nil"/>
              <w:left w:val="nil"/>
              <w:bottom w:val="nil"/>
              <w:right w:val="nil"/>
            </w:tcBorders>
            <w:shd w:val="clear" w:color="auto" w:fill="auto"/>
            <w:noWrap/>
            <w:vAlign w:val="center"/>
            <w:hideMark/>
          </w:tcPr>
          <w:p w14:paraId="4C49752D" w14:textId="0D9C46F1" w:rsidR="00F71E25" w:rsidRPr="00F71E25" w:rsidRDefault="00F71E25" w:rsidP="00F71E25">
            <w:pPr>
              <w:spacing w:after="0" w:line="240" w:lineRule="auto"/>
              <w:rPr>
                <w:rFonts w:ascii="Times New Roman" w:hAnsi="Times New Roman" w:cs="Times New Roman"/>
                <w:b/>
                <w:color w:val="000000"/>
                <w:sz w:val="20"/>
                <w:szCs w:val="20"/>
              </w:rPr>
            </w:pPr>
            <w:r w:rsidRPr="00F71E25">
              <w:rPr>
                <w:rFonts w:ascii="Times New Roman" w:hAnsi="Times New Roman" w:cs="Times New Roman"/>
                <w:b/>
                <w:sz w:val="20"/>
                <w:szCs w:val="20"/>
              </w:rPr>
              <w:t>0.031</w:t>
            </w:r>
          </w:p>
        </w:tc>
      </w:tr>
      <w:tr w:rsidR="00F71E25" w:rsidRPr="00F07DEB" w14:paraId="147A9825" w14:textId="77777777" w:rsidTr="00786475">
        <w:trPr>
          <w:trHeight w:val="292"/>
        </w:trPr>
        <w:tc>
          <w:tcPr>
            <w:tcW w:w="670" w:type="pct"/>
            <w:tcBorders>
              <w:top w:val="nil"/>
              <w:left w:val="nil"/>
              <w:bottom w:val="nil"/>
              <w:right w:val="nil"/>
            </w:tcBorders>
            <w:shd w:val="clear" w:color="auto" w:fill="auto"/>
            <w:noWrap/>
            <w:vAlign w:val="center"/>
            <w:hideMark/>
          </w:tcPr>
          <w:p w14:paraId="43B3B06C"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eastAsia="Times New Roman" w:hAnsi="Times New Roman" w:cs="Times New Roman"/>
                <w:color w:val="000000"/>
                <w:sz w:val="20"/>
                <w:szCs w:val="20"/>
                <w:lang w:eastAsia="en-US"/>
              </w:rPr>
              <w:t>Fe</w:t>
            </w:r>
          </w:p>
        </w:tc>
        <w:tc>
          <w:tcPr>
            <w:tcW w:w="832" w:type="pct"/>
            <w:tcBorders>
              <w:top w:val="nil"/>
              <w:left w:val="nil"/>
              <w:bottom w:val="nil"/>
              <w:right w:val="nil"/>
            </w:tcBorders>
            <w:shd w:val="clear" w:color="auto" w:fill="auto"/>
            <w:noWrap/>
            <w:vAlign w:val="center"/>
            <w:hideMark/>
          </w:tcPr>
          <w:p w14:paraId="5F84001D" w14:textId="3F5A47DE"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7550</w:t>
            </w:r>
          </w:p>
        </w:tc>
        <w:tc>
          <w:tcPr>
            <w:tcW w:w="832" w:type="pct"/>
            <w:tcBorders>
              <w:top w:val="nil"/>
              <w:left w:val="nil"/>
              <w:bottom w:val="nil"/>
              <w:right w:val="nil"/>
            </w:tcBorders>
            <w:shd w:val="clear" w:color="auto" w:fill="auto"/>
            <w:noWrap/>
            <w:vAlign w:val="center"/>
            <w:hideMark/>
          </w:tcPr>
          <w:p w14:paraId="6605536A" w14:textId="0583F1F5"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5760</w:t>
            </w:r>
          </w:p>
        </w:tc>
        <w:tc>
          <w:tcPr>
            <w:tcW w:w="453" w:type="pct"/>
            <w:tcBorders>
              <w:top w:val="nil"/>
              <w:left w:val="nil"/>
              <w:bottom w:val="nil"/>
              <w:right w:val="nil"/>
            </w:tcBorders>
            <w:shd w:val="clear" w:color="auto" w:fill="auto"/>
            <w:noWrap/>
            <w:vAlign w:val="center"/>
            <w:hideMark/>
          </w:tcPr>
          <w:p w14:paraId="755E0583" w14:textId="31E60378"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0.094</w:t>
            </w:r>
          </w:p>
        </w:tc>
        <w:tc>
          <w:tcPr>
            <w:tcW w:w="174" w:type="pct"/>
            <w:tcBorders>
              <w:top w:val="nil"/>
              <w:left w:val="nil"/>
              <w:bottom w:val="nil"/>
              <w:right w:val="nil"/>
            </w:tcBorders>
            <w:shd w:val="clear" w:color="auto" w:fill="auto"/>
            <w:noWrap/>
            <w:vAlign w:val="center"/>
            <w:hideMark/>
          </w:tcPr>
          <w:p w14:paraId="33066408"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p>
        </w:tc>
        <w:tc>
          <w:tcPr>
            <w:tcW w:w="839" w:type="pct"/>
            <w:tcBorders>
              <w:top w:val="nil"/>
              <w:left w:val="nil"/>
              <w:bottom w:val="nil"/>
              <w:right w:val="nil"/>
            </w:tcBorders>
            <w:shd w:val="clear" w:color="auto" w:fill="auto"/>
            <w:noWrap/>
            <w:vAlign w:val="center"/>
            <w:hideMark/>
          </w:tcPr>
          <w:p w14:paraId="1738610C" w14:textId="601FE6A9"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7050</w:t>
            </w:r>
          </w:p>
        </w:tc>
        <w:tc>
          <w:tcPr>
            <w:tcW w:w="743" w:type="pct"/>
            <w:tcBorders>
              <w:top w:val="nil"/>
              <w:left w:val="nil"/>
              <w:bottom w:val="nil"/>
              <w:right w:val="nil"/>
            </w:tcBorders>
            <w:shd w:val="clear" w:color="auto" w:fill="auto"/>
            <w:noWrap/>
            <w:vAlign w:val="center"/>
            <w:hideMark/>
          </w:tcPr>
          <w:p w14:paraId="68EFD08A" w14:textId="42E0D9F4"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6330</w:t>
            </w:r>
          </w:p>
        </w:tc>
        <w:tc>
          <w:tcPr>
            <w:tcW w:w="456" w:type="pct"/>
            <w:tcBorders>
              <w:top w:val="nil"/>
              <w:left w:val="nil"/>
              <w:bottom w:val="nil"/>
              <w:right w:val="nil"/>
            </w:tcBorders>
            <w:shd w:val="clear" w:color="auto" w:fill="auto"/>
            <w:noWrap/>
            <w:vAlign w:val="center"/>
            <w:hideMark/>
          </w:tcPr>
          <w:p w14:paraId="53202D67" w14:textId="47164972"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0.156</w:t>
            </w:r>
          </w:p>
        </w:tc>
      </w:tr>
      <w:tr w:rsidR="00F71E25" w:rsidRPr="00F07DEB" w14:paraId="71C3EAB8" w14:textId="77777777" w:rsidTr="00786475">
        <w:trPr>
          <w:trHeight w:val="292"/>
        </w:trPr>
        <w:tc>
          <w:tcPr>
            <w:tcW w:w="670" w:type="pct"/>
            <w:tcBorders>
              <w:top w:val="nil"/>
              <w:left w:val="nil"/>
              <w:bottom w:val="nil"/>
              <w:right w:val="nil"/>
            </w:tcBorders>
            <w:shd w:val="clear" w:color="auto" w:fill="auto"/>
            <w:noWrap/>
            <w:vAlign w:val="center"/>
            <w:hideMark/>
          </w:tcPr>
          <w:p w14:paraId="3E2B811C"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eastAsia="Times New Roman" w:hAnsi="Times New Roman" w:cs="Times New Roman"/>
                <w:color w:val="000000"/>
                <w:sz w:val="20"/>
                <w:szCs w:val="20"/>
                <w:lang w:eastAsia="en-US"/>
              </w:rPr>
              <w:t>K</w:t>
            </w:r>
          </w:p>
        </w:tc>
        <w:tc>
          <w:tcPr>
            <w:tcW w:w="832" w:type="pct"/>
            <w:tcBorders>
              <w:top w:val="nil"/>
              <w:left w:val="nil"/>
              <w:bottom w:val="nil"/>
              <w:right w:val="nil"/>
            </w:tcBorders>
            <w:shd w:val="clear" w:color="auto" w:fill="auto"/>
            <w:noWrap/>
            <w:vAlign w:val="center"/>
            <w:hideMark/>
          </w:tcPr>
          <w:p w14:paraId="2604D575" w14:textId="3D0C7228"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5460</w:t>
            </w:r>
          </w:p>
        </w:tc>
        <w:tc>
          <w:tcPr>
            <w:tcW w:w="832" w:type="pct"/>
            <w:tcBorders>
              <w:top w:val="nil"/>
              <w:left w:val="nil"/>
              <w:bottom w:val="nil"/>
              <w:right w:val="nil"/>
            </w:tcBorders>
            <w:shd w:val="clear" w:color="auto" w:fill="auto"/>
            <w:noWrap/>
            <w:vAlign w:val="center"/>
            <w:hideMark/>
          </w:tcPr>
          <w:p w14:paraId="227DAB85" w14:textId="218436E9"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3550</w:t>
            </w:r>
          </w:p>
        </w:tc>
        <w:tc>
          <w:tcPr>
            <w:tcW w:w="453" w:type="pct"/>
            <w:tcBorders>
              <w:top w:val="nil"/>
              <w:left w:val="nil"/>
              <w:bottom w:val="nil"/>
              <w:right w:val="nil"/>
            </w:tcBorders>
            <w:shd w:val="clear" w:color="auto" w:fill="auto"/>
            <w:noWrap/>
            <w:vAlign w:val="center"/>
            <w:hideMark/>
          </w:tcPr>
          <w:p w14:paraId="4A29C1C4" w14:textId="683B3BF8" w:rsidR="00F71E25" w:rsidRPr="00F71E25" w:rsidRDefault="00F71E25" w:rsidP="00F71E25">
            <w:pPr>
              <w:spacing w:after="0" w:line="240" w:lineRule="auto"/>
              <w:rPr>
                <w:rFonts w:ascii="Times New Roman" w:hAnsi="Times New Roman" w:cs="Times New Roman"/>
                <w:b/>
                <w:color w:val="000000"/>
                <w:sz w:val="20"/>
                <w:szCs w:val="20"/>
              </w:rPr>
            </w:pPr>
            <w:r w:rsidRPr="00F71E25">
              <w:rPr>
                <w:rFonts w:ascii="Times New Roman" w:hAnsi="Times New Roman" w:cs="Times New Roman"/>
                <w:b/>
                <w:sz w:val="20"/>
                <w:szCs w:val="20"/>
              </w:rPr>
              <w:t>0.031</w:t>
            </w:r>
          </w:p>
        </w:tc>
        <w:tc>
          <w:tcPr>
            <w:tcW w:w="174" w:type="pct"/>
            <w:tcBorders>
              <w:top w:val="nil"/>
              <w:left w:val="nil"/>
              <w:bottom w:val="nil"/>
              <w:right w:val="nil"/>
            </w:tcBorders>
            <w:shd w:val="clear" w:color="auto" w:fill="auto"/>
            <w:noWrap/>
            <w:vAlign w:val="center"/>
            <w:hideMark/>
          </w:tcPr>
          <w:p w14:paraId="3EFB5BBD"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p>
        </w:tc>
        <w:tc>
          <w:tcPr>
            <w:tcW w:w="839" w:type="pct"/>
            <w:tcBorders>
              <w:top w:val="nil"/>
              <w:left w:val="nil"/>
              <w:bottom w:val="nil"/>
              <w:right w:val="nil"/>
            </w:tcBorders>
            <w:shd w:val="clear" w:color="auto" w:fill="auto"/>
            <w:noWrap/>
            <w:vAlign w:val="center"/>
            <w:hideMark/>
          </w:tcPr>
          <w:p w14:paraId="4BFB2BD7" w14:textId="43788331"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5550</w:t>
            </w:r>
          </w:p>
        </w:tc>
        <w:tc>
          <w:tcPr>
            <w:tcW w:w="743" w:type="pct"/>
            <w:tcBorders>
              <w:top w:val="nil"/>
              <w:left w:val="nil"/>
              <w:bottom w:val="nil"/>
              <w:right w:val="nil"/>
            </w:tcBorders>
            <w:shd w:val="clear" w:color="auto" w:fill="auto"/>
            <w:noWrap/>
            <w:vAlign w:val="center"/>
            <w:hideMark/>
          </w:tcPr>
          <w:p w14:paraId="7DCDAA33" w14:textId="014DD070"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3090</w:t>
            </w:r>
          </w:p>
        </w:tc>
        <w:tc>
          <w:tcPr>
            <w:tcW w:w="456" w:type="pct"/>
            <w:tcBorders>
              <w:top w:val="nil"/>
              <w:left w:val="nil"/>
              <w:bottom w:val="nil"/>
              <w:right w:val="nil"/>
            </w:tcBorders>
            <w:shd w:val="clear" w:color="auto" w:fill="auto"/>
            <w:noWrap/>
            <w:vAlign w:val="center"/>
            <w:hideMark/>
          </w:tcPr>
          <w:p w14:paraId="56075139" w14:textId="2141FFCD" w:rsidR="00F71E25" w:rsidRPr="00F71E25" w:rsidRDefault="00F71E25" w:rsidP="00F71E25">
            <w:pPr>
              <w:spacing w:after="0" w:line="240" w:lineRule="auto"/>
              <w:rPr>
                <w:rFonts w:ascii="Times New Roman" w:hAnsi="Times New Roman" w:cs="Times New Roman"/>
                <w:b/>
                <w:color w:val="000000"/>
                <w:sz w:val="20"/>
                <w:szCs w:val="20"/>
              </w:rPr>
            </w:pPr>
            <w:r w:rsidRPr="00F71E25">
              <w:rPr>
                <w:rFonts w:ascii="Times New Roman" w:hAnsi="Times New Roman" w:cs="Times New Roman"/>
                <w:b/>
                <w:sz w:val="20"/>
                <w:szCs w:val="20"/>
              </w:rPr>
              <w:t>0.031</w:t>
            </w:r>
          </w:p>
        </w:tc>
      </w:tr>
      <w:tr w:rsidR="00F71E25" w:rsidRPr="00F07DEB" w14:paraId="7BC67F9E" w14:textId="77777777" w:rsidTr="00786475">
        <w:trPr>
          <w:trHeight w:val="292"/>
        </w:trPr>
        <w:tc>
          <w:tcPr>
            <w:tcW w:w="670" w:type="pct"/>
            <w:tcBorders>
              <w:top w:val="nil"/>
              <w:left w:val="nil"/>
              <w:bottom w:val="nil"/>
              <w:right w:val="nil"/>
            </w:tcBorders>
            <w:shd w:val="clear" w:color="auto" w:fill="auto"/>
            <w:noWrap/>
            <w:vAlign w:val="center"/>
            <w:hideMark/>
          </w:tcPr>
          <w:p w14:paraId="04108E15"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eastAsia="Times New Roman" w:hAnsi="Times New Roman" w:cs="Times New Roman"/>
                <w:color w:val="000000"/>
                <w:sz w:val="20"/>
                <w:szCs w:val="20"/>
                <w:lang w:eastAsia="en-US"/>
              </w:rPr>
              <w:t>Mg</w:t>
            </w:r>
          </w:p>
        </w:tc>
        <w:tc>
          <w:tcPr>
            <w:tcW w:w="832" w:type="pct"/>
            <w:tcBorders>
              <w:top w:val="nil"/>
              <w:left w:val="nil"/>
              <w:bottom w:val="nil"/>
              <w:right w:val="nil"/>
            </w:tcBorders>
            <w:shd w:val="clear" w:color="auto" w:fill="auto"/>
            <w:noWrap/>
            <w:vAlign w:val="center"/>
            <w:hideMark/>
          </w:tcPr>
          <w:p w14:paraId="0A276B36" w14:textId="7BFF2E44"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2130</w:t>
            </w:r>
          </w:p>
        </w:tc>
        <w:tc>
          <w:tcPr>
            <w:tcW w:w="832" w:type="pct"/>
            <w:tcBorders>
              <w:top w:val="nil"/>
              <w:left w:val="nil"/>
              <w:bottom w:val="nil"/>
              <w:right w:val="nil"/>
            </w:tcBorders>
            <w:shd w:val="clear" w:color="auto" w:fill="auto"/>
            <w:noWrap/>
            <w:vAlign w:val="center"/>
            <w:hideMark/>
          </w:tcPr>
          <w:p w14:paraId="2548B735" w14:textId="079EE765"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2140</w:t>
            </w:r>
          </w:p>
        </w:tc>
        <w:tc>
          <w:tcPr>
            <w:tcW w:w="453" w:type="pct"/>
            <w:tcBorders>
              <w:top w:val="nil"/>
              <w:left w:val="nil"/>
              <w:bottom w:val="nil"/>
              <w:right w:val="nil"/>
            </w:tcBorders>
            <w:shd w:val="clear" w:color="auto" w:fill="auto"/>
            <w:noWrap/>
            <w:vAlign w:val="center"/>
            <w:hideMark/>
          </w:tcPr>
          <w:p w14:paraId="71A935C1" w14:textId="79F79DB5"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1</w:t>
            </w:r>
            <w:r>
              <w:rPr>
                <w:rFonts w:ascii="Times New Roman" w:hAnsi="Times New Roman" w:cs="Times New Roman"/>
                <w:sz w:val="20"/>
                <w:szCs w:val="20"/>
              </w:rPr>
              <w:t>.00</w:t>
            </w:r>
          </w:p>
        </w:tc>
        <w:tc>
          <w:tcPr>
            <w:tcW w:w="174" w:type="pct"/>
            <w:tcBorders>
              <w:top w:val="nil"/>
              <w:left w:val="nil"/>
              <w:bottom w:val="nil"/>
              <w:right w:val="nil"/>
            </w:tcBorders>
            <w:shd w:val="clear" w:color="auto" w:fill="auto"/>
            <w:noWrap/>
            <w:vAlign w:val="center"/>
            <w:hideMark/>
          </w:tcPr>
          <w:p w14:paraId="03803496"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p>
        </w:tc>
        <w:tc>
          <w:tcPr>
            <w:tcW w:w="839" w:type="pct"/>
            <w:tcBorders>
              <w:top w:val="nil"/>
              <w:left w:val="nil"/>
              <w:bottom w:val="nil"/>
              <w:right w:val="nil"/>
            </w:tcBorders>
            <w:shd w:val="clear" w:color="auto" w:fill="auto"/>
            <w:noWrap/>
            <w:vAlign w:val="center"/>
            <w:hideMark/>
          </w:tcPr>
          <w:p w14:paraId="686E218D" w14:textId="3DF44141"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2600</w:t>
            </w:r>
          </w:p>
        </w:tc>
        <w:tc>
          <w:tcPr>
            <w:tcW w:w="743" w:type="pct"/>
            <w:tcBorders>
              <w:top w:val="nil"/>
              <w:left w:val="nil"/>
              <w:bottom w:val="nil"/>
              <w:right w:val="nil"/>
            </w:tcBorders>
            <w:shd w:val="clear" w:color="auto" w:fill="auto"/>
            <w:noWrap/>
            <w:vAlign w:val="center"/>
            <w:hideMark/>
          </w:tcPr>
          <w:p w14:paraId="640A0DDD" w14:textId="5E783C8B"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3320</w:t>
            </w:r>
          </w:p>
        </w:tc>
        <w:tc>
          <w:tcPr>
            <w:tcW w:w="456" w:type="pct"/>
            <w:tcBorders>
              <w:top w:val="nil"/>
              <w:left w:val="nil"/>
              <w:bottom w:val="nil"/>
              <w:right w:val="nil"/>
            </w:tcBorders>
            <w:shd w:val="clear" w:color="auto" w:fill="auto"/>
            <w:noWrap/>
            <w:vAlign w:val="center"/>
            <w:hideMark/>
          </w:tcPr>
          <w:p w14:paraId="70C2C9D9" w14:textId="45B789D8"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0.219</w:t>
            </w:r>
          </w:p>
        </w:tc>
      </w:tr>
      <w:tr w:rsidR="00F71E25" w:rsidRPr="00F07DEB" w14:paraId="6818382A" w14:textId="77777777" w:rsidTr="00786475">
        <w:trPr>
          <w:trHeight w:val="292"/>
        </w:trPr>
        <w:tc>
          <w:tcPr>
            <w:tcW w:w="670" w:type="pct"/>
            <w:tcBorders>
              <w:top w:val="nil"/>
              <w:left w:val="nil"/>
              <w:bottom w:val="nil"/>
              <w:right w:val="nil"/>
            </w:tcBorders>
            <w:shd w:val="clear" w:color="auto" w:fill="auto"/>
            <w:noWrap/>
            <w:vAlign w:val="center"/>
            <w:hideMark/>
          </w:tcPr>
          <w:p w14:paraId="091ABEEC"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proofErr w:type="spellStart"/>
            <w:r w:rsidRPr="00F71E25">
              <w:rPr>
                <w:rFonts w:ascii="Times New Roman" w:eastAsia="Times New Roman" w:hAnsi="Times New Roman" w:cs="Times New Roman"/>
                <w:color w:val="000000"/>
                <w:sz w:val="20"/>
                <w:szCs w:val="20"/>
                <w:lang w:eastAsia="en-US"/>
              </w:rPr>
              <w:t>Mn</w:t>
            </w:r>
            <w:proofErr w:type="spellEnd"/>
          </w:p>
        </w:tc>
        <w:tc>
          <w:tcPr>
            <w:tcW w:w="832" w:type="pct"/>
            <w:tcBorders>
              <w:top w:val="nil"/>
              <w:left w:val="nil"/>
              <w:bottom w:val="nil"/>
              <w:right w:val="nil"/>
            </w:tcBorders>
            <w:shd w:val="clear" w:color="auto" w:fill="auto"/>
            <w:noWrap/>
            <w:vAlign w:val="center"/>
            <w:hideMark/>
          </w:tcPr>
          <w:p w14:paraId="621B1436" w14:textId="2D300C25"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258</w:t>
            </w:r>
          </w:p>
        </w:tc>
        <w:tc>
          <w:tcPr>
            <w:tcW w:w="832" w:type="pct"/>
            <w:tcBorders>
              <w:top w:val="nil"/>
              <w:left w:val="nil"/>
              <w:bottom w:val="nil"/>
              <w:right w:val="nil"/>
            </w:tcBorders>
            <w:shd w:val="clear" w:color="auto" w:fill="auto"/>
            <w:noWrap/>
            <w:vAlign w:val="center"/>
            <w:hideMark/>
          </w:tcPr>
          <w:p w14:paraId="43E34976" w14:textId="274EB7C4"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245</w:t>
            </w:r>
          </w:p>
        </w:tc>
        <w:tc>
          <w:tcPr>
            <w:tcW w:w="453" w:type="pct"/>
            <w:tcBorders>
              <w:top w:val="nil"/>
              <w:left w:val="nil"/>
              <w:bottom w:val="nil"/>
              <w:right w:val="nil"/>
            </w:tcBorders>
            <w:shd w:val="clear" w:color="auto" w:fill="auto"/>
            <w:noWrap/>
            <w:vAlign w:val="center"/>
            <w:hideMark/>
          </w:tcPr>
          <w:p w14:paraId="018618A6" w14:textId="11ECA941"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0.438</w:t>
            </w:r>
          </w:p>
        </w:tc>
        <w:tc>
          <w:tcPr>
            <w:tcW w:w="174" w:type="pct"/>
            <w:tcBorders>
              <w:top w:val="nil"/>
              <w:left w:val="nil"/>
              <w:bottom w:val="nil"/>
              <w:right w:val="nil"/>
            </w:tcBorders>
            <w:shd w:val="clear" w:color="auto" w:fill="auto"/>
            <w:noWrap/>
            <w:vAlign w:val="center"/>
            <w:hideMark/>
          </w:tcPr>
          <w:p w14:paraId="106C578C"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p>
        </w:tc>
        <w:tc>
          <w:tcPr>
            <w:tcW w:w="839" w:type="pct"/>
            <w:tcBorders>
              <w:top w:val="nil"/>
              <w:left w:val="nil"/>
              <w:bottom w:val="nil"/>
              <w:right w:val="nil"/>
            </w:tcBorders>
            <w:shd w:val="clear" w:color="auto" w:fill="auto"/>
            <w:noWrap/>
            <w:vAlign w:val="center"/>
            <w:hideMark/>
          </w:tcPr>
          <w:p w14:paraId="27675507" w14:textId="3F25EE4B"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264</w:t>
            </w:r>
          </w:p>
        </w:tc>
        <w:tc>
          <w:tcPr>
            <w:tcW w:w="743" w:type="pct"/>
            <w:tcBorders>
              <w:top w:val="nil"/>
              <w:left w:val="nil"/>
              <w:bottom w:val="nil"/>
              <w:right w:val="nil"/>
            </w:tcBorders>
            <w:shd w:val="clear" w:color="auto" w:fill="auto"/>
            <w:noWrap/>
            <w:vAlign w:val="center"/>
            <w:hideMark/>
          </w:tcPr>
          <w:p w14:paraId="4235B13E" w14:textId="2D337842"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250</w:t>
            </w:r>
          </w:p>
        </w:tc>
        <w:tc>
          <w:tcPr>
            <w:tcW w:w="456" w:type="pct"/>
            <w:tcBorders>
              <w:top w:val="nil"/>
              <w:left w:val="nil"/>
              <w:bottom w:val="nil"/>
              <w:right w:val="nil"/>
            </w:tcBorders>
            <w:shd w:val="clear" w:color="auto" w:fill="auto"/>
            <w:noWrap/>
            <w:vAlign w:val="center"/>
            <w:hideMark/>
          </w:tcPr>
          <w:p w14:paraId="20DD627E" w14:textId="2A993A9E"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0.219</w:t>
            </w:r>
          </w:p>
        </w:tc>
      </w:tr>
      <w:tr w:rsidR="00F71E25" w:rsidRPr="00F07DEB" w14:paraId="4433C3B4" w14:textId="77777777" w:rsidTr="00786475">
        <w:trPr>
          <w:trHeight w:val="292"/>
        </w:trPr>
        <w:tc>
          <w:tcPr>
            <w:tcW w:w="670" w:type="pct"/>
            <w:tcBorders>
              <w:top w:val="nil"/>
              <w:left w:val="nil"/>
              <w:bottom w:val="nil"/>
              <w:right w:val="nil"/>
            </w:tcBorders>
            <w:shd w:val="clear" w:color="auto" w:fill="auto"/>
            <w:noWrap/>
            <w:vAlign w:val="center"/>
            <w:hideMark/>
          </w:tcPr>
          <w:p w14:paraId="042F8C89"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eastAsia="Times New Roman" w:hAnsi="Times New Roman" w:cs="Times New Roman"/>
                <w:color w:val="000000"/>
                <w:sz w:val="20"/>
                <w:szCs w:val="20"/>
                <w:lang w:eastAsia="en-US"/>
              </w:rPr>
              <w:t>Na</w:t>
            </w:r>
          </w:p>
        </w:tc>
        <w:tc>
          <w:tcPr>
            <w:tcW w:w="832" w:type="pct"/>
            <w:tcBorders>
              <w:top w:val="nil"/>
              <w:left w:val="nil"/>
              <w:bottom w:val="nil"/>
              <w:right w:val="nil"/>
            </w:tcBorders>
            <w:shd w:val="clear" w:color="auto" w:fill="auto"/>
            <w:noWrap/>
            <w:vAlign w:val="center"/>
            <w:hideMark/>
          </w:tcPr>
          <w:p w14:paraId="2F2F1F1D" w14:textId="536A938B"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251</w:t>
            </w:r>
          </w:p>
        </w:tc>
        <w:tc>
          <w:tcPr>
            <w:tcW w:w="832" w:type="pct"/>
            <w:tcBorders>
              <w:top w:val="nil"/>
              <w:left w:val="nil"/>
              <w:bottom w:val="nil"/>
              <w:right w:val="nil"/>
            </w:tcBorders>
            <w:shd w:val="clear" w:color="auto" w:fill="auto"/>
            <w:noWrap/>
            <w:vAlign w:val="center"/>
            <w:hideMark/>
          </w:tcPr>
          <w:p w14:paraId="3DC96FFB" w14:textId="3AAB14A9"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517</w:t>
            </w:r>
          </w:p>
        </w:tc>
        <w:tc>
          <w:tcPr>
            <w:tcW w:w="453" w:type="pct"/>
            <w:tcBorders>
              <w:top w:val="nil"/>
              <w:left w:val="nil"/>
              <w:bottom w:val="nil"/>
              <w:right w:val="nil"/>
            </w:tcBorders>
            <w:shd w:val="clear" w:color="auto" w:fill="auto"/>
            <w:noWrap/>
            <w:vAlign w:val="center"/>
            <w:hideMark/>
          </w:tcPr>
          <w:p w14:paraId="73D9BEDB" w14:textId="50447714" w:rsidR="00F71E25" w:rsidRPr="00F71E25" w:rsidRDefault="00F71E25" w:rsidP="00F71E25">
            <w:pPr>
              <w:spacing w:after="0" w:line="240" w:lineRule="auto"/>
              <w:rPr>
                <w:rFonts w:ascii="Times New Roman" w:hAnsi="Times New Roman" w:cs="Times New Roman"/>
                <w:b/>
                <w:color w:val="000000"/>
                <w:sz w:val="20"/>
                <w:szCs w:val="20"/>
              </w:rPr>
            </w:pPr>
            <w:r w:rsidRPr="00F71E25">
              <w:rPr>
                <w:rFonts w:ascii="Times New Roman" w:hAnsi="Times New Roman" w:cs="Times New Roman"/>
                <w:b/>
                <w:sz w:val="20"/>
                <w:szCs w:val="20"/>
              </w:rPr>
              <w:t>0.031</w:t>
            </w:r>
          </w:p>
        </w:tc>
        <w:tc>
          <w:tcPr>
            <w:tcW w:w="174" w:type="pct"/>
            <w:tcBorders>
              <w:top w:val="nil"/>
              <w:left w:val="nil"/>
              <w:bottom w:val="nil"/>
              <w:right w:val="nil"/>
            </w:tcBorders>
            <w:shd w:val="clear" w:color="auto" w:fill="auto"/>
            <w:noWrap/>
            <w:vAlign w:val="center"/>
            <w:hideMark/>
          </w:tcPr>
          <w:p w14:paraId="037BCD20"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p>
        </w:tc>
        <w:tc>
          <w:tcPr>
            <w:tcW w:w="839" w:type="pct"/>
            <w:tcBorders>
              <w:top w:val="nil"/>
              <w:left w:val="nil"/>
              <w:bottom w:val="nil"/>
              <w:right w:val="nil"/>
            </w:tcBorders>
            <w:shd w:val="clear" w:color="auto" w:fill="auto"/>
            <w:noWrap/>
            <w:vAlign w:val="center"/>
            <w:hideMark/>
          </w:tcPr>
          <w:p w14:paraId="3F78F7F4" w14:textId="6D991261"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267</w:t>
            </w:r>
          </w:p>
        </w:tc>
        <w:tc>
          <w:tcPr>
            <w:tcW w:w="743" w:type="pct"/>
            <w:tcBorders>
              <w:top w:val="nil"/>
              <w:left w:val="nil"/>
              <w:bottom w:val="nil"/>
              <w:right w:val="nil"/>
            </w:tcBorders>
            <w:shd w:val="clear" w:color="auto" w:fill="auto"/>
            <w:noWrap/>
            <w:vAlign w:val="center"/>
            <w:hideMark/>
          </w:tcPr>
          <w:p w14:paraId="1ECD0F61" w14:textId="24630475"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643</w:t>
            </w:r>
          </w:p>
        </w:tc>
        <w:tc>
          <w:tcPr>
            <w:tcW w:w="456" w:type="pct"/>
            <w:tcBorders>
              <w:top w:val="nil"/>
              <w:left w:val="nil"/>
              <w:bottom w:val="nil"/>
              <w:right w:val="nil"/>
            </w:tcBorders>
            <w:shd w:val="clear" w:color="auto" w:fill="auto"/>
            <w:noWrap/>
            <w:vAlign w:val="center"/>
            <w:hideMark/>
          </w:tcPr>
          <w:p w14:paraId="3BD3B782" w14:textId="1C486356" w:rsidR="00F71E25" w:rsidRPr="00F71E25" w:rsidRDefault="00F71E25" w:rsidP="00F71E25">
            <w:pPr>
              <w:spacing w:after="0" w:line="240" w:lineRule="auto"/>
              <w:rPr>
                <w:rFonts w:ascii="Times New Roman" w:hAnsi="Times New Roman" w:cs="Times New Roman"/>
                <w:b/>
                <w:color w:val="000000"/>
                <w:sz w:val="20"/>
                <w:szCs w:val="20"/>
              </w:rPr>
            </w:pPr>
            <w:r w:rsidRPr="00F71E25">
              <w:rPr>
                <w:rFonts w:ascii="Times New Roman" w:hAnsi="Times New Roman" w:cs="Times New Roman"/>
                <w:b/>
                <w:sz w:val="20"/>
                <w:szCs w:val="20"/>
              </w:rPr>
              <w:t>0.031</w:t>
            </w:r>
          </w:p>
        </w:tc>
      </w:tr>
      <w:tr w:rsidR="00F71E25" w:rsidRPr="00F07DEB" w14:paraId="68C53A88" w14:textId="77777777" w:rsidTr="00786475">
        <w:trPr>
          <w:trHeight w:val="292"/>
        </w:trPr>
        <w:tc>
          <w:tcPr>
            <w:tcW w:w="670" w:type="pct"/>
            <w:tcBorders>
              <w:top w:val="nil"/>
              <w:left w:val="nil"/>
              <w:bottom w:val="nil"/>
              <w:right w:val="nil"/>
            </w:tcBorders>
            <w:shd w:val="clear" w:color="auto" w:fill="auto"/>
            <w:noWrap/>
            <w:vAlign w:val="center"/>
            <w:hideMark/>
          </w:tcPr>
          <w:p w14:paraId="10E7A331"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eastAsia="Times New Roman" w:hAnsi="Times New Roman" w:cs="Times New Roman"/>
                <w:color w:val="000000"/>
                <w:sz w:val="20"/>
                <w:szCs w:val="20"/>
                <w:lang w:eastAsia="en-US"/>
              </w:rPr>
              <w:t>Ni</w:t>
            </w:r>
          </w:p>
        </w:tc>
        <w:tc>
          <w:tcPr>
            <w:tcW w:w="832" w:type="pct"/>
            <w:tcBorders>
              <w:top w:val="nil"/>
              <w:left w:val="nil"/>
              <w:bottom w:val="nil"/>
              <w:right w:val="nil"/>
            </w:tcBorders>
            <w:shd w:val="clear" w:color="auto" w:fill="auto"/>
            <w:noWrap/>
            <w:vAlign w:val="center"/>
            <w:hideMark/>
          </w:tcPr>
          <w:p w14:paraId="216C3744" w14:textId="2017A626"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6.12</w:t>
            </w:r>
          </w:p>
        </w:tc>
        <w:tc>
          <w:tcPr>
            <w:tcW w:w="832" w:type="pct"/>
            <w:tcBorders>
              <w:top w:val="nil"/>
              <w:left w:val="nil"/>
              <w:bottom w:val="nil"/>
              <w:right w:val="nil"/>
            </w:tcBorders>
            <w:shd w:val="clear" w:color="auto" w:fill="auto"/>
            <w:noWrap/>
            <w:vAlign w:val="center"/>
            <w:hideMark/>
          </w:tcPr>
          <w:p w14:paraId="4F90E27A" w14:textId="464DB35B"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5.77</w:t>
            </w:r>
          </w:p>
        </w:tc>
        <w:tc>
          <w:tcPr>
            <w:tcW w:w="453" w:type="pct"/>
            <w:tcBorders>
              <w:top w:val="nil"/>
              <w:left w:val="nil"/>
              <w:bottom w:val="nil"/>
              <w:right w:val="nil"/>
            </w:tcBorders>
            <w:shd w:val="clear" w:color="auto" w:fill="auto"/>
            <w:noWrap/>
            <w:vAlign w:val="center"/>
            <w:hideMark/>
          </w:tcPr>
          <w:p w14:paraId="044D33B2" w14:textId="2DE682B3"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0.094</w:t>
            </w:r>
          </w:p>
        </w:tc>
        <w:tc>
          <w:tcPr>
            <w:tcW w:w="174" w:type="pct"/>
            <w:tcBorders>
              <w:top w:val="nil"/>
              <w:left w:val="nil"/>
              <w:bottom w:val="nil"/>
              <w:right w:val="nil"/>
            </w:tcBorders>
            <w:shd w:val="clear" w:color="auto" w:fill="auto"/>
            <w:noWrap/>
            <w:vAlign w:val="center"/>
            <w:hideMark/>
          </w:tcPr>
          <w:p w14:paraId="20C4F12F"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p>
        </w:tc>
        <w:tc>
          <w:tcPr>
            <w:tcW w:w="839" w:type="pct"/>
            <w:tcBorders>
              <w:top w:val="nil"/>
              <w:left w:val="nil"/>
              <w:bottom w:val="nil"/>
              <w:right w:val="nil"/>
            </w:tcBorders>
            <w:shd w:val="clear" w:color="auto" w:fill="auto"/>
            <w:noWrap/>
            <w:vAlign w:val="center"/>
            <w:hideMark/>
          </w:tcPr>
          <w:p w14:paraId="3E65506C" w14:textId="7F30E24B"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6.44</w:t>
            </w:r>
          </w:p>
        </w:tc>
        <w:tc>
          <w:tcPr>
            <w:tcW w:w="743" w:type="pct"/>
            <w:tcBorders>
              <w:top w:val="nil"/>
              <w:left w:val="nil"/>
              <w:bottom w:val="nil"/>
              <w:right w:val="nil"/>
            </w:tcBorders>
            <w:shd w:val="clear" w:color="auto" w:fill="auto"/>
            <w:noWrap/>
            <w:vAlign w:val="center"/>
            <w:hideMark/>
          </w:tcPr>
          <w:p w14:paraId="4FCB097D" w14:textId="11664C36"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7.82</w:t>
            </w:r>
          </w:p>
        </w:tc>
        <w:tc>
          <w:tcPr>
            <w:tcW w:w="456" w:type="pct"/>
            <w:tcBorders>
              <w:top w:val="nil"/>
              <w:left w:val="nil"/>
              <w:bottom w:val="nil"/>
              <w:right w:val="nil"/>
            </w:tcBorders>
            <w:shd w:val="clear" w:color="auto" w:fill="auto"/>
            <w:noWrap/>
            <w:vAlign w:val="center"/>
            <w:hideMark/>
          </w:tcPr>
          <w:p w14:paraId="3B37DA79" w14:textId="1C867BED"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0.156</w:t>
            </w:r>
          </w:p>
        </w:tc>
      </w:tr>
      <w:tr w:rsidR="00F71E25" w:rsidRPr="00F07DEB" w14:paraId="7EA708FE" w14:textId="77777777" w:rsidTr="00786475">
        <w:trPr>
          <w:trHeight w:val="292"/>
        </w:trPr>
        <w:tc>
          <w:tcPr>
            <w:tcW w:w="670" w:type="pct"/>
            <w:tcBorders>
              <w:top w:val="nil"/>
              <w:left w:val="nil"/>
              <w:bottom w:val="nil"/>
              <w:right w:val="nil"/>
            </w:tcBorders>
            <w:shd w:val="clear" w:color="auto" w:fill="auto"/>
            <w:noWrap/>
            <w:vAlign w:val="center"/>
            <w:hideMark/>
          </w:tcPr>
          <w:p w14:paraId="716366CB"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proofErr w:type="spellStart"/>
            <w:r w:rsidRPr="00F71E25">
              <w:rPr>
                <w:rFonts w:ascii="Times New Roman" w:eastAsia="Times New Roman" w:hAnsi="Times New Roman" w:cs="Times New Roman"/>
                <w:color w:val="000000"/>
                <w:sz w:val="20"/>
                <w:szCs w:val="20"/>
                <w:lang w:eastAsia="en-US"/>
              </w:rPr>
              <w:t>Pb</w:t>
            </w:r>
            <w:proofErr w:type="spellEnd"/>
          </w:p>
        </w:tc>
        <w:tc>
          <w:tcPr>
            <w:tcW w:w="832" w:type="pct"/>
            <w:tcBorders>
              <w:top w:val="nil"/>
              <w:left w:val="nil"/>
              <w:bottom w:val="nil"/>
              <w:right w:val="nil"/>
            </w:tcBorders>
            <w:shd w:val="clear" w:color="auto" w:fill="auto"/>
            <w:noWrap/>
            <w:vAlign w:val="center"/>
            <w:hideMark/>
          </w:tcPr>
          <w:p w14:paraId="0D6B6F76" w14:textId="6E4CF16F"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19.5</w:t>
            </w:r>
          </w:p>
        </w:tc>
        <w:tc>
          <w:tcPr>
            <w:tcW w:w="832" w:type="pct"/>
            <w:tcBorders>
              <w:top w:val="nil"/>
              <w:left w:val="nil"/>
              <w:bottom w:val="nil"/>
              <w:right w:val="nil"/>
            </w:tcBorders>
            <w:shd w:val="clear" w:color="auto" w:fill="auto"/>
            <w:noWrap/>
            <w:vAlign w:val="center"/>
            <w:hideMark/>
          </w:tcPr>
          <w:p w14:paraId="6D9FC321" w14:textId="18D73453"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16.0</w:t>
            </w:r>
          </w:p>
        </w:tc>
        <w:tc>
          <w:tcPr>
            <w:tcW w:w="453" w:type="pct"/>
            <w:tcBorders>
              <w:top w:val="nil"/>
              <w:left w:val="nil"/>
              <w:bottom w:val="nil"/>
              <w:right w:val="nil"/>
            </w:tcBorders>
            <w:shd w:val="clear" w:color="auto" w:fill="auto"/>
            <w:noWrap/>
            <w:vAlign w:val="center"/>
            <w:hideMark/>
          </w:tcPr>
          <w:p w14:paraId="250DAAD9" w14:textId="12FF1784"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0.094</w:t>
            </w:r>
          </w:p>
        </w:tc>
        <w:tc>
          <w:tcPr>
            <w:tcW w:w="174" w:type="pct"/>
            <w:tcBorders>
              <w:top w:val="nil"/>
              <w:left w:val="nil"/>
              <w:bottom w:val="nil"/>
              <w:right w:val="nil"/>
            </w:tcBorders>
            <w:shd w:val="clear" w:color="auto" w:fill="auto"/>
            <w:noWrap/>
            <w:vAlign w:val="center"/>
            <w:hideMark/>
          </w:tcPr>
          <w:p w14:paraId="18600301"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p>
        </w:tc>
        <w:tc>
          <w:tcPr>
            <w:tcW w:w="839" w:type="pct"/>
            <w:tcBorders>
              <w:top w:val="nil"/>
              <w:left w:val="nil"/>
              <w:bottom w:val="nil"/>
              <w:right w:val="nil"/>
            </w:tcBorders>
            <w:shd w:val="clear" w:color="auto" w:fill="auto"/>
            <w:noWrap/>
            <w:vAlign w:val="center"/>
            <w:hideMark/>
          </w:tcPr>
          <w:p w14:paraId="365FEB5F" w14:textId="5F35E1BE"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19.3</w:t>
            </w:r>
          </w:p>
        </w:tc>
        <w:tc>
          <w:tcPr>
            <w:tcW w:w="743" w:type="pct"/>
            <w:tcBorders>
              <w:top w:val="nil"/>
              <w:left w:val="nil"/>
              <w:bottom w:val="nil"/>
              <w:right w:val="nil"/>
            </w:tcBorders>
            <w:shd w:val="clear" w:color="auto" w:fill="auto"/>
            <w:noWrap/>
            <w:vAlign w:val="center"/>
            <w:hideMark/>
          </w:tcPr>
          <w:p w14:paraId="18D56339" w14:textId="3122181B"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16.5</w:t>
            </w:r>
          </w:p>
        </w:tc>
        <w:tc>
          <w:tcPr>
            <w:tcW w:w="456" w:type="pct"/>
            <w:tcBorders>
              <w:top w:val="nil"/>
              <w:left w:val="nil"/>
              <w:bottom w:val="nil"/>
              <w:right w:val="nil"/>
            </w:tcBorders>
            <w:shd w:val="clear" w:color="auto" w:fill="auto"/>
            <w:noWrap/>
            <w:vAlign w:val="center"/>
            <w:hideMark/>
          </w:tcPr>
          <w:p w14:paraId="4D4C2EAA" w14:textId="040394BC" w:rsidR="00F71E25" w:rsidRPr="00F71E25" w:rsidRDefault="00F71E25" w:rsidP="00F71E25">
            <w:pPr>
              <w:spacing w:after="0" w:line="240" w:lineRule="auto"/>
              <w:rPr>
                <w:rFonts w:ascii="Times New Roman" w:hAnsi="Times New Roman" w:cs="Times New Roman"/>
                <w:b/>
                <w:color w:val="000000"/>
                <w:sz w:val="20"/>
                <w:szCs w:val="20"/>
              </w:rPr>
            </w:pPr>
            <w:r w:rsidRPr="00F71E25">
              <w:rPr>
                <w:rFonts w:ascii="Times New Roman" w:hAnsi="Times New Roman" w:cs="Times New Roman"/>
                <w:b/>
                <w:sz w:val="20"/>
                <w:szCs w:val="20"/>
              </w:rPr>
              <w:t>0.031</w:t>
            </w:r>
          </w:p>
        </w:tc>
      </w:tr>
      <w:tr w:rsidR="00F71E25" w:rsidRPr="00F07DEB" w14:paraId="463B3C51" w14:textId="77777777" w:rsidTr="00786475">
        <w:trPr>
          <w:trHeight w:val="292"/>
        </w:trPr>
        <w:tc>
          <w:tcPr>
            <w:tcW w:w="670" w:type="pct"/>
            <w:tcBorders>
              <w:top w:val="nil"/>
              <w:left w:val="nil"/>
              <w:bottom w:val="nil"/>
              <w:right w:val="nil"/>
            </w:tcBorders>
            <w:shd w:val="clear" w:color="auto" w:fill="auto"/>
            <w:noWrap/>
            <w:vAlign w:val="center"/>
            <w:hideMark/>
          </w:tcPr>
          <w:p w14:paraId="69110549"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eastAsia="Times New Roman" w:hAnsi="Times New Roman" w:cs="Times New Roman"/>
                <w:color w:val="000000"/>
                <w:sz w:val="20"/>
                <w:szCs w:val="20"/>
                <w:lang w:eastAsia="en-US"/>
              </w:rPr>
              <w:t>S</w:t>
            </w:r>
          </w:p>
        </w:tc>
        <w:tc>
          <w:tcPr>
            <w:tcW w:w="832" w:type="pct"/>
            <w:tcBorders>
              <w:top w:val="nil"/>
              <w:left w:val="nil"/>
              <w:bottom w:val="nil"/>
              <w:right w:val="nil"/>
            </w:tcBorders>
            <w:shd w:val="clear" w:color="auto" w:fill="auto"/>
            <w:noWrap/>
            <w:vAlign w:val="center"/>
            <w:hideMark/>
          </w:tcPr>
          <w:p w14:paraId="4D04BC07" w14:textId="186DAA5E"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1820</w:t>
            </w:r>
          </w:p>
        </w:tc>
        <w:tc>
          <w:tcPr>
            <w:tcW w:w="832" w:type="pct"/>
            <w:tcBorders>
              <w:top w:val="nil"/>
              <w:left w:val="nil"/>
              <w:bottom w:val="nil"/>
              <w:right w:val="nil"/>
            </w:tcBorders>
            <w:shd w:val="clear" w:color="auto" w:fill="auto"/>
            <w:noWrap/>
            <w:vAlign w:val="center"/>
            <w:hideMark/>
          </w:tcPr>
          <w:p w14:paraId="49AE31B5" w14:textId="422DA939"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1580</w:t>
            </w:r>
          </w:p>
        </w:tc>
        <w:tc>
          <w:tcPr>
            <w:tcW w:w="453" w:type="pct"/>
            <w:tcBorders>
              <w:top w:val="nil"/>
              <w:left w:val="nil"/>
              <w:bottom w:val="nil"/>
              <w:right w:val="nil"/>
            </w:tcBorders>
            <w:shd w:val="clear" w:color="auto" w:fill="auto"/>
            <w:noWrap/>
            <w:vAlign w:val="center"/>
            <w:hideMark/>
          </w:tcPr>
          <w:p w14:paraId="3AB5CC70" w14:textId="6CC1B7B6"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0.563</w:t>
            </w:r>
          </w:p>
        </w:tc>
        <w:tc>
          <w:tcPr>
            <w:tcW w:w="174" w:type="pct"/>
            <w:tcBorders>
              <w:top w:val="nil"/>
              <w:left w:val="nil"/>
              <w:bottom w:val="nil"/>
              <w:right w:val="nil"/>
            </w:tcBorders>
            <w:shd w:val="clear" w:color="auto" w:fill="auto"/>
            <w:noWrap/>
            <w:vAlign w:val="center"/>
            <w:hideMark/>
          </w:tcPr>
          <w:p w14:paraId="6B70BCCD"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p>
        </w:tc>
        <w:tc>
          <w:tcPr>
            <w:tcW w:w="839" w:type="pct"/>
            <w:tcBorders>
              <w:top w:val="nil"/>
              <w:left w:val="nil"/>
              <w:bottom w:val="nil"/>
              <w:right w:val="nil"/>
            </w:tcBorders>
            <w:shd w:val="clear" w:color="auto" w:fill="auto"/>
            <w:noWrap/>
            <w:vAlign w:val="center"/>
            <w:hideMark/>
          </w:tcPr>
          <w:p w14:paraId="5F07F5B0" w14:textId="5EB1B04F"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1660</w:t>
            </w:r>
          </w:p>
        </w:tc>
        <w:tc>
          <w:tcPr>
            <w:tcW w:w="743" w:type="pct"/>
            <w:tcBorders>
              <w:top w:val="nil"/>
              <w:left w:val="nil"/>
              <w:bottom w:val="nil"/>
              <w:right w:val="nil"/>
            </w:tcBorders>
            <w:shd w:val="clear" w:color="auto" w:fill="auto"/>
            <w:noWrap/>
            <w:vAlign w:val="center"/>
            <w:hideMark/>
          </w:tcPr>
          <w:p w14:paraId="4F694C75" w14:textId="61C5B5D1"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5060</w:t>
            </w:r>
          </w:p>
        </w:tc>
        <w:tc>
          <w:tcPr>
            <w:tcW w:w="456" w:type="pct"/>
            <w:tcBorders>
              <w:top w:val="nil"/>
              <w:left w:val="nil"/>
              <w:bottom w:val="nil"/>
              <w:right w:val="nil"/>
            </w:tcBorders>
            <w:shd w:val="clear" w:color="auto" w:fill="auto"/>
            <w:noWrap/>
            <w:vAlign w:val="center"/>
            <w:hideMark/>
          </w:tcPr>
          <w:p w14:paraId="15A71772" w14:textId="78DCFB13" w:rsidR="00F71E25" w:rsidRPr="00F71E25" w:rsidRDefault="00F71E25" w:rsidP="00F71E25">
            <w:pPr>
              <w:spacing w:after="0" w:line="240" w:lineRule="auto"/>
              <w:rPr>
                <w:rFonts w:ascii="Times New Roman" w:hAnsi="Times New Roman" w:cs="Times New Roman"/>
                <w:b/>
                <w:color w:val="000000"/>
                <w:sz w:val="20"/>
                <w:szCs w:val="20"/>
              </w:rPr>
            </w:pPr>
            <w:r w:rsidRPr="00F71E25">
              <w:rPr>
                <w:rFonts w:ascii="Times New Roman" w:hAnsi="Times New Roman" w:cs="Times New Roman"/>
                <w:b/>
                <w:sz w:val="20"/>
                <w:szCs w:val="20"/>
              </w:rPr>
              <w:t>0.031</w:t>
            </w:r>
          </w:p>
        </w:tc>
      </w:tr>
      <w:tr w:rsidR="00F71E25" w:rsidRPr="00F07DEB" w14:paraId="6215E742" w14:textId="77777777" w:rsidTr="00786475">
        <w:trPr>
          <w:trHeight w:val="300"/>
        </w:trPr>
        <w:tc>
          <w:tcPr>
            <w:tcW w:w="670" w:type="pct"/>
            <w:tcBorders>
              <w:top w:val="nil"/>
              <w:left w:val="nil"/>
              <w:bottom w:val="single" w:sz="8" w:space="0" w:color="auto"/>
              <w:right w:val="nil"/>
            </w:tcBorders>
            <w:shd w:val="clear" w:color="auto" w:fill="auto"/>
            <w:noWrap/>
            <w:vAlign w:val="center"/>
            <w:hideMark/>
          </w:tcPr>
          <w:p w14:paraId="6985C956" w14:textId="77777777"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eastAsia="Times New Roman" w:hAnsi="Times New Roman" w:cs="Times New Roman"/>
                <w:color w:val="000000"/>
                <w:sz w:val="20"/>
                <w:szCs w:val="20"/>
                <w:lang w:eastAsia="en-US"/>
              </w:rPr>
              <w:t>Zn</w:t>
            </w:r>
          </w:p>
        </w:tc>
        <w:tc>
          <w:tcPr>
            <w:tcW w:w="832" w:type="pct"/>
            <w:tcBorders>
              <w:top w:val="nil"/>
              <w:left w:val="nil"/>
              <w:bottom w:val="single" w:sz="8" w:space="0" w:color="auto"/>
              <w:right w:val="nil"/>
            </w:tcBorders>
            <w:shd w:val="clear" w:color="auto" w:fill="auto"/>
            <w:noWrap/>
            <w:vAlign w:val="center"/>
            <w:hideMark/>
          </w:tcPr>
          <w:p w14:paraId="4C89E73F" w14:textId="5098F42C"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31.8</w:t>
            </w:r>
          </w:p>
        </w:tc>
        <w:tc>
          <w:tcPr>
            <w:tcW w:w="832" w:type="pct"/>
            <w:tcBorders>
              <w:top w:val="nil"/>
              <w:left w:val="nil"/>
              <w:bottom w:val="single" w:sz="8" w:space="0" w:color="auto"/>
              <w:right w:val="nil"/>
            </w:tcBorders>
            <w:shd w:val="clear" w:color="auto" w:fill="auto"/>
            <w:noWrap/>
            <w:vAlign w:val="center"/>
            <w:hideMark/>
          </w:tcPr>
          <w:p w14:paraId="61793127" w14:textId="16DC27F5"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30.3</w:t>
            </w:r>
          </w:p>
        </w:tc>
        <w:tc>
          <w:tcPr>
            <w:tcW w:w="453" w:type="pct"/>
            <w:tcBorders>
              <w:top w:val="nil"/>
              <w:left w:val="nil"/>
              <w:bottom w:val="single" w:sz="8" w:space="0" w:color="auto"/>
              <w:right w:val="nil"/>
            </w:tcBorders>
            <w:shd w:val="clear" w:color="auto" w:fill="auto"/>
            <w:noWrap/>
            <w:vAlign w:val="center"/>
            <w:hideMark/>
          </w:tcPr>
          <w:p w14:paraId="015F9A23" w14:textId="16F5B208"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0.063</w:t>
            </w:r>
          </w:p>
        </w:tc>
        <w:tc>
          <w:tcPr>
            <w:tcW w:w="174" w:type="pct"/>
            <w:tcBorders>
              <w:top w:val="nil"/>
              <w:left w:val="nil"/>
              <w:bottom w:val="single" w:sz="8" w:space="0" w:color="auto"/>
              <w:right w:val="nil"/>
            </w:tcBorders>
            <w:shd w:val="clear" w:color="auto" w:fill="auto"/>
            <w:noWrap/>
            <w:vAlign w:val="center"/>
            <w:hideMark/>
          </w:tcPr>
          <w:p w14:paraId="4BA8D295" w14:textId="6ABB9014"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p>
        </w:tc>
        <w:tc>
          <w:tcPr>
            <w:tcW w:w="839" w:type="pct"/>
            <w:tcBorders>
              <w:top w:val="nil"/>
              <w:left w:val="nil"/>
              <w:bottom w:val="single" w:sz="8" w:space="0" w:color="auto"/>
              <w:right w:val="nil"/>
            </w:tcBorders>
            <w:shd w:val="clear" w:color="auto" w:fill="auto"/>
            <w:noWrap/>
            <w:vAlign w:val="center"/>
            <w:hideMark/>
          </w:tcPr>
          <w:p w14:paraId="26A37BDE" w14:textId="389351CB"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32.0</w:t>
            </w:r>
          </w:p>
        </w:tc>
        <w:tc>
          <w:tcPr>
            <w:tcW w:w="743" w:type="pct"/>
            <w:tcBorders>
              <w:top w:val="nil"/>
              <w:left w:val="nil"/>
              <w:bottom w:val="single" w:sz="8" w:space="0" w:color="auto"/>
              <w:right w:val="nil"/>
            </w:tcBorders>
            <w:shd w:val="clear" w:color="auto" w:fill="auto"/>
            <w:noWrap/>
            <w:vAlign w:val="center"/>
            <w:hideMark/>
          </w:tcPr>
          <w:p w14:paraId="68D3BB81" w14:textId="06B59C43" w:rsidR="00F71E25" w:rsidRPr="00F71E25" w:rsidRDefault="00F71E25" w:rsidP="00F71E25">
            <w:pPr>
              <w:spacing w:after="0" w:line="240" w:lineRule="auto"/>
              <w:rPr>
                <w:rFonts w:ascii="Times New Roman" w:eastAsia="Times New Roman" w:hAnsi="Times New Roman" w:cs="Times New Roman"/>
                <w:color w:val="000000"/>
                <w:sz w:val="20"/>
                <w:szCs w:val="20"/>
                <w:lang w:eastAsia="en-US"/>
              </w:rPr>
            </w:pPr>
            <w:r w:rsidRPr="00F71E25">
              <w:rPr>
                <w:rFonts w:ascii="Times New Roman" w:hAnsi="Times New Roman" w:cs="Times New Roman"/>
                <w:sz w:val="20"/>
                <w:szCs w:val="20"/>
              </w:rPr>
              <w:t>28.4</w:t>
            </w:r>
          </w:p>
        </w:tc>
        <w:tc>
          <w:tcPr>
            <w:tcW w:w="456" w:type="pct"/>
            <w:tcBorders>
              <w:top w:val="nil"/>
              <w:left w:val="nil"/>
              <w:bottom w:val="single" w:sz="8" w:space="0" w:color="auto"/>
              <w:right w:val="nil"/>
            </w:tcBorders>
            <w:shd w:val="clear" w:color="auto" w:fill="auto"/>
            <w:noWrap/>
            <w:vAlign w:val="center"/>
            <w:hideMark/>
          </w:tcPr>
          <w:p w14:paraId="1DCD251F" w14:textId="00385CB5" w:rsidR="00F71E25" w:rsidRPr="00F71E25" w:rsidRDefault="00F71E25" w:rsidP="00F71E25">
            <w:pPr>
              <w:spacing w:after="0" w:line="240" w:lineRule="auto"/>
              <w:rPr>
                <w:rFonts w:ascii="Times New Roman" w:hAnsi="Times New Roman" w:cs="Times New Roman"/>
                <w:b/>
                <w:color w:val="000000"/>
                <w:sz w:val="20"/>
                <w:szCs w:val="20"/>
              </w:rPr>
            </w:pPr>
            <w:r w:rsidRPr="00F71E25">
              <w:rPr>
                <w:rFonts w:ascii="Times New Roman" w:hAnsi="Times New Roman" w:cs="Times New Roman"/>
                <w:b/>
                <w:sz w:val="20"/>
                <w:szCs w:val="20"/>
              </w:rPr>
              <w:t>0.031</w:t>
            </w:r>
          </w:p>
        </w:tc>
      </w:tr>
    </w:tbl>
    <w:p w14:paraId="7B1A91F9" w14:textId="72C49ED2" w:rsidR="00884B71" w:rsidRPr="00F07DEB" w:rsidRDefault="008701DF" w:rsidP="00884B71">
      <w:pPr>
        <w:spacing w:line="480" w:lineRule="auto"/>
        <w:rPr>
          <w:rFonts w:ascii="Times New Roman" w:hAnsi="Times New Roman" w:cs="Times New Roman"/>
          <w:sz w:val="20"/>
          <w:szCs w:val="20"/>
        </w:rPr>
      </w:pPr>
      <w:r w:rsidRPr="00F07DEB">
        <w:rPr>
          <w:rFonts w:ascii="Times New Roman" w:hAnsi="Times New Roman" w:cs="Times New Roman"/>
          <w:i/>
          <w:sz w:val="20"/>
          <w:szCs w:val="20"/>
        </w:rPr>
        <w:t>P</w:t>
      </w:r>
      <w:r w:rsidRPr="00F07DEB">
        <w:rPr>
          <w:rFonts w:ascii="Times New Roman" w:hAnsi="Times New Roman" w:cs="Times New Roman"/>
          <w:sz w:val="20"/>
          <w:szCs w:val="20"/>
        </w:rPr>
        <w:t>-values were calculated from Wilcoxon signed-rank tests for paired samples (n = 6), alpha = 0.05.</w:t>
      </w:r>
    </w:p>
    <w:p w14:paraId="4433C7B5" w14:textId="425C502B" w:rsidR="003145D1" w:rsidRPr="00F07DEB" w:rsidRDefault="000C68A5" w:rsidP="003145D1">
      <w:pPr>
        <w:spacing w:line="480" w:lineRule="auto"/>
        <w:ind w:firstLine="720"/>
        <w:rPr>
          <w:rFonts w:ascii="Times New Roman" w:hAnsi="Times New Roman" w:cs="Times New Roman"/>
          <w:sz w:val="24"/>
          <w:szCs w:val="24"/>
        </w:rPr>
      </w:pPr>
      <w:r w:rsidRPr="00F07DEB">
        <w:rPr>
          <w:rFonts w:ascii="Times New Roman" w:hAnsi="Times New Roman" w:cs="Times New Roman"/>
          <w:sz w:val="24"/>
          <w:szCs w:val="24"/>
        </w:rPr>
        <w:t xml:space="preserve">Substrate Na concentrations were increased and K concentrations were decreased during groundwater irrigation, whereas </w:t>
      </w:r>
      <w:r w:rsidR="003145D1" w:rsidRPr="00F07DEB">
        <w:rPr>
          <w:rFonts w:ascii="Times New Roman" w:hAnsi="Times New Roman" w:cs="Times New Roman"/>
          <w:sz w:val="24"/>
          <w:szCs w:val="24"/>
        </w:rPr>
        <w:t>Cd,</w:t>
      </w:r>
      <w:r w:rsidRPr="00F07DEB">
        <w:rPr>
          <w:rFonts w:ascii="Times New Roman" w:hAnsi="Times New Roman" w:cs="Times New Roman"/>
          <w:sz w:val="24"/>
          <w:szCs w:val="24"/>
        </w:rPr>
        <w:t xml:space="preserve"> Na, and S were increased and</w:t>
      </w:r>
      <w:r w:rsidR="003145D1" w:rsidRPr="00F07DEB">
        <w:rPr>
          <w:rFonts w:ascii="Times New Roman" w:hAnsi="Times New Roman" w:cs="Times New Roman"/>
          <w:sz w:val="24"/>
          <w:szCs w:val="24"/>
        </w:rPr>
        <w:t xml:space="preserve"> K,</w:t>
      </w:r>
      <w:r w:rsidRPr="00F07DEB">
        <w:rPr>
          <w:rFonts w:ascii="Times New Roman" w:hAnsi="Times New Roman" w:cs="Times New Roman"/>
          <w:sz w:val="24"/>
          <w:szCs w:val="24"/>
        </w:rPr>
        <w:t xml:space="preserve"> </w:t>
      </w:r>
      <w:proofErr w:type="spellStart"/>
      <w:r w:rsidRPr="00F07DEB">
        <w:rPr>
          <w:rFonts w:ascii="Times New Roman" w:hAnsi="Times New Roman" w:cs="Times New Roman"/>
          <w:sz w:val="24"/>
          <w:szCs w:val="24"/>
        </w:rPr>
        <w:t>Pb</w:t>
      </w:r>
      <w:proofErr w:type="spellEnd"/>
      <w:r w:rsidR="003145D1" w:rsidRPr="00F07DEB">
        <w:rPr>
          <w:rFonts w:ascii="Times New Roman" w:hAnsi="Times New Roman" w:cs="Times New Roman"/>
          <w:sz w:val="24"/>
          <w:szCs w:val="24"/>
        </w:rPr>
        <w:t>,</w:t>
      </w:r>
      <w:r w:rsidRPr="00F07DEB">
        <w:rPr>
          <w:rFonts w:ascii="Times New Roman" w:hAnsi="Times New Roman" w:cs="Times New Roman"/>
          <w:sz w:val="24"/>
          <w:szCs w:val="24"/>
        </w:rPr>
        <w:t xml:space="preserve"> and Zn were decreased during mine water irrigation</w:t>
      </w:r>
      <w:r w:rsidR="00652C56">
        <w:rPr>
          <w:rFonts w:ascii="Times New Roman" w:hAnsi="Times New Roman" w:cs="Times New Roman"/>
          <w:sz w:val="24"/>
          <w:szCs w:val="24"/>
        </w:rPr>
        <w:t xml:space="preserve"> (Table 24)</w:t>
      </w:r>
      <w:r w:rsidRPr="00F07DEB">
        <w:rPr>
          <w:rFonts w:ascii="Times New Roman" w:hAnsi="Times New Roman" w:cs="Times New Roman"/>
          <w:sz w:val="24"/>
          <w:szCs w:val="24"/>
        </w:rPr>
        <w:t xml:space="preserve">. </w:t>
      </w:r>
      <w:r w:rsidR="003B0FF7" w:rsidRPr="00F07DEB">
        <w:rPr>
          <w:rFonts w:ascii="Times New Roman" w:hAnsi="Times New Roman" w:cs="Times New Roman"/>
          <w:sz w:val="24"/>
          <w:szCs w:val="24"/>
        </w:rPr>
        <w:t xml:space="preserve">Of the metals that were significantly increased or decreased after irrigation, mass loadings of K, Cd, </w:t>
      </w:r>
      <w:proofErr w:type="spellStart"/>
      <w:r w:rsidR="003B0FF7" w:rsidRPr="00F07DEB">
        <w:rPr>
          <w:rFonts w:ascii="Times New Roman" w:hAnsi="Times New Roman" w:cs="Times New Roman"/>
          <w:sz w:val="24"/>
          <w:szCs w:val="24"/>
        </w:rPr>
        <w:t>Pb</w:t>
      </w:r>
      <w:proofErr w:type="spellEnd"/>
      <w:r w:rsidR="003B0FF7" w:rsidRPr="00F07DEB">
        <w:rPr>
          <w:rFonts w:ascii="Times New Roman" w:hAnsi="Times New Roman" w:cs="Times New Roman"/>
          <w:sz w:val="24"/>
          <w:szCs w:val="24"/>
        </w:rPr>
        <w:t>, and Zn in the substrate dwarfed contributions from the fertilizer and irrigation waters.</w:t>
      </w:r>
      <w:r w:rsidR="00503798" w:rsidRPr="00F07DEB">
        <w:rPr>
          <w:rFonts w:ascii="Times New Roman" w:hAnsi="Times New Roman" w:cs="Times New Roman"/>
          <w:sz w:val="24"/>
          <w:szCs w:val="24"/>
        </w:rPr>
        <w:t xml:space="preserve"> The decreasing concentrations of K, </w:t>
      </w:r>
      <w:proofErr w:type="spellStart"/>
      <w:r w:rsidR="00503798" w:rsidRPr="00F07DEB">
        <w:rPr>
          <w:rFonts w:ascii="Times New Roman" w:hAnsi="Times New Roman" w:cs="Times New Roman"/>
          <w:sz w:val="24"/>
          <w:szCs w:val="24"/>
        </w:rPr>
        <w:t>Pb</w:t>
      </w:r>
      <w:proofErr w:type="spellEnd"/>
      <w:r w:rsidR="00503798" w:rsidRPr="00F07DEB">
        <w:rPr>
          <w:rFonts w:ascii="Times New Roman" w:hAnsi="Times New Roman" w:cs="Times New Roman"/>
          <w:sz w:val="24"/>
          <w:szCs w:val="24"/>
        </w:rPr>
        <w:t xml:space="preserve">, </w:t>
      </w:r>
      <w:r w:rsidR="00503798" w:rsidRPr="00F07DEB">
        <w:rPr>
          <w:rFonts w:ascii="Times New Roman" w:hAnsi="Times New Roman" w:cs="Times New Roman"/>
          <w:sz w:val="24"/>
          <w:szCs w:val="24"/>
        </w:rPr>
        <w:lastRenderedPageBreak/>
        <w:t xml:space="preserve">and Zn during the growing season were the expected consequence of a system with miniscule inputs and multiple demanding outflows; the increase in Cd was unexpected. </w:t>
      </w:r>
      <w:r w:rsidR="003B0FF7" w:rsidRPr="00F07DEB">
        <w:rPr>
          <w:rFonts w:ascii="Times New Roman" w:hAnsi="Times New Roman" w:cs="Times New Roman"/>
          <w:sz w:val="24"/>
          <w:szCs w:val="24"/>
        </w:rPr>
        <w:t>Of course</w:t>
      </w:r>
      <w:r w:rsidR="003145D1" w:rsidRPr="00F07DEB">
        <w:rPr>
          <w:rFonts w:ascii="Times New Roman" w:hAnsi="Times New Roman" w:cs="Times New Roman"/>
          <w:sz w:val="24"/>
          <w:szCs w:val="24"/>
        </w:rPr>
        <w:t xml:space="preserve">, nonparametric tests sacrifice power for flexibility, and testing for significance at an alpha of 0.10 would extend statistical significance to differences in four more elemental concentrations under groundwater irrigation: increased Fe and decreased Ni, </w:t>
      </w:r>
      <w:proofErr w:type="spellStart"/>
      <w:r w:rsidR="003145D1" w:rsidRPr="00F07DEB">
        <w:rPr>
          <w:rFonts w:ascii="Times New Roman" w:hAnsi="Times New Roman" w:cs="Times New Roman"/>
          <w:sz w:val="24"/>
          <w:szCs w:val="24"/>
        </w:rPr>
        <w:t>Pb</w:t>
      </w:r>
      <w:proofErr w:type="spellEnd"/>
      <w:r w:rsidR="003145D1" w:rsidRPr="00F07DEB">
        <w:rPr>
          <w:rFonts w:ascii="Times New Roman" w:hAnsi="Times New Roman" w:cs="Times New Roman"/>
          <w:sz w:val="24"/>
          <w:szCs w:val="24"/>
        </w:rPr>
        <w:t xml:space="preserve">, and Zn. Data visualization of multiple representations of substrate metal concentration changes can provide more nuanced insight into the effects of irrigating with groundwater and treated mine water. </w:t>
      </w:r>
      <w:r w:rsidR="003145D1" w:rsidRPr="00EC0629">
        <w:rPr>
          <w:rFonts w:ascii="Times New Roman" w:hAnsi="Times New Roman"/>
          <w:sz w:val="24"/>
        </w:rPr>
        <w:fldChar w:fldCharType="begin"/>
      </w:r>
      <w:r w:rsidR="003145D1" w:rsidRPr="00EC0629">
        <w:rPr>
          <w:rFonts w:ascii="Times New Roman" w:hAnsi="Times New Roman"/>
          <w:sz w:val="24"/>
        </w:rPr>
        <w:instrText xml:space="preserve"> REF _Ref56284711 \h  \* MERGEFORMAT </w:instrText>
      </w:r>
      <w:r w:rsidR="003145D1" w:rsidRPr="00EC0629">
        <w:rPr>
          <w:rFonts w:ascii="Times New Roman" w:hAnsi="Times New Roman"/>
          <w:sz w:val="24"/>
        </w:rPr>
      </w:r>
      <w:r w:rsidR="003145D1" w:rsidRPr="00EC0629">
        <w:rPr>
          <w:rFonts w:ascii="Times New Roman" w:hAnsi="Times New Roman"/>
          <w:sz w:val="24"/>
        </w:rPr>
        <w:fldChar w:fldCharType="separate"/>
      </w:r>
      <w:r w:rsidR="00E179CA" w:rsidRPr="00E179CA">
        <w:rPr>
          <w:rFonts w:ascii="Times New Roman" w:hAnsi="Times New Roman"/>
          <w:sz w:val="24"/>
        </w:rPr>
        <w:t>Figure 40</w:t>
      </w:r>
      <w:r w:rsidR="003145D1" w:rsidRPr="00EC0629">
        <w:rPr>
          <w:rFonts w:ascii="Times New Roman" w:hAnsi="Times New Roman"/>
          <w:sz w:val="24"/>
        </w:rPr>
        <w:fldChar w:fldCharType="end"/>
      </w:r>
      <w:r w:rsidR="003145D1" w:rsidRPr="00EC0629">
        <w:rPr>
          <w:rFonts w:ascii="Times New Roman" w:hAnsi="Times New Roman"/>
          <w:sz w:val="24"/>
        </w:rPr>
        <w:t xml:space="preserve"> </w:t>
      </w:r>
      <w:r w:rsidR="00D76F3F" w:rsidRPr="00EC0629">
        <w:rPr>
          <w:rFonts w:ascii="Times New Roman" w:hAnsi="Times New Roman"/>
          <w:sz w:val="24"/>
        </w:rPr>
        <w:t>presents soil Cd concentrations before and after the experiment through a combination of</w:t>
      </w:r>
      <w:r w:rsidR="003145D1" w:rsidRPr="00EC0629">
        <w:rPr>
          <w:rFonts w:ascii="Times New Roman" w:hAnsi="Times New Roman"/>
          <w:sz w:val="24"/>
        </w:rPr>
        <w:t xml:space="preserve"> scatter plot</w:t>
      </w:r>
      <w:r w:rsidR="00D76F3F" w:rsidRPr="00EC0629">
        <w:rPr>
          <w:rFonts w:ascii="Times New Roman" w:hAnsi="Times New Roman"/>
          <w:sz w:val="24"/>
        </w:rPr>
        <w:t>s,</w:t>
      </w:r>
      <w:r w:rsidR="003145D1" w:rsidRPr="00EC0629">
        <w:rPr>
          <w:rFonts w:ascii="Times New Roman" w:hAnsi="Times New Roman"/>
          <w:sz w:val="24"/>
        </w:rPr>
        <w:t xml:space="preserve"> box</w:t>
      </w:r>
      <w:r w:rsidR="00983268" w:rsidRPr="00EC0629">
        <w:rPr>
          <w:rFonts w:ascii="Times New Roman" w:hAnsi="Times New Roman"/>
          <w:sz w:val="24"/>
        </w:rPr>
        <w:t xml:space="preserve"> plots, connected means with standard error bars, and smoothed histograms </w:t>
      </w:r>
      <w:r w:rsidR="00983268" w:rsidRPr="00EC0629">
        <w:rPr>
          <w:rFonts w:ascii="Times New Roman" w:hAnsi="Times New Roman"/>
          <w:sz w:val="24"/>
        </w:rPr>
        <w:fldChar w:fldCharType="begin"/>
      </w:r>
      <w:r w:rsidR="006811C1" w:rsidRPr="00EC0629">
        <w:rPr>
          <w:rFonts w:ascii="Times New Roman" w:hAnsi="Times New Roman"/>
          <w:sz w:val="24"/>
        </w:rPr>
        <w:instrText xml:space="preserve"> ADDIN ZOTERO_ITEM CSL_CITATION {"citationID":"a2lr0hgn5pn","properties":{"formattedCitation":"(Allen et al., 2019)","plainCitation":"(Allen et al., 2019)","noteIndex":0},"citationItems":[{"id":883,"uris":["http://zotero.org/users/5446453/items/8PSPLTF5"],"uri":["http://zotero.org/users/5446453/items/8PSPLTF5"],"itemData":{"id":883,"type":"article-journal","abstract":"Across scientific disciplines, there is a rapidly growing recognition of the need for more statistically robust, transparent approaches to data visualization. Complementary to this, many scientists have called for plotting tools that accurately and transparently convey key aspects of statistical effects and raw data with minimal distortion. Previously common approaches, such as plotting conditional mean or median barplots together with error-bars have been criticized for distorting effect size, hiding underlying patterns in the raw data, and obscuring the assumptions upon which the most commonly used statistical tests are based. Here we describe a data visualization approach which overcomes these issues, providing maximal statistical information while preserving the desired ‘inference at a glance’ nature of barplots and other similar visualization devices. These “raincloud plots” can visualize raw data, probability density, and key summary statistics such as median, mean, and relevant confidence intervals in an appealing and flexible format with minimal redundancy. In this tutorial paper, we provide basic demonstrations of the strength of raincloud plots and similar approaches, outline potential modifications for their optimal use, and provide open-source code for their streamlined implementation in R, Python and Matlab (\n              https://github.com/RainCloudPlots/RainCloudPlots\n              ). Readers can investigate the R and Python tutorials interactively in the browser using Binder by Project Jupyter.","container-title":"Wellcome Open Research","DOI":"10.12688/wellcomeopenres.15191.1","ISSN":"2398-502X","journalAbbreviation":"Wellcome Open Res","language":"en","page":"63","source":"DOI.org (Crossref)","title":"Raincloud plots: a multi-platform tool for robust data visualization","title-short":"Raincloud plots","volume":"4","author":[{"family":"Allen","given":"Micah"},{"family":"Poggiali","given":"Davide"},{"family":"Whitaker","given":"Kirstie"},{"family":"Marshall","given":"Tom Rhys"},{"family":"Kievit","given":"Rogier A."}],"issued":{"date-parts":[["2019",4,1]]}}}],"schema":"https://github.com/citation-style-language/schema/raw/master/csl-citation.json"} </w:instrText>
      </w:r>
      <w:r w:rsidR="00983268" w:rsidRPr="00EC0629">
        <w:rPr>
          <w:rFonts w:ascii="Times New Roman" w:hAnsi="Times New Roman"/>
          <w:sz w:val="24"/>
        </w:rPr>
        <w:fldChar w:fldCharType="separate"/>
      </w:r>
      <w:r w:rsidR="00234033" w:rsidRPr="00EC0629">
        <w:rPr>
          <w:rFonts w:ascii="Times New Roman" w:hAnsi="Times New Roman" w:cs="Times New Roman"/>
          <w:sz w:val="24"/>
        </w:rPr>
        <w:t>(Allen et al., 2019)</w:t>
      </w:r>
      <w:r w:rsidR="00983268" w:rsidRPr="00EC0629">
        <w:rPr>
          <w:rFonts w:ascii="Times New Roman" w:hAnsi="Times New Roman"/>
          <w:sz w:val="24"/>
        </w:rPr>
        <w:fldChar w:fldCharType="end"/>
      </w:r>
      <w:r w:rsidR="00D76F3F" w:rsidRPr="00EC0629">
        <w:rPr>
          <w:rFonts w:ascii="Times New Roman" w:hAnsi="Times New Roman" w:cs="Times New Roman"/>
          <w:sz w:val="24"/>
          <w:szCs w:val="24"/>
        </w:rPr>
        <w:t>.</w:t>
      </w:r>
      <w:r w:rsidR="00983268" w:rsidRPr="00F07DEB">
        <w:rPr>
          <w:rFonts w:ascii="Times New Roman" w:hAnsi="Times New Roman" w:cs="Times New Roman"/>
          <w:sz w:val="24"/>
          <w:szCs w:val="24"/>
        </w:rPr>
        <w:t xml:space="preserve"> </w:t>
      </w:r>
      <w:r w:rsidR="001048D3" w:rsidRPr="00F07DEB">
        <w:rPr>
          <w:rFonts w:ascii="Times New Roman" w:hAnsi="Times New Roman" w:cs="Times New Roman"/>
          <w:sz w:val="24"/>
          <w:szCs w:val="24"/>
        </w:rPr>
        <w:t xml:space="preserve">Cd concentrations were significantly increased during mine water irrigation </w:t>
      </w:r>
      <w:r w:rsidR="00652C56">
        <w:rPr>
          <w:rFonts w:ascii="Times New Roman" w:hAnsi="Times New Roman" w:cs="Times New Roman"/>
          <w:sz w:val="24"/>
          <w:szCs w:val="24"/>
        </w:rPr>
        <w:t>(</w:t>
      </w:r>
      <w:r w:rsidR="00652C56" w:rsidRPr="00204C13">
        <w:rPr>
          <w:rFonts w:ascii="Times New Roman" w:hAnsi="Times New Roman" w:cs="Times New Roman"/>
          <w:i/>
          <w:sz w:val="24"/>
          <w:szCs w:val="24"/>
        </w:rPr>
        <w:t>p</w:t>
      </w:r>
      <w:r w:rsidR="00652C56">
        <w:rPr>
          <w:rFonts w:ascii="Times New Roman" w:hAnsi="Times New Roman" w:cs="Times New Roman"/>
          <w:sz w:val="24"/>
          <w:szCs w:val="24"/>
        </w:rPr>
        <w:t xml:space="preserve"> = 0.031) </w:t>
      </w:r>
      <w:r w:rsidR="001048D3" w:rsidRPr="00F07DEB">
        <w:rPr>
          <w:rFonts w:ascii="Times New Roman" w:hAnsi="Times New Roman" w:cs="Times New Roman"/>
          <w:sz w:val="24"/>
          <w:szCs w:val="24"/>
        </w:rPr>
        <w:t>and not groundwater irrigation</w:t>
      </w:r>
      <w:r w:rsidR="00652C56">
        <w:rPr>
          <w:rFonts w:ascii="Times New Roman" w:hAnsi="Times New Roman" w:cs="Times New Roman"/>
          <w:sz w:val="24"/>
          <w:szCs w:val="24"/>
        </w:rPr>
        <w:t xml:space="preserve"> (</w:t>
      </w:r>
      <w:r w:rsidR="00652C56" w:rsidRPr="00204C13">
        <w:rPr>
          <w:rFonts w:ascii="Times New Roman" w:hAnsi="Times New Roman" w:cs="Times New Roman"/>
          <w:i/>
          <w:sz w:val="24"/>
          <w:szCs w:val="24"/>
        </w:rPr>
        <w:t>p</w:t>
      </w:r>
      <w:r w:rsidR="00652C56">
        <w:rPr>
          <w:rFonts w:ascii="Times New Roman" w:hAnsi="Times New Roman" w:cs="Times New Roman"/>
          <w:sz w:val="24"/>
          <w:szCs w:val="24"/>
        </w:rPr>
        <w:t xml:space="preserve"> = 0.156)</w:t>
      </w:r>
      <w:r w:rsidR="001048D3" w:rsidRPr="00F07DEB">
        <w:rPr>
          <w:rFonts w:ascii="Times New Roman" w:hAnsi="Times New Roman" w:cs="Times New Roman"/>
          <w:sz w:val="24"/>
          <w:szCs w:val="24"/>
        </w:rPr>
        <w:t xml:space="preserve">, but </w:t>
      </w:r>
      <w:r w:rsidR="001048D3" w:rsidRPr="00F07DEB">
        <w:rPr>
          <w:rFonts w:ascii="Times New Roman" w:hAnsi="Times New Roman" w:cs="Times New Roman"/>
          <w:sz w:val="24"/>
          <w:szCs w:val="24"/>
        </w:rPr>
        <w:fldChar w:fldCharType="begin"/>
      </w:r>
      <w:r w:rsidR="001048D3" w:rsidRPr="00F07DEB">
        <w:rPr>
          <w:rFonts w:ascii="Times New Roman" w:hAnsi="Times New Roman" w:cs="Times New Roman"/>
          <w:sz w:val="24"/>
          <w:szCs w:val="24"/>
        </w:rPr>
        <w:instrText xml:space="preserve"> REF _Ref56285208 \h  \* MERGEFORMAT </w:instrText>
      </w:r>
      <w:r w:rsidR="001048D3" w:rsidRPr="00F07DEB">
        <w:rPr>
          <w:rFonts w:ascii="Times New Roman" w:hAnsi="Times New Roman" w:cs="Times New Roman"/>
          <w:sz w:val="24"/>
          <w:szCs w:val="24"/>
        </w:rPr>
      </w:r>
      <w:r w:rsidR="001048D3"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Table </w:t>
      </w:r>
      <w:r w:rsidR="00E179CA" w:rsidRPr="00E179CA">
        <w:rPr>
          <w:rFonts w:ascii="Times New Roman" w:hAnsi="Times New Roman" w:cs="Times New Roman"/>
          <w:noProof/>
          <w:sz w:val="24"/>
          <w:szCs w:val="24"/>
        </w:rPr>
        <w:t>24</w:t>
      </w:r>
      <w:r w:rsidR="001048D3" w:rsidRPr="00F07DEB">
        <w:rPr>
          <w:rFonts w:ascii="Times New Roman" w:hAnsi="Times New Roman" w:cs="Times New Roman"/>
          <w:sz w:val="24"/>
          <w:szCs w:val="24"/>
        </w:rPr>
        <w:fldChar w:fldCharType="end"/>
      </w:r>
      <w:r w:rsidR="001048D3" w:rsidRPr="00F07DEB">
        <w:rPr>
          <w:rFonts w:ascii="Times New Roman" w:hAnsi="Times New Roman" w:cs="Times New Roman"/>
          <w:sz w:val="24"/>
          <w:szCs w:val="24"/>
        </w:rPr>
        <w:t xml:space="preserve"> shows a larger difference in median Cd concentrations under groundwater irrigation than under mine water irrigation. </w:t>
      </w:r>
      <w:r w:rsidR="001048D3" w:rsidRPr="00F07DEB">
        <w:rPr>
          <w:rFonts w:ascii="Times New Roman" w:hAnsi="Times New Roman" w:cs="Times New Roman"/>
          <w:sz w:val="24"/>
          <w:szCs w:val="24"/>
        </w:rPr>
        <w:fldChar w:fldCharType="begin"/>
      </w:r>
      <w:r w:rsidR="001048D3" w:rsidRPr="00F07DEB">
        <w:rPr>
          <w:rFonts w:ascii="Times New Roman" w:hAnsi="Times New Roman" w:cs="Times New Roman"/>
          <w:sz w:val="24"/>
          <w:szCs w:val="24"/>
        </w:rPr>
        <w:instrText xml:space="preserve"> REF _Ref56284711 \h  \* MERGEFORMAT </w:instrText>
      </w:r>
      <w:r w:rsidR="001048D3" w:rsidRPr="00F07DEB">
        <w:rPr>
          <w:rFonts w:ascii="Times New Roman" w:hAnsi="Times New Roman" w:cs="Times New Roman"/>
          <w:sz w:val="24"/>
          <w:szCs w:val="24"/>
        </w:rPr>
      </w:r>
      <w:r w:rsidR="001048D3" w:rsidRPr="00F07DEB">
        <w:rPr>
          <w:rFonts w:ascii="Times New Roman" w:hAnsi="Times New Roman" w:cs="Times New Roman"/>
          <w:sz w:val="24"/>
          <w:szCs w:val="24"/>
        </w:rPr>
        <w:fldChar w:fldCharType="separate"/>
      </w:r>
      <w:r w:rsidR="00E179CA" w:rsidRPr="00E179CA">
        <w:rPr>
          <w:rFonts w:ascii="Times New Roman" w:hAnsi="Times New Roman" w:cs="Times New Roman"/>
          <w:sz w:val="24"/>
          <w:szCs w:val="24"/>
        </w:rPr>
        <w:t xml:space="preserve">Figure </w:t>
      </w:r>
      <w:r w:rsidR="00E179CA" w:rsidRPr="00E179CA">
        <w:rPr>
          <w:rFonts w:ascii="Times New Roman" w:hAnsi="Times New Roman" w:cs="Times New Roman"/>
          <w:noProof/>
          <w:sz w:val="24"/>
          <w:szCs w:val="24"/>
        </w:rPr>
        <w:t>40</w:t>
      </w:r>
      <w:r w:rsidR="001048D3" w:rsidRPr="00F07DEB">
        <w:rPr>
          <w:rFonts w:ascii="Times New Roman" w:hAnsi="Times New Roman" w:cs="Times New Roman"/>
          <w:sz w:val="24"/>
          <w:szCs w:val="24"/>
        </w:rPr>
        <w:fldChar w:fldCharType="end"/>
      </w:r>
      <w:r w:rsidR="001048D3" w:rsidRPr="00F07DEB">
        <w:rPr>
          <w:rFonts w:ascii="Times New Roman" w:hAnsi="Times New Roman" w:cs="Times New Roman"/>
          <w:sz w:val="24"/>
          <w:szCs w:val="24"/>
        </w:rPr>
        <w:t xml:space="preserve"> </w:t>
      </w:r>
      <w:r w:rsidR="00DF2022" w:rsidRPr="00F07DEB">
        <w:rPr>
          <w:rFonts w:ascii="Times New Roman" w:hAnsi="Times New Roman" w:cs="Times New Roman"/>
          <w:sz w:val="24"/>
          <w:szCs w:val="24"/>
        </w:rPr>
        <w:t>shows</w:t>
      </w:r>
      <w:r w:rsidR="001048D3" w:rsidRPr="00F07DEB">
        <w:rPr>
          <w:rFonts w:ascii="Times New Roman" w:hAnsi="Times New Roman" w:cs="Times New Roman"/>
          <w:sz w:val="24"/>
          <w:szCs w:val="24"/>
        </w:rPr>
        <w:t xml:space="preserve"> that comparing changes in box plots and means for Cd concentrations does not provide an obvious case for significance of only one irrigation treatment’s effect on Cd. However, the histogram and scatter plots reveal two high outliers in pre-groundwater irrigation Cd concentrations that </w:t>
      </w:r>
      <w:r w:rsidR="00D70781" w:rsidRPr="00F07DEB">
        <w:rPr>
          <w:rFonts w:ascii="Times New Roman" w:hAnsi="Times New Roman" w:cs="Times New Roman"/>
          <w:sz w:val="24"/>
          <w:szCs w:val="24"/>
        </w:rPr>
        <w:t>were</w:t>
      </w:r>
      <w:r w:rsidR="001048D3" w:rsidRPr="00F07DEB">
        <w:rPr>
          <w:rFonts w:ascii="Times New Roman" w:hAnsi="Times New Roman" w:cs="Times New Roman"/>
          <w:sz w:val="24"/>
          <w:szCs w:val="24"/>
        </w:rPr>
        <w:t xml:space="preserve"> substantially reduced over the course of the study and likely render</w:t>
      </w:r>
      <w:r w:rsidR="00D70781" w:rsidRPr="00F07DEB">
        <w:rPr>
          <w:rFonts w:ascii="Times New Roman" w:hAnsi="Times New Roman" w:cs="Times New Roman"/>
          <w:sz w:val="24"/>
          <w:szCs w:val="24"/>
        </w:rPr>
        <w:t>ed</w:t>
      </w:r>
      <w:r w:rsidR="001048D3" w:rsidRPr="00F07DEB">
        <w:rPr>
          <w:rFonts w:ascii="Times New Roman" w:hAnsi="Times New Roman" w:cs="Times New Roman"/>
          <w:sz w:val="24"/>
          <w:szCs w:val="24"/>
        </w:rPr>
        <w:t xml:space="preserve"> the </w:t>
      </w:r>
      <w:r w:rsidR="00D70781" w:rsidRPr="00F07DEB">
        <w:rPr>
          <w:rFonts w:ascii="Times New Roman" w:hAnsi="Times New Roman" w:cs="Times New Roman"/>
          <w:sz w:val="24"/>
          <w:szCs w:val="24"/>
        </w:rPr>
        <w:t>apparent</w:t>
      </w:r>
      <w:r w:rsidR="001048D3" w:rsidRPr="00F07DEB">
        <w:rPr>
          <w:rFonts w:ascii="Times New Roman" w:hAnsi="Times New Roman" w:cs="Times New Roman"/>
          <w:sz w:val="24"/>
          <w:szCs w:val="24"/>
        </w:rPr>
        <w:t xml:space="preserve"> increase during groundwater irrigation non-significant.</w:t>
      </w:r>
      <w:r w:rsidR="003B0FF7" w:rsidRPr="00F07DEB">
        <w:rPr>
          <w:rFonts w:ascii="Times New Roman" w:hAnsi="Times New Roman" w:cs="Times New Roman"/>
          <w:sz w:val="24"/>
          <w:szCs w:val="24"/>
        </w:rPr>
        <w:t xml:space="preserve"> Whether these outliers changed due to groundwater irrigation or just heterogeneity in the substrate is unknown, but the latter seems more likely </w:t>
      </w:r>
      <w:r w:rsidR="00946FE4">
        <w:rPr>
          <w:rFonts w:ascii="Times New Roman" w:hAnsi="Times New Roman" w:cs="Times New Roman"/>
          <w:sz w:val="24"/>
          <w:szCs w:val="24"/>
        </w:rPr>
        <w:t>when considering</w:t>
      </w:r>
      <w:r w:rsidR="003B0FF7" w:rsidRPr="00F07DEB">
        <w:rPr>
          <w:rFonts w:ascii="Times New Roman" w:hAnsi="Times New Roman" w:cs="Times New Roman"/>
          <w:sz w:val="24"/>
          <w:szCs w:val="24"/>
        </w:rPr>
        <w:t xml:space="preserve"> </w:t>
      </w:r>
      <w:r w:rsidR="00946FE4">
        <w:rPr>
          <w:rFonts w:ascii="Times New Roman" w:hAnsi="Times New Roman" w:cs="Times New Roman"/>
          <w:sz w:val="24"/>
          <w:szCs w:val="24"/>
        </w:rPr>
        <w:t>the high</w:t>
      </w:r>
      <w:r w:rsidR="003B0FF7" w:rsidRPr="00F07DEB">
        <w:rPr>
          <w:rFonts w:ascii="Times New Roman" w:hAnsi="Times New Roman" w:cs="Times New Roman"/>
          <w:sz w:val="24"/>
          <w:szCs w:val="24"/>
        </w:rPr>
        <w:t xml:space="preserve"> Cd </w:t>
      </w:r>
      <w:r w:rsidR="00946FE4">
        <w:rPr>
          <w:rFonts w:ascii="Times New Roman" w:hAnsi="Times New Roman" w:cs="Times New Roman"/>
          <w:sz w:val="24"/>
          <w:szCs w:val="24"/>
        </w:rPr>
        <w:t xml:space="preserve">concentrations </w:t>
      </w:r>
      <w:r w:rsidR="003B0FF7" w:rsidRPr="00F07DEB">
        <w:rPr>
          <w:rFonts w:ascii="Times New Roman" w:hAnsi="Times New Roman" w:cs="Times New Roman"/>
          <w:sz w:val="24"/>
          <w:szCs w:val="24"/>
        </w:rPr>
        <w:t xml:space="preserve">in the potting mix </w:t>
      </w:r>
      <w:r w:rsidR="00946FE4">
        <w:rPr>
          <w:rFonts w:ascii="Times New Roman" w:hAnsi="Times New Roman" w:cs="Times New Roman"/>
          <w:sz w:val="24"/>
          <w:szCs w:val="24"/>
        </w:rPr>
        <w:t>and a low Cd loading</w:t>
      </w:r>
      <w:r w:rsidR="003B0FF7" w:rsidRPr="00F07DEB">
        <w:rPr>
          <w:rFonts w:ascii="Times New Roman" w:hAnsi="Times New Roman" w:cs="Times New Roman"/>
          <w:sz w:val="24"/>
          <w:szCs w:val="24"/>
        </w:rPr>
        <w:t xml:space="preserve"> from groundwater. </w:t>
      </w:r>
      <w:r w:rsidR="00DF2022" w:rsidRPr="00F07DEB">
        <w:rPr>
          <w:rFonts w:ascii="Times New Roman" w:hAnsi="Times New Roman" w:cs="Times New Roman"/>
          <w:sz w:val="24"/>
          <w:szCs w:val="24"/>
        </w:rPr>
        <w:t>Similar plots for other metals o</w:t>
      </w:r>
      <w:r w:rsidR="00421B82">
        <w:rPr>
          <w:rFonts w:ascii="Times New Roman" w:hAnsi="Times New Roman" w:cs="Times New Roman"/>
          <w:sz w:val="24"/>
          <w:szCs w:val="24"/>
        </w:rPr>
        <w:t>f interest can be found in A</w:t>
      </w:r>
      <w:r w:rsidR="00DF2022" w:rsidRPr="00F07DEB">
        <w:rPr>
          <w:rFonts w:ascii="Times New Roman" w:hAnsi="Times New Roman" w:cs="Times New Roman"/>
          <w:sz w:val="24"/>
          <w:szCs w:val="24"/>
        </w:rPr>
        <w:t>ppendix</w:t>
      </w:r>
      <w:r w:rsidR="009C74A3">
        <w:rPr>
          <w:rFonts w:ascii="Times New Roman" w:hAnsi="Times New Roman" w:cs="Times New Roman"/>
          <w:sz w:val="24"/>
          <w:szCs w:val="24"/>
        </w:rPr>
        <w:t xml:space="preserve"> D</w:t>
      </w:r>
      <w:r w:rsidR="00DF2022" w:rsidRPr="00F07DEB">
        <w:rPr>
          <w:rFonts w:ascii="Times New Roman" w:hAnsi="Times New Roman" w:cs="Times New Roman"/>
          <w:sz w:val="24"/>
          <w:szCs w:val="24"/>
        </w:rPr>
        <w:t xml:space="preserve">. </w:t>
      </w:r>
    </w:p>
    <w:p w14:paraId="56A2478C" w14:textId="1B70F086" w:rsidR="003145D1" w:rsidRPr="00F07DEB" w:rsidRDefault="003145D1" w:rsidP="00437290">
      <w:pPr>
        <w:tabs>
          <w:tab w:val="left" w:pos="7874"/>
        </w:tabs>
        <w:spacing w:line="480" w:lineRule="auto"/>
        <w:ind w:firstLine="720"/>
        <w:jc w:val="center"/>
        <w:rPr>
          <w:rFonts w:ascii="Times New Roman" w:hAnsi="Times New Roman" w:cs="Times New Roman"/>
        </w:rPr>
      </w:pPr>
      <w:r w:rsidRPr="00F07DEB">
        <w:rPr>
          <w:rFonts w:ascii="Times New Roman" w:hAnsi="Times New Roman" w:cs="Times New Roman"/>
          <w:noProof/>
          <w:sz w:val="24"/>
          <w:szCs w:val="24"/>
          <w:lang w:eastAsia="en-US"/>
        </w:rPr>
        <w:lastRenderedPageBreak/>
        <w:drawing>
          <wp:inline distT="0" distB="0" distL="0" distR="0" wp14:anchorId="77F355C3" wp14:editId="0ED13961">
            <wp:extent cx="4085590" cy="4116070"/>
            <wp:effectExtent l="0" t="0" r="0" b="0"/>
            <wp:docPr id="39" name="Picture 39" descr="C:\Users\harper3663\Documents\School\_CREW\Irrigation Project\R\Plots\Soil Rainclouds\soilC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harper3663\Documents\School\_CREW\Irrigation Project\R\Plots\Soil Rainclouds\soilCd1.png"/>
                    <pic:cNvPicPr>
                      <a:picLocks noChangeAspect="1" noChangeArrowheads="1"/>
                    </pic:cNvPicPr>
                  </pic:nvPicPr>
                  <pic:blipFill rotWithShape="1">
                    <a:blip r:embed="rId54">
                      <a:extLst>
                        <a:ext uri="{28A0092B-C50C-407E-A947-70E740481C1C}">
                          <a14:useLocalDpi xmlns:a14="http://schemas.microsoft.com/office/drawing/2010/main" val="0"/>
                        </a:ext>
                      </a:extLst>
                    </a:blip>
                    <a:srcRect t="5675"/>
                    <a:stretch/>
                  </pic:blipFill>
                  <pic:spPr bwMode="auto">
                    <a:xfrm>
                      <a:off x="0" y="0"/>
                      <a:ext cx="4085590" cy="4116070"/>
                    </a:xfrm>
                    <a:prstGeom prst="rect">
                      <a:avLst/>
                    </a:prstGeom>
                    <a:noFill/>
                    <a:ln>
                      <a:noFill/>
                    </a:ln>
                    <a:extLst>
                      <a:ext uri="{53640926-AAD7-44D8-BBD7-CCE9431645EC}">
                        <a14:shadowObscured xmlns:a14="http://schemas.microsoft.com/office/drawing/2010/main"/>
                      </a:ext>
                    </a:extLst>
                  </pic:spPr>
                </pic:pic>
              </a:graphicData>
            </a:graphic>
          </wp:inline>
        </w:drawing>
      </w:r>
    </w:p>
    <w:p w14:paraId="7C0DCAB5" w14:textId="6A1A4006" w:rsidR="008701DF" w:rsidRDefault="003145D1" w:rsidP="00204C13">
      <w:pPr>
        <w:pStyle w:val="Caption"/>
      </w:pPr>
      <w:bookmarkStart w:id="161" w:name="_Ref56284711"/>
      <w:bookmarkStart w:id="162" w:name="_Toc58975250"/>
      <w:r w:rsidRPr="00F07DEB">
        <w:t xml:space="preserve">Figure </w:t>
      </w:r>
      <w:r w:rsidR="00DE3B90" w:rsidRPr="00F07DEB">
        <w:rPr>
          <w:noProof/>
        </w:rPr>
        <w:fldChar w:fldCharType="begin"/>
      </w:r>
      <w:r w:rsidR="00DE3B90" w:rsidRPr="00F07DEB">
        <w:rPr>
          <w:noProof/>
        </w:rPr>
        <w:instrText xml:space="preserve"> SEQ Figure \* ARABIC </w:instrText>
      </w:r>
      <w:r w:rsidR="00DE3B90" w:rsidRPr="00F07DEB">
        <w:rPr>
          <w:noProof/>
        </w:rPr>
        <w:fldChar w:fldCharType="separate"/>
      </w:r>
      <w:r w:rsidR="00E179CA">
        <w:rPr>
          <w:noProof/>
        </w:rPr>
        <w:t>40</w:t>
      </w:r>
      <w:r w:rsidR="00DE3B90" w:rsidRPr="00F07DEB">
        <w:rPr>
          <w:noProof/>
        </w:rPr>
        <w:fldChar w:fldCharType="end"/>
      </w:r>
      <w:bookmarkEnd w:id="161"/>
      <w:r w:rsidRPr="00F07DEB">
        <w:t xml:space="preserve">: </w:t>
      </w:r>
      <w:r w:rsidR="00D70781" w:rsidRPr="00F07DEB">
        <w:t>C</w:t>
      </w:r>
      <w:r w:rsidRPr="00F07DEB">
        <w:t>hanges in soil Cd concentration</w:t>
      </w:r>
      <w:r w:rsidR="00D70781" w:rsidRPr="00F07DEB">
        <w:t>s</w:t>
      </w:r>
      <w:r w:rsidRPr="00F07DEB">
        <w:t xml:space="preserve"> under groundwater and mine water irrigation</w:t>
      </w:r>
      <w:r w:rsidR="00D70781" w:rsidRPr="00F07DEB">
        <w:t xml:space="preserve"> before and after a single growing season</w:t>
      </w:r>
      <w:r w:rsidR="00FF5DF8">
        <w:t xml:space="preserve">, </w:t>
      </w:r>
      <w:r w:rsidR="00D76F3F">
        <w:t xml:space="preserve">visualized with a </w:t>
      </w:r>
      <w:r w:rsidR="00D76F3F" w:rsidRPr="00D76F3F">
        <w:t>combination of scatter plots, box plots, connected means with standard error bars, and smoothed histograms</w:t>
      </w:r>
      <w:bookmarkEnd w:id="162"/>
    </w:p>
    <w:p w14:paraId="16201954" w14:textId="77777777" w:rsidR="00B3002C" w:rsidRPr="00B3002C" w:rsidRDefault="00B3002C" w:rsidP="00B3002C"/>
    <w:p w14:paraId="20163186" w14:textId="6908FC34" w:rsidR="00D70781" w:rsidRPr="00F07DEB" w:rsidRDefault="0088285B" w:rsidP="00DF2022">
      <w:pPr>
        <w:spacing w:line="480" w:lineRule="auto"/>
        <w:rPr>
          <w:rFonts w:ascii="Times New Roman" w:hAnsi="Times New Roman" w:cs="Times New Roman"/>
          <w:sz w:val="24"/>
          <w:szCs w:val="24"/>
        </w:rPr>
      </w:pPr>
      <w:r w:rsidRPr="00F07DEB">
        <w:rPr>
          <w:rFonts w:ascii="Times New Roman" w:hAnsi="Times New Roman" w:cs="Times New Roman"/>
          <w:sz w:val="24"/>
          <w:szCs w:val="24"/>
        </w:rPr>
        <w:tab/>
        <w:t xml:space="preserve">Substrate metal concentration increases likely reflect organic matter sorption and accumulation of chemicals from fertilizer and irrigation waters, whereas decreases are indicative of </w:t>
      </w:r>
      <w:proofErr w:type="spellStart"/>
      <w:r w:rsidRPr="00F07DEB">
        <w:rPr>
          <w:rFonts w:ascii="Times New Roman" w:hAnsi="Times New Roman" w:cs="Times New Roman"/>
          <w:sz w:val="24"/>
          <w:szCs w:val="24"/>
        </w:rPr>
        <w:t>phytoaccumulation</w:t>
      </w:r>
      <w:proofErr w:type="spellEnd"/>
      <w:r w:rsidRPr="00F07DEB">
        <w:rPr>
          <w:rFonts w:ascii="Times New Roman" w:hAnsi="Times New Roman" w:cs="Times New Roman"/>
          <w:sz w:val="24"/>
          <w:szCs w:val="24"/>
        </w:rPr>
        <w:t xml:space="preserve"> or leaching. Extrapolating from well-draining soilless potting mix performance to predict irrigation-driven metal accumulation in soil with clay, silt, and sand fractions and less organic matter </w:t>
      </w:r>
      <w:r w:rsidR="00B06A58">
        <w:rPr>
          <w:rFonts w:ascii="Times New Roman" w:hAnsi="Times New Roman" w:cs="Times New Roman"/>
          <w:sz w:val="24"/>
          <w:szCs w:val="24"/>
        </w:rPr>
        <w:t>is</w:t>
      </w:r>
      <w:r w:rsidRPr="00F07DEB">
        <w:rPr>
          <w:rFonts w:ascii="Times New Roman" w:hAnsi="Times New Roman" w:cs="Times New Roman"/>
          <w:sz w:val="24"/>
          <w:szCs w:val="24"/>
        </w:rPr>
        <w:t xml:space="preserve"> ill-advised. </w:t>
      </w:r>
      <w:r w:rsidR="00AA5AF7" w:rsidRPr="00F07DEB">
        <w:rPr>
          <w:rFonts w:ascii="Times New Roman" w:hAnsi="Times New Roman" w:cs="Times New Roman"/>
          <w:sz w:val="24"/>
          <w:szCs w:val="24"/>
        </w:rPr>
        <w:t xml:space="preserve">For example, potting mix has been explored as a filter media to treat </w:t>
      </w:r>
      <w:r w:rsidR="00B06A58">
        <w:rPr>
          <w:rFonts w:ascii="Times New Roman" w:hAnsi="Times New Roman" w:cs="Times New Roman"/>
          <w:sz w:val="24"/>
          <w:szCs w:val="24"/>
        </w:rPr>
        <w:t>trace</w:t>
      </w:r>
      <w:r w:rsidR="00AA5AF7" w:rsidRPr="00F07DEB">
        <w:rPr>
          <w:rFonts w:ascii="Times New Roman" w:hAnsi="Times New Roman" w:cs="Times New Roman"/>
          <w:sz w:val="24"/>
          <w:szCs w:val="24"/>
        </w:rPr>
        <w:t xml:space="preserve"> metal storm</w:t>
      </w:r>
      <w:r w:rsidR="00B87916" w:rsidRPr="00F07DEB">
        <w:rPr>
          <w:rFonts w:ascii="Times New Roman" w:hAnsi="Times New Roman" w:cs="Times New Roman"/>
          <w:sz w:val="24"/>
          <w:szCs w:val="24"/>
        </w:rPr>
        <w:t xml:space="preserve"> </w:t>
      </w:r>
      <w:r w:rsidR="00AA5AF7" w:rsidRPr="00F07DEB">
        <w:rPr>
          <w:rFonts w:ascii="Times New Roman" w:hAnsi="Times New Roman" w:cs="Times New Roman"/>
          <w:sz w:val="24"/>
          <w:szCs w:val="24"/>
        </w:rPr>
        <w:t xml:space="preserve">water contamination and demonstrated high removal efficiencies of Cu, Cd, </w:t>
      </w:r>
      <w:proofErr w:type="spellStart"/>
      <w:r w:rsidR="00AA5AF7" w:rsidRPr="00F07DEB">
        <w:rPr>
          <w:rFonts w:ascii="Times New Roman" w:hAnsi="Times New Roman" w:cs="Times New Roman"/>
          <w:sz w:val="24"/>
          <w:szCs w:val="24"/>
        </w:rPr>
        <w:t>Pb</w:t>
      </w:r>
      <w:proofErr w:type="spellEnd"/>
      <w:r w:rsidR="00AA5AF7" w:rsidRPr="00F07DEB">
        <w:rPr>
          <w:rFonts w:ascii="Times New Roman" w:hAnsi="Times New Roman" w:cs="Times New Roman"/>
          <w:sz w:val="24"/>
          <w:szCs w:val="24"/>
        </w:rPr>
        <w:t>, and Zn</w:t>
      </w:r>
      <w:r w:rsidR="00B87916" w:rsidRPr="00F07DEB">
        <w:rPr>
          <w:rFonts w:ascii="Times New Roman" w:hAnsi="Times New Roman" w:cs="Times New Roman"/>
          <w:sz w:val="24"/>
          <w:szCs w:val="24"/>
        </w:rPr>
        <w:t xml:space="preserve"> </w:t>
      </w:r>
      <w:r w:rsidR="00B87916" w:rsidRPr="00F07DEB">
        <w:rPr>
          <w:rFonts w:ascii="Times New Roman" w:hAnsi="Times New Roman" w:cs="Times New Roman"/>
          <w:sz w:val="24"/>
          <w:szCs w:val="24"/>
        </w:rPr>
        <w:fldChar w:fldCharType="begin"/>
      </w:r>
      <w:r w:rsidR="006811C1" w:rsidRPr="00F07DEB">
        <w:rPr>
          <w:rFonts w:ascii="Times New Roman" w:hAnsi="Times New Roman" w:cs="Times New Roman"/>
          <w:sz w:val="24"/>
          <w:szCs w:val="24"/>
        </w:rPr>
        <w:instrText xml:space="preserve"> ADDIN ZOTERO_ITEM CSL_CITATION {"citationID":"a1q8d3sbmia","properties":{"formattedCitation":"(Lim et al., 2015)","plainCitation":"(Lim et al., 2015)","noteIndex":0},"citationItems":[{"id":889,"uris":["http://zotero.org/users/5446453/items/WY6L5YVW"],"uri":["http://zotero.org/users/5446453/items/WY6L5YVW"],"itemData":{"id":889,"type":"article-journal","abstract":"The filter media in biofiltration systems play an important role in removing potentially harmful pollutants from urban stormwater runoff. This study compares the heavy metal removal potential (Cu, Zn, Cd, Pb) of five materials (potting soil, compost, coconut coir, sludge and a commercial mix) using laboratory columns. Total/dissolved organic carbon (TOC/DOC) was also analysed because some of the test materials had high carbon content which affects heavy metal uptake/release. Potting soil and the commercial mix offered the best metal uptake when dosed with low (Cu: 44.78 μg/L, Zn: 436.4 μg/L, Cd, 1.82 μg/L, Pb: 51.32 μg/L) and high concentrations of heavy metals (Cu: 241 μg/L, Zn: 1127 μg/L, Cd: 4.57 μg/L, Pb: 90.25 μg/L). Compost and sludge also had high removal efficiencies (&gt;90%). Heavy metal leaching from these materials was negligible. A one-month dry period between dosing experiments did not affect metal removal efficiencies. TOC concentrations from all materials increased after the dry period. Heavy metal removal was not affected by filter media depth (600 mm vs. 300 mm). Heavy metals tended to accumulate at the upper 5 cm of the filter media although potting soil showed bottom-enriched concentrations. We recommend using potting soil as the principal media mixed with compost or sludge since these materials perform well and are readily available. The use of renewable materials commonly found in Singapore supports a sustainable approach to urban water management.","container-title":"Journal of Environmental Management","DOI":"10.1016/j.jenvman.2014.04.042","ISSN":"0301-4797","journalAbbreviation":"Journal of Environmental Management","language":"en","page":"24-33","source":"ScienceDirect","title":"Comparison of filter media materials for heavy metal removal from urban stormwater runoff using biofiltration systems","volume":"147","author":[{"family":"Lim","given":"H. S."},{"family":"Lim","given":"W."},{"family":"Hu","given":"J. Y."},{"family":"Ziegler","given":"A."},{"family":"Ong","given":"S. L."}],"issued":{"date-parts":[["2015",1,1]]}}}],"schema":"https://github.com/citation-style-language/schema/raw/master/csl-citation.json"} </w:instrText>
      </w:r>
      <w:r w:rsidR="00B87916" w:rsidRPr="00F07DEB">
        <w:rPr>
          <w:rFonts w:ascii="Times New Roman" w:hAnsi="Times New Roman" w:cs="Times New Roman"/>
          <w:sz w:val="24"/>
          <w:szCs w:val="24"/>
        </w:rPr>
        <w:fldChar w:fldCharType="separate"/>
      </w:r>
      <w:r w:rsidR="00234033" w:rsidRPr="00234033">
        <w:rPr>
          <w:rFonts w:ascii="Times New Roman" w:hAnsi="Times New Roman" w:cs="Times New Roman"/>
          <w:sz w:val="24"/>
        </w:rPr>
        <w:t>(Lim et al., 2015)</w:t>
      </w:r>
      <w:r w:rsidR="00B87916" w:rsidRPr="00F07DEB">
        <w:rPr>
          <w:rFonts w:ascii="Times New Roman" w:hAnsi="Times New Roman" w:cs="Times New Roman"/>
          <w:sz w:val="24"/>
          <w:szCs w:val="24"/>
        </w:rPr>
        <w:fldChar w:fldCharType="end"/>
      </w:r>
      <w:r w:rsidR="00AA5AF7" w:rsidRPr="00F07DEB">
        <w:rPr>
          <w:rFonts w:ascii="Times New Roman" w:hAnsi="Times New Roman" w:cs="Times New Roman"/>
          <w:sz w:val="24"/>
          <w:szCs w:val="24"/>
        </w:rPr>
        <w:t>.</w:t>
      </w:r>
      <w:r w:rsidR="00B87916" w:rsidRPr="00F07DEB">
        <w:rPr>
          <w:rFonts w:ascii="Times New Roman" w:hAnsi="Times New Roman" w:cs="Times New Roman"/>
          <w:sz w:val="24"/>
          <w:szCs w:val="24"/>
        </w:rPr>
        <w:t xml:space="preserve"> Furthermore, rainfall over the course of the growing season leached unknown quantities of salts from the substrate and out of the pots, </w:t>
      </w:r>
      <w:r w:rsidR="00B87916" w:rsidRPr="00F07DEB">
        <w:rPr>
          <w:rFonts w:ascii="Times New Roman" w:hAnsi="Times New Roman" w:cs="Times New Roman"/>
          <w:sz w:val="24"/>
          <w:szCs w:val="24"/>
        </w:rPr>
        <w:lastRenderedPageBreak/>
        <w:t>whereas during conventional farming those salts would just move slightly deeper into the root zone.</w:t>
      </w:r>
      <w:r w:rsidR="00DF2022" w:rsidRPr="00F07DEB">
        <w:rPr>
          <w:rFonts w:ascii="Times New Roman" w:hAnsi="Times New Roman" w:cs="Times New Roman"/>
          <w:sz w:val="24"/>
          <w:szCs w:val="24"/>
        </w:rPr>
        <w:t xml:space="preserve"> However, what can be safely asserted is that </w:t>
      </w:r>
      <w:r w:rsidR="009F1A3F" w:rsidRPr="00F07DEB">
        <w:rPr>
          <w:rFonts w:ascii="Times New Roman" w:hAnsi="Times New Roman" w:cs="Times New Roman"/>
          <w:sz w:val="24"/>
          <w:szCs w:val="24"/>
        </w:rPr>
        <w:t xml:space="preserve">mine water irrigation under these experimental conditions substantially increased substrate concentrations of Na and S, both of which were absorbed by plant roots but predominantly excluded from the aboveground biomass. Cd concentrations also increased slightly, perhaps due to the propensity of potting mix for heavy metal sorption, and K, </w:t>
      </w:r>
      <w:proofErr w:type="spellStart"/>
      <w:r w:rsidR="009F1A3F" w:rsidRPr="00F07DEB">
        <w:rPr>
          <w:rFonts w:ascii="Times New Roman" w:hAnsi="Times New Roman" w:cs="Times New Roman"/>
          <w:sz w:val="24"/>
          <w:szCs w:val="24"/>
        </w:rPr>
        <w:t>Pb</w:t>
      </w:r>
      <w:proofErr w:type="spellEnd"/>
      <w:r w:rsidR="009F1A3F" w:rsidRPr="00F07DEB">
        <w:rPr>
          <w:rFonts w:ascii="Times New Roman" w:hAnsi="Times New Roman" w:cs="Times New Roman"/>
          <w:sz w:val="24"/>
          <w:szCs w:val="24"/>
        </w:rPr>
        <w:t>, and Zn decreased as a result of plant uptake and leaching.</w:t>
      </w:r>
      <w:r w:rsidR="00355EB3" w:rsidRPr="00F07DEB">
        <w:rPr>
          <w:rFonts w:ascii="Times New Roman" w:hAnsi="Times New Roman" w:cs="Times New Roman"/>
          <w:sz w:val="24"/>
          <w:szCs w:val="24"/>
        </w:rPr>
        <w:t xml:space="preserve"> </w:t>
      </w:r>
      <w:r w:rsidR="009678A2">
        <w:rPr>
          <w:rFonts w:ascii="Times New Roman" w:hAnsi="Times New Roman" w:cs="Times New Roman"/>
          <w:sz w:val="24"/>
          <w:szCs w:val="24"/>
        </w:rPr>
        <w:t>Na</w:t>
      </w:r>
      <w:r w:rsidR="00355EB3" w:rsidRPr="00F07DEB">
        <w:rPr>
          <w:rFonts w:ascii="Times New Roman" w:hAnsi="Times New Roman" w:cs="Times New Roman"/>
          <w:sz w:val="24"/>
          <w:szCs w:val="24"/>
        </w:rPr>
        <w:t xml:space="preserve"> concentrations, while concerning because of the salinity-induced toxicity threat, were significantly increased during groundwater irrigation</w:t>
      </w:r>
      <w:r w:rsidR="00652C56">
        <w:rPr>
          <w:rFonts w:ascii="Times New Roman" w:hAnsi="Times New Roman" w:cs="Times New Roman"/>
          <w:sz w:val="24"/>
          <w:szCs w:val="24"/>
        </w:rPr>
        <w:t xml:space="preserve"> as well (</w:t>
      </w:r>
      <w:r w:rsidR="00652C56" w:rsidRPr="00204C13">
        <w:rPr>
          <w:rFonts w:ascii="Times New Roman" w:hAnsi="Times New Roman" w:cs="Times New Roman"/>
          <w:i/>
          <w:sz w:val="24"/>
          <w:szCs w:val="24"/>
        </w:rPr>
        <w:t>p</w:t>
      </w:r>
      <w:r w:rsidR="00652C56">
        <w:rPr>
          <w:rFonts w:ascii="Times New Roman" w:hAnsi="Times New Roman" w:cs="Times New Roman"/>
          <w:sz w:val="24"/>
          <w:szCs w:val="24"/>
        </w:rPr>
        <w:t xml:space="preserve"> = 0.031)</w:t>
      </w:r>
      <w:r w:rsidR="00355EB3" w:rsidRPr="00F07DEB">
        <w:rPr>
          <w:rFonts w:ascii="Times New Roman" w:hAnsi="Times New Roman" w:cs="Times New Roman"/>
          <w:sz w:val="24"/>
          <w:szCs w:val="24"/>
        </w:rPr>
        <w:t xml:space="preserve">, and are sufficiently balanced </w:t>
      </w:r>
      <w:r w:rsidR="0040402D" w:rsidRPr="00F07DEB">
        <w:rPr>
          <w:rFonts w:ascii="Times New Roman" w:hAnsi="Times New Roman" w:cs="Times New Roman"/>
          <w:sz w:val="24"/>
          <w:szCs w:val="24"/>
        </w:rPr>
        <w:t xml:space="preserve">in treated mine water </w:t>
      </w:r>
      <w:r w:rsidR="00355EB3" w:rsidRPr="00F07DEB">
        <w:rPr>
          <w:rFonts w:ascii="Times New Roman" w:hAnsi="Times New Roman" w:cs="Times New Roman"/>
          <w:sz w:val="24"/>
          <w:szCs w:val="24"/>
        </w:rPr>
        <w:t xml:space="preserve">by </w:t>
      </w:r>
      <w:r w:rsidR="009678A2">
        <w:rPr>
          <w:rFonts w:ascii="Times New Roman" w:hAnsi="Times New Roman" w:cs="Times New Roman"/>
          <w:sz w:val="24"/>
          <w:szCs w:val="24"/>
        </w:rPr>
        <w:t>Ca</w:t>
      </w:r>
      <w:r w:rsidR="00355EB3" w:rsidRPr="00F07DEB">
        <w:rPr>
          <w:rFonts w:ascii="Times New Roman" w:hAnsi="Times New Roman" w:cs="Times New Roman"/>
          <w:sz w:val="24"/>
          <w:szCs w:val="24"/>
        </w:rPr>
        <w:t xml:space="preserve">, </w:t>
      </w:r>
      <w:r w:rsidR="009678A2">
        <w:rPr>
          <w:rFonts w:ascii="Times New Roman" w:hAnsi="Times New Roman" w:cs="Times New Roman"/>
          <w:sz w:val="24"/>
          <w:szCs w:val="24"/>
        </w:rPr>
        <w:t>Mg</w:t>
      </w:r>
      <w:r w:rsidR="00355EB3" w:rsidRPr="00F07DEB">
        <w:rPr>
          <w:rFonts w:ascii="Times New Roman" w:hAnsi="Times New Roman" w:cs="Times New Roman"/>
          <w:sz w:val="24"/>
          <w:szCs w:val="24"/>
        </w:rPr>
        <w:t xml:space="preserve">, and alkalinity to theoretically prevent soil </w:t>
      </w:r>
      <w:proofErr w:type="spellStart"/>
      <w:r w:rsidR="00355EB3" w:rsidRPr="00F07DEB">
        <w:rPr>
          <w:rFonts w:ascii="Times New Roman" w:hAnsi="Times New Roman" w:cs="Times New Roman"/>
          <w:sz w:val="24"/>
          <w:szCs w:val="24"/>
        </w:rPr>
        <w:t>sodification</w:t>
      </w:r>
      <w:proofErr w:type="spellEnd"/>
      <w:r w:rsidR="00355EB3" w:rsidRPr="00F07DEB">
        <w:rPr>
          <w:rFonts w:ascii="Times New Roman" w:hAnsi="Times New Roman" w:cs="Times New Roman"/>
          <w:sz w:val="24"/>
          <w:szCs w:val="24"/>
        </w:rPr>
        <w:t>.</w:t>
      </w:r>
    </w:p>
    <w:p w14:paraId="2CE42F50" w14:textId="514209E6" w:rsidR="009F1A3F" w:rsidRPr="00F07DEB" w:rsidRDefault="00355EB3" w:rsidP="001F4061">
      <w:pPr>
        <w:pStyle w:val="Heading1"/>
        <w:spacing w:line="480" w:lineRule="auto"/>
      </w:pPr>
      <w:bookmarkStart w:id="163" w:name="_Toc58975178"/>
      <w:r w:rsidRPr="00F07DEB">
        <w:t>Conclusions</w:t>
      </w:r>
      <w:bookmarkEnd w:id="163"/>
    </w:p>
    <w:p w14:paraId="7C7CB42A" w14:textId="34E3FB8E" w:rsidR="00FF5DF8" w:rsidRDefault="00FF5DF8" w:rsidP="001F406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livestock study determined that although the volume of mine water treated by MRPTS could satisfy livestock drinking water demands in Ottawa County,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sidRPr="009678A2">
        <w:rPr>
          <w:rFonts w:ascii="Times New Roman" w:hAnsi="Times New Roman" w:cs="Times New Roman"/>
          <w:sz w:val="24"/>
          <w:szCs w:val="24"/>
        </w:rPr>
        <w:t xml:space="preserve"> </w:t>
      </w:r>
      <w:r>
        <w:rPr>
          <w:rFonts w:ascii="Times New Roman" w:hAnsi="Times New Roman" w:cs="Times New Roman"/>
          <w:sz w:val="24"/>
          <w:szCs w:val="24"/>
        </w:rPr>
        <w:t xml:space="preserve">levels in the discharge render the passively-treated mine water unsuitable for cattle consumption – particularly calves and pregnant cows. Unless </w:t>
      </w:r>
      <w:r w:rsidR="00883783">
        <w:rPr>
          <w:rFonts w:ascii="Times New Roman" w:hAnsi="Times New Roman" w:cs="Times New Roman"/>
          <w:sz w:val="24"/>
          <w:szCs w:val="24"/>
        </w:rPr>
        <w:t xml:space="preserve">additional </w:t>
      </w:r>
      <w:r>
        <w:rPr>
          <w:rFonts w:ascii="Times New Roman" w:hAnsi="Times New Roman" w:cs="Times New Roman"/>
          <w:sz w:val="24"/>
          <w:szCs w:val="24"/>
        </w:rPr>
        <w:t xml:space="preserve">treatment for </w:t>
      </w:r>
      <w:r w:rsidR="009678A2" w:rsidRPr="00F651DB">
        <w:rPr>
          <w:rFonts w:ascii="Times New Roman" w:hAnsi="Times New Roman" w:cs="Times New Roman"/>
          <w:sz w:val="24"/>
          <w:szCs w:val="24"/>
        </w:rPr>
        <w:t>SO</w:t>
      </w:r>
      <w:r w:rsidR="009678A2" w:rsidRPr="00F651DB">
        <w:rPr>
          <w:rFonts w:ascii="Times New Roman" w:hAnsi="Times New Roman" w:cs="Times New Roman"/>
          <w:sz w:val="24"/>
          <w:szCs w:val="24"/>
          <w:vertAlign w:val="subscript"/>
        </w:rPr>
        <w:t>4</w:t>
      </w:r>
      <w:r w:rsidR="009678A2" w:rsidRPr="00F651DB">
        <w:rPr>
          <w:rFonts w:ascii="Times New Roman" w:hAnsi="Times New Roman" w:cs="Times New Roman"/>
          <w:sz w:val="24"/>
          <w:szCs w:val="24"/>
          <w:vertAlign w:val="superscript"/>
        </w:rPr>
        <w:t>2-</w:t>
      </w:r>
      <w:r w:rsidR="009678A2" w:rsidRPr="009678A2">
        <w:rPr>
          <w:rFonts w:ascii="Times New Roman" w:hAnsi="Times New Roman" w:cs="Times New Roman"/>
          <w:sz w:val="24"/>
          <w:szCs w:val="24"/>
        </w:rPr>
        <w:t xml:space="preserve"> </w:t>
      </w:r>
      <w:r>
        <w:rPr>
          <w:rFonts w:ascii="Times New Roman" w:hAnsi="Times New Roman" w:cs="Times New Roman"/>
          <w:sz w:val="24"/>
          <w:szCs w:val="24"/>
        </w:rPr>
        <w:t xml:space="preserve">removal was implemented, it is unlikely that ranchers in Ottawa County would consider </w:t>
      </w:r>
      <w:r w:rsidR="00B8700A">
        <w:rPr>
          <w:rFonts w:ascii="Times New Roman" w:hAnsi="Times New Roman" w:cs="Times New Roman"/>
          <w:sz w:val="24"/>
          <w:szCs w:val="24"/>
        </w:rPr>
        <w:t xml:space="preserve">funding the costly and logistically-challenging </w:t>
      </w:r>
      <w:r>
        <w:rPr>
          <w:rFonts w:ascii="Times New Roman" w:hAnsi="Times New Roman" w:cs="Times New Roman"/>
          <w:sz w:val="24"/>
          <w:szCs w:val="24"/>
        </w:rPr>
        <w:t>transpor</w:t>
      </w:r>
      <w:r w:rsidR="00B8700A">
        <w:rPr>
          <w:rFonts w:ascii="Times New Roman" w:hAnsi="Times New Roman" w:cs="Times New Roman"/>
          <w:sz w:val="24"/>
          <w:szCs w:val="24"/>
        </w:rPr>
        <w:t>tation</w:t>
      </w:r>
      <w:r>
        <w:rPr>
          <w:rFonts w:ascii="Times New Roman" w:hAnsi="Times New Roman" w:cs="Times New Roman"/>
          <w:sz w:val="24"/>
          <w:szCs w:val="24"/>
        </w:rPr>
        <w:t xml:space="preserve"> </w:t>
      </w:r>
      <w:r w:rsidR="00B8700A">
        <w:rPr>
          <w:rFonts w:ascii="Times New Roman" w:hAnsi="Times New Roman" w:cs="Times New Roman"/>
          <w:sz w:val="24"/>
          <w:szCs w:val="24"/>
        </w:rPr>
        <w:t xml:space="preserve">of </w:t>
      </w:r>
      <w:r>
        <w:rPr>
          <w:rFonts w:ascii="Times New Roman" w:hAnsi="Times New Roman" w:cs="Times New Roman"/>
          <w:sz w:val="24"/>
          <w:szCs w:val="24"/>
        </w:rPr>
        <w:t>treated mine water from MRPTS to livestock operations when existing water sources presumably meet current demands.</w:t>
      </w:r>
    </w:p>
    <w:p w14:paraId="44D87510" w14:textId="71724DF5" w:rsidR="006811C1" w:rsidRPr="00F07DEB" w:rsidRDefault="007B69A6" w:rsidP="001F406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w:t>
      </w:r>
      <w:r w:rsidR="00B06A58" w:rsidRPr="00F07DEB">
        <w:rPr>
          <w:rFonts w:ascii="Times New Roman" w:hAnsi="Times New Roman" w:cs="Times New Roman"/>
          <w:sz w:val="24"/>
          <w:szCs w:val="24"/>
        </w:rPr>
        <w:t>th</w:t>
      </w:r>
      <w:r w:rsidR="00B06A58">
        <w:rPr>
          <w:rFonts w:ascii="Times New Roman" w:hAnsi="Times New Roman" w:cs="Times New Roman"/>
          <w:sz w:val="24"/>
          <w:szCs w:val="24"/>
        </w:rPr>
        <w:t>e</w:t>
      </w:r>
      <w:r w:rsidR="001F4061" w:rsidRPr="00F07DEB">
        <w:rPr>
          <w:rFonts w:ascii="Times New Roman" w:hAnsi="Times New Roman" w:cs="Times New Roman"/>
          <w:sz w:val="24"/>
          <w:szCs w:val="24"/>
        </w:rPr>
        <w:t xml:space="preserve"> </w:t>
      </w:r>
      <w:r w:rsidR="00FF5DF8">
        <w:rPr>
          <w:rFonts w:ascii="Times New Roman" w:hAnsi="Times New Roman" w:cs="Times New Roman"/>
          <w:sz w:val="24"/>
          <w:szCs w:val="24"/>
        </w:rPr>
        <w:t xml:space="preserve">irrigation </w:t>
      </w:r>
      <w:r w:rsidR="001F4061" w:rsidRPr="00F07DEB">
        <w:rPr>
          <w:rFonts w:ascii="Times New Roman" w:hAnsi="Times New Roman" w:cs="Times New Roman"/>
          <w:sz w:val="24"/>
          <w:szCs w:val="24"/>
        </w:rPr>
        <w:t xml:space="preserve">study, corn, sorghum, and Bermuda grass were irrigated from seed with either treated net-alkaline mine water or groundwater from </w:t>
      </w:r>
      <w:r w:rsidR="00B8700A">
        <w:rPr>
          <w:rFonts w:ascii="Times New Roman" w:hAnsi="Times New Roman" w:cs="Times New Roman"/>
          <w:sz w:val="24"/>
          <w:szCs w:val="24"/>
        </w:rPr>
        <w:t>Canadian River alluvium</w:t>
      </w:r>
      <w:r w:rsidR="001F4061" w:rsidRPr="00F07DEB">
        <w:rPr>
          <w:rFonts w:ascii="Times New Roman" w:hAnsi="Times New Roman" w:cs="Times New Roman"/>
          <w:sz w:val="24"/>
          <w:szCs w:val="24"/>
        </w:rPr>
        <w:t xml:space="preserve">. The primary goal was to examine crops grown with mine water and make a recommendation as to whether mine water could be beneficially reused for crop irrigation. This recommendation was informed </w:t>
      </w:r>
      <w:r w:rsidR="009C74A3">
        <w:rPr>
          <w:rFonts w:ascii="Times New Roman" w:hAnsi="Times New Roman" w:cs="Times New Roman"/>
          <w:sz w:val="24"/>
          <w:szCs w:val="24"/>
        </w:rPr>
        <w:t>by</w:t>
      </w:r>
      <w:r w:rsidR="009C74A3" w:rsidRPr="00F07DEB">
        <w:rPr>
          <w:rFonts w:ascii="Times New Roman" w:hAnsi="Times New Roman" w:cs="Times New Roman"/>
          <w:sz w:val="24"/>
          <w:szCs w:val="24"/>
        </w:rPr>
        <w:t xml:space="preserve"> </w:t>
      </w:r>
      <w:r w:rsidR="001F4061" w:rsidRPr="00F07DEB">
        <w:rPr>
          <w:rFonts w:ascii="Times New Roman" w:hAnsi="Times New Roman" w:cs="Times New Roman"/>
          <w:sz w:val="24"/>
          <w:szCs w:val="24"/>
        </w:rPr>
        <w:t xml:space="preserve">comparisons of mine water- and groundwater-irrigated plants in a variety of </w:t>
      </w:r>
      <w:r w:rsidR="001F4061" w:rsidRPr="00F07DEB">
        <w:rPr>
          <w:rFonts w:ascii="Times New Roman" w:hAnsi="Times New Roman" w:cs="Times New Roman"/>
          <w:sz w:val="24"/>
          <w:szCs w:val="24"/>
        </w:rPr>
        <w:lastRenderedPageBreak/>
        <w:t>predominantly quantitative metrics: plant emergence, growth, biomass generation, metals concentrations, and associated substrate quality.</w:t>
      </w:r>
      <w:r w:rsidR="00865D2E" w:rsidRPr="00F07DEB">
        <w:rPr>
          <w:rFonts w:ascii="Times New Roman" w:hAnsi="Times New Roman" w:cs="Times New Roman"/>
          <w:sz w:val="24"/>
          <w:szCs w:val="24"/>
        </w:rPr>
        <w:t xml:space="preserve"> A recommendation based on such comparisons presumes that this groundwater source was suitable for irrigation; efforts to contrast the groundwater against irrigation criteria in the literature identified </w:t>
      </w:r>
      <w:r w:rsidR="00AC64E5" w:rsidRPr="00F07DEB">
        <w:rPr>
          <w:rFonts w:ascii="Times New Roman" w:hAnsi="Times New Roman" w:cs="Times New Roman"/>
          <w:sz w:val="24"/>
          <w:szCs w:val="24"/>
        </w:rPr>
        <w:t>high</w:t>
      </w:r>
      <w:r w:rsidR="00865D2E" w:rsidRPr="00F07DEB">
        <w:rPr>
          <w:rFonts w:ascii="Times New Roman" w:hAnsi="Times New Roman" w:cs="Times New Roman"/>
          <w:sz w:val="24"/>
          <w:szCs w:val="24"/>
        </w:rPr>
        <w:t xml:space="preserve"> alkalinity as a potential concern to be monitored,</w:t>
      </w:r>
      <w:r w:rsidR="00162496">
        <w:rPr>
          <w:rFonts w:ascii="Times New Roman" w:hAnsi="Times New Roman" w:cs="Times New Roman"/>
          <w:sz w:val="24"/>
          <w:szCs w:val="24"/>
        </w:rPr>
        <w:t xml:space="preserve"> but were otherwise encouraging.</w:t>
      </w:r>
      <w:r w:rsidR="00865D2E" w:rsidRPr="00F07DEB">
        <w:rPr>
          <w:rFonts w:ascii="Times New Roman" w:hAnsi="Times New Roman" w:cs="Times New Roman"/>
          <w:sz w:val="24"/>
          <w:szCs w:val="24"/>
        </w:rPr>
        <w:t xml:space="preserve"> Conversely, the treated mine water contained elevated concentrations of Ca, Mg, Na, S, </w:t>
      </w:r>
      <w:r w:rsidR="00AC64E5" w:rsidRPr="00F07DEB">
        <w:rPr>
          <w:rFonts w:ascii="Times New Roman" w:hAnsi="Times New Roman" w:cs="Times New Roman"/>
          <w:sz w:val="24"/>
          <w:szCs w:val="24"/>
        </w:rPr>
        <w:t xml:space="preserve">and alkalinity; trace metals like Cd, Fe, </w:t>
      </w:r>
      <w:proofErr w:type="spellStart"/>
      <w:r w:rsidR="00AC64E5" w:rsidRPr="00F07DEB">
        <w:rPr>
          <w:rFonts w:ascii="Times New Roman" w:hAnsi="Times New Roman" w:cs="Times New Roman"/>
          <w:sz w:val="24"/>
          <w:szCs w:val="24"/>
        </w:rPr>
        <w:t>Pb</w:t>
      </w:r>
      <w:proofErr w:type="spellEnd"/>
      <w:r w:rsidR="00AC64E5" w:rsidRPr="00F07DEB">
        <w:rPr>
          <w:rFonts w:ascii="Times New Roman" w:hAnsi="Times New Roman" w:cs="Times New Roman"/>
          <w:sz w:val="24"/>
          <w:szCs w:val="24"/>
        </w:rPr>
        <w:t xml:space="preserve">, and Zn were present at </w:t>
      </w:r>
      <w:proofErr w:type="spellStart"/>
      <w:r w:rsidR="00AC64E5" w:rsidRPr="00F07DEB">
        <w:rPr>
          <w:rFonts w:ascii="Times New Roman" w:hAnsi="Times New Roman" w:cs="Times New Roman"/>
          <w:sz w:val="24"/>
          <w:szCs w:val="24"/>
        </w:rPr>
        <w:t>ecotoxic</w:t>
      </w:r>
      <w:proofErr w:type="spellEnd"/>
      <w:r w:rsidR="00AC64E5" w:rsidRPr="00F07DEB">
        <w:rPr>
          <w:rFonts w:ascii="Times New Roman" w:hAnsi="Times New Roman" w:cs="Times New Roman"/>
          <w:sz w:val="24"/>
          <w:szCs w:val="24"/>
        </w:rPr>
        <w:t xml:space="preserve"> levels in the mine water prior to passive treatment, but were so thoroughly sequestered and removed that they </w:t>
      </w:r>
      <w:r w:rsidR="001E5546" w:rsidRPr="00F07DEB">
        <w:rPr>
          <w:rFonts w:ascii="Times New Roman" w:hAnsi="Times New Roman" w:cs="Times New Roman"/>
          <w:sz w:val="24"/>
          <w:szCs w:val="24"/>
        </w:rPr>
        <w:t>were</w:t>
      </w:r>
      <w:r w:rsidR="00AC64E5" w:rsidRPr="00F07DEB">
        <w:rPr>
          <w:rFonts w:ascii="Times New Roman" w:hAnsi="Times New Roman" w:cs="Times New Roman"/>
          <w:sz w:val="24"/>
          <w:szCs w:val="24"/>
        </w:rPr>
        <w:t xml:space="preserve"> no longer primary irrigation concerns. </w:t>
      </w:r>
    </w:p>
    <w:p w14:paraId="7708DA94" w14:textId="01900F91" w:rsidR="006811C1" w:rsidRPr="00F07DEB" w:rsidRDefault="00AC64E5" w:rsidP="005B0E8A">
      <w:pPr>
        <w:spacing w:line="480" w:lineRule="auto"/>
        <w:rPr>
          <w:rFonts w:ascii="Times New Roman" w:hAnsi="Times New Roman" w:cs="Times New Roman"/>
          <w:sz w:val="24"/>
          <w:szCs w:val="24"/>
        </w:rPr>
      </w:pPr>
      <w:r w:rsidRPr="00F07DEB">
        <w:rPr>
          <w:rFonts w:ascii="Times New Roman" w:hAnsi="Times New Roman" w:cs="Times New Roman"/>
          <w:sz w:val="24"/>
          <w:szCs w:val="24"/>
        </w:rPr>
        <w:tab/>
      </w:r>
      <w:r w:rsidR="00A00E25" w:rsidRPr="00F07DEB">
        <w:rPr>
          <w:rFonts w:ascii="Times New Roman" w:hAnsi="Times New Roman" w:cs="Times New Roman"/>
          <w:sz w:val="24"/>
          <w:szCs w:val="24"/>
        </w:rPr>
        <w:t xml:space="preserve">Mine water irrigation did not have a significant effect on seedling emergence, plant growth, or biomass production for corn or Bermuda grass. </w:t>
      </w:r>
      <w:r w:rsidR="005B0E8A" w:rsidRPr="00F07DEB">
        <w:rPr>
          <w:rFonts w:ascii="Times New Roman" w:hAnsi="Times New Roman" w:cs="Times New Roman"/>
          <w:sz w:val="24"/>
          <w:szCs w:val="24"/>
        </w:rPr>
        <w:t>Sorghum exhibited a temporary reduction in growth and a decrease in biomass production under mine water irrigation. On these grounds, the hypothesis that s</w:t>
      </w:r>
      <w:r w:rsidR="006811C1" w:rsidRPr="00F07DEB">
        <w:rPr>
          <w:rFonts w:ascii="Times New Roman" w:hAnsi="Times New Roman" w:cs="Times New Roman"/>
          <w:sz w:val="24"/>
          <w:szCs w:val="24"/>
        </w:rPr>
        <w:t>elect crops irrigated with treated mine drainage will not exhibit significant reductions in biomass production when compared to crops irrigated with groundwater</w:t>
      </w:r>
      <w:r w:rsidR="005B0E8A" w:rsidRPr="00F07DEB">
        <w:rPr>
          <w:rFonts w:ascii="Times New Roman" w:hAnsi="Times New Roman" w:cs="Times New Roman"/>
          <w:sz w:val="24"/>
          <w:szCs w:val="24"/>
        </w:rPr>
        <w:t xml:space="preserve"> is accepted for corn and Bermuda grass but rejected for sorghum.</w:t>
      </w:r>
    </w:p>
    <w:p w14:paraId="7C9BBC90" w14:textId="3F1E2105" w:rsidR="00DD4820" w:rsidRPr="00F07DEB" w:rsidRDefault="005B0E8A" w:rsidP="00DD4820">
      <w:pPr>
        <w:spacing w:line="480" w:lineRule="auto"/>
        <w:rPr>
          <w:rFonts w:ascii="Times New Roman" w:hAnsi="Times New Roman" w:cs="Times New Roman"/>
          <w:sz w:val="24"/>
          <w:szCs w:val="24"/>
        </w:rPr>
      </w:pPr>
      <w:r w:rsidRPr="00F07DEB">
        <w:rPr>
          <w:rFonts w:ascii="Times New Roman" w:hAnsi="Times New Roman" w:cs="Times New Roman"/>
          <w:sz w:val="24"/>
          <w:szCs w:val="24"/>
        </w:rPr>
        <w:tab/>
      </w:r>
      <w:r w:rsidR="00E711CD" w:rsidRPr="00F07DEB">
        <w:rPr>
          <w:rFonts w:ascii="Times New Roman" w:hAnsi="Times New Roman" w:cs="Times New Roman"/>
          <w:sz w:val="24"/>
          <w:szCs w:val="24"/>
        </w:rPr>
        <w:t xml:space="preserve">The crops were exposed to metals in irrigation waters, fertilizer, and potting soil, and irrigation was the smallest vector for many of the metal species. </w:t>
      </w:r>
      <w:r w:rsidR="00E711CD" w:rsidRPr="00F07DEB">
        <w:rPr>
          <w:rFonts w:ascii="Times New Roman" w:eastAsia="Times New Roman" w:hAnsi="Times New Roman" w:cs="Times New Roman"/>
          <w:color w:val="000000"/>
          <w:sz w:val="24"/>
          <w:szCs w:val="24"/>
          <w:lang w:eastAsia="en-US"/>
        </w:rPr>
        <w:t xml:space="preserve">Mine water irrigation did not significantly increase concentrations of Fe, </w:t>
      </w:r>
      <w:proofErr w:type="spellStart"/>
      <w:r w:rsidR="00E711CD" w:rsidRPr="00F07DEB">
        <w:rPr>
          <w:rFonts w:ascii="Times New Roman" w:eastAsia="Times New Roman" w:hAnsi="Times New Roman" w:cs="Times New Roman"/>
          <w:color w:val="000000"/>
          <w:sz w:val="24"/>
          <w:szCs w:val="24"/>
          <w:lang w:eastAsia="en-US"/>
        </w:rPr>
        <w:t>Mn</w:t>
      </w:r>
      <w:proofErr w:type="spellEnd"/>
      <w:r w:rsidR="00E711CD" w:rsidRPr="00F07DEB">
        <w:rPr>
          <w:rFonts w:ascii="Times New Roman" w:eastAsia="Times New Roman" w:hAnsi="Times New Roman" w:cs="Times New Roman"/>
          <w:color w:val="000000"/>
          <w:sz w:val="24"/>
          <w:szCs w:val="24"/>
          <w:lang w:eastAsia="en-US"/>
        </w:rPr>
        <w:t xml:space="preserve">, Zn, K, Ni, or </w:t>
      </w:r>
      <w:proofErr w:type="spellStart"/>
      <w:r w:rsidR="00E711CD" w:rsidRPr="00F07DEB">
        <w:rPr>
          <w:rFonts w:ascii="Times New Roman" w:eastAsia="Times New Roman" w:hAnsi="Times New Roman" w:cs="Times New Roman"/>
          <w:color w:val="000000"/>
          <w:sz w:val="24"/>
          <w:szCs w:val="24"/>
          <w:lang w:eastAsia="en-US"/>
        </w:rPr>
        <w:t>Pb</w:t>
      </w:r>
      <w:proofErr w:type="spellEnd"/>
      <w:r w:rsidR="00E711CD" w:rsidRPr="00F07DEB">
        <w:rPr>
          <w:rFonts w:ascii="Times New Roman" w:eastAsia="Times New Roman" w:hAnsi="Times New Roman" w:cs="Times New Roman"/>
          <w:color w:val="000000"/>
          <w:sz w:val="24"/>
          <w:szCs w:val="24"/>
          <w:lang w:eastAsia="en-US"/>
        </w:rPr>
        <w:t xml:space="preserve"> in any of the three species</w:t>
      </w:r>
      <w:r w:rsidR="00E711CD" w:rsidRPr="00F07DEB">
        <w:rPr>
          <w:rFonts w:ascii="Times New Roman" w:hAnsi="Times New Roman" w:cs="Times New Roman"/>
          <w:sz w:val="24"/>
          <w:szCs w:val="24"/>
        </w:rPr>
        <w:t>.</w:t>
      </w:r>
      <w:r w:rsidR="00DD4820" w:rsidRPr="00F07DEB">
        <w:rPr>
          <w:rFonts w:ascii="Times New Roman" w:hAnsi="Times New Roman" w:cs="Times New Roman"/>
          <w:sz w:val="24"/>
          <w:szCs w:val="24"/>
        </w:rPr>
        <w:t xml:space="preserve"> Mine water irrigation had mixed effects on Ca concentrations, and </w:t>
      </w:r>
      <w:r w:rsidR="00B06A58">
        <w:rPr>
          <w:rFonts w:ascii="Times New Roman" w:hAnsi="Times New Roman" w:cs="Times New Roman"/>
          <w:sz w:val="24"/>
          <w:szCs w:val="24"/>
        </w:rPr>
        <w:t xml:space="preserve">resulted in </w:t>
      </w:r>
      <w:r w:rsidR="00DD4820" w:rsidRPr="00F07DEB">
        <w:rPr>
          <w:rFonts w:ascii="Times New Roman" w:hAnsi="Times New Roman" w:cs="Times New Roman"/>
          <w:sz w:val="24"/>
          <w:szCs w:val="24"/>
        </w:rPr>
        <w:t xml:space="preserve">increased concentrations of Cd in roots and Mg in belowground and aboveground biomass of some structures. Na and S concentrations were elevated in </w:t>
      </w:r>
      <w:r w:rsidR="00480612" w:rsidRPr="00F07DEB">
        <w:rPr>
          <w:rFonts w:ascii="Times New Roman" w:hAnsi="Times New Roman" w:cs="Times New Roman"/>
          <w:sz w:val="24"/>
          <w:szCs w:val="24"/>
        </w:rPr>
        <w:t>some</w:t>
      </w:r>
      <w:r w:rsidR="00DD4820" w:rsidRPr="00F07DEB">
        <w:rPr>
          <w:rFonts w:ascii="Times New Roman" w:hAnsi="Times New Roman" w:cs="Times New Roman"/>
          <w:sz w:val="24"/>
          <w:szCs w:val="24"/>
        </w:rPr>
        <w:t xml:space="preserve"> corn and sorghum root structures and in all Bermuda biomass</w:t>
      </w:r>
      <w:r w:rsidR="003D3211">
        <w:rPr>
          <w:rFonts w:ascii="Times New Roman" w:hAnsi="Times New Roman" w:cs="Times New Roman"/>
          <w:sz w:val="24"/>
          <w:szCs w:val="24"/>
        </w:rPr>
        <w:t xml:space="preserve"> as a result of mine water irrigation</w:t>
      </w:r>
      <w:r w:rsidR="00DD4820" w:rsidRPr="00F07DEB">
        <w:rPr>
          <w:rFonts w:ascii="Times New Roman" w:hAnsi="Times New Roman" w:cs="Times New Roman"/>
          <w:sz w:val="24"/>
          <w:szCs w:val="24"/>
        </w:rPr>
        <w:t xml:space="preserve">. As such, the hypothesis that select crops irrigated with treated mine drainage will experience elevated recoverable metals </w:t>
      </w:r>
      <w:r w:rsidR="00DD4820" w:rsidRPr="00F07DEB">
        <w:rPr>
          <w:rFonts w:ascii="Times New Roman" w:hAnsi="Times New Roman" w:cs="Times New Roman"/>
          <w:sz w:val="24"/>
          <w:szCs w:val="24"/>
        </w:rPr>
        <w:lastRenderedPageBreak/>
        <w:t xml:space="preserve">concentrations in above- </w:t>
      </w:r>
      <w:r w:rsidR="00AB6A8B">
        <w:rPr>
          <w:rFonts w:ascii="Times New Roman" w:hAnsi="Times New Roman" w:cs="Times New Roman"/>
          <w:sz w:val="24"/>
          <w:szCs w:val="24"/>
        </w:rPr>
        <w:t>or</w:t>
      </w:r>
      <w:r w:rsidR="00DD4820" w:rsidRPr="00F07DEB">
        <w:rPr>
          <w:rFonts w:ascii="Times New Roman" w:hAnsi="Times New Roman" w:cs="Times New Roman"/>
          <w:sz w:val="24"/>
          <w:szCs w:val="24"/>
        </w:rPr>
        <w:t xml:space="preserve"> belowground biomass compared to crops irrigated with groundwater is </w:t>
      </w:r>
      <w:r w:rsidR="00480612" w:rsidRPr="00F07DEB">
        <w:rPr>
          <w:rFonts w:ascii="Times New Roman" w:hAnsi="Times New Roman" w:cs="Times New Roman"/>
          <w:sz w:val="24"/>
          <w:szCs w:val="24"/>
        </w:rPr>
        <w:t>rejected for</w:t>
      </w:r>
      <w:r w:rsidR="00480612" w:rsidRPr="00F07DEB">
        <w:rPr>
          <w:rFonts w:ascii="Times New Roman" w:eastAsia="Times New Roman" w:hAnsi="Times New Roman" w:cs="Times New Roman"/>
          <w:color w:val="000000"/>
          <w:sz w:val="24"/>
          <w:szCs w:val="24"/>
          <w:lang w:eastAsia="en-US"/>
        </w:rPr>
        <w:t xml:space="preserve"> Fe, </w:t>
      </w:r>
      <w:proofErr w:type="spellStart"/>
      <w:r w:rsidR="00480612" w:rsidRPr="00F07DEB">
        <w:rPr>
          <w:rFonts w:ascii="Times New Roman" w:eastAsia="Times New Roman" w:hAnsi="Times New Roman" w:cs="Times New Roman"/>
          <w:color w:val="000000"/>
          <w:sz w:val="24"/>
          <w:szCs w:val="24"/>
          <w:lang w:eastAsia="en-US"/>
        </w:rPr>
        <w:t>Mn</w:t>
      </w:r>
      <w:proofErr w:type="spellEnd"/>
      <w:r w:rsidR="00480612" w:rsidRPr="00F07DEB">
        <w:rPr>
          <w:rFonts w:ascii="Times New Roman" w:eastAsia="Times New Roman" w:hAnsi="Times New Roman" w:cs="Times New Roman"/>
          <w:color w:val="000000"/>
          <w:sz w:val="24"/>
          <w:szCs w:val="24"/>
          <w:lang w:eastAsia="en-US"/>
        </w:rPr>
        <w:t xml:space="preserve">, Zn, K, Ni, and </w:t>
      </w:r>
      <w:proofErr w:type="spellStart"/>
      <w:r w:rsidR="00480612" w:rsidRPr="00F07DEB">
        <w:rPr>
          <w:rFonts w:ascii="Times New Roman" w:eastAsia="Times New Roman" w:hAnsi="Times New Roman" w:cs="Times New Roman"/>
          <w:color w:val="000000"/>
          <w:sz w:val="24"/>
          <w:szCs w:val="24"/>
          <w:lang w:eastAsia="en-US"/>
        </w:rPr>
        <w:t>Pb</w:t>
      </w:r>
      <w:proofErr w:type="spellEnd"/>
      <w:r w:rsidR="00480612" w:rsidRPr="00F07DEB">
        <w:rPr>
          <w:rFonts w:ascii="Times New Roman" w:hAnsi="Times New Roman" w:cs="Times New Roman"/>
          <w:sz w:val="24"/>
          <w:szCs w:val="24"/>
        </w:rPr>
        <w:t xml:space="preserve"> and </w:t>
      </w:r>
      <w:r w:rsidR="00DD4820" w:rsidRPr="00F07DEB">
        <w:rPr>
          <w:rFonts w:ascii="Times New Roman" w:hAnsi="Times New Roman" w:cs="Times New Roman"/>
          <w:sz w:val="24"/>
          <w:szCs w:val="24"/>
        </w:rPr>
        <w:t xml:space="preserve">accepted for Ca, Cd, Mg, Na, and S. </w:t>
      </w:r>
    </w:p>
    <w:p w14:paraId="62C08644" w14:textId="01E58E31" w:rsidR="0088285B" w:rsidRPr="00F07DEB" w:rsidRDefault="00DD4820" w:rsidP="00480612">
      <w:pPr>
        <w:spacing w:line="480" w:lineRule="auto"/>
        <w:rPr>
          <w:rFonts w:ascii="Times New Roman" w:hAnsi="Times New Roman" w:cs="Times New Roman"/>
          <w:sz w:val="24"/>
          <w:szCs w:val="24"/>
        </w:rPr>
      </w:pPr>
      <w:r w:rsidRPr="00F07DEB">
        <w:rPr>
          <w:rFonts w:ascii="Times New Roman" w:hAnsi="Times New Roman" w:cs="Times New Roman"/>
          <w:sz w:val="24"/>
          <w:szCs w:val="24"/>
        </w:rPr>
        <w:tab/>
      </w:r>
      <w:r w:rsidR="00480612" w:rsidRPr="00F07DEB">
        <w:rPr>
          <w:rFonts w:ascii="Times New Roman" w:hAnsi="Times New Roman" w:cs="Times New Roman"/>
          <w:sz w:val="24"/>
          <w:szCs w:val="24"/>
        </w:rPr>
        <w:t>Mine water-irrigated s</w:t>
      </w:r>
      <w:r w:rsidRPr="00F07DEB">
        <w:rPr>
          <w:rFonts w:ascii="Times New Roman" w:hAnsi="Times New Roman" w:cs="Times New Roman"/>
          <w:sz w:val="24"/>
          <w:szCs w:val="24"/>
        </w:rPr>
        <w:t xml:space="preserve">ubstrate accumulated concentrations of Cd, Na, and S while concentrations of K, </w:t>
      </w:r>
      <w:proofErr w:type="spellStart"/>
      <w:r w:rsidRPr="00F07DEB">
        <w:rPr>
          <w:rFonts w:ascii="Times New Roman" w:hAnsi="Times New Roman" w:cs="Times New Roman"/>
          <w:sz w:val="24"/>
          <w:szCs w:val="24"/>
        </w:rPr>
        <w:t>Pb</w:t>
      </w:r>
      <w:proofErr w:type="spellEnd"/>
      <w:r w:rsidRPr="00F07DEB">
        <w:rPr>
          <w:rFonts w:ascii="Times New Roman" w:hAnsi="Times New Roman" w:cs="Times New Roman"/>
          <w:sz w:val="24"/>
          <w:szCs w:val="24"/>
        </w:rPr>
        <w:t xml:space="preserve">, and Zn decreased. </w:t>
      </w:r>
      <w:r w:rsidR="00480612" w:rsidRPr="00F07DEB">
        <w:rPr>
          <w:rFonts w:ascii="Times New Roman" w:hAnsi="Times New Roman" w:cs="Times New Roman"/>
          <w:sz w:val="24"/>
          <w:szCs w:val="24"/>
        </w:rPr>
        <w:t>The decreased concentrations were indicative of miniscule mass loading</w:t>
      </w:r>
      <w:r w:rsidR="0033797C">
        <w:rPr>
          <w:rFonts w:ascii="Times New Roman" w:hAnsi="Times New Roman" w:cs="Times New Roman"/>
          <w:sz w:val="24"/>
          <w:szCs w:val="24"/>
        </w:rPr>
        <w:t>s</w:t>
      </w:r>
      <w:r w:rsidR="00480612" w:rsidRPr="00F07DEB">
        <w:rPr>
          <w:rFonts w:ascii="Times New Roman" w:hAnsi="Times New Roman" w:cs="Times New Roman"/>
          <w:sz w:val="24"/>
          <w:szCs w:val="24"/>
        </w:rPr>
        <w:t xml:space="preserve"> from the mine water. The increase in Cd, while statistically significant in mine water-irrigated pots, was of similar magnitude under both treatments. Na and S were primarily contributed by the irrigation water and were partially excluded by plant roots, which increased concentrations in the substrate. Therefore, the hypothesis that soils irrigated with treated mine drainage will experience elevated recoverable metals concentrations compared to crops irrigated with groundwater is accepted for Cd, Na, and S, and rejected for all other analyzed metals.</w:t>
      </w:r>
    </w:p>
    <w:p w14:paraId="27A53A55" w14:textId="0A22ACD5" w:rsidR="00480612" w:rsidRPr="00F07DEB" w:rsidRDefault="00480612" w:rsidP="00480612">
      <w:pPr>
        <w:spacing w:line="480" w:lineRule="auto"/>
        <w:rPr>
          <w:rFonts w:ascii="Times New Roman" w:hAnsi="Times New Roman" w:cs="Times New Roman"/>
          <w:sz w:val="24"/>
          <w:szCs w:val="24"/>
        </w:rPr>
      </w:pPr>
      <w:r w:rsidRPr="00F07DEB">
        <w:rPr>
          <w:rFonts w:ascii="Times New Roman" w:hAnsi="Times New Roman" w:cs="Times New Roman"/>
          <w:sz w:val="24"/>
          <w:szCs w:val="24"/>
        </w:rPr>
        <w:tab/>
        <w:t xml:space="preserve">Hard-rock, net alkaline mine drainage can be treated in ecologically-engineered systems and successfully reused for the irrigation of some plant species without detriment to emergence patterns, growth, or biomass production. Treated mine water can increase concentrations of certain elements in plants and soil, particularly Cd, Na, and S, but these metals are largely sequestered in the belowground biomass. </w:t>
      </w:r>
    </w:p>
    <w:p w14:paraId="16458C3F" w14:textId="7FE8B3BF" w:rsidR="005326D1" w:rsidRPr="00F07DEB" w:rsidRDefault="00480612" w:rsidP="00480612">
      <w:pPr>
        <w:spacing w:line="480" w:lineRule="auto"/>
        <w:rPr>
          <w:rFonts w:ascii="Times New Roman" w:hAnsi="Times New Roman" w:cs="Times New Roman"/>
          <w:sz w:val="24"/>
          <w:szCs w:val="24"/>
        </w:rPr>
      </w:pPr>
      <w:r w:rsidRPr="00F07DEB">
        <w:rPr>
          <w:rFonts w:ascii="Times New Roman" w:hAnsi="Times New Roman" w:cs="Times New Roman"/>
          <w:sz w:val="24"/>
          <w:szCs w:val="24"/>
        </w:rPr>
        <w:tab/>
        <w:t xml:space="preserve">These conclusions should be understood in the greater context of the study. </w:t>
      </w:r>
      <w:r w:rsidR="009C74A3">
        <w:rPr>
          <w:rFonts w:ascii="Times New Roman" w:hAnsi="Times New Roman" w:cs="Times New Roman"/>
          <w:sz w:val="24"/>
          <w:szCs w:val="24"/>
        </w:rPr>
        <w:t>As with the livestock reuse scenario, the issue of water transportation would present a substantial challenge to implementation of treated mine water reuse for irrigation. Furthermore, t</w:t>
      </w:r>
      <w:r w:rsidRPr="00F07DEB">
        <w:rPr>
          <w:rFonts w:ascii="Times New Roman" w:hAnsi="Times New Roman" w:cs="Times New Roman"/>
          <w:sz w:val="24"/>
          <w:szCs w:val="24"/>
        </w:rPr>
        <w:t xml:space="preserve">he plants were grown in a soilless medium, which limits comparisons of metals accumulation and pH with other substrates. Pots restricted root growth, and corn and sorghum exhibited visible symptoms of </w:t>
      </w:r>
      <w:r w:rsidRPr="00F07DEB">
        <w:rPr>
          <w:rFonts w:ascii="Times New Roman" w:hAnsi="Times New Roman" w:cs="Times New Roman"/>
          <w:sz w:val="24"/>
          <w:szCs w:val="24"/>
        </w:rPr>
        <w:lastRenderedPageBreak/>
        <w:t xml:space="preserve">drought stress. </w:t>
      </w:r>
      <w:r w:rsidR="005326D1" w:rsidRPr="00F07DEB">
        <w:rPr>
          <w:rFonts w:ascii="Times New Roman" w:hAnsi="Times New Roman" w:cs="Times New Roman"/>
          <w:sz w:val="24"/>
          <w:szCs w:val="24"/>
        </w:rPr>
        <w:t>Finally, the experiment was ended before corn and sorghum had fully matu</w:t>
      </w:r>
      <w:r w:rsidR="00FF5DF8">
        <w:rPr>
          <w:rFonts w:ascii="Times New Roman" w:hAnsi="Times New Roman" w:cs="Times New Roman"/>
          <w:sz w:val="24"/>
          <w:szCs w:val="24"/>
        </w:rPr>
        <w:t>red, so observations and analyse</w:t>
      </w:r>
      <w:r w:rsidR="005326D1" w:rsidRPr="00F07DEB">
        <w:rPr>
          <w:rFonts w:ascii="Times New Roman" w:hAnsi="Times New Roman" w:cs="Times New Roman"/>
          <w:sz w:val="24"/>
          <w:szCs w:val="24"/>
        </w:rPr>
        <w:t xml:space="preserve">s of the reproductive </w:t>
      </w:r>
      <w:r w:rsidR="008C237F" w:rsidRPr="00F07DEB">
        <w:rPr>
          <w:rFonts w:ascii="Times New Roman" w:hAnsi="Times New Roman" w:cs="Times New Roman"/>
          <w:sz w:val="24"/>
          <w:szCs w:val="24"/>
        </w:rPr>
        <w:t>structu</w:t>
      </w:r>
      <w:r w:rsidR="005326D1" w:rsidRPr="00F07DEB">
        <w:rPr>
          <w:rFonts w:ascii="Times New Roman" w:hAnsi="Times New Roman" w:cs="Times New Roman"/>
          <w:sz w:val="24"/>
          <w:szCs w:val="24"/>
        </w:rPr>
        <w:t>res should be approached with caution.</w:t>
      </w:r>
    </w:p>
    <w:p w14:paraId="6F4D1156" w14:textId="55251CF9" w:rsidR="00480612" w:rsidRPr="00F07DEB" w:rsidRDefault="005326D1" w:rsidP="00480612">
      <w:pPr>
        <w:spacing w:line="480" w:lineRule="auto"/>
        <w:rPr>
          <w:rFonts w:ascii="Times New Roman" w:hAnsi="Times New Roman" w:cs="Times New Roman"/>
          <w:sz w:val="24"/>
          <w:szCs w:val="24"/>
        </w:rPr>
      </w:pPr>
      <w:r w:rsidRPr="00F07DEB">
        <w:rPr>
          <w:rFonts w:ascii="Times New Roman" w:hAnsi="Times New Roman" w:cs="Times New Roman"/>
          <w:sz w:val="24"/>
          <w:szCs w:val="24"/>
        </w:rPr>
        <w:tab/>
        <w:t xml:space="preserve">In the future, this experiment would benefit from a larger scale in-situ planting with less frequent irrigation and more reliance on soil water, as is </w:t>
      </w:r>
      <w:r w:rsidR="0006673C">
        <w:rPr>
          <w:rFonts w:ascii="Times New Roman" w:hAnsi="Times New Roman" w:cs="Times New Roman"/>
          <w:sz w:val="24"/>
          <w:szCs w:val="24"/>
        </w:rPr>
        <w:t>typi</w:t>
      </w:r>
      <w:r w:rsidR="00162496">
        <w:rPr>
          <w:rFonts w:ascii="Times New Roman" w:hAnsi="Times New Roman" w:cs="Times New Roman"/>
          <w:sz w:val="24"/>
          <w:szCs w:val="24"/>
        </w:rPr>
        <w:t>c</w:t>
      </w:r>
      <w:r w:rsidR="0006673C">
        <w:rPr>
          <w:rFonts w:ascii="Times New Roman" w:hAnsi="Times New Roman" w:cs="Times New Roman"/>
          <w:sz w:val="24"/>
          <w:szCs w:val="24"/>
        </w:rPr>
        <w:t>ally</w:t>
      </w:r>
      <w:r w:rsidR="0006673C" w:rsidRPr="00F07DEB">
        <w:rPr>
          <w:rFonts w:ascii="Times New Roman" w:hAnsi="Times New Roman" w:cs="Times New Roman"/>
          <w:sz w:val="24"/>
          <w:szCs w:val="24"/>
        </w:rPr>
        <w:t xml:space="preserve"> </w:t>
      </w:r>
      <w:r w:rsidRPr="00F07DEB">
        <w:rPr>
          <w:rFonts w:ascii="Times New Roman" w:hAnsi="Times New Roman" w:cs="Times New Roman"/>
          <w:sz w:val="24"/>
          <w:szCs w:val="24"/>
        </w:rPr>
        <w:t>the case</w:t>
      </w:r>
      <w:r w:rsidR="0006673C">
        <w:rPr>
          <w:rFonts w:ascii="Times New Roman" w:hAnsi="Times New Roman" w:cs="Times New Roman"/>
          <w:sz w:val="24"/>
          <w:szCs w:val="24"/>
        </w:rPr>
        <w:t xml:space="preserve"> under field conditions</w:t>
      </w:r>
      <w:r w:rsidRPr="00F07DEB">
        <w:rPr>
          <w:rFonts w:ascii="Times New Roman" w:hAnsi="Times New Roman" w:cs="Times New Roman"/>
          <w:sz w:val="24"/>
          <w:szCs w:val="24"/>
        </w:rPr>
        <w:t xml:space="preserve">. If repeated over multiple years, such a study could assess the long-term impacts of elevated Na, Ca, Mg, and alkalinity on soil structure and composition. Finally, the potential reuse of treated mine water should be extended to irrigating other C4 pasture grasses, which might benefit from elevated Na concentrations, although the effect of S </w:t>
      </w:r>
      <w:proofErr w:type="spellStart"/>
      <w:r w:rsidRPr="00F07DEB">
        <w:rPr>
          <w:rFonts w:ascii="Times New Roman" w:hAnsi="Times New Roman" w:cs="Times New Roman"/>
          <w:sz w:val="24"/>
          <w:szCs w:val="24"/>
        </w:rPr>
        <w:t>biomagnification</w:t>
      </w:r>
      <w:proofErr w:type="spellEnd"/>
      <w:r w:rsidRPr="00F07DEB">
        <w:rPr>
          <w:rFonts w:ascii="Times New Roman" w:hAnsi="Times New Roman" w:cs="Times New Roman"/>
          <w:sz w:val="24"/>
          <w:szCs w:val="24"/>
        </w:rPr>
        <w:t xml:space="preserve"> in grazing animals should also be considered.</w:t>
      </w:r>
    </w:p>
    <w:p w14:paraId="42AF0174" w14:textId="36A460C2" w:rsidR="00267E65" w:rsidRPr="00F07DEB" w:rsidRDefault="00040CA7" w:rsidP="00355EB3">
      <w:pPr>
        <w:spacing w:line="480" w:lineRule="auto"/>
        <w:rPr>
          <w:rFonts w:ascii="Times New Roman" w:hAnsi="Times New Roman" w:cs="Times New Roman"/>
        </w:rPr>
      </w:pPr>
      <w:r w:rsidRPr="00F07DEB">
        <w:rPr>
          <w:rFonts w:ascii="Times New Roman" w:hAnsi="Times New Roman" w:cs="Times New Roman"/>
        </w:rPr>
        <w:br w:type="page"/>
      </w:r>
    </w:p>
    <w:p w14:paraId="18402541" w14:textId="11C3DC9B" w:rsidR="003D7650" w:rsidRPr="00F07DEB" w:rsidRDefault="00D76F3F" w:rsidP="003411DD">
      <w:pPr>
        <w:pStyle w:val="Heading1"/>
        <w:spacing w:line="480" w:lineRule="auto"/>
        <w:contextualSpacing w:val="0"/>
      </w:pPr>
      <w:bookmarkStart w:id="164" w:name="_Toc58975179"/>
      <w:r>
        <w:lastRenderedPageBreak/>
        <w:t>Literature Cited</w:t>
      </w:r>
      <w:bookmarkEnd w:id="164"/>
    </w:p>
    <w:p w14:paraId="1B16FBF6" w14:textId="70839186" w:rsidR="00375B31" w:rsidRPr="00375B31" w:rsidRDefault="006934E2"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fldChar w:fldCharType="begin"/>
      </w:r>
      <w:r w:rsidR="00375B31" w:rsidRPr="00375B31">
        <w:rPr>
          <w:rFonts w:ascii="Times New Roman" w:hAnsi="Times New Roman" w:cs="Times New Roman"/>
          <w:sz w:val="20"/>
          <w:szCs w:val="20"/>
        </w:rPr>
        <w:instrText xml:space="preserve"> ADDIN ZOTERO_BIBL {"uncited":[],"omitted":[],"custom":[]} CSL_BIBLIOGRAPHY </w:instrText>
      </w:r>
      <w:r w:rsidRPr="00375B31">
        <w:rPr>
          <w:rFonts w:ascii="Times New Roman" w:hAnsi="Times New Roman" w:cs="Times New Roman"/>
          <w:sz w:val="20"/>
          <w:szCs w:val="20"/>
        </w:rPr>
        <w:fldChar w:fldCharType="separate"/>
      </w:r>
      <w:r w:rsidR="00375B31" w:rsidRPr="00375B31">
        <w:rPr>
          <w:rFonts w:ascii="Times New Roman" w:hAnsi="Times New Roman" w:cs="Times New Roman"/>
          <w:sz w:val="20"/>
          <w:szCs w:val="20"/>
        </w:rPr>
        <w:t xml:space="preserve">Abusam, A., </w:t>
      </w:r>
      <w:r w:rsidR="00375B31">
        <w:rPr>
          <w:rFonts w:ascii="Times New Roman" w:hAnsi="Times New Roman" w:cs="Times New Roman"/>
          <w:sz w:val="20"/>
          <w:szCs w:val="20"/>
        </w:rPr>
        <w:t>and</w:t>
      </w:r>
      <w:r w:rsidR="00375B31" w:rsidRPr="00375B31">
        <w:rPr>
          <w:rFonts w:ascii="Times New Roman" w:hAnsi="Times New Roman" w:cs="Times New Roman"/>
          <w:sz w:val="20"/>
          <w:szCs w:val="20"/>
        </w:rPr>
        <w:t xml:space="preserve"> Shahalam, A. (2013). Wastewater reuse in Kuwait: Opportunities and constraints. </w:t>
      </w:r>
      <w:r w:rsidR="00375B31" w:rsidRPr="00375B31">
        <w:rPr>
          <w:rFonts w:ascii="Times New Roman" w:hAnsi="Times New Roman" w:cs="Times New Roman"/>
          <w:i/>
          <w:iCs/>
          <w:sz w:val="20"/>
          <w:szCs w:val="20"/>
        </w:rPr>
        <w:t>WIT Transactions on Ecology and the Environment</w:t>
      </w:r>
      <w:r w:rsidR="00375B31" w:rsidRPr="00375B31">
        <w:rPr>
          <w:rFonts w:ascii="Times New Roman" w:hAnsi="Times New Roman" w:cs="Times New Roman"/>
          <w:sz w:val="20"/>
          <w:szCs w:val="20"/>
        </w:rPr>
        <w:t xml:space="preserve">, </w:t>
      </w:r>
      <w:r w:rsidR="00375B31" w:rsidRPr="00375B31">
        <w:rPr>
          <w:rFonts w:ascii="Times New Roman" w:hAnsi="Times New Roman" w:cs="Times New Roman"/>
          <w:i/>
          <w:iCs/>
          <w:sz w:val="20"/>
          <w:szCs w:val="20"/>
        </w:rPr>
        <w:t>179</w:t>
      </w:r>
      <w:r w:rsidR="00375B31" w:rsidRPr="00375B31">
        <w:rPr>
          <w:rFonts w:ascii="Times New Roman" w:hAnsi="Times New Roman" w:cs="Times New Roman"/>
          <w:sz w:val="20"/>
          <w:szCs w:val="20"/>
        </w:rPr>
        <w:t>, 745–754. https://doi.org/10.2495/SC130632</w:t>
      </w:r>
    </w:p>
    <w:p w14:paraId="5BCCD6B2" w14:textId="06E993D6"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Allen, M., Poggiali, D., Whitaker, K., Marshall, T. R., </w:t>
      </w:r>
      <w:r>
        <w:rPr>
          <w:rFonts w:ascii="Times New Roman" w:hAnsi="Times New Roman" w:cs="Times New Roman"/>
          <w:sz w:val="20"/>
          <w:szCs w:val="20"/>
        </w:rPr>
        <w:t>and</w:t>
      </w:r>
      <w:r w:rsidRPr="00375B31">
        <w:rPr>
          <w:rFonts w:ascii="Times New Roman" w:hAnsi="Times New Roman" w:cs="Times New Roman"/>
          <w:sz w:val="20"/>
          <w:szCs w:val="20"/>
        </w:rPr>
        <w:t xml:space="preserve"> Kievit, R. A. (2019). Raincloud plots: A multi-platform tool for robust data visualization. </w:t>
      </w:r>
      <w:r w:rsidRPr="00375B31">
        <w:rPr>
          <w:rFonts w:ascii="Times New Roman" w:hAnsi="Times New Roman" w:cs="Times New Roman"/>
          <w:i/>
          <w:iCs/>
          <w:sz w:val="20"/>
          <w:szCs w:val="20"/>
        </w:rPr>
        <w:t>Wellcome Open Research</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4</w:t>
      </w:r>
      <w:r w:rsidRPr="00375B31">
        <w:rPr>
          <w:rFonts w:ascii="Times New Roman" w:hAnsi="Times New Roman" w:cs="Times New Roman"/>
          <w:sz w:val="20"/>
          <w:szCs w:val="20"/>
        </w:rPr>
        <w:t>, 63. https://doi.org/10.12688/wellcomeopenres.15191.1</w:t>
      </w:r>
    </w:p>
    <w:p w14:paraId="5C554BB2" w14:textId="2B572AF3"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Andújar, D., Ribeiro, A., Carmona, R., Fernandez-Quintanilla, C., </w:t>
      </w:r>
      <w:r>
        <w:rPr>
          <w:rFonts w:ascii="Times New Roman" w:hAnsi="Times New Roman" w:cs="Times New Roman"/>
          <w:sz w:val="20"/>
          <w:szCs w:val="20"/>
        </w:rPr>
        <w:t>and</w:t>
      </w:r>
      <w:r w:rsidRPr="00375B31">
        <w:rPr>
          <w:rFonts w:ascii="Times New Roman" w:hAnsi="Times New Roman" w:cs="Times New Roman"/>
          <w:sz w:val="20"/>
          <w:szCs w:val="20"/>
        </w:rPr>
        <w:t xml:space="preserve"> Dorado, J. (2010). An assessment of the accuracy and consistency of human perception of weed cover. </w:t>
      </w:r>
      <w:r w:rsidRPr="00375B31">
        <w:rPr>
          <w:rFonts w:ascii="Times New Roman" w:hAnsi="Times New Roman" w:cs="Times New Roman"/>
          <w:i/>
          <w:iCs/>
          <w:sz w:val="20"/>
          <w:szCs w:val="20"/>
        </w:rPr>
        <w:t>Weed Research</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50</w:t>
      </w:r>
      <w:r w:rsidRPr="00375B31">
        <w:rPr>
          <w:rFonts w:ascii="Times New Roman" w:hAnsi="Times New Roman" w:cs="Times New Roman"/>
          <w:sz w:val="20"/>
          <w:szCs w:val="20"/>
        </w:rPr>
        <w:t>, 638–647. https://doi.org/10.1111/j.1365-3180.2010.00809.x</w:t>
      </w:r>
    </w:p>
    <w:p w14:paraId="4F45CE1F" w14:textId="034D40E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Armienta, M. A., Beltrán, M., Martínez, S., </w:t>
      </w:r>
      <w:r>
        <w:rPr>
          <w:rFonts w:ascii="Times New Roman" w:hAnsi="Times New Roman" w:cs="Times New Roman"/>
          <w:sz w:val="20"/>
          <w:szCs w:val="20"/>
        </w:rPr>
        <w:t>and</w:t>
      </w:r>
      <w:r w:rsidRPr="00375B31">
        <w:rPr>
          <w:rFonts w:ascii="Times New Roman" w:hAnsi="Times New Roman" w:cs="Times New Roman"/>
          <w:sz w:val="20"/>
          <w:szCs w:val="20"/>
        </w:rPr>
        <w:t xml:space="preserve"> Labastida, I. (2020). Heavy metal assimilation in maize (Zea mays L.) plants growing near mine tailings. </w:t>
      </w:r>
      <w:r w:rsidRPr="00375B31">
        <w:rPr>
          <w:rFonts w:ascii="Times New Roman" w:hAnsi="Times New Roman" w:cs="Times New Roman"/>
          <w:i/>
          <w:iCs/>
          <w:sz w:val="20"/>
          <w:szCs w:val="20"/>
        </w:rPr>
        <w:t>Environmental Geochemistry and Health</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42</w:t>
      </w:r>
      <w:r w:rsidRPr="00375B31">
        <w:rPr>
          <w:rFonts w:ascii="Times New Roman" w:hAnsi="Times New Roman" w:cs="Times New Roman"/>
          <w:sz w:val="20"/>
          <w:szCs w:val="20"/>
        </w:rPr>
        <w:t>(8), 2361–2375. https://doi.org/10.1007/s10653-019-00424-1</w:t>
      </w:r>
    </w:p>
    <w:p w14:paraId="440148AA" w14:textId="60C6A689"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Arnall, B., Hanks, T., Jones, J., Payne, J., Penn, C., Pugh, B., Redfearn, D., Rice, C., Warren, J., </w:t>
      </w:r>
      <w:r>
        <w:rPr>
          <w:rFonts w:ascii="Times New Roman" w:hAnsi="Times New Roman" w:cs="Times New Roman"/>
          <w:sz w:val="20"/>
          <w:szCs w:val="20"/>
        </w:rPr>
        <w:t>and</w:t>
      </w:r>
      <w:r w:rsidRPr="00375B31">
        <w:rPr>
          <w:rFonts w:ascii="Times New Roman" w:hAnsi="Times New Roman" w:cs="Times New Roman"/>
          <w:sz w:val="20"/>
          <w:szCs w:val="20"/>
        </w:rPr>
        <w:t xml:space="preserve"> Zhang, H. (2018). </w:t>
      </w:r>
      <w:r w:rsidRPr="00375B31">
        <w:rPr>
          <w:rFonts w:ascii="Times New Roman" w:hAnsi="Times New Roman" w:cs="Times New Roman"/>
          <w:i/>
          <w:iCs/>
          <w:sz w:val="20"/>
          <w:szCs w:val="20"/>
        </w:rPr>
        <w:t>Oklahoma forage and pasture fertility guide</w:t>
      </w:r>
      <w:r w:rsidRPr="00375B31">
        <w:rPr>
          <w:rFonts w:ascii="Times New Roman" w:hAnsi="Times New Roman" w:cs="Times New Roman"/>
          <w:sz w:val="20"/>
          <w:szCs w:val="20"/>
        </w:rPr>
        <w:t xml:space="preserve"> (E-1021; p. 56). Oklahoma State University Extension Service, Division of Agricultural Sciences and Natural Resources.</w:t>
      </w:r>
    </w:p>
    <w:p w14:paraId="004D6D97" w14:textId="6E46EAC2"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Asano, T., </w:t>
      </w:r>
      <w:r>
        <w:rPr>
          <w:rFonts w:ascii="Times New Roman" w:hAnsi="Times New Roman" w:cs="Times New Roman"/>
          <w:sz w:val="20"/>
          <w:szCs w:val="20"/>
        </w:rPr>
        <w:t>and</w:t>
      </w:r>
      <w:r w:rsidRPr="00375B31">
        <w:rPr>
          <w:rFonts w:ascii="Times New Roman" w:hAnsi="Times New Roman" w:cs="Times New Roman"/>
          <w:sz w:val="20"/>
          <w:szCs w:val="20"/>
        </w:rPr>
        <w:t xml:space="preserve"> Levine, A. D. (1996). Wastewater reclamation, recycling and reuse: Past, present, and future. </w:t>
      </w:r>
      <w:r w:rsidRPr="00375B31">
        <w:rPr>
          <w:rFonts w:ascii="Times New Roman" w:hAnsi="Times New Roman" w:cs="Times New Roman"/>
          <w:i/>
          <w:iCs/>
          <w:sz w:val="20"/>
          <w:szCs w:val="20"/>
        </w:rPr>
        <w:t>Water Science and Technology; London</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33</w:t>
      </w:r>
      <w:r w:rsidRPr="00375B31">
        <w:rPr>
          <w:rFonts w:ascii="Times New Roman" w:hAnsi="Times New Roman" w:cs="Times New Roman"/>
          <w:sz w:val="20"/>
          <w:szCs w:val="20"/>
        </w:rPr>
        <w:t>(10–11), 1–14.</w:t>
      </w:r>
    </w:p>
    <w:p w14:paraId="3571E670" w14:textId="3AAB75A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Asano, T., </w:t>
      </w:r>
      <w:r>
        <w:rPr>
          <w:rFonts w:ascii="Times New Roman" w:hAnsi="Times New Roman" w:cs="Times New Roman"/>
          <w:sz w:val="20"/>
          <w:szCs w:val="20"/>
        </w:rPr>
        <w:t>and</w:t>
      </w:r>
      <w:r w:rsidRPr="00375B31">
        <w:rPr>
          <w:rFonts w:ascii="Times New Roman" w:hAnsi="Times New Roman" w:cs="Times New Roman"/>
          <w:sz w:val="20"/>
          <w:szCs w:val="20"/>
        </w:rPr>
        <w:t xml:space="preserve"> Pettygrove, G. S. (1987). Using reclaimed municipal wastewater for irrigation. </w:t>
      </w:r>
      <w:r w:rsidRPr="00375B31">
        <w:rPr>
          <w:rFonts w:ascii="Times New Roman" w:hAnsi="Times New Roman" w:cs="Times New Roman"/>
          <w:i/>
          <w:iCs/>
          <w:sz w:val="20"/>
          <w:szCs w:val="20"/>
        </w:rPr>
        <w:t>California Agriculture</w:t>
      </w:r>
      <w:r w:rsidRPr="00375B31">
        <w:rPr>
          <w:rFonts w:ascii="Times New Roman" w:hAnsi="Times New Roman" w:cs="Times New Roman"/>
          <w:sz w:val="20"/>
          <w:szCs w:val="20"/>
        </w:rPr>
        <w:t>, 15–18.</w:t>
      </w:r>
    </w:p>
    <w:p w14:paraId="6DA23373" w14:textId="04C150D4"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Assefa, Y., Staggenborg, S. A., </w:t>
      </w:r>
      <w:r>
        <w:rPr>
          <w:rFonts w:ascii="Times New Roman" w:hAnsi="Times New Roman" w:cs="Times New Roman"/>
          <w:sz w:val="20"/>
          <w:szCs w:val="20"/>
        </w:rPr>
        <w:t>and</w:t>
      </w:r>
      <w:r w:rsidRPr="00375B31">
        <w:rPr>
          <w:rFonts w:ascii="Times New Roman" w:hAnsi="Times New Roman" w:cs="Times New Roman"/>
          <w:sz w:val="20"/>
          <w:szCs w:val="20"/>
        </w:rPr>
        <w:t xml:space="preserve"> Prasad, V. P. V. (2010). Grain Sorghum Water Requirement and Responses to Drought Stress: A Review. </w:t>
      </w:r>
      <w:r w:rsidRPr="00375B31">
        <w:rPr>
          <w:rFonts w:ascii="Times New Roman" w:hAnsi="Times New Roman" w:cs="Times New Roman"/>
          <w:i/>
          <w:iCs/>
          <w:sz w:val="20"/>
          <w:szCs w:val="20"/>
        </w:rPr>
        <w:t>Crop Management</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9</w:t>
      </w:r>
      <w:r w:rsidRPr="00375B31">
        <w:rPr>
          <w:rFonts w:ascii="Times New Roman" w:hAnsi="Times New Roman" w:cs="Times New Roman"/>
          <w:sz w:val="20"/>
          <w:szCs w:val="20"/>
        </w:rPr>
        <w:t>(1), 1–11. https://doi.org/10.1094/CM-2010-1109-01-RV</w:t>
      </w:r>
    </w:p>
    <w:p w14:paraId="029CA610"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Australian OGTR. (2008). </w:t>
      </w:r>
      <w:r w:rsidRPr="00375B31">
        <w:rPr>
          <w:rFonts w:ascii="Times New Roman" w:hAnsi="Times New Roman" w:cs="Times New Roman"/>
          <w:i/>
          <w:iCs/>
          <w:sz w:val="20"/>
          <w:szCs w:val="20"/>
        </w:rPr>
        <w:t>The Biology of Zea Mays L. ssp mays (maize or corn)</w:t>
      </w:r>
      <w:r w:rsidRPr="00375B31">
        <w:rPr>
          <w:rFonts w:ascii="Times New Roman" w:hAnsi="Times New Roman" w:cs="Times New Roman"/>
          <w:sz w:val="20"/>
          <w:szCs w:val="20"/>
        </w:rPr>
        <w:t xml:space="preserve"> (p. 81). Australian Government, Department of Health and Ageing, Office of the Gene Technology Regulator.</w:t>
      </w:r>
    </w:p>
    <w:p w14:paraId="4E9B5AD9" w14:textId="39C9661B"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Ayers, R. S., </w:t>
      </w:r>
      <w:r>
        <w:rPr>
          <w:rFonts w:ascii="Times New Roman" w:hAnsi="Times New Roman" w:cs="Times New Roman"/>
          <w:sz w:val="20"/>
          <w:szCs w:val="20"/>
        </w:rPr>
        <w:t>and</w:t>
      </w:r>
      <w:r w:rsidRPr="00375B31">
        <w:rPr>
          <w:rFonts w:ascii="Times New Roman" w:hAnsi="Times New Roman" w:cs="Times New Roman"/>
          <w:sz w:val="20"/>
          <w:szCs w:val="20"/>
        </w:rPr>
        <w:t xml:space="preserve"> Westcot, D. W. (1985a). </w:t>
      </w:r>
      <w:r w:rsidRPr="00375B31">
        <w:rPr>
          <w:rFonts w:ascii="Times New Roman" w:hAnsi="Times New Roman" w:cs="Times New Roman"/>
          <w:i/>
          <w:iCs/>
          <w:sz w:val="20"/>
          <w:szCs w:val="20"/>
        </w:rPr>
        <w:t>Water quality for agriculture</w:t>
      </w:r>
      <w:r w:rsidRPr="00375B31">
        <w:rPr>
          <w:rFonts w:ascii="Times New Roman" w:hAnsi="Times New Roman" w:cs="Times New Roman"/>
          <w:sz w:val="20"/>
          <w:szCs w:val="20"/>
        </w:rPr>
        <w:t>. Food and Agriculture Organization of the United Nations. http://www.fao.org/3/t0234e/t0234e00.htm</w:t>
      </w:r>
    </w:p>
    <w:p w14:paraId="38F92907" w14:textId="1D3A0785"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Ayers, R. S., </w:t>
      </w:r>
      <w:r>
        <w:rPr>
          <w:rFonts w:ascii="Times New Roman" w:hAnsi="Times New Roman" w:cs="Times New Roman"/>
          <w:sz w:val="20"/>
          <w:szCs w:val="20"/>
        </w:rPr>
        <w:t>and</w:t>
      </w:r>
      <w:r w:rsidRPr="00375B31">
        <w:rPr>
          <w:rFonts w:ascii="Times New Roman" w:hAnsi="Times New Roman" w:cs="Times New Roman"/>
          <w:sz w:val="20"/>
          <w:szCs w:val="20"/>
        </w:rPr>
        <w:t xml:space="preserve"> Westcot, D. W. (1985b). </w:t>
      </w:r>
      <w:r w:rsidRPr="00375B31">
        <w:rPr>
          <w:rFonts w:ascii="Times New Roman" w:hAnsi="Times New Roman" w:cs="Times New Roman"/>
          <w:i/>
          <w:iCs/>
          <w:sz w:val="20"/>
          <w:szCs w:val="20"/>
        </w:rPr>
        <w:t>Water quality for livestock and poultry</w:t>
      </w:r>
      <w:r w:rsidRPr="00375B31">
        <w:rPr>
          <w:rFonts w:ascii="Times New Roman" w:hAnsi="Times New Roman" w:cs="Times New Roman"/>
          <w:sz w:val="20"/>
          <w:szCs w:val="20"/>
        </w:rPr>
        <w:t>. Food and Agriculture Organization of the United Nations. http://www.fao.org/3/t0234e/T0234E07.htm</w:t>
      </w:r>
    </w:p>
    <w:p w14:paraId="49A7B521" w14:textId="5374D916"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lastRenderedPageBreak/>
        <w:t xml:space="preserve">Bauder, T. A., Waskom, R. M., Sutherland, P. L., </w:t>
      </w:r>
      <w:r>
        <w:rPr>
          <w:rFonts w:ascii="Times New Roman" w:hAnsi="Times New Roman" w:cs="Times New Roman"/>
          <w:sz w:val="20"/>
          <w:szCs w:val="20"/>
        </w:rPr>
        <w:t>and</w:t>
      </w:r>
      <w:r w:rsidRPr="00375B31">
        <w:rPr>
          <w:rFonts w:ascii="Times New Roman" w:hAnsi="Times New Roman" w:cs="Times New Roman"/>
          <w:sz w:val="20"/>
          <w:szCs w:val="20"/>
        </w:rPr>
        <w:t xml:space="preserve"> Davis, J. G. (2014, October). </w:t>
      </w:r>
      <w:r w:rsidRPr="00375B31">
        <w:rPr>
          <w:rFonts w:ascii="Times New Roman" w:hAnsi="Times New Roman" w:cs="Times New Roman"/>
          <w:i/>
          <w:iCs/>
          <w:sz w:val="20"/>
          <w:szCs w:val="20"/>
        </w:rPr>
        <w:t>Irrigation Water Quality Criteria</w:t>
      </w:r>
      <w:r w:rsidRPr="00375B31">
        <w:rPr>
          <w:rFonts w:ascii="Times New Roman" w:hAnsi="Times New Roman" w:cs="Times New Roman"/>
          <w:sz w:val="20"/>
          <w:szCs w:val="20"/>
        </w:rPr>
        <w:t>. Colorado State University Extension. https://extension.colostate.edu/topic-areas/agriculture/irrigation-water-quality-criteria-0-506/</w:t>
      </w:r>
    </w:p>
    <w:p w14:paraId="41DC86AF" w14:textId="4B94D78C"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Baum, R., Luh, J., </w:t>
      </w:r>
      <w:r>
        <w:rPr>
          <w:rFonts w:ascii="Times New Roman" w:hAnsi="Times New Roman" w:cs="Times New Roman"/>
          <w:sz w:val="20"/>
          <w:szCs w:val="20"/>
        </w:rPr>
        <w:t>and</w:t>
      </w:r>
      <w:r w:rsidRPr="00375B31">
        <w:rPr>
          <w:rFonts w:ascii="Times New Roman" w:hAnsi="Times New Roman" w:cs="Times New Roman"/>
          <w:sz w:val="20"/>
          <w:szCs w:val="20"/>
        </w:rPr>
        <w:t xml:space="preserve"> Bartram, J. (2013). Sanitation: A Global Estimate of Sewerage Connections without Treatment and the Resulting Impact on MDG Progress. </w:t>
      </w:r>
      <w:r w:rsidRPr="00375B31">
        <w:rPr>
          <w:rFonts w:ascii="Times New Roman" w:hAnsi="Times New Roman" w:cs="Times New Roman"/>
          <w:i/>
          <w:iCs/>
          <w:sz w:val="20"/>
          <w:szCs w:val="20"/>
        </w:rPr>
        <w:t xml:space="preserve">Environmental Science </w:t>
      </w:r>
      <w:r>
        <w:rPr>
          <w:rFonts w:ascii="Times New Roman" w:hAnsi="Times New Roman" w:cs="Times New Roman"/>
          <w:i/>
          <w:iCs/>
          <w:sz w:val="20"/>
          <w:szCs w:val="20"/>
        </w:rPr>
        <w:t>and</w:t>
      </w:r>
      <w:r w:rsidRPr="00375B31">
        <w:rPr>
          <w:rFonts w:ascii="Times New Roman" w:hAnsi="Times New Roman" w:cs="Times New Roman"/>
          <w:i/>
          <w:iCs/>
          <w:sz w:val="20"/>
          <w:szCs w:val="20"/>
        </w:rPr>
        <w:t xml:space="preserve"> Technology</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47</w:t>
      </w:r>
      <w:r w:rsidRPr="00375B31">
        <w:rPr>
          <w:rFonts w:ascii="Times New Roman" w:hAnsi="Times New Roman" w:cs="Times New Roman"/>
          <w:sz w:val="20"/>
          <w:szCs w:val="20"/>
        </w:rPr>
        <w:t>(4), 1994–2000. https://doi.org/10.1021/es304284f</w:t>
      </w:r>
    </w:p>
    <w:p w14:paraId="4427BD4B" w14:textId="21C05DD6"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Beauzamy, L., Nakayama, N., </w:t>
      </w:r>
      <w:r>
        <w:rPr>
          <w:rFonts w:ascii="Times New Roman" w:hAnsi="Times New Roman" w:cs="Times New Roman"/>
          <w:sz w:val="20"/>
          <w:szCs w:val="20"/>
        </w:rPr>
        <w:t>and</w:t>
      </w:r>
      <w:r w:rsidRPr="00375B31">
        <w:rPr>
          <w:rFonts w:ascii="Times New Roman" w:hAnsi="Times New Roman" w:cs="Times New Roman"/>
          <w:sz w:val="20"/>
          <w:szCs w:val="20"/>
        </w:rPr>
        <w:t xml:space="preserve"> Boudaoud, A. (2014). Flowers under pressure: Ins and outs of turgor regulation in development. </w:t>
      </w:r>
      <w:r w:rsidRPr="00375B31">
        <w:rPr>
          <w:rFonts w:ascii="Times New Roman" w:hAnsi="Times New Roman" w:cs="Times New Roman"/>
          <w:i/>
          <w:iCs/>
          <w:sz w:val="20"/>
          <w:szCs w:val="20"/>
        </w:rPr>
        <w:t>Annals of Botany</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114</w:t>
      </w:r>
      <w:r w:rsidRPr="00375B31">
        <w:rPr>
          <w:rFonts w:ascii="Times New Roman" w:hAnsi="Times New Roman" w:cs="Times New Roman"/>
          <w:sz w:val="20"/>
          <w:szCs w:val="20"/>
        </w:rPr>
        <w:t>(7), 1517–1533. https://doi.org/10.1093/aob/mcu187</w:t>
      </w:r>
    </w:p>
    <w:p w14:paraId="4395B84B"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Beede, D. K. (2008). </w:t>
      </w:r>
      <w:r w:rsidRPr="00375B31">
        <w:rPr>
          <w:rFonts w:ascii="Times New Roman" w:hAnsi="Times New Roman" w:cs="Times New Roman"/>
          <w:i/>
          <w:iCs/>
          <w:sz w:val="20"/>
          <w:szCs w:val="20"/>
        </w:rPr>
        <w:t>Evaluation of Water Quality and Nutrition for Dairy Cattle</w:t>
      </w:r>
      <w:r w:rsidRPr="00375B31">
        <w:rPr>
          <w:rFonts w:ascii="Times New Roman" w:hAnsi="Times New Roman" w:cs="Times New Roman"/>
          <w:sz w:val="20"/>
          <w:szCs w:val="20"/>
        </w:rPr>
        <w:t>. 24.</w:t>
      </w:r>
    </w:p>
    <w:p w14:paraId="61CBEB1D" w14:textId="0A2E6AA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Botella, M. A., Martinez, V., Pardines, J., </w:t>
      </w:r>
      <w:r>
        <w:rPr>
          <w:rFonts w:ascii="Times New Roman" w:hAnsi="Times New Roman" w:cs="Times New Roman"/>
          <w:sz w:val="20"/>
          <w:szCs w:val="20"/>
        </w:rPr>
        <w:t>and</w:t>
      </w:r>
      <w:r w:rsidRPr="00375B31">
        <w:rPr>
          <w:rFonts w:ascii="Times New Roman" w:hAnsi="Times New Roman" w:cs="Times New Roman"/>
          <w:sz w:val="20"/>
          <w:szCs w:val="20"/>
        </w:rPr>
        <w:t xml:space="preserve"> Cerdá, A. (1997). Salinity induced potassium deficiency in maize plants. </w:t>
      </w:r>
      <w:r w:rsidRPr="00375B31">
        <w:rPr>
          <w:rFonts w:ascii="Times New Roman" w:hAnsi="Times New Roman" w:cs="Times New Roman"/>
          <w:i/>
          <w:iCs/>
          <w:sz w:val="20"/>
          <w:szCs w:val="20"/>
        </w:rPr>
        <w:t>Journal of Plant Physiology</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150</w:t>
      </w:r>
      <w:r w:rsidRPr="00375B31">
        <w:rPr>
          <w:rFonts w:ascii="Times New Roman" w:hAnsi="Times New Roman" w:cs="Times New Roman"/>
          <w:sz w:val="20"/>
          <w:szCs w:val="20"/>
        </w:rPr>
        <w:t>(1), 200–205. https://doi.org/10.1016/S0176-1617(97)80203-9</w:t>
      </w:r>
    </w:p>
    <w:p w14:paraId="67079784"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Brakie, M. (2017). </w:t>
      </w:r>
      <w:r w:rsidRPr="00375B31">
        <w:rPr>
          <w:rFonts w:ascii="Times New Roman" w:hAnsi="Times New Roman" w:cs="Times New Roman"/>
          <w:i/>
          <w:iCs/>
          <w:sz w:val="20"/>
          <w:szCs w:val="20"/>
        </w:rPr>
        <w:t>Plant Guide for Indiangrass (Sorghastrum nutans)</w:t>
      </w:r>
      <w:r w:rsidRPr="00375B31">
        <w:rPr>
          <w:rFonts w:ascii="Times New Roman" w:hAnsi="Times New Roman" w:cs="Times New Roman"/>
          <w:sz w:val="20"/>
          <w:szCs w:val="20"/>
        </w:rPr>
        <w:t xml:space="preserve"> (p. 7). USDA-Natural Resources Conservation Service.</w:t>
      </w:r>
    </w:p>
    <w:p w14:paraId="294C96F2" w14:textId="6BA89701"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Brandenberger, L., Kahn, B., </w:t>
      </w:r>
      <w:r>
        <w:rPr>
          <w:rFonts w:ascii="Times New Roman" w:hAnsi="Times New Roman" w:cs="Times New Roman"/>
          <w:sz w:val="20"/>
          <w:szCs w:val="20"/>
        </w:rPr>
        <w:t>and</w:t>
      </w:r>
      <w:r w:rsidRPr="00375B31">
        <w:rPr>
          <w:rFonts w:ascii="Times New Roman" w:hAnsi="Times New Roman" w:cs="Times New Roman"/>
          <w:sz w:val="20"/>
          <w:szCs w:val="20"/>
        </w:rPr>
        <w:t xml:space="preserve"> Rebek, E. (2017). </w:t>
      </w:r>
      <w:r w:rsidRPr="00375B31">
        <w:rPr>
          <w:rFonts w:ascii="Times New Roman" w:hAnsi="Times New Roman" w:cs="Times New Roman"/>
          <w:i/>
          <w:iCs/>
          <w:sz w:val="20"/>
          <w:szCs w:val="20"/>
        </w:rPr>
        <w:t>Sweet Corn Production</w:t>
      </w:r>
      <w:r w:rsidRPr="00375B31">
        <w:rPr>
          <w:rFonts w:ascii="Times New Roman" w:hAnsi="Times New Roman" w:cs="Times New Roman"/>
          <w:sz w:val="20"/>
          <w:szCs w:val="20"/>
        </w:rPr>
        <w:t xml:space="preserve"> (HLA-6021; Oklahoma Cooperative Extension Fact Sheets, p. 4). Oklahoma State University Extension Service. https://extension.okstate.edu/fact-sheets/sweet-corn-production.html</w:t>
      </w:r>
    </w:p>
    <w:p w14:paraId="7A477C48" w14:textId="09511E90"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Broadley, M., Brown, P., Cakmak, I., Ma, J. F., Rengel, Z., </w:t>
      </w:r>
      <w:r>
        <w:rPr>
          <w:rFonts w:ascii="Times New Roman" w:hAnsi="Times New Roman" w:cs="Times New Roman"/>
          <w:sz w:val="20"/>
          <w:szCs w:val="20"/>
        </w:rPr>
        <w:t>and</w:t>
      </w:r>
      <w:r w:rsidRPr="00375B31">
        <w:rPr>
          <w:rFonts w:ascii="Times New Roman" w:hAnsi="Times New Roman" w:cs="Times New Roman"/>
          <w:sz w:val="20"/>
          <w:szCs w:val="20"/>
        </w:rPr>
        <w:t xml:space="preserve"> Zhao, F. (2012</w:t>
      </w:r>
      <w:r>
        <w:rPr>
          <w:rFonts w:ascii="Times New Roman" w:hAnsi="Times New Roman" w:cs="Times New Roman"/>
          <w:sz w:val="20"/>
          <w:szCs w:val="20"/>
        </w:rPr>
        <w:t>a</w:t>
      </w:r>
      <w:r w:rsidRPr="00375B31">
        <w:rPr>
          <w:rFonts w:ascii="Times New Roman" w:hAnsi="Times New Roman" w:cs="Times New Roman"/>
          <w:sz w:val="20"/>
          <w:szCs w:val="20"/>
        </w:rPr>
        <w:t xml:space="preserve">). Chapter 8—Beneficial Elements. In P. Marschner (Ed.), </w:t>
      </w:r>
      <w:r w:rsidRPr="00375B31">
        <w:rPr>
          <w:rFonts w:ascii="Times New Roman" w:hAnsi="Times New Roman" w:cs="Times New Roman"/>
          <w:i/>
          <w:iCs/>
          <w:sz w:val="20"/>
          <w:szCs w:val="20"/>
        </w:rPr>
        <w:t>Marschner’s Mineral Nutrition of Higher Plants (Third Edition)</w:t>
      </w:r>
      <w:r w:rsidRPr="00375B31">
        <w:rPr>
          <w:rFonts w:ascii="Times New Roman" w:hAnsi="Times New Roman" w:cs="Times New Roman"/>
          <w:sz w:val="20"/>
          <w:szCs w:val="20"/>
        </w:rPr>
        <w:t xml:space="preserve"> (pp. 249–269). Academic Press. https://doi.org/10.1016/B978-0-12-384905-2.00008-X</w:t>
      </w:r>
    </w:p>
    <w:p w14:paraId="2377C31B" w14:textId="080E2ED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Broadley, M., Brown, P., Cakmak, I., Rengel, Z., </w:t>
      </w:r>
      <w:r>
        <w:rPr>
          <w:rFonts w:ascii="Times New Roman" w:hAnsi="Times New Roman" w:cs="Times New Roman"/>
          <w:sz w:val="20"/>
          <w:szCs w:val="20"/>
        </w:rPr>
        <w:t>and</w:t>
      </w:r>
      <w:r w:rsidRPr="00375B31">
        <w:rPr>
          <w:rFonts w:ascii="Times New Roman" w:hAnsi="Times New Roman" w:cs="Times New Roman"/>
          <w:sz w:val="20"/>
          <w:szCs w:val="20"/>
        </w:rPr>
        <w:t xml:space="preserve"> Zhao, F. (2012</w:t>
      </w:r>
      <w:r>
        <w:rPr>
          <w:rFonts w:ascii="Times New Roman" w:hAnsi="Times New Roman" w:cs="Times New Roman"/>
          <w:sz w:val="20"/>
          <w:szCs w:val="20"/>
        </w:rPr>
        <w:t>b</w:t>
      </w:r>
      <w:r w:rsidRPr="00375B31">
        <w:rPr>
          <w:rFonts w:ascii="Times New Roman" w:hAnsi="Times New Roman" w:cs="Times New Roman"/>
          <w:sz w:val="20"/>
          <w:szCs w:val="20"/>
        </w:rPr>
        <w:t xml:space="preserve">). Chapter 7 - Function of Nutrients: Micronutrients. In P. Marschner (Ed.), </w:t>
      </w:r>
      <w:r w:rsidRPr="00375B31">
        <w:rPr>
          <w:rFonts w:ascii="Times New Roman" w:hAnsi="Times New Roman" w:cs="Times New Roman"/>
          <w:i/>
          <w:iCs/>
          <w:sz w:val="20"/>
          <w:szCs w:val="20"/>
        </w:rPr>
        <w:t>Marschner’s Mineral Nutrition of Higher Plants (Third Edition)</w:t>
      </w:r>
      <w:r w:rsidRPr="00375B31">
        <w:rPr>
          <w:rFonts w:ascii="Times New Roman" w:hAnsi="Times New Roman" w:cs="Times New Roman"/>
          <w:sz w:val="20"/>
          <w:szCs w:val="20"/>
        </w:rPr>
        <w:t xml:space="preserve"> (pp. 191–248). Academic Press. https://doi.org/10.1016/B978-0-12-384905-2.00007-8</w:t>
      </w:r>
    </w:p>
    <w:p w14:paraId="44849A7B" w14:textId="35D0CFFE"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Burau, R. G., Sheikh, B., Cort, R. P., Cooper, R. C., </w:t>
      </w:r>
      <w:r>
        <w:rPr>
          <w:rFonts w:ascii="Times New Roman" w:hAnsi="Times New Roman" w:cs="Times New Roman"/>
          <w:sz w:val="20"/>
          <w:szCs w:val="20"/>
        </w:rPr>
        <w:t>and</w:t>
      </w:r>
      <w:r w:rsidRPr="00375B31">
        <w:rPr>
          <w:rFonts w:ascii="Times New Roman" w:hAnsi="Times New Roman" w:cs="Times New Roman"/>
          <w:sz w:val="20"/>
          <w:szCs w:val="20"/>
        </w:rPr>
        <w:t xml:space="preserve"> Ririe, D. (1987). Reclaimed water for irrigation of vegetables eaten raw. </w:t>
      </w:r>
      <w:r w:rsidRPr="00375B31">
        <w:rPr>
          <w:rFonts w:ascii="Times New Roman" w:hAnsi="Times New Roman" w:cs="Times New Roman"/>
          <w:i/>
          <w:iCs/>
          <w:sz w:val="20"/>
          <w:szCs w:val="20"/>
        </w:rPr>
        <w:t>California Agriculture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July-August</w:t>
      </w:r>
      <w:r w:rsidRPr="00375B31">
        <w:rPr>
          <w:rFonts w:ascii="Times New Roman" w:hAnsi="Times New Roman" w:cs="Times New Roman"/>
          <w:sz w:val="20"/>
          <w:szCs w:val="20"/>
        </w:rPr>
        <w:t>, 4–7.</w:t>
      </w:r>
    </w:p>
    <w:p w14:paraId="2E2738F3" w14:textId="62E9F78C"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Carpenter, S. R., Stanley, E. H., </w:t>
      </w:r>
      <w:r>
        <w:rPr>
          <w:rFonts w:ascii="Times New Roman" w:hAnsi="Times New Roman" w:cs="Times New Roman"/>
          <w:sz w:val="20"/>
          <w:szCs w:val="20"/>
        </w:rPr>
        <w:t>and</w:t>
      </w:r>
      <w:r w:rsidRPr="00375B31">
        <w:rPr>
          <w:rFonts w:ascii="Times New Roman" w:hAnsi="Times New Roman" w:cs="Times New Roman"/>
          <w:sz w:val="20"/>
          <w:szCs w:val="20"/>
        </w:rPr>
        <w:t xml:space="preserve"> Vander Zanden, M. J. (2011). State of the World’s Freshwater Ecosystems: Physical, Chemical, and Biological Changes. </w:t>
      </w:r>
      <w:r w:rsidRPr="00375B31">
        <w:rPr>
          <w:rFonts w:ascii="Times New Roman" w:hAnsi="Times New Roman" w:cs="Times New Roman"/>
          <w:i/>
          <w:iCs/>
          <w:sz w:val="20"/>
          <w:szCs w:val="20"/>
        </w:rPr>
        <w:t>Annual Review of Environment and Resources</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36</w:t>
      </w:r>
      <w:r w:rsidRPr="00375B31">
        <w:rPr>
          <w:rFonts w:ascii="Times New Roman" w:hAnsi="Times New Roman" w:cs="Times New Roman"/>
          <w:sz w:val="20"/>
          <w:szCs w:val="20"/>
        </w:rPr>
        <w:t>(1), 75–99. https://doi.org/10.1146/annurev-environ-021810-094524</w:t>
      </w:r>
    </w:p>
    <w:p w14:paraId="31C09B12" w14:textId="2AF76C31"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lastRenderedPageBreak/>
        <w:t xml:space="preserve">Castillo, A. R., St-Pierre, N. R., Silva del Rio, N., </w:t>
      </w:r>
      <w:r>
        <w:rPr>
          <w:rFonts w:ascii="Times New Roman" w:hAnsi="Times New Roman" w:cs="Times New Roman"/>
          <w:sz w:val="20"/>
          <w:szCs w:val="20"/>
        </w:rPr>
        <w:t>and</w:t>
      </w:r>
      <w:r w:rsidRPr="00375B31">
        <w:rPr>
          <w:rFonts w:ascii="Times New Roman" w:hAnsi="Times New Roman" w:cs="Times New Roman"/>
          <w:sz w:val="20"/>
          <w:szCs w:val="20"/>
        </w:rPr>
        <w:t xml:space="preserve"> Weiss, W. P. (2013). Mineral concentrations in diets, water, and milk and their value in estimating on-farm excretion of manure minerals in lactating dairy cows. </w:t>
      </w:r>
      <w:r w:rsidRPr="00375B31">
        <w:rPr>
          <w:rFonts w:ascii="Times New Roman" w:hAnsi="Times New Roman" w:cs="Times New Roman"/>
          <w:i/>
          <w:iCs/>
          <w:sz w:val="20"/>
          <w:szCs w:val="20"/>
        </w:rPr>
        <w:t>Journal of Dairy Science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96</w:t>
      </w:r>
      <w:r w:rsidRPr="00375B31">
        <w:rPr>
          <w:rFonts w:ascii="Times New Roman" w:hAnsi="Times New Roman" w:cs="Times New Roman"/>
          <w:sz w:val="20"/>
          <w:szCs w:val="20"/>
        </w:rPr>
        <w:t>(5), 3388–3398. https://doi.org/10.3168/jds.2012-6121</w:t>
      </w:r>
    </w:p>
    <w:p w14:paraId="4509BE61" w14:textId="6876C424"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Chang, A., Pan, G., Page, A., </w:t>
      </w:r>
      <w:r>
        <w:rPr>
          <w:rFonts w:ascii="Times New Roman" w:hAnsi="Times New Roman" w:cs="Times New Roman"/>
          <w:sz w:val="20"/>
          <w:szCs w:val="20"/>
        </w:rPr>
        <w:t>and</w:t>
      </w:r>
      <w:r w:rsidRPr="00375B31">
        <w:rPr>
          <w:rFonts w:ascii="Times New Roman" w:hAnsi="Times New Roman" w:cs="Times New Roman"/>
          <w:sz w:val="20"/>
          <w:szCs w:val="20"/>
        </w:rPr>
        <w:t xml:space="preserve"> Asano, T. (2001). </w:t>
      </w:r>
      <w:r w:rsidRPr="00375B31">
        <w:rPr>
          <w:rFonts w:ascii="Times New Roman" w:hAnsi="Times New Roman" w:cs="Times New Roman"/>
          <w:i/>
          <w:iCs/>
          <w:sz w:val="20"/>
          <w:szCs w:val="20"/>
        </w:rPr>
        <w:t>Developing human health-related chemical guidelines for reclaimed water and sewage sludge applications in agriculture</w:t>
      </w:r>
      <w:r w:rsidRPr="00375B31">
        <w:rPr>
          <w:rFonts w:ascii="Times New Roman" w:hAnsi="Times New Roman" w:cs="Times New Roman"/>
          <w:sz w:val="20"/>
          <w:szCs w:val="20"/>
        </w:rPr>
        <w:t xml:space="preserve"> (No. WHO/EOS/95.20; p. 13). World Health Organization European Environmental Bureau.</w:t>
      </w:r>
    </w:p>
    <w:p w14:paraId="21D97BF6" w14:textId="18A49444"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Chibuike, G. U., </w:t>
      </w:r>
      <w:r>
        <w:rPr>
          <w:rFonts w:ascii="Times New Roman" w:hAnsi="Times New Roman" w:cs="Times New Roman"/>
          <w:sz w:val="20"/>
          <w:szCs w:val="20"/>
        </w:rPr>
        <w:t>and</w:t>
      </w:r>
      <w:r w:rsidRPr="00375B31">
        <w:rPr>
          <w:rFonts w:ascii="Times New Roman" w:hAnsi="Times New Roman" w:cs="Times New Roman"/>
          <w:sz w:val="20"/>
          <w:szCs w:val="20"/>
        </w:rPr>
        <w:t xml:space="preserve"> Obiora, S. C. (2014). </w:t>
      </w:r>
      <w:r w:rsidRPr="00375B31">
        <w:rPr>
          <w:rFonts w:ascii="Times New Roman" w:hAnsi="Times New Roman" w:cs="Times New Roman"/>
          <w:i/>
          <w:iCs/>
          <w:sz w:val="20"/>
          <w:szCs w:val="20"/>
        </w:rPr>
        <w:t>Heavy Metal Polluted Soils: Effect on Plants and Bioremediation Methods</w:t>
      </w:r>
      <w:r w:rsidRPr="00375B31">
        <w:rPr>
          <w:rFonts w:ascii="Times New Roman" w:hAnsi="Times New Roman" w:cs="Times New Roman"/>
          <w:sz w:val="20"/>
          <w:szCs w:val="20"/>
        </w:rPr>
        <w:t xml:space="preserve"> [Review Article]. Applied and Environmental Soil Science; Hindawi. https://doi.org/10.1155/2014/752708</w:t>
      </w:r>
    </w:p>
    <w:p w14:paraId="2F755559" w14:textId="2125A273"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Critchley, W., </w:t>
      </w:r>
      <w:r>
        <w:rPr>
          <w:rFonts w:ascii="Times New Roman" w:hAnsi="Times New Roman" w:cs="Times New Roman"/>
          <w:sz w:val="20"/>
          <w:szCs w:val="20"/>
        </w:rPr>
        <w:t>and</w:t>
      </w:r>
      <w:r w:rsidRPr="00375B31">
        <w:rPr>
          <w:rFonts w:ascii="Times New Roman" w:hAnsi="Times New Roman" w:cs="Times New Roman"/>
          <w:sz w:val="20"/>
          <w:szCs w:val="20"/>
        </w:rPr>
        <w:t xml:space="preserve"> Siegert, K. (1991). </w:t>
      </w:r>
      <w:r w:rsidRPr="00375B31">
        <w:rPr>
          <w:rFonts w:ascii="Times New Roman" w:hAnsi="Times New Roman" w:cs="Times New Roman"/>
          <w:i/>
          <w:iCs/>
          <w:sz w:val="20"/>
          <w:szCs w:val="20"/>
        </w:rPr>
        <w:t>A Manual for the Design and Construction of Water Harvesting Schemes for Plant Production</w:t>
      </w:r>
      <w:r w:rsidRPr="00375B31">
        <w:rPr>
          <w:rFonts w:ascii="Times New Roman" w:hAnsi="Times New Roman" w:cs="Times New Roman"/>
          <w:sz w:val="20"/>
          <w:szCs w:val="20"/>
        </w:rPr>
        <w:t>. Food and Agriculture Organization of the United Nations. http://www.fao.org/3/U3160E/u3160e00.htm</w:t>
      </w:r>
    </w:p>
    <w:p w14:paraId="43580E06"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Dial, H. (2012). </w:t>
      </w:r>
      <w:r w:rsidRPr="00375B31">
        <w:rPr>
          <w:rFonts w:ascii="Times New Roman" w:hAnsi="Times New Roman" w:cs="Times New Roman"/>
          <w:i/>
          <w:iCs/>
          <w:sz w:val="20"/>
          <w:szCs w:val="20"/>
        </w:rPr>
        <w:t>Plant guide for sorghum (Sorghum bicolor L.)</w:t>
      </w:r>
      <w:r w:rsidRPr="00375B31">
        <w:rPr>
          <w:rFonts w:ascii="Times New Roman" w:hAnsi="Times New Roman" w:cs="Times New Roman"/>
          <w:sz w:val="20"/>
          <w:szCs w:val="20"/>
        </w:rPr>
        <w:t xml:space="preserve"> (p. 5). USDA-Natural Resources Conservation Service.</w:t>
      </w:r>
    </w:p>
    <w:p w14:paraId="241EDC17" w14:textId="181FE00A"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Doupé, R. G., </w:t>
      </w:r>
      <w:r>
        <w:rPr>
          <w:rFonts w:ascii="Times New Roman" w:hAnsi="Times New Roman" w:cs="Times New Roman"/>
          <w:sz w:val="20"/>
          <w:szCs w:val="20"/>
        </w:rPr>
        <w:t>and</w:t>
      </w:r>
      <w:r w:rsidRPr="00375B31">
        <w:rPr>
          <w:rFonts w:ascii="Times New Roman" w:hAnsi="Times New Roman" w:cs="Times New Roman"/>
          <w:sz w:val="20"/>
          <w:szCs w:val="20"/>
        </w:rPr>
        <w:t xml:space="preserve"> Lymbery, A. J. (2005). Environmental Risks Associated with Beneficial End Uses of Mine Lakes in Southwestern Australia.pdf. </w:t>
      </w:r>
      <w:r w:rsidRPr="00375B31">
        <w:rPr>
          <w:rFonts w:ascii="Times New Roman" w:hAnsi="Times New Roman" w:cs="Times New Roman"/>
          <w:i/>
          <w:iCs/>
          <w:sz w:val="20"/>
          <w:szCs w:val="20"/>
        </w:rPr>
        <w:t>Mine Water and the Environment</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24</w:t>
      </w:r>
      <w:r w:rsidRPr="00375B31">
        <w:rPr>
          <w:rFonts w:ascii="Times New Roman" w:hAnsi="Times New Roman" w:cs="Times New Roman"/>
          <w:sz w:val="20"/>
          <w:szCs w:val="20"/>
        </w:rPr>
        <w:t>, 134–138. https://doi.org/10.1007/s10230-005-0084-0</w:t>
      </w:r>
    </w:p>
    <w:p w14:paraId="4EEE2503" w14:textId="279683CA"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Drew, M. C., </w:t>
      </w:r>
      <w:r>
        <w:rPr>
          <w:rFonts w:ascii="Times New Roman" w:hAnsi="Times New Roman" w:cs="Times New Roman"/>
          <w:sz w:val="20"/>
          <w:szCs w:val="20"/>
        </w:rPr>
        <w:t>and</w:t>
      </w:r>
      <w:r w:rsidRPr="00375B31">
        <w:rPr>
          <w:rFonts w:ascii="Times New Roman" w:hAnsi="Times New Roman" w:cs="Times New Roman"/>
          <w:sz w:val="20"/>
          <w:szCs w:val="20"/>
        </w:rPr>
        <w:t xml:space="preserve"> Dikumwin, E. (1985). Sodium Exclusion from the Shoots by Roots of Zea mays (cv. LG 11) and its Breakdown with Oxygen Deficiency. </w:t>
      </w:r>
      <w:r w:rsidRPr="00375B31">
        <w:rPr>
          <w:rFonts w:ascii="Times New Roman" w:hAnsi="Times New Roman" w:cs="Times New Roman"/>
          <w:i/>
          <w:iCs/>
          <w:sz w:val="20"/>
          <w:szCs w:val="20"/>
        </w:rPr>
        <w:t>Journal of Experimental Botany</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36</w:t>
      </w:r>
      <w:r w:rsidRPr="00375B31">
        <w:rPr>
          <w:rFonts w:ascii="Times New Roman" w:hAnsi="Times New Roman" w:cs="Times New Roman"/>
          <w:sz w:val="20"/>
          <w:szCs w:val="20"/>
        </w:rPr>
        <w:t>(1), 55–62. https://doi.org/10.1093/jxb/36.1.55</w:t>
      </w:r>
    </w:p>
    <w:p w14:paraId="210EC8F2" w14:textId="4EA29862"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Duncan, S., Fjell, D., </w:t>
      </w:r>
      <w:r>
        <w:rPr>
          <w:rFonts w:ascii="Times New Roman" w:hAnsi="Times New Roman" w:cs="Times New Roman"/>
          <w:sz w:val="20"/>
          <w:szCs w:val="20"/>
        </w:rPr>
        <w:t>and</w:t>
      </w:r>
      <w:r w:rsidRPr="00375B31">
        <w:rPr>
          <w:rFonts w:ascii="Times New Roman" w:hAnsi="Times New Roman" w:cs="Times New Roman"/>
          <w:sz w:val="20"/>
          <w:szCs w:val="20"/>
        </w:rPr>
        <w:t xml:space="preserve"> Vanderlip, R. (2007). </w:t>
      </w:r>
      <w:r w:rsidRPr="00375B31">
        <w:rPr>
          <w:rFonts w:ascii="Times New Roman" w:hAnsi="Times New Roman" w:cs="Times New Roman"/>
          <w:i/>
          <w:iCs/>
          <w:sz w:val="20"/>
          <w:szCs w:val="20"/>
        </w:rPr>
        <w:t>Corn Production Handbook</w:t>
      </w:r>
      <w:r w:rsidRPr="00375B31">
        <w:rPr>
          <w:rFonts w:ascii="Times New Roman" w:hAnsi="Times New Roman" w:cs="Times New Roman"/>
          <w:sz w:val="20"/>
          <w:szCs w:val="20"/>
        </w:rPr>
        <w:t>. Kansas State University. https://bookstore.ksre.ksu.edu/pubs/c560.pdf</w:t>
      </w:r>
    </w:p>
    <w:p w14:paraId="4F3FB21F" w14:textId="39D1A3AC"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Eddy, R., </w:t>
      </w:r>
      <w:r>
        <w:rPr>
          <w:rFonts w:ascii="Times New Roman" w:hAnsi="Times New Roman" w:cs="Times New Roman"/>
          <w:sz w:val="20"/>
          <w:szCs w:val="20"/>
        </w:rPr>
        <w:t>and</w:t>
      </w:r>
      <w:r w:rsidRPr="00375B31">
        <w:rPr>
          <w:rFonts w:ascii="Times New Roman" w:hAnsi="Times New Roman" w:cs="Times New Roman"/>
          <w:sz w:val="20"/>
          <w:szCs w:val="20"/>
        </w:rPr>
        <w:t xml:space="preserve"> Hahn, D. T. (2013). </w:t>
      </w:r>
      <w:r w:rsidRPr="00375B31">
        <w:rPr>
          <w:rFonts w:ascii="Times New Roman" w:hAnsi="Times New Roman" w:cs="Times New Roman"/>
          <w:i/>
          <w:iCs/>
          <w:sz w:val="20"/>
          <w:szCs w:val="20"/>
        </w:rPr>
        <w:t>Optimizing Greenhouse Corn Production: What Is the Best Lighting and Plant Density?</w:t>
      </w:r>
      <w:r w:rsidRPr="00375B31">
        <w:rPr>
          <w:rFonts w:ascii="Times New Roman" w:hAnsi="Times New Roman" w:cs="Times New Roman"/>
          <w:sz w:val="20"/>
          <w:szCs w:val="20"/>
        </w:rPr>
        <w:t xml:space="preserve"> (Paper 13; Purdue Methods for Corn Growth, p. 5). http://docs.lib.purdue.edu/pmcg/13</w:t>
      </w:r>
    </w:p>
    <w:p w14:paraId="59A130AB" w14:textId="7B69E17A"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Elahi, E., Abid, M., Zhang, L., </w:t>
      </w:r>
      <w:r>
        <w:rPr>
          <w:rFonts w:ascii="Times New Roman" w:hAnsi="Times New Roman" w:cs="Times New Roman"/>
          <w:sz w:val="20"/>
          <w:szCs w:val="20"/>
        </w:rPr>
        <w:t>and</w:t>
      </w:r>
      <w:r w:rsidRPr="00375B31">
        <w:rPr>
          <w:rFonts w:ascii="Times New Roman" w:hAnsi="Times New Roman" w:cs="Times New Roman"/>
          <w:sz w:val="20"/>
          <w:szCs w:val="20"/>
        </w:rPr>
        <w:t xml:space="preserve"> Alugongo, G. M. (2017). The use of wastewater in livestock production and its socioeconomic and welfare implications. </w:t>
      </w:r>
      <w:r w:rsidRPr="00375B31">
        <w:rPr>
          <w:rFonts w:ascii="Times New Roman" w:hAnsi="Times New Roman" w:cs="Times New Roman"/>
          <w:i/>
          <w:iCs/>
          <w:sz w:val="20"/>
          <w:szCs w:val="20"/>
        </w:rPr>
        <w:t>Environmental Science and Pollution Research</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24</w:t>
      </w:r>
      <w:r w:rsidRPr="00375B31">
        <w:rPr>
          <w:rFonts w:ascii="Times New Roman" w:hAnsi="Times New Roman" w:cs="Times New Roman"/>
          <w:sz w:val="20"/>
          <w:szCs w:val="20"/>
        </w:rPr>
        <w:t>(21), 17255–17266. https://doi.org/10.1007/s11356-017-9263-3</w:t>
      </w:r>
    </w:p>
    <w:p w14:paraId="17D4EF0F" w14:textId="09980100"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lastRenderedPageBreak/>
        <w:t xml:space="preserve">Farnham, I. M., Singh, A. K., Stetzenbach, K. J., </w:t>
      </w:r>
      <w:r>
        <w:rPr>
          <w:rFonts w:ascii="Times New Roman" w:hAnsi="Times New Roman" w:cs="Times New Roman"/>
          <w:sz w:val="20"/>
          <w:szCs w:val="20"/>
        </w:rPr>
        <w:t>and</w:t>
      </w:r>
      <w:r w:rsidRPr="00375B31">
        <w:rPr>
          <w:rFonts w:ascii="Times New Roman" w:hAnsi="Times New Roman" w:cs="Times New Roman"/>
          <w:sz w:val="20"/>
          <w:szCs w:val="20"/>
        </w:rPr>
        <w:t xml:space="preserve"> Johannesson, K. H. (2002). Treatment of nondetects in multivariate analysis of groundwater geochemistry data. </w:t>
      </w:r>
      <w:r w:rsidRPr="00375B31">
        <w:rPr>
          <w:rFonts w:ascii="Times New Roman" w:hAnsi="Times New Roman" w:cs="Times New Roman"/>
          <w:i/>
          <w:iCs/>
          <w:sz w:val="20"/>
          <w:szCs w:val="20"/>
        </w:rPr>
        <w:t>Chemometrics and Intelligent Laboratory Systems</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60</w:t>
      </w:r>
      <w:r w:rsidRPr="00375B31">
        <w:rPr>
          <w:rFonts w:ascii="Times New Roman" w:hAnsi="Times New Roman" w:cs="Times New Roman"/>
          <w:sz w:val="20"/>
          <w:szCs w:val="20"/>
        </w:rPr>
        <w:t>(1–2), 265–281. https://doi.org/10.1016/S0169-7439(01)00201-5</w:t>
      </w:r>
    </w:p>
    <w:p w14:paraId="5EE3CB3E" w14:textId="5213421A"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Farooq, M., Hussain, M., Wakeel, A., </w:t>
      </w:r>
      <w:r>
        <w:rPr>
          <w:rFonts w:ascii="Times New Roman" w:hAnsi="Times New Roman" w:cs="Times New Roman"/>
          <w:sz w:val="20"/>
          <w:szCs w:val="20"/>
        </w:rPr>
        <w:t>and</w:t>
      </w:r>
      <w:r w:rsidRPr="00375B31">
        <w:rPr>
          <w:rFonts w:ascii="Times New Roman" w:hAnsi="Times New Roman" w:cs="Times New Roman"/>
          <w:sz w:val="20"/>
          <w:szCs w:val="20"/>
        </w:rPr>
        <w:t xml:space="preserve"> Siddique, K. H. M. (2015). Salt stress in maize: Effects, resistance mechanisms, and management. A review. </w:t>
      </w:r>
      <w:r w:rsidRPr="00375B31">
        <w:rPr>
          <w:rFonts w:ascii="Times New Roman" w:hAnsi="Times New Roman" w:cs="Times New Roman"/>
          <w:i/>
          <w:iCs/>
          <w:sz w:val="20"/>
          <w:szCs w:val="20"/>
        </w:rPr>
        <w:t>Agronomy for Sustainable Development</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35</w:t>
      </w:r>
      <w:r w:rsidRPr="00375B31">
        <w:rPr>
          <w:rFonts w:ascii="Times New Roman" w:hAnsi="Times New Roman" w:cs="Times New Roman"/>
          <w:sz w:val="20"/>
          <w:szCs w:val="20"/>
        </w:rPr>
        <w:t>(2), 461–481. https://doi.org/10.1007/s13593-015-0287-0</w:t>
      </w:r>
    </w:p>
    <w:p w14:paraId="63F8FD96" w14:textId="55E0FA5A"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Flörke, M., Kynast, E., Bärlund, I., Eisner, S., Wimmer, F., </w:t>
      </w:r>
      <w:r>
        <w:rPr>
          <w:rFonts w:ascii="Times New Roman" w:hAnsi="Times New Roman" w:cs="Times New Roman"/>
          <w:sz w:val="20"/>
          <w:szCs w:val="20"/>
        </w:rPr>
        <w:t>and</w:t>
      </w:r>
      <w:r w:rsidRPr="00375B31">
        <w:rPr>
          <w:rFonts w:ascii="Times New Roman" w:hAnsi="Times New Roman" w:cs="Times New Roman"/>
          <w:sz w:val="20"/>
          <w:szCs w:val="20"/>
        </w:rPr>
        <w:t xml:space="preserve"> Alcamo, J. (2013). Domestic and industrial water uses of the past 60 years as a mirror of socio-economic development: A global simulation study. </w:t>
      </w:r>
      <w:r w:rsidRPr="00375B31">
        <w:rPr>
          <w:rFonts w:ascii="Times New Roman" w:hAnsi="Times New Roman" w:cs="Times New Roman"/>
          <w:i/>
          <w:iCs/>
          <w:sz w:val="20"/>
          <w:szCs w:val="20"/>
        </w:rPr>
        <w:t>Global Environmental Change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23</w:t>
      </w:r>
      <w:r w:rsidRPr="00375B31">
        <w:rPr>
          <w:rFonts w:ascii="Times New Roman" w:hAnsi="Times New Roman" w:cs="Times New Roman"/>
          <w:sz w:val="20"/>
          <w:szCs w:val="20"/>
        </w:rPr>
        <w:t>(1), 144–156. https://doi.org/10.1016/j.gloenvcha.2012.10.018</w:t>
      </w:r>
    </w:p>
    <w:p w14:paraId="62254B31"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Ford, K. L. (2003). Passive Treatment Systems for Acid Mine Drainage. </w:t>
      </w:r>
      <w:r w:rsidRPr="00375B31">
        <w:rPr>
          <w:rFonts w:ascii="Times New Roman" w:hAnsi="Times New Roman" w:cs="Times New Roman"/>
          <w:i/>
          <w:iCs/>
          <w:sz w:val="20"/>
          <w:szCs w:val="20"/>
        </w:rPr>
        <w:t>U.S. Bureau of Land Management Papers</w:t>
      </w:r>
      <w:r w:rsidRPr="00375B31">
        <w:rPr>
          <w:rFonts w:ascii="Times New Roman" w:hAnsi="Times New Roman" w:cs="Times New Roman"/>
          <w:sz w:val="20"/>
          <w:szCs w:val="20"/>
        </w:rPr>
        <w:t>. https://digitalcommons.unl.edu/usblmpub/19</w:t>
      </w:r>
    </w:p>
    <w:p w14:paraId="4BC27FA0" w14:textId="68DDBF3E"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Frey, B. B., Murrar, S., </w:t>
      </w:r>
      <w:r>
        <w:rPr>
          <w:rFonts w:ascii="Times New Roman" w:hAnsi="Times New Roman" w:cs="Times New Roman"/>
          <w:sz w:val="20"/>
          <w:szCs w:val="20"/>
        </w:rPr>
        <w:t>and</w:t>
      </w:r>
      <w:r w:rsidRPr="00375B31">
        <w:rPr>
          <w:rFonts w:ascii="Times New Roman" w:hAnsi="Times New Roman" w:cs="Times New Roman"/>
          <w:sz w:val="20"/>
          <w:szCs w:val="20"/>
        </w:rPr>
        <w:t xml:space="preserve"> Brauer, M. (2018). Mixed Model Analysis of Variance. In </w:t>
      </w:r>
      <w:r w:rsidRPr="00375B31">
        <w:rPr>
          <w:rFonts w:ascii="Times New Roman" w:hAnsi="Times New Roman" w:cs="Times New Roman"/>
          <w:i/>
          <w:iCs/>
          <w:sz w:val="20"/>
          <w:szCs w:val="20"/>
        </w:rPr>
        <w:t>The SAGE Encyclopedia of Educational Research, Measurement, and Evaluation</w:t>
      </w:r>
      <w:r w:rsidRPr="00375B31">
        <w:rPr>
          <w:rFonts w:ascii="Times New Roman" w:hAnsi="Times New Roman" w:cs="Times New Roman"/>
          <w:sz w:val="20"/>
          <w:szCs w:val="20"/>
        </w:rPr>
        <w:t xml:space="preserve"> (pp. 1075–1078). SAGE Publications, Inc. https://doi.org/10.4135/9781506326139</w:t>
      </w:r>
    </w:p>
    <w:p w14:paraId="7FA6FB62" w14:textId="498A61B9"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Fu, J., Fry, J., </w:t>
      </w:r>
      <w:r>
        <w:rPr>
          <w:rFonts w:ascii="Times New Roman" w:hAnsi="Times New Roman" w:cs="Times New Roman"/>
          <w:sz w:val="20"/>
          <w:szCs w:val="20"/>
        </w:rPr>
        <w:t>and</w:t>
      </w:r>
      <w:r w:rsidRPr="00375B31">
        <w:rPr>
          <w:rFonts w:ascii="Times New Roman" w:hAnsi="Times New Roman" w:cs="Times New Roman"/>
          <w:sz w:val="20"/>
          <w:szCs w:val="20"/>
        </w:rPr>
        <w:t xml:space="preserve"> Huang, B. (2004). Minimum Water Requirements of Four Turfgrasses in the Transition Zone. </w:t>
      </w:r>
      <w:r w:rsidRPr="00375B31">
        <w:rPr>
          <w:rFonts w:ascii="Times New Roman" w:hAnsi="Times New Roman" w:cs="Times New Roman"/>
          <w:i/>
          <w:iCs/>
          <w:sz w:val="20"/>
          <w:szCs w:val="20"/>
        </w:rPr>
        <w:t>HortScience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39</w:t>
      </w:r>
      <w:r w:rsidRPr="00375B31">
        <w:rPr>
          <w:rFonts w:ascii="Times New Roman" w:hAnsi="Times New Roman" w:cs="Times New Roman"/>
          <w:sz w:val="20"/>
          <w:szCs w:val="20"/>
        </w:rPr>
        <w:t>(7), 1740–1744. https://doi.org/10.21273/HORTSCI.39.7.1740</w:t>
      </w:r>
    </w:p>
    <w:p w14:paraId="4406CBC6" w14:textId="454B893F"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Gao, Y., Lu, Y., Wu, M., Liang, E., Li, Y., Zhang, D., Yin, Z., Ren, X., Dai, Y., Deng, D., </w:t>
      </w:r>
      <w:r>
        <w:rPr>
          <w:rFonts w:ascii="Times New Roman" w:hAnsi="Times New Roman" w:cs="Times New Roman"/>
          <w:sz w:val="20"/>
          <w:szCs w:val="20"/>
        </w:rPr>
        <w:t>and</w:t>
      </w:r>
      <w:r w:rsidRPr="00375B31">
        <w:rPr>
          <w:rFonts w:ascii="Times New Roman" w:hAnsi="Times New Roman" w:cs="Times New Roman"/>
          <w:sz w:val="20"/>
          <w:szCs w:val="20"/>
        </w:rPr>
        <w:t xml:space="preserve"> Chen, J. (2016). Ability to Remove Na+ and Retain K+ Correlates with Salt Tolerance in Two Maize Inbred Lines Seedlings. </w:t>
      </w:r>
      <w:r w:rsidRPr="00375B31">
        <w:rPr>
          <w:rFonts w:ascii="Times New Roman" w:hAnsi="Times New Roman" w:cs="Times New Roman"/>
          <w:i/>
          <w:iCs/>
          <w:sz w:val="20"/>
          <w:szCs w:val="20"/>
        </w:rPr>
        <w:t>Frontiers in Plant Science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7</w:t>
      </w:r>
      <w:r w:rsidRPr="00375B31">
        <w:rPr>
          <w:rFonts w:ascii="Times New Roman" w:hAnsi="Times New Roman" w:cs="Times New Roman"/>
          <w:sz w:val="20"/>
          <w:szCs w:val="20"/>
        </w:rPr>
        <w:t>(1716), 1–15. https://doi.org/10.3389/fpls.2016.01716</w:t>
      </w:r>
    </w:p>
    <w:p w14:paraId="53C4376E" w14:textId="24C5435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Garrido, A. E., Strosnider, W. H., Wilson, R. T., Condori, J., </w:t>
      </w:r>
      <w:r>
        <w:rPr>
          <w:rFonts w:ascii="Times New Roman" w:hAnsi="Times New Roman" w:cs="Times New Roman"/>
          <w:sz w:val="20"/>
          <w:szCs w:val="20"/>
        </w:rPr>
        <w:t>and</w:t>
      </w:r>
      <w:r w:rsidRPr="00375B31">
        <w:rPr>
          <w:rFonts w:ascii="Times New Roman" w:hAnsi="Times New Roman" w:cs="Times New Roman"/>
          <w:sz w:val="20"/>
          <w:szCs w:val="20"/>
        </w:rPr>
        <w:t xml:space="preserve"> Nairn, R. W. (2017). Metal-contaminated potato crops and potential human health risk in Bolivian mining highlands. </w:t>
      </w:r>
      <w:r w:rsidRPr="00375B31">
        <w:rPr>
          <w:rFonts w:ascii="Times New Roman" w:hAnsi="Times New Roman" w:cs="Times New Roman"/>
          <w:i/>
          <w:iCs/>
          <w:sz w:val="20"/>
          <w:szCs w:val="20"/>
        </w:rPr>
        <w:t>Environmental Geochemistry and Health</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39</w:t>
      </w:r>
      <w:r w:rsidRPr="00375B31">
        <w:rPr>
          <w:rFonts w:ascii="Times New Roman" w:hAnsi="Times New Roman" w:cs="Times New Roman"/>
          <w:sz w:val="20"/>
          <w:szCs w:val="20"/>
        </w:rPr>
        <w:t>(3), 681–700. https://doi.org/10.1007/s10653-017-9943-4</w:t>
      </w:r>
    </w:p>
    <w:p w14:paraId="298F6243" w14:textId="452EEB86"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Garrot, D. J., </w:t>
      </w:r>
      <w:r>
        <w:rPr>
          <w:rFonts w:ascii="Times New Roman" w:hAnsi="Times New Roman" w:cs="Times New Roman"/>
          <w:sz w:val="20"/>
          <w:szCs w:val="20"/>
        </w:rPr>
        <w:t>and</w:t>
      </w:r>
      <w:r w:rsidRPr="00375B31">
        <w:rPr>
          <w:rFonts w:ascii="Times New Roman" w:hAnsi="Times New Roman" w:cs="Times New Roman"/>
          <w:sz w:val="20"/>
          <w:szCs w:val="20"/>
        </w:rPr>
        <w:t xml:space="preserve"> Mancino, C. F. (1994). Consumptive Water Use of Three Intensively Managed Bermudagrasses Growing under Arid Conditions. </w:t>
      </w:r>
      <w:r w:rsidRPr="00375B31">
        <w:rPr>
          <w:rFonts w:ascii="Times New Roman" w:hAnsi="Times New Roman" w:cs="Times New Roman"/>
          <w:i/>
          <w:iCs/>
          <w:sz w:val="20"/>
          <w:szCs w:val="20"/>
        </w:rPr>
        <w:t>Crop Science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34</w:t>
      </w:r>
      <w:r w:rsidRPr="00375B31">
        <w:rPr>
          <w:rFonts w:ascii="Times New Roman" w:hAnsi="Times New Roman" w:cs="Times New Roman"/>
          <w:sz w:val="20"/>
          <w:szCs w:val="20"/>
        </w:rPr>
        <w:t>(1), 215–221. https://doi.org/10.2135/cropsci1994.0011183X003400010039x</w:t>
      </w:r>
    </w:p>
    <w:p w14:paraId="7CB95C02" w14:textId="1B0059C8"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Gerik, T., Bean, B., </w:t>
      </w:r>
      <w:r>
        <w:rPr>
          <w:rFonts w:ascii="Times New Roman" w:hAnsi="Times New Roman" w:cs="Times New Roman"/>
          <w:sz w:val="20"/>
          <w:szCs w:val="20"/>
        </w:rPr>
        <w:t>and</w:t>
      </w:r>
      <w:r w:rsidRPr="00375B31">
        <w:rPr>
          <w:rFonts w:ascii="Times New Roman" w:hAnsi="Times New Roman" w:cs="Times New Roman"/>
          <w:sz w:val="20"/>
          <w:szCs w:val="20"/>
        </w:rPr>
        <w:t xml:space="preserve"> Vanderlip, R. (2003). </w:t>
      </w:r>
      <w:r w:rsidRPr="00375B31">
        <w:rPr>
          <w:rFonts w:ascii="Times New Roman" w:hAnsi="Times New Roman" w:cs="Times New Roman"/>
          <w:i/>
          <w:iCs/>
          <w:sz w:val="20"/>
          <w:szCs w:val="20"/>
        </w:rPr>
        <w:t>Sorghum Growth and Development</w:t>
      </w:r>
      <w:r w:rsidRPr="00375B31">
        <w:rPr>
          <w:rFonts w:ascii="Times New Roman" w:hAnsi="Times New Roman" w:cs="Times New Roman"/>
          <w:sz w:val="20"/>
          <w:szCs w:val="20"/>
        </w:rPr>
        <w:t xml:space="preserve"> (B-6137 7-03; p. 8). Texas A</w:t>
      </w:r>
      <w:r>
        <w:rPr>
          <w:rFonts w:ascii="Times New Roman" w:hAnsi="Times New Roman" w:cs="Times New Roman"/>
          <w:sz w:val="20"/>
          <w:szCs w:val="20"/>
        </w:rPr>
        <w:t>&amp;</w:t>
      </w:r>
      <w:r w:rsidRPr="00375B31">
        <w:rPr>
          <w:rFonts w:ascii="Times New Roman" w:hAnsi="Times New Roman" w:cs="Times New Roman"/>
          <w:sz w:val="20"/>
          <w:szCs w:val="20"/>
        </w:rPr>
        <w:t>M University.</w:t>
      </w:r>
    </w:p>
    <w:p w14:paraId="6E0BB75A" w14:textId="0CF5B6C0"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lastRenderedPageBreak/>
        <w:t xml:space="preserve">Grant, S. B., Saphores, J.-D., Feldman, D. L., Hamilton, A. J., Fletcher, T. D., Cook, P. L. M., Stewardson, M., Sanders, B. F., Levin, L. A., Ambrose, R. F., Deletic, A., Brown, R., Jiang, S. C., Rosso, D., Cooper, W. J., </w:t>
      </w:r>
      <w:r>
        <w:rPr>
          <w:rFonts w:ascii="Times New Roman" w:hAnsi="Times New Roman" w:cs="Times New Roman"/>
          <w:sz w:val="20"/>
          <w:szCs w:val="20"/>
        </w:rPr>
        <w:t>and</w:t>
      </w:r>
      <w:r w:rsidRPr="00375B31">
        <w:rPr>
          <w:rFonts w:ascii="Times New Roman" w:hAnsi="Times New Roman" w:cs="Times New Roman"/>
          <w:sz w:val="20"/>
          <w:szCs w:val="20"/>
        </w:rPr>
        <w:t xml:space="preserve"> Marusic, I. (2012). Taking the “Waste” Out of “Wastewater” for Human Water Security and Ecosystem Sustainability. </w:t>
      </w:r>
      <w:r w:rsidRPr="00375B31">
        <w:rPr>
          <w:rFonts w:ascii="Times New Roman" w:hAnsi="Times New Roman" w:cs="Times New Roman"/>
          <w:i/>
          <w:iCs/>
          <w:sz w:val="20"/>
          <w:szCs w:val="20"/>
        </w:rPr>
        <w:t>Science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337</w:t>
      </w:r>
      <w:r w:rsidRPr="00375B31">
        <w:rPr>
          <w:rFonts w:ascii="Times New Roman" w:hAnsi="Times New Roman" w:cs="Times New Roman"/>
          <w:sz w:val="20"/>
          <w:szCs w:val="20"/>
        </w:rPr>
        <w:t>(6095), 681–686. https://doi.org/10.1126/science.1216852</w:t>
      </w:r>
    </w:p>
    <w:p w14:paraId="5285F6FF" w14:textId="2327AE3F"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Grewar, T. (2019). South Africa’s options for mine</w:t>
      </w:r>
      <w:r>
        <w:rPr>
          <w:rFonts w:ascii="Times New Roman" w:hAnsi="Times New Roman" w:cs="Times New Roman"/>
          <w:sz w:val="20"/>
          <w:szCs w:val="20"/>
        </w:rPr>
        <w:t>-</w:t>
      </w:r>
      <w:r w:rsidRPr="00375B31">
        <w:rPr>
          <w:rFonts w:ascii="Times New Roman" w:hAnsi="Times New Roman" w:cs="Times New Roman"/>
          <w:sz w:val="20"/>
          <w:szCs w:val="20"/>
        </w:rPr>
        <w:t xml:space="preserve">impacted water re-use: A review. </w:t>
      </w:r>
      <w:r w:rsidRPr="00375B31">
        <w:rPr>
          <w:rFonts w:ascii="Times New Roman" w:hAnsi="Times New Roman" w:cs="Times New Roman"/>
          <w:i/>
          <w:iCs/>
          <w:sz w:val="20"/>
          <w:szCs w:val="20"/>
        </w:rPr>
        <w:t>Journal of the Southern African Institute of Mining and Metallurgy</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119</w:t>
      </w:r>
      <w:r w:rsidRPr="00375B31">
        <w:rPr>
          <w:rFonts w:ascii="Times New Roman" w:hAnsi="Times New Roman" w:cs="Times New Roman"/>
          <w:sz w:val="20"/>
          <w:szCs w:val="20"/>
        </w:rPr>
        <w:t>(3), 321–331. https://doi.org/10.17159/2411-9717/2019/v119n3a12</w:t>
      </w:r>
    </w:p>
    <w:p w14:paraId="786185DA"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Harari, Y. N. (2015). </w:t>
      </w:r>
      <w:r w:rsidRPr="00375B31">
        <w:rPr>
          <w:rFonts w:ascii="Times New Roman" w:hAnsi="Times New Roman" w:cs="Times New Roman"/>
          <w:i/>
          <w:iCs/>
          <w:sz w:val="20"/>
          <w:szCs w:val="20"/>
        </w:rPr>
        <w:t>Sapiens: A Brief History of Humankind</w:t>
      </w:r>
      <w:r w:rsidRPr="00375B31">
        <w:rPr>
          <w:rFonts w:ascii="Times New Roman" w:hAnsi="Times New Roman" w:cs="Times New Roman"/>
          <w:sz w:val="20"/>
          <w:szCs w:val="20"/>
        </w:rPr>
        <w:t>. Harper Collins.</w:t>
      </w:r>
    </w:p>
    <w:p w14:paraId="5058E7A4" w14:textId="00DC0CEF"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Harper, G. S., King, T. J., Hill, B. D., Harper, C. M. L., </w:t>
      </w:r>
      <w:r>
        <w:rPr>
          <w:rFonts w:ascii="Times New Roman" w:hAnsi="Times New Roman" w:cs="Times New Roman"/>
          <w:sz w:val="20"/>
          <w:szCs w:val="20"/>
        </w:rPr>
        <w:t>and</w:t>
      </w:r>
      <w:r w:rsidRPr="00375B31">
        <w:rPr>
          <w:rFonts w:ascii="Times New Roman" w:hAnsi="Times New Roman" w:cs="Times New Roman"/>
          <w:sz w:val="20"/>
          <w:szCs w:val="20"/>
        </w:rPr>
        <w:t xml:space="preserve"> Hunter, R. A. (1997). Effect of coal mine pit water on the productivity of cattle, II. Effect of increasing concentrations of pit water on feed intake and health. </w:t>
      </w:r>
      <w:r w:rsidRPr="00375B31">
        <w:rPr>
          <w:rFonts w:ascii="Times New Roman" w:hAnsi="Times New Roman" w:cs="Times New Roman"/>
          <w:i/>
          <w:iCs/>
          <w:sz w:val="20"/>
          <w:szCs w:val="20"/>
        </w:rPr>
        <w:t>Australian Journal of Agricultural Research</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48</w:t>
      </w:r>
      <w:r w:rsidRPr="00375B31">
        <w:rPr>
          <w:rFonts w:ascii="Times New Roman" w:hAnsi="Times New Roman" w:cs="Times New Roman"/>
          <w:sz w:val="20"/>
          <w:szCs w:val="20"/>
        </w:rPr>
        <w:t>(2), 155–164.</w:t>
      </w:r>
    </w:p>
    <w:p w14:paraId="7DBB6AB2" w14:textId="45143A18"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Hawkesford, M., Horst, W., Kichey, T., Lambers, H., Schjoerring, J., Møller, I. S., </w:t>
      </w:r>
      <w:r>
        <w:rPr>
          <w:rFonts w:ascii="Times New Roman" w:hAnsi="Times New Roman" w:cs="Times New Roman"/>
          <w:sz w:val="20"/>
          <w:szCs w:val="20"/>
        </w:rPr>
        <w:t>and</w:t>
      </w:r>
      <w:r w:rsidRPr="00375B31">
        <w:rPr>
          <w:rFonts w:ascii="Times New Roman" w:hAnsi="Times New Roman" w:cs="Times New Roman"/>
          <w:sz w:val="20"/>
          <w:szCs w:val="20"/>
        </w:rPr>
        <w:t xml:space="preserve"> White, P. (2012). Chapter 6—Functions of Macronutrients. In P. Marschner (Ed.), </w:t>
      </w:r>
      <w:r w:rsidRPr="00375B31">
        <w:rPr>
          <w:rFonts w:ascii="Times New Roman" w:hAnsi="Times New Roman" w:cs="Times New Roman"/>
          <w:i/>
          <w:iCs/>
          <w:sz w:val="20"/>
          <w:szCs w:val="20"/>
        </w:rPr>
        <w:t>Marschner’s Mineral Nutrition of Higher Plants (Third Edition)</w:t>
      </w:r>
      <w:r w:rsidRPr="00375B31">
        <w:rPr>
          <w:rFonts w:ascii="Times New Roman" w:hAnsi="Times New Roman" w:cs="Times New Roman"/>
          <w:sz w:val="20"/>
          <w:szCs w:val="20"/>
        </w:rPr>
        <w:t xml:space="preserve"> (pp. 135–189). Academic Press. https://doi.org/10.1016/B978-0-12-384905-2.00006-6</w:t>
      </w:r>
    </w:p>
    <w:p w14:paraId="19F932FD" w14:textId="52B9C3B9"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Helsel, D. R. (2005). More than obvious: Better methods for interpreting nondetect data. </w:t>
      </w:r>
      <w:r w:rsidRPr="00375B31">
        <w:rPr>
          <w:rFonts w:ascii="Times New Roman" w:hAnsi="Times New Roman" w:cs="Times New Roman"/>
          <w:i/>
          <w:iCs/>
          <w:sz w:val="20"/>
          <w:szCs w:val="20"/>
        </w:rPr>
        <w:t xml:space="preserve">Environmental Science </w:t>
      </w:r>
      <w:r>
        <w:rPr>
          <w:rFonts w:ascii="Times New Roman" w:hAnsi="Times New Roman" w:cs="Times New Roman"/>
          <w:i/>
          <w:iCs/>
          <w:sz w:val="20"/>
          <w:szCs w:val="20"/>
        </w:rPr>
        <w:t>and</w:t>
      </w:r>
      <w:r w:rsidRPr="00375B31">
        <w:rPr>
          <w:rFonts w:ascii="Times New Roman" w:hAnsi="Times New Roman" w:cs="Times New Roman"/>
          <w:i/>
          <w:iCs/>
          <w:sz w:val="20"/>
          <w:szCs w:val="20"/>
        </w:rPr>
        <w:t xml:space="preserve"> Technology</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39</w:t>
      </w:r>
      <w:r w:rsidRPr="00375B31">
        <w:rPr>
          <w:rFonts w:ascii="Times New Roman" w:hAnsi="Times New Roman" w:cs="Times New Roman"/>
          <w:sz w:val="20"/>
          <w:szCs w:val="20"/>
        </w:rPr>
        <w:t>(20), 419A-423A. https://doi.org/10.1021/es053368a</w:t>
      </w:r>
    </w:p>
    <w:p w14:paraId="0825E55C" w14:textId="1532973D"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Higgins, S. F., Agouridis, C. T., </w:t>
      </w:r>
      <w:r>
        <w:rPr>
          <w:rFonts w:ascii="Times New Roman" w:hAnsi="Times New Roman" w:cs="Times New Roman"/>
          <w:sz w:val="20"/>
          <w:szCs w:val="20"/>
        </w:rPr>
        <w:t>and</w:t>
      </w:r>
      <w:r w:rsidRPr="00375B31">
        <w:rPr>
          <w:rFonts w:ascii="Times New Roman" w:hAnsi="Times New Roman" w:cs="Times New Roman"/>
          <w:sz w:val="20"/>
          <w:szCs w:val="20"/>
        </w:rPr>
        <w:t xml:space="preserve"> Gumbert, A. A. (2008). </w:t>
      </w:r>
      <w:r w:rsidRPr="00375B31">
        <w:rPr>
          <w:rFonts w:ascii="Times New Roman" w:hAnsi="Times New Roman" w:cs="Times New Roman"/>
          <w:i/>
          <w:iCs/>
          <w:sz w:val="20"/>
          <w:szCs w:val="20"/>
        </w:rPr>
        <w:t>Drinking Water Quality Guidelines for Cattle</w:t>
      </w:r>
      <w:r w:rsidRPr="00375B31">
        <w:rPr>
          <w:rFonts w:ascii="Times New Roman" w:hAnsi="Times New Roman" w:cs="Times New Roman"/>
          <w:sz w:val="20"/>
          <w:szCs w:val="20"/>
        </w:rPr>
        <w:t xml:space="preserve"> (ID-170; p. 4). University of Kentucky Extension Service.</w:t>
      </w:r>
    </w:p>
    <w:p w14:paraId="30DCBEE8" w14:textId="5B1FFB9F"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Houseal, G. A., Kaiser, J., Wuebker, E., </w:t>
      </w:r>
      <w:r>
        <w:rPr>
          <w:rFonts w:ascii="Times New Roman" w:hAnsi="Times New Roman" w:cs="Times New Roman"/>
          <w:sz w:val="20"/>
          <w:szCs w:val="20"/>
        </w:rPr>
        <w:t>and</w:t>
      </w:r>
      <w:r w:rsidRPr="00375B31">
        <w:rPr>
          <w:rFonts w:ascii="Times New Roman" w:hAnsi="Times New Roman" w:cs="Times New Roman"/>
          <w:sz w:val="20"/>
          <w:szCs w:val="20"/>
        </w:rPr>
        <w:t xml:space="preserve"> Butler, B. (2007). </w:t>
      </w:r>
      <w:r w:rsidRPr="00375B31">
        <w:rPr>
          <w:rFonts w:ascii="Times New Roman" w:hAnsi="Times New Roman" w:cs="Times New Roman"/>
          <w:i/>
          <w:iCs/>
          <w:sz w:val="20"/>
          <w:szCs w:val="20"/>
        </w:rPr>
        <w:t>Tallgrass Prairie Center’s Native Seed Production Manual</w:t>
      </w:r>
      <w:r w:rsidRPr="00375B31">
        <w:rPr>
          <w:rFonts w:ascii="Times New Roman" w:hAnsi="Times New Roman" w:cs="Times New Roman"/>
          <w:sz w:val="20"/>
          <w:szCs w:val="20"/>
        </w:rPr>
        <w:t>. University of Northern Iowa.</w:t>
      </w:r>
    </w:p>
    <w:p w14:paraId="1F94A4DF" w14:textId="58CEB7C0"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Hunter, R. A., Harper, G. S., </w:t>
      </w:r>
      <w:r>
        <w:rPr>
          <w:rFonts w:ascii="Times New Roman" w:hAnsi="Times New Roman" w:cs="Times New Roman"/>
          <w:sz w:val="20"/>
          <w:szCs w:val="20"/>
        </w:rPr>
        <w:t>and</w:t>
      </w:r>
      <w:r w:rsidRPr="00375B31">
        <w:rPr>
          <w:rFonts w:ascii="Times New Roman" w:hAnsi="Times New Roman" w:cs="Times New Roman"/>
          <w:sz w:val="20"/>
          <w:szCs w:val="20"/>
        </w:rPr>
        <w:t xml:space="preserve"> Mccrabb, G. J. (2002). The effect of ingestion of coal mine pit water on the productivity of pregnant and lactating beef cows. </w:t>
      </w:r>
      <w:r w:rsidRPr="00375B31">
        <w:rPr>
          <w:rFonts w:ascii="Times New Roman" w:hAnsi="Times New Roman" w:cs="Times New Roman"/>
          <w:i/>
          <w:iCs/>
          <w:sz w:val="20"/>
          <w:szCs w:val="20"/>
        </w:rPr>
        <w:t>Animal Production in Australia</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24</w:t>
      </w:r>
      <w:r w:rsidRPr="00375B31">
        <w:rPr>
          <w:rFonts w:ascii="Times New Roman" w:hAnsi="Times New Roman" w:cs="Times New Roman"/>
          <w:sz w:val="20"/>
          <w:szCs w:val="20"/>
        </w:rPr>
        <w:t>, 105–108.</w:t>
      </w:r>
    </w:p>
    <w:p w14:paraId="2485C9A4"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ITRC. (2013, November). </w:t>
      </w:r>
      <w:r w:rsidRPr="00375B31">
        <w:rPr>
          <w:rFonts w:ascii="Times New Roman" w:hAnsi="Times New Roman" w:cs="Times New Roman"/>
          <w:i/>
          <w:iCs/>
          <w:sz w:val="20"/>
          <w:szCs w:val="20"/>
        </w:rPr>
        <w:t>B.2 Mayer Ranch Commerce Site</w:t>
      </w:r>
      <w:r w:rsidRPr="00375B31">
        <w:rPr>
          <w:rFonts w:ascii="Times New Roman" w:hAnsi="Times New Roman" w:cs="Times New Roman"/>
          <w:sz w:val="20"/>
          <w:szCs w:val="20"/>
        </w:rPr>
        <w:t>. https://itrcweb.org/bcr-1/Content/Appendix%20B%20Case%20Studies/B2%20Mayer%20Ranch%20Commerce%20Site.htm</w:t>
      </w:r>
    </w:p>
    <w:p w14:paraId="3B956F1F" w14:textId="1CA887C6"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John, D. A., </w:t>
      </w:r>
      <w:r>
        <w:rPr>
          <w:rFonts w:ascii="Times New Roman" w:hAnsi="Times New Roman" w:cs="Times New Roman"/>
          <w:sz w:val="20"/>
          <w:szCs w:val="20"/>
        </w:rPr>
        <w:t>and</w:t>
      </w:r>
      <w:r w:rsidRPr="00375B31">
        <w:rPr>
          <w:rFonts w:ascii="Times New Roman" w:hAnsi="Times New Roman" w:cs="Times New Roman"/>
          <w:sz w:val="20"/>
          <w:szCs w:val="20"/>
        </w:rPr>
        <w:t xml:space="preserve"> Leventhal, J. S. (2004). </w:t>
      </w:r>
      <w:r w:rsidRPr="00375B31">
        <w:rPr>
          <w:rFonts w:ascii="Times New Roman" w:hAnsi="Times New Roman" w:cs="Times New Roman"/>
          <w:i/>
          <w:iCs/>
          <w:sz w:val="20"/>
          <w:szCs w:val="20"/>
        </w:rPr>
        <w:t>Bioavailability of metals</w:t>
      </w:r>
      <w:r w:rsidRPr="00375B31">
        <w:rPr>
          <w:rFonts w:ascii="Times New Roman" w:hAnsi="Times New Roman" w:cs="Times New Roman"/>
          <w:sz w:val="20"/>
          <w:szCs w:val="20"/>
        </w:rPr>
        <w:t xml:space="preserve">. United States Geological Survey. </w:t>
      </w:r>
      <w:r w:rsidR="00557EB9" w:rsidRPr="00557EB9">
        <w:rPr>
          <w:rFonts w:ascii="Times New Roman" w:hAnsi="Times New Roman" w:cs="Times New Roman"/>
          <w:sz w:val="20"/>
          <w:szCs w:val="20"/>
        </w:rPr>
        <w:t>https://www.semanticscholar.org/paper/BIOAVAILABILITY-OF-METALS-John-Leventhal/f97e54c1307528fb149d641b505c6643e3cd5b13</w:t>
      </w:r>
    </w:p>
    <w:p w14:paraId="6ED4CA3B" w14:textId="66062D44"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lastRenderedPageBreak/>
        <w:t xml:space="preserve">Khan, S., Cao, Q., Zheng, Y. M., Huang, Y. Z., </w:t>
      </w:r>
      <w:r>
        <w:rPr>
          <w:rFonts w:ascii="Times New Roman" w:hAnsi="Times New Roman" w:cs="Times New Roman"/>
          <w:sz w:val="20"/>
          <w:szCs w:val="20"/>
        </w:rPr>
        <w:t>and</w:t>
      </w:r>
      <w:r w:rsidRPr="00375B31">
        <w:rPr>
          <w:rFonts w:ascii="Times New Roman" w:hAnsi="Times New Roman" w:cs="Times New Roman"/>
          <w:sz w:val="20"/>
          <w:szCs w:val="20"/>
        </w:rPr>
        <w:t xml:space="preserve"> Zhu, Y. G. (2008). Health risks of heavy metals in contaminated soils and food crops irrigated with wastewater in Beijing, China. </w:t>
      </w:r>
      <w:r w:rsidRPr="00375B31">
        <w:rPr>
          <w:rFonts w:ascii="Times New Roman" w:hAnsi="Times New Roman" w:cs="Times New Roman"/>
          <w:i/>
          <w:iCs/>
          <w:sz w:val="20"/>
          <w:szCs w:val="20"/>
        </w:rPr>
        <w:t>Environmental Pollution</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152</w:t>
      </w:r>
      <w:r w:rsidRPr="00375B31">
        <w:rPr>
          <w:rFonts w:ascii="Times New Roman" w:hAnsi="Times New Roman" w:cs="Times New Roman"/>
          <w:sz w:val="20"/>
          <w:szCs w:val="20"/>
        </w:rPr>
        <w:t>(3), 686–692. https://doi.org/10.1016/j.envpol.2007.06.056</w:t>
      </w:r>
    </w:p>
    <w:p w14:paraId="745F2EB2"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Laerd Statistics. (2018). </w:t>
      </w:r>
      <w:r w:rsidRPr="00375B31">
        <w:rPr>
          <w:rFonts w:ascii="Times New Roman" w:hAnsi="Times New Roman" w:cs="Times New Roman"/>
          <w:i/>
          <w:iCs/>
          <w:sz w:val="20"/>
          <w:szCs w:val="20"/>
        </w:rPr>
        <w:t>How to perform a Mixed ANOVA in SPSS Statistics</w:t>
      </w:r>
      <w:r w:rsidRPr="00375B31">
        <w:rPr>
          <w:rFonts w:ascii="Times New Roman" w:hAnsi="Times New Roman" w:cs="Times New Roman"/>
          <w:sz w:val="20"/>
          <w:szCs w:val="20"/>
        </w:rPr>
        <w:t>. Laerd Statistics. https://statistics.laerd.com/spss-tutorials/mixed-anova-using-spss-statistics.php</w:t>
      </w:r>
    </w:p>
    <w:p w14:paraId="028F46D9"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Lakens, D. (2013). Calculating and reporting effect sizes to facilitate cumulative science: A practical primer for t-tests and ANOVAs. </w:t>
      </w:r>
      <w:r w:rsidRPr="00375B31">
        <w:rPr>
          <w:rFonts w:ascii="Times New Roman" w:hAnsi="Times New Roman" w:cs="Times New Roman"/>
          <w:i/>
          <w:iCs/>
          <w:sz w:val="20"/>
          <w:szCs w:val="20"/>
        </w:rPr>
        <w:t>Frontiers in Psychology</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4</w:t>
      </w:r>
      <w:r w:rsidRPr="00375B31">
        <w:rPr>
          <w:rFonts w:ascii="Times New Roman" w:hAnsi="Times New Roman" w:cs="Times New Roman"/>
          <w:sz w:val="20"/>
          <w:szCs w:val="20"/>
        </w:rPr>
        <w:t>. https://doi.org/10.3389/fpsyg.2013.00863</w:t>
      </w:r>
    </w:p>
    <w:p w14:paraId="4D9DA0C3"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Lalman, D. (2018). </w:t>
      </w:r>
      <w:r w:rsidRPr="00375B31">
        <w:rPr>
          <w:rFonts w:ascii="Times New Roman" w:hAnsi="Times New Roman" w:cs="Times New Roman"/>
          <w:i/>
          <w:iCs/>
          <w:sz w:val="20"/>
          <w:szCs w:val="20"/>
        </w:rPr>
        <w:t>Supplementing Beef Cows</w:t>
      </w:r>
      <w:r w:rsidRPr="00375B31">
        <w:rPr>
          <w:rFonts w:ascii="Times New Roman" w:hAnsi="Times New Roman" w:cs="Times New Roman"/>
          <w:sz w:val="20"/>
          <w:szCs w:val="20"/>
        </w:rPr>
        <w:t xml:space="preserve"> (ANSI-3010). Oklahoma State University Extension Service, Division of Agricultural Sciences and Natural Resources. https://extension.okstate.edu/fact-sheets/supplementing-beef-cows.html</w:t>
      </w:r>
    </w:p>
    <w:p w14:paraId="332D3FF2"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Lauer, J. (2003). What happens within the corn plant when drought occurs. </w:t>
      </w:r>
      <w:r w:rsidRPr="00375B31">
        <w:rPr>
          <w:rFonts w:ascii="Times New Roman" w:hAnsi="Times New Roman" w:cs="Times New Roman"/>
          <w:i/>
          <w:iCs/>
          <w:sz w:val="20"/>
          <w:szCs w:val="20"/>
        </w:rPr>
        <w:t>Corn Agronomist</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10</w:t>
      </w:r>
      <w:r w:rsidRPr="00375B31">
        <w:rPr>
          <w:rFonts w:ascii="Times New Roman" w:hAnsi="Times New Roman" w:cs="Times New Roman"/>
          <w:sz w:val="20"/>
          <w:szCs w:val="20"/>
        </w:rPr>
        <w:t>(22), 153–155.</w:t>
      </w:r>
    </w:p>
    <w:p w14:paraId="69FAEEFE" w14:textId="1F756A79"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Lee, S., </w:t>
      </w:r>
      <w:r>
        <w:rPr>
          <w:rFonts w:ascii="Times New Roman" w:hAnsi="Times New Roman" w:cs="Times New Roman"/>
          <w:sz w:val="20"/>
          <w:szCs w:val="20"/>
        </w:rPr>
        <w:t>and</w:t>
      </w:r>
      <w:r w:rsidRPr="00375B31">
        <w:rPr>
          <w:rFonts w:ascii="Times New Roman" w:hAnsi="Times New Roman" w:cs="Times New Roman"/>
          <w:sz w:val="20"/>
          <w:szCs w:val="20"/>
        </w:rPr>
        <w:t xml:space="preserve"> Lee, D. K. (2018). What is the proper way to apply the multiple comparison test? </w:t>
      </w:r>
      <w:r w:rsidRPr="00375B31">
        <w:rPr>
          <w:rFonts w:ascii="Times New Roman" w:hAnsi="Times New Roman" w:cs="Times New Roman"/>
          <w:i/>
          <w:iCs/>
          <w:sz w:val="20"/>
          <w:szCs w:val="20"/>
        </w:rPr>
        <w:t>Korean Journal of Anesthesiology</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71</w:t>
      </w:r>
      <w:r w:rsidRPr="00375B31">
        <w:rPr>
          <w:rFonts w:ascii="Times New Roman" w:hAnsi="Times New Roman" w:cs="Times New Roman"/>
          <w:sz w:val="20"/>
          <w:szCs w:val="20"/>
        </w:rPr>
        <w:t>(5), 353–360. https://doi.org/10.4097/kja.d.18.00242</w:t>
      </w:r>
    </w:p>
    <w:p w14:paraId="5AAF7C6F" w14:textId="066E94CE"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Libutti, A., Gatta, G., Gagliardi, A., Vergine, P., Pollice, A., Beneduce, L., Disciglio, G., </w:t>
      </w:r>
      <w:r>
        <w:rPr>
          <w:rFonts w:ascii="Times New Roman" w:hAnsi="Times New Roman" w:cs="Times New Roman"/>
          <w:sz w:val="20"/>
          <w:szCs w:val="20"/>
        </w:rPr>
        <w:t>and</w:t>
      </w:r>
      <w:r w:rsidRPr="00375B31">
        <w:rPr>
          <w:rFonts w:ascii="Times New Roman" w:hAnsi="Times New Roman" w:cs="Times New Roman"/>
          <w:sz w:val="20"/>
          <w:szCs w:val="20"/>
        </w:rPr>
        <w:t xml:space="preserve"> Tarantino, E. (2018). Agro-industrial wastewater reuse for irrigation of a vegetable crop succession under Mediterranean conditions. </w:t>
      </w:r>
      <w:r w:rsidRPr="00375B31">
        <w:rPr>
          <w:rFonts w:ascii="Times New Roman" w:hAnsi="Times New Roman" w:cs="Times New Roman"/>
          <w:i/>
          <w:iCs/>
          <w:sz w:val="20"/>
          <w:szCs w:val="20"/>
        </w:rPr>
        <w:t>Agricultural Water Management</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196</w:t>
      </w:r>
      <w:r w:rsidRPr="00375B31">
        <w:rPr>
          <w:rFonts w:ascii="Times New Roman" w:hAnsi="Times New Roman" w:cs="Times New Roman"/>
          <w:sz w:val="20"/>
          <w:szCs w:val="20"/>
        </w:rPr>
        <w:t>, 1–14. https://doi.org/10.1016/j.agwat.2017.10.015</w:t>
      </w:r>
    </w:p>
    <w:p w14:paraId="19459953" w14:textId="0BA9A404"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Lili, Y., Jiao, W., Chen, X., </w:t>
      </w:r>
      <w:r>
        <w:rPr>
          <w:rFonts w:ascii="Times New Roman" w:hAnsi="Times New Roman" w:cs="Times New Roman"/>
          <w:sz w:val="20"/>
          <w:szCs w:val="20"/>
        </w:rPr>
        <w:t>and</w:t>
      </w:r>
      <w:r w:rsidRPr="00375B31">
        <w:rPr>
          <w:rFonts w:ascii="Times New Roman" w:hAnsi="Times New Roman" w:cs="Times New Roman"/>
          <w:sz w:val="20"/>
          <w:szCs w:val="20"/>
        </w:rPr>
        <w:t xml:space="preserve"> Chen, W. (2011). An overview of reclaimed water reuse in China. </w:t>
      </w:r>
      <w:r w:rsidRPr="00375B31">
        <w:rPr>
          <w:rFonts w:ascii="Times New Roman" w:hAnsi="Times New Roman" w:cs="Times New Roman"/>
          <w:i/>
          <w:iCs/>
          <w:sz w:val="20"/>
          <w:szCs w:val="20"/>
        </w:rPr>
        <w:t>Journal of Environmental Sciences (China)</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23</w:t>
      </w:r>
      <w:r w:rsidRPr="00375B31">
        <w:rPr>
          <w:rFonts w:ascii="Times New Roman" w:hAnsi="Times New Roman" w:cs="Times New Roman"/>
          <w:sz w:val="20"/>
          <w:szCs w:val="20"/>
        </w:rPr>
        <w:t>, 1585–1593. https://doi.org/10.1016/S1001-0742(10)60627-4</w:t>
      </w:r>
    </w:p>
    <w:p w14:paraId="1E17C751" w14:textId="2C7006AB"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Lim, H. S., Lim, W., Hu, J. Y., Ziegler, A., </w:t>
      </w:r>
      <w:r>
        <w:rPr>
          <w:rFonts w:ascii="Times New Roman" w:hAnsi="Times New Roman" w:cs="Times New Roman"/>
          <w:sz w:val="20"/>
          <w:szCs w:val="20"/>
        </w:rPr>
        <w:t>and</w:t>
      </w:r>
      <w:r w:rsidRPr="00375B31">
        <w:rPr>
          <w:rFonts w:ascii="Times New Roman" w:hAnsi="Times New Roman" w:cs="Times New Roman"/>
          <w:sz w:val="20"/>
          <w:szCs w:val="20"/>
        </w:rPr>
        <w:t xml:space="preserve"> Ong, S. L. (2015). Comparison of filter media materials for heavy metal removal from urban stormwater runoff using biofiltration systems. </w:t>
      </w:r>
      <w:r w:rsidRPr="00375B31">
        <w:rPr>
          <w:rFonts w:ascii="Times New Roman" w:hAnsi="Times New Roman" w:cs="Times New Roman"/>
          <w:i/>
          <w:iCs/>
          <w:sz w:val="20"/>
          <w:szCs w:val="20"/>
        </w:rPr>
        <w:t>Journal of Environmental Management</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147</w:t>
      </w:r>
      <w:r w:rsidRPr="00375B31">
        <w:rPr>
          <w:rFonts w:ascii="Times New Roman" w:hAnsi="Times New Roman" w:cs="Times New Roman"/>
          <w:sz w:val="20"/>
          <w:szCs w:val="20"/>
        </w:rPr>
        <w:t>, 24–33. https://doi.org/10.1016/j.jenvman.2014.04.042</w:t>
      </w:r>
    </w:p>
    <w:p w14:paraId="114630D1" w14:textId="3BAA91E9"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Liu, W., Zhao, J., Ouyang, Z., Söderlund, L., </w:t>
      </w:r>
      <w:r>
        <w:rPr>
          <w:rFonts w:ascii="Times New Roman" w:hAnsi="Times New Roman" w:cs="Times New Roman"/>
          <w:sz w:val="20"/>
          <w:szCs w:val="20"/>
        </w:rPr>
        <w:t>and</w:t>
      </w:r>
      <w:r w:rsidRPr="00375B31">
        <w:rPr>
          <w:rFonts w:ascii="Times New Roman" w:hAnsi="Times New Roman" w:cs="Times New Roman"/>
          <w:sz w:val="20"/>
          <w:szCs w:val="20"/>
        </w:rPr>
        <w:t xml:space="preserve"> Liu, G. (2005). Impacts of sewage irrigation on heavy metal distribution and contamination in Beijing, China. </w:t>
      </w:r>
      <w:r w:rsidRPr="00375B31">
        <w:rPr>
          <w:rFonts w:ascii="Times New Roman" w:hAnsi="Times New Roman" w:cs="Times New Roman"/>
          <w:i/>
          <w:iCs/>
          <w:sz w:val="20"/>
          <w:szCs w:val="20"/>
        </w:rPr>
        <w:t>Environment International</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31</w:t>
      </w:r>
      <w:r w:rsidRPr="00375B31">
        <w:rPr>
          <w:rFonts w:ascii="Times New Roman" w:hAnsi="Times New Roman" w:cs="Times New Roman"/>
          <w:sz w:val="20"/>
          <w:szCs w:val="20"/>
        </w:rPr>
        <w:t>(6), 805–812. https://doi.org/10.1016/j.envint.2005.05.042</w:t>
      </w:r>
    </w:p>
    <w:p w14:paraId="4CCB72DA"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Lottermoser, B. G. (2011). Recycling, Reuse and Rehabilitation of Mine Wastes. </w:t>
      </w:r>
      <w:r w:rsidRPr="00375B31">
        <w:rPr>
          <w:rFonts w:ascii="Times New Roman" w:hAnsi="Times New Roman" w:cs="Times New Roman"/>
          <w:i/>
          <w:iCs/>
          <w:sz w:val="20"/>
          <w:szCs w:val="20"/>
        </w:rPr>
        <w:t>Elements</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7</w:t>
      </w:r>
      <w:r w:rsidRPr="00375B31">
        <w:rPr>
          <w:rFonts w:ascii="Times New Roman" w:hAnsi="Times New Roman" w:cs="Times New Roman"/>
          <w:sz w:val="20"/>
          <w:szCs w:val="20"/>
        </w:rPr>
        <w:t>(6), 405–410. https://doi.org/10.2113/gselements.7.6.405</w:t>
      </w:r>
    </w:p>
    <w:p w14:paraId="3402067D" w14:textId="040F5BD0"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lastRenderedPageBreak/>
        <w:t xml:space="preserve">Lotz, L. a. P., Kropff, M. J., Wallinga, J., Bos, H. J., </w:t>
      </w:r>
      <w:r>
        <w:rPr>
          <w:rFonts w:ascii="Times New Roman" w:hAnsi="Times New Roman" w:cs="Times New Roman"/>
          <w:sz w:val="20"/>
          <w:szCs w:val="20"/>
        </w:rPr>
        <w:t>and</w:t>
      </w:r>
      <w:r w:rsidRPr="00375B31">
        <w:rPr>
          <w:rFonts w:ascii="Times New Roman" w:hAnsi="Times New Roman" w:cs="Times New Roman"/>
          <w:sz w:val="20"/>
          <w:szCs w:val="20"/>
        </w:rPr>
        <w:t xml:space="preserve"> Groeneveld, R. M. W. (1994). Techniques to estimate relative leaf area and cover of weeds in crops for yield loss prediction. </w:t>
      </w:r>
      <w:r w:rsidRPr="00375B31">
        <w:rPr>
          <w:rFonts w:ascii="Times New Roman" w:hAnsi="Times New Roman" w:cs="Times New Roman"/>
          <w:i/>
          <w:iCs/>
          <w:sz w:val="20"/>
          <w:szCs w:val="20"/>
        </w:rPr>
        <w:t>Weed Research</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34</w:t>
      </w:r>
      <w:r w:rsidRPr="00375B31">
        <w:rPr>
          <w:rFonts w:ascii="Times New Roman" w:hAnsi="Times New Roman" w:cs="Times New Roman"/>
          <w:sz w:val="20"/>
          <w:szCs w:val="20"/>
        </w:rPr>
        <w:t>(3), 167–175. https://doi.org/10.1111/j.1365-3180.1994.tb01984.x</w:t>
      </w:r>
    </w:p>
    <w:p w14:paraId="4CBFB576"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M1W. (2020). </w:t>
      </w:r>
      <w:r w:rsidRPr="00375B31">
        <w:rPr>
          <w:rFonts w:ascii="Times New Roman" w:hAnsi="Times New Roman" w:cs="Times New Roman"/>
          <w:i/>
          <w:iCs/>
          <w:sz w:val="20"/>
          <w:szCs w:val="20"/>
        </w:rPr>
        <w:t>Monterey One Water History</w:t>
      </w:r>
      <w:r w:rsidRPr="00375B31">
        <w:rPr>
          <w:rFonts w:ascii="Times New Roman" w:hAnsi="Times New Roman" w:cs="Times New Roman"/>
          <w:sz w:val="20"/>
          <w:szCs w:val="20"/>
        </w:rPr>
        <w:t>. Monterey One Water. https://montereyonewater.org/about_history.html</w:t>
      </w:r>
    </w:p>
    <w:p w14:paraId="71A157B7" w14:textId="69FF342A"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Maas, E. V., Poss, J. A., </w:t>
      </w:r>
      <w:r>
        <w:rPr>
          <w:rFonts w:ascii="Times New Roman" w:hAnsi="Times New Roman" w:cs="Times New Roman"/>
          <w:sz w:val="20"/>
          <w:szCs w:val="20"/>
        </w:rPr>
        <w:t>and</w:t>
      </w:r>
      <w:r w:rsidRPr="00375B31">
        <w:rPr>
          <w:rFonts w:ascii="Times New Roman" w:hAnsi="Times New Roman" w:cs="Times New Roman"/>
          <w:sz w:val="20"/>
          <w:szCs w:val="20"/>
        </w:rPr>
        <w:t xml:space="preserve"> Hoffman, G. J. (1986). Salinity sensitivity of sorghum at three growth stages. </w:t>
      </w:r>
      <w:r w:rsidRPr="00375B31">
        <w:rPr>
          <w:rFonts w:ascii="Times New Roman" w:hAnsi="Times New Roman" w:cs="Times New Roman"/>
          <w:i/>
          <w:iCs/>
          <w:sz w:val="20"/>
          <w:szCs w:val="20"/>
        </w:rPr>
        <w:t>Irrigation Science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7</w:t>
      </w:r>
      <w:r w:rsidRPr="00375B31">
        <w:rPr>
          <w:rFonts w:ascii="Times New Roman" w:hAnsi="Times New Roman" w:cs="Times New Roman"/>
          <w:sz w:val="20"/>
          <w:szCs w:val="20"/>
        </w:rPr>
        <w:t>(1). https://doi.org/10.1007/BF00255690</w:t>
      </w:r>
    </w:p>
    <w:p w14:paraId="55AEFE3E"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Marschner, H. (1993). Zinc Uptake from Soils. In A. D. Robson (Ed.), </w:t>
      </w:r>
      <w:r w:rsidRPr="00375B31">
        <w:rPr>
          <w:rFonts w:ascii="Times New Roman" w:hAnsi="Times New Roman" w:cs="Times New Roman"/>
          <w:i/>
          <w:iCs/>
          <w:sz w:val="20"/>
          <w:szCs w:val="20"/>
        </w:rPr>
        <w:t>Zinc in Soils and Plants: Proceedings of the International Symposium on ‘Zinc in Soils and Plants’ held at The University of Western Australia, 27–28 September, 1993</w:t>
      </w:r>
      <w:r w:rsidRPr="00375B31">
        <w:rPr>
          <w:rFonts w:ascii="Times New Roman" w:hAnsi="Times New Roman" w:cs="Times New Roman"/>
          <w:sz w:val="20"/>
          <w:szCs w:val="20"/>
        </w:rPr>
        <w:t xml:space="preserve"> (pp. 59–77). Springer Netherlands. https://doi.org/10.1007/978-94-011-0878-2_5</w:t>
      </w:r>
    </w:p>
    <w:p w14:paraId="355C669E" w14:textId="37CB0FCE"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Martins, M., Santos, E. S., Pires, C., Barros, R. J., </w:t>
      </w:r>
      <w:r>
        <w:rPr>
          <w:rFonts w:ascii="Times New Roman" w:hAnsi="Times New Roman" w:cs="Times New Roman"/>
          <w:sz w:val="20"/>
          <w:szCs w:val="20"/>
        </w:rPr>
        <w:t>and</w:t>
      </w:r>
      <w:r w:rsidRPr="00375B31">
        <w:rPr>
          <w:rFonts w:ascii="Times New Roman" w:hAnsi="Times New Roman" w:cs="Times New Roman"/>
          <w:sz w:val="20"/>
          <w:szCs w:val="20"/>
        </w:rPr>
        <w:t xml:space="preserve"> Costa, M. C. (2010). Production of irrigation water from bioremediation of acid mine drainage: Comparing the performance of two representative systems. </w:t>
      </w:r>
      <w:r w:rsidRPr="00375B31">
        <w:rPr>
          <w:rFonts w:ascii="Times New Roman" w:hAnsi="Times New Roman" w:cs="Times New Roman"/>
          <w:i/>
          <w:iCs/>
          <w:sz w:val="20"/>
          <w:szCs w:val="20"/>
        </w:rPr>
        <w:t>Journal of Cleaner Production</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18</w:t>
      </w:r>
      <w:r w:rsidRPr="00375B31">
        <w:rPr>
          <w:rFonts w:ascii="Times New Roman" w:hAnsi="Times New Roman" w:cs="Times New Roman"/>
          <w:sz w:val="20"/>
          <w:szCs w:val="20"/>
        </w:rPr>
        <w:t>(3), 248–253. https://doi.org/10.1016/j.jclepro.2009.10.013</w:t>
      </w:r>
    </w:p>
    <w:p w14:paraId="34D989ED" w14:textId="611F5A6A"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McCauley, A., Jones, C., </w:t>
      </w:r>
      <w:r>
        <w:rPr>
          <w:rFonts w:ascii="Times New Roman" w:hAnsi="Times New Roman" w:cs="Times New Roman"/>
          <w:sz w:val="20"/>
          <w:szCs w:val="20"/>
        </w:rPr>
        <w:t>and</w:t>
      </w:r>
      <w:r w:rsidRPr="00375B31">
        <w:rPr>
          <w:rFonts w:ascii="Times New Roman" w:hAnsi="Times New Roman" w:cs="Times New Roman"/>
          <w:sz w:val="20"/>
          <w:szCs w:val="20"/>
        </w:rPr>
        <w:t xml:space="preserve"> Jacobsen, J. (2011). </w:t>
      </w:r>
      <w:r w:rsidRPr="00375B31">
        <w:rPr>
          <w:rFonts w:ascii="Times New Roman" w:hAnsi="Times New Roman" w:cs="Times New Roman"/>
          <w:i/>
          <w:iCs/>
          <w:sz w:val="20"/>
          <w:szCs w:val="20"/>
        </w:rPr>
        <w:t>Functions and Deficiency and Toxicity Symptoms</w:t>
      </w:r>
      <w:r w:rsidRPr="00375B31">
        <w:rPr>
          <w:rFonts w:ascii="Times New Roman" w:hAnsi="Times New Roman" w:cs="Times New Roman"/>
          <w:sz w:val="20"/>
          <w:szCs w:val="20"/>
        </w:rPr>
        <w:t>. Montana State University Extension.</w:t>
      </w:r>
    </w:p>
    <w:p w14:paraId="188D0A5D" w14:textId="47DDC2D8"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McNair, J. N., Sunkara, A., </w:t>
      </w:r>
      <w:r>
        <w:rPr>
          <w:rFonts w:ascii="Times New Roman" w:hAnsi="Times New Roman" w:cs="Times New Roman"/>
          <w:sz w:val="20"/>
          <w:szCs w:val="20"/>
        </w:rPr>
        <w:t>and</w:t>
      </w:r>
      <w:r w:rsidRPr="00375B31">
        <w:rPr>
          <w:rFonts w:ascii="Times New Roman" w:hAnsi="Times New Roman" w:cs="Times New Roman"/>
          <w:sz w:val="20"/>
          <w:szCs w:val="20"/>
        </w:rPr>
        <w:t xml:space="preserve"> Frobish, D. (2012). How to analyse seed germination data using statistical time-to-event analysis: Non-parametric and semi-parametric methods. </w:t>
      </w:r>
      <w:r w:rsidRPr="00375B31">
        <w:rPr>
          <w:rFonts w:ascii="Times New Roman" w:hAnsi="Times New Roman" w:cs="Times New Roman"/>
          <w:i/>
          <w:iCs/>
          <w:sz w:val="20"/>
          <w:szCs w:val="20"/>
        </w:rPr>
        <w:t>Seed Science Research</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22</w:t>
      </w:r>
      <w:r w:rsidRPr="00375B31">
        <w:rPr>
          <w:rFonts w:ascii="Times New Roman" w:hAnsi="Times New Roman" w:cs="Times New Roman"/>
          <w:sz w:val="20"/>
          <w:szCs w:val="20"/>
        </w:rPr>
        <w:t>(2), 77–95. https://doi.org/10.1017/S0960258511000547</w:t>
      </w:r>
    </w:p>
    <w:p w14:paraId="75D34D46" w14:textId="16A5B5EC"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Mehes-Smith, M., Nkongolo, K., </w:t>
      </w:r>
      <w:r>
        <w:rPr>
          <w:rFonts w:ascii="Times New Roman" w:hAnsi="Times New Roman" w:cs="Times New Roman"/>
          <w:sz w:val="20"/>
          <w:szCs w:val="20"/>
        </w:rPr>
        <w:t>and</w:t>
      </w:r>
      <w:r w:rsidRPr="00375B31">
        <w:rPr>
          <w:rFonts w:ascii="Times New Roman" w:hAnsi="Times New Roman" w:cs="Times New Roman"/>
          <w:sz w:val="20"/>
          <w:szCs w:val="20"/>
        </w:rPr>
        <w:t xml:space="preserve"> Cholewa, E. (2013). Coping Mechanisms of Plants to Metal Contaminated Soil. </w:t>
      </w:r>
      <w:r w:rsidRPr="00375B31">
        <w:rPr>
          <w:rFonts w:ascii="Times New Roman" w:hAnsi="Times New Roman" w:cs="Times New Roman"/>
          <w:i/>
          <w:iCs/>
          <w:sz w:val="20"/>
          <w:szCs w:val="20"/>
        </w:rPr>
        <w:t>Environmental Change and Sustainability</w:t>
      </w:r>
      <w:r w:rsidRPr="00375B31">
        <w:rPr>
          <w:rFonts w:ascii="Times New Roman" w:hAnsi="Times New Roman" w:cs="Times New Roman"/>
          <w:sz w:val="20"/>
          <w:szCs w:val="20"/>
        </w:rPr>
        <w:t>. https://doi.org/10.5772/55124</w:t>
      </w:r>
    </w:p>
    <w:p w14:paraId="46487F2C"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Miller, W. J. (1970). Zinc Nutrition of Cattle: A Review. </w:t>
      </w:r>
      <w:r w:rsidRPr="00375B31">
        <w:rPr>
          <w:rFonts w:ascii="Times New Roman" w:hAnsi="Times New Roman" w:cs="Times New Roman"/>
          <w:i/>
          <w:iCs/>
          <w:sz w:val="20"/>
          <w:szCs w:val="20"/>
        </w:rPr>
        <w:t>Journal of Dairy Science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53</w:t>
      </w:r>
      <w:r w:rsidRPr="00375B31">
        <w:rPr>
          <w:rFonts w:ascii="Times New Roman" w:hAnsi="Times New Roman" w:cs="Times New Roman"/>
          <w:sz w:val="20"/>
          <w:szCs w:val="20"/>
        </w:rPr>
        <w:t>(8), 1123–1135. https://doi.org/10.3168/jds.S0022-0302(70)86355-X</w:t>
      </w:r>
    </w:p>
    <w:p w14:paraId="6643A7DA" w14:textId="49D85BC0"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Mõttus, M., Sulev, M., Frederic, B., Lopez-Lozano, R., </w:t>
      </w:r>
      <w:r>
        <w:rPr>
          <w:rFonts w:ascii="Times New Roman" w:hAnsi="Times New Roman" w:cs="Times New Roman"/>
          <w:sz w:val="20"/>
          <w:szCs w:val="20"/>
        </w:rPr>
        <w:t>and</w:t>
      </w:r>
      <w:r w:rsidRPr="00375B31">
        <w:rPr>
          <w:rFonts w:ascii="Times New Roman" w:hAnsi="Times New Roman" w:cs="Times New Roman"/>
          <w:sz w:val="20"/>
          <w:szCs w:val="20"/>
        </w:rPr>
        <w:t xml:space="preserve"> Noorma, A. (2011). Photosynthetically Active Radiation: Measurement and Modeling. In </w:t>
      </w:r>
      <w:r w:rsidRPr="00375B31">
        <w:rPr>
          <w:rFonts w:ascii="Times New Roman" w:hAnsi="Times New Roman" w:cs="Times New Roman"/>
          <w:i/>
          <w:iCs/>
          <w:sz w:val="20"/>
          <w:szCs w:val="20"/>
        </w:rPr>
        <w:t>Encyclopedia of Sustainability Science and Technology</w:t>
      </w:r>
      <w:r w:rsidRPr="00375B31">
        <w:rPr>
          <w:rFonts w:ascii="Times New Roman" w:hAnsi="Times New Roman" w:cs="Times New Roman"/>
          <w:sz w:val="20"/>
          <w:szCs w:val="20"/>
        </w:rPr>
        <w:t xml:space="preserve"> (pp. 7970–8000). Springer.</w:t>
      </w:r>
    </w:p>
    <w:p w14:paraId="4C8B537A" w14:textId="446E8B8F"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Naidu, G., Ryu, S., Thiruvenkatachari, R., Choi, Y., Jeong, S., </w:t>
      </w:r>
      <w:r>
        <w:rPr>
          <w:rFonts w:ascii="Times New Roman" w:hAnsi="Times New Roman" w:cs="Times New Roman"/>
          <w:sz w:val="20"/>
          <w:szCs w:val="20"/>
        </w:rPr>
        <w:t>and</w:t>
      </w:r>
      <w:r w:rsidRPr="00375B31">
        <w:rPr>
          <w:rFonts w:ascii="Times New Roman" w:hAnsi="Times New Roman" w:cs="Times New Roman"/>
          <w:sz w:val="20"/>
          <w:szCs w:val="20"/>
        </w:rPr>
        <w:t xml:space="preserve"> Vigneswaran, S. (2019). A critical review on remediation, reuse, and resource recovery from acid mine drainage. </w:t>
      </w:r>
      <w:r w:rsidRPr="00375B31">
        <w:rPr>
          <w:rFonts w:ascii="Times New Roman" w:hAnsi="Times New Roman" w:cs="Times New Roman"/>
          <w:i/>
          <w:iCs/>
          <w:sz w:val="20"/>
          <w:szCs w:val="20"/>
        </w:rPr>
        <w:t>Environmental Pollution</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247</w:t>
      </w:r>
      <w:r w:rsidRPr="00375B31">
        <w:rPr>
          <w:rFonts w:ascii="Times New Roman" w:hAnsi="Times New Roman" w:cs="Times New Roman"/>
          <w:sz w:val="20"/>
          <w:szCs w:val="20"/>
        </w:rPr>
        <w:t>, 1110–1124. https://doi.org/10.1016/j.envpol.2019.01.085</w:t>
      </w:r>
    </w:p>
    <w:p w14:paraId="180E3DC6"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lastRenderedPageBreak/>
        <w:t xml:space="preserve">Nairn, R. W. (2015). </w:t>
      </w:r>
      <w:r w:rsidRPr="00375B31">
        <w:rPr>
          <w:rFonts w:ascii="Times New Roman" w:hAnsi="Times New Roman" w:cs="Times New Roman"/>
          <w:i/>
          <w:iCs/>
          <w:sz w:val="20"/>
          <w:szCs w:val="20"/>
        </w:rPr>
        <w:t>Restoring a Severely Disturbed Watershed via Ecological Engineering: The Role of Passive Treatment Technologies</w:t>
      </w:r>
      <w:r w:rsidRPr="00375B31">
        <w:rPr>
          <w:rFonts w:ascii="Times New Roman" w:hAnsi="Times New Roman" w:cs="Times New Roman"/>
          <w:sz w:val="20"/>
          <w:szCs w:val="20"/>
        </w:rPr>
        <w:t>. Oklahoma Clean Lakes and Watersheds Association, Stillwater, OK. http://www.oclwa.org/pdf/2015Presentations/A2-Nairn-Role%20of%20Passive%20Treatment%20Tech.pdf</w:t>
      </w:r>
    </w:p>
    <w:p w14:paraId="75648F39"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Nairn, R. W. (2019). </w:t>
      </w:r>
      <w:r w:rsidRPr="00375B31">
        <w:rPr>
          <w:rFonts w:ascii="Times New Roman" w:hAnsi="Times New Roman" w:cs="Times New Roman"/>
          <w:i/>
          <w:iCs/>
          <w:sz w:val="20"/>
          <w:szCs w:val="20"/>
        </w:rPr>
        <w:t>A Decade of Successful Performance: Ecotoxic Metal Retention in Ecologically Engineered Passive Treatment Systems Contributes to Stream Recovery in a Mining-Disturbed Watershed</w:t>
      </w:r>
      <w:r w:rsidRPr="00375B31">
        <w:rPr>
          <w:rFonts w:ascii="Times New Roman" w:hAnsi="Times New Roman" w:cs="Times New Roman"/>
          <w:sz w:val="20"/>
          <w:szCs w:val="20"/>
        </w:rPr>
        <w:t>. CREW Meeting, Norman, OK.</w:t>
      </w:r>
    </w:p>
    <w:p w14:paraId="2DD763B0" w14:textId="1925C9F9"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Nairn, R. W., Beisel, T., Thomas, R. C., LaBar, J. A., Strevett, K. A., Fuller, D., Strosnider, W. H., Andrews, W. J., Bays, J., </w:t>
      </w:r>
      <w:r>
        <w:rPr>
          <w:rFonts w:ascii="Times New Roman" w:hAnsi="Times New Roman" w:cs="Times New Roman"/>
          <w:sz w:val="20"/>
          <w:szCs w:val="20"/>
        </w:rPr>
        <w:t>and</w:t>
      </w:r>
      <w:r w:rsidRPr="00375B31">
        <w:rPr>
          <w:rFonts w:ascii="Times New Roman" w:hAnsi="Times New Roman" w:cs="Times New Roman"/>
          <w:sz w:val="20"/>
          <w:szCs w:val="20"/>
        </w:rPr>
        <w:t xml:space="preserve"> Knox, R. C. (2009). Challenges in design and construction of a large multi-cell passive treatment system for ferruginous lead-zinc mine waters. </w:t>
      </w:r>
      <w:r w:rsidRPr="00375B31">
        <w:rPr>
          <w:rFonts w:ascii="Times New Roman" w:hAnsi="Times New Roman" w:cs="Times New Roman"/>
          <w:i/>
          <w:iCs/>
          <w:sz w:val="20"/>
          <w:szCs w:val="20"/>
        </w:rPr>
        <w:t>Proceedings of the 26th National Conference of the American Society of Mining and Reclamation</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2009</w:t>
      </w:r>
      <w:r w:rsidRPr="00375B31">
        <w:rPr>
          <w:rFonts w:ascii="Times New Roman" w:hAnsi="Times New Roman" w:cs="Times New Roman"/>
          <w:sz w:val="20"/>
          <w:szCs w:val="20"/>
        </w:rPr>
        <w:t>, 871–892. https://doi.org/10.21000/JASMR09010871</w:t>
      </w:r>
    </w:p>
    <w:p w14:paraId="3B1812A8" w14:textId="044505D8"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Nairn, R. W., </w:t>
      </w:r>
      <w:r>
        <w:rPr>
          <w:rFonts w:ascii="Times New Roman" w:hAnsi="Times New Roman" w:cs="Times New Roman"/>
          <w:sz w:val="20"/>
          <w:szCs w:val="20"/>
        </w:rPr>
        <w:t>and</w:t>
      </w:r>
      <w:r w:rsidRPr="00375B31">
        <w:rPr>
          <w:rFonts w:ascii="Times New Roman" w:hAnsi="Times New Roman" w:cs="Times New Roman"/>
          <w:sz w:val="20"/>
          <w:szCs w:val="20"/>
        </w:rPr>
        <w:t xml:space="preserve"> Strevett, K. A. (2009). </w:t>
      </w:r>
      <w:r w:rsidRPr="00375B31">
        <w:rPr>
          <w:rFonts w:ascii="Times New Roman" w:hAnsi="Times New Roman" w:cs="Times New Roman"/>
          <w:i/>
          <w:iCs/>
          <w:sz w:val="20"/>
          <w:szCs w:val="20"/>
        </w:rPr>
        <w:t>Evaluating Wastewater Reuse for Livestock Watering</w:t>
      </w:r>
      <w:r w:rsidRPr="00375B31">
        <w:rPr>
          <w:rFonts w:ascii="Times New Roman" w:hAnsi="Times New Roman" w:cs="Times New Roman"/>
          <w:sz w:val="20"/>
          <w:szCs w:val="20"/>
        </w:rPr>
        <w:t>.</w:t>
      </w:r>
    </w:p>
    <w:p w14:paraId="259087F5" w14:textId="35AA6792"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Nairn, Robert W, LaBar, J. A., Oxenford, L. R., Shepherd, N. L., Arango, J. G., Tang, Z., Dorman, D. M., Folz, C. A., McCann, J. I., Ingendorf, J., Stanfield, H. T., </w:t>
      </w:r>
      <w:r>
        <w:rPr>
          <w:rFonts w:ascii="Times New Roman" w:hAnsi="Times New Roman" w:cs="Times New Roman"/>
          <w:sz w:val="20"/>
          <w:szCs w:val="20"/>
        </w:rPr>
        <w:t>and</w:t>
      </w:r>
      <w:r w:rsidRPr="00375B31">
        <w:rPr>
          <w:rFonts w:ascii="Times New Roman" w:hAnsi="Times New Roman" w:cs="Times New Roman"/>
          <w:sz w:val="20"/>
          <w:szCs w:val="20"/>
        </w:rPr>
        <w:t xml:space="preserve"> Knox, R. C. (2020). Toward Sustainability of Passive Treatment in Legacy Mining Watersheds: Operational Performance and System Maintenance. </w:t>
      </w:r>
      <w:r w:rsidRPr="00375B31">
        <w:rPr>
          <w:rFonts w:ascii="Times New Roman" w:hAnsi="Times New Roman" w:cs="Times New Roman"/>
          <w:i/>
          <w:iCs/>
          <w:sz w:val="20"/>
          <w:szCs w:val="20"/>
        </w:rPr>
        <w:t>Mine Water Solutions</w:t>
      </w:r>
      <w:r w:rsidRPr="00375B31">
        <w:rPr>
          <w:rFonts w:ascii="Times New Roman" w:hAnsi="Times New Roman" w:cs="Times New Roman"/>
          <w:sz w:val="20"/>
          <w:szCs w:val="20"/>
        </w:rPr>
        <w:t>, 123–128.</w:t>
      </w:r>
    </w:p>
    <w:p w14:paraId="34BC7C13"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NASEM. (2015). </w:t>
      </w:r>
      <w:r w:rsidRPr="00375B31">
        <w:rPr>
          <w:rFonts w:ascii="Times New Roman" w:hAnsi="Times New Roman" w:cs="Times New Roman"/>
          <w:i/>
          <w:iCs/>
          <w:sz w:val="20"/>
          <w:szCs w:val="20"/>
        </w:rPr>
        <w:t>Nutrient Requirements of Beef Cattle</w:t>
      </w:r>
      <w:r w:rsidRPr="00375B31">
        <w:rPr>
          <w:rFonts w:ascii="Times New Roman" w:hAnsi="Times New Roman" w:cs="Times New Roman"/>
          <w:sz w:val="20"/>
          <w:szCs w:val="20"/>
        </w:rPr>
        <w:t xml:space="preserve"> (8th ed., p. 19014). National Academies Press. https://doi.org/10.17226/19014</w:t>
      </w:r>
    </w:p>
    <w:p w14:paraId="3DF0B5FA"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NAU. (2012). </w:t>
      </w:r>
      <w:r w:rsidRPr="00375B31">
        <w:rPr>
          <w:rFonts w:ascii="Times New Roman" w:hAnsi="Times New Roman" w:cs="Times New Roman"/>
          <w:i/>
          <w:iCs/>
          <w:sz w:val="20"/>
          <w:szCs w:val="20"/>
        </w:rPr>
        <w:t>Sphericity in repeated measures analysis of variance</w:t>
      </w:r>
      <w:r w:rsidRPr="00375B31">
        <w:rPr>
          <w:rFonts w:ascii="Times New Roman" w:hAnsi="Times New Roman" w:cs="Times New Roman"/>
          <w:sz w:val="20"/>
          <w:szCs w:val="20"/>
        </w:rPr>
        <w:t>. Northern Arizona University Oak. http://oak.ucc.nau.edu/rh232/courses/EPS625/Handouts/RM-ANOVA/Sphericity.pdf</w:t>
      </w:r>
    </w:p>
    <w:p w14:paraId="5681FFD3" w14:textId="75E45362"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New, L. (2004). </w:t>
      </w:r>
      <w:r w:rsidRPr="00375B31">
        <w:rPr>
          <w:rFonts w:ascii="Times New Roman" w:hAnsi="Times New Roman" w:cs="Times New Roman"/>
          <w:i/>
          <w:iCs/>
          <w:sz w:val="20"/>
          <w:szCs w:val="20"/>
        </w:rPr>
        <w:t>Grain sorghum irrigation</w:t>
      </w:r>
      <w:r w:rsidRPr="00375B31">
        <w:rPr>
          <w:rFonts w:ascii="Times New Roman" w:hAnsi="Times New Roman" w:cs="Times New Roman"/>
          <w:sz w:val="20"/>
          <w:szCs w:val="20"/>
        </w:rPr>
        <w:t xml:space="preserve"> (B-6152; p. 8). Texas A</w:t>
      </w:r>
      <w:r>
        <w:rPr>
          <w:rFonts w:ascii="Times New Roman" w:hAnsi="Times New Roman" w:cs="Times New Roman"/>
          <w:sz w:val="20"/>
          <w:szCs w:val="20"/>
        </w:rPr>
        <w:t>&amp;</w:t>
      </w:r>
      <w:r w:rsidRPr="00375B31">
        <w:rPr>
          <w:rFonts w:ascii="Times New Roman" w:hAnsi="Times New Roman" w:cs="Times New Roman"/>
          <w:sz w:val="20"/>
          <w:szCs w:val="20"/>
        </w:rPr>
        <w:t>M University, AgriLife Extension.</w:t>
      </w:r>
    </w:p>
    <w:p w14:paraId="544030D8"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Nimon, K. F. (2012). Statistical Assumptions of Substantive Analyses Across the General Linear Model: A Mini-Review. </w:t>
      </w:r>
      <w:r w:rsidRPr="00375B31">
        <w:rPr>
          <w:rFonts w:ascii="Times New Roman" w:hAnsi="Times New Roman" w:cs="Times New Roman"/>
          <w:i/>
          <w:iCs/>
          <w:sz w:val="20"/>
          <w:szCs w:val="20"/>
        </w:rPr>
        <w:t>Frontiers in Psychology</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3</w:t>
      </w:r>
      <w:r w:rsidRPr="00375B31">
        <w:rPr>
          <w:rFonts w:ascii="Times New Roman" w:hAnsi="Times New Roman" w:cs="Times New Roman"/>
          <w:sz w:val="20"/>
          <w:szCs w:val="20"/>
        </w:rPr>
        <w:t>. https://doi.org/10.3389/fpsyg.2012.00322</w:t>
      </w:r>
    </w:p>
    <w:p w14:paraId="3D9EBD96"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ODEQ. (2015a). </w:t>
      </w:r>
      <w:r w:rsidRPr="00375B31">
        <w:rPr>
          <w:rFonts w:ascii="Times New Roman" w:hAnsi="Times New Roman" w:cs="Times New Roman"/>
          <w:i/>
          <w:iCs/>
          <w:sz w:val="20"/>
          <w:szCs w:val="20"/>
        </w:rPr>
        <w:t>627.pdf</w:t>
      </w:r>
      <w:r w:rsidRPr="00375B31">
        <w:rPr>
          <w:rFonts w:ascii="Times New Roman" w:hAnsi="Times New Roman" w:cs="Times New Roman"/>
          <w:sz w:val="20"/>
          <w:szCs w:val="20"/>
        </w:rPr>
        <w:t xml:space="preserve"> (Title 252, Chapter 627; Oklahoma Administrative Code, p. 11). Oklahoma Department of Environmental Quality (ODEQ). https://www.deq.ok.gov/wp-content/uploads/deqmainresources/627.pdf</w:t>
      </w:r>
    </w:p>
    <w:p w14:paraId="0DDC0BA5"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ODEQ. (2015b). </w:t>
      </w:r>
      <w:r w:rsidRPr="00375B31">
        <w:rPr>
          <w:rFonts w:ascii="Times New Roman" w:hAnsi="Times New Roman" w:cs="Times New Roman"/>
          <w:i/>
          <w:iCs/>
          <w:sz w:val="20"/>
          <w:szCs w:val="20"/>
        </w:rPr>
        <w:t>656.pdf</w:t>
      </w:r>
      <w:r w:rsidRPr="00375B31">
        <w:rPr>
          <w:rFonts w:ascii="Times New Roman" w:hAnsi="Times New Roman" w:cs="Times New Roman"/>
          <w:sz w:val="20"/>
          <w:szCs w:val="20"/>
        </w:rPr>
        <w:t xml:space="preserve"> (Title 252, Chapter 656; Oklahoma Administrative Code, p. 63). Oklahoma Department of Environmental Quality (ODEQ). https://www.deq.ok.gov/wp-content/uploads/deqmainresources/656.pdf</w:t>
      </w:r>
    </w:p>
    <w:p w14:paraId="4DB77ED9"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lastRenderedPageBreak/>
        <w:t xml:space="preserve">Oklahoma Water Resources Board. (2017). </w:t>
      </w:r>
      <w:r w:rsidRPr="00375B31">
        <w:rPr>
          <w:rFonts w:ascii="Times New Roman" w:hAnsi="Times New Roman" w:cs="Times New Roman"/>
          <w:i/>
          <w:iCs/>
          <w:sz w:val="20"/>
          <w:szCs w:val="20"/>
        </w:rPr>
        <w:t>Implementation of Oklahoma’s Water Quality Standards</w:t>
      </w:r>
      <w:r w:rsidRPr="00375B31">
        <w:rPr>
          <w:rFonts w:ascii="Times New Roman" w:hAnsi="Times New Roman" w:cs="Times New Roman"/>
          <w:sz w:val="20"/>
          <w:szCs w:val="20"/>
        </w:rPr>
        <w:t xml:space="preserve"> (Unofficial Chapter 45; p. 132). https://www.owrb.ok.gov/rules/pdf/current/Ch45.pdf</w:t>
      </w:r>
    </w:p>
    <w:p w14:paraId="138A36BB" w14:textId="6450FB3E"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Oliveira, D. P., Nóbrega, G. N., Ruiz, F., Perlatti, F., Soares, A. A., Otero, X. L., </w:t>
      </w:r>
      <w:r>
        <w:rPr>
          <w:rFonts w:ascii="Times New Roman" w:hAnsi="Times New Roman" w:cs="Times New Roman"/>
          <w:sz w:val="20"/>
          <w:szCs w:val="20"/>
        </w:rPr>
        <w:t>and</w:t>
      </w:r>
      <w:r w:rsidRPr="00375B31">
        <w:rPr>
          <w:rFonts w:ascii="Times New Roman" w:hAnsi="Times New Roman" w:cs="Times New Roman"/>
          <w:sz w:val="20"/>
          <w:szCs w:val="20"/>
        </w:rPr>
        <w:t xml:space="preserve"> Ferreira, T. O. (2019). Risk assessment and copper geochemistry of an orchard irrigated with mine water: A case study in the semiarid region of Brazil. </w:t>
      </w:r>
      <w:r w:rsidRPr="00375B31">
        <w:rPr>
          <w:rFonts w:ascii="Times New Roman" w:hAnsi="Times New Roman" w:cs="Times New Roman"/>
          <w:i/>
          <w:iCs/>
          <w:sz w:val="20"/>
          <w:szCs w:val="20"/>
        </w:rPr>
        <w:t>Environmental Geochemistry and Health</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41</w:t>
      </w:r>
      <w:r w:rsidRPr="00375B31">
        <w:rPr>
          <w:rFonts w:ascii="Times New Roman" w:hAnsi="Times New Roman" w:cs="Times New Roman"/>
          <w:sz w:val="20"/>
          <w:szCs w:val="20"/>
        </w:rPr>
        <w:t>(2), 603–615. https://doi.org/10.1007/s10653-018-0154-4</w:t>
      </w:r>
    </w:p>
    <w:p w14:paraId="38626CFD"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Olkowski, A. A. (2009). </w:t>
      </w:r>
      <w:r w:rsidRPr="00375B31">
        <w:rPr>
          <w:rFonts w:ascii="Times New Roman" w:hAnsi="Times New Roman" w:cs="Times New Roman"/>
          <w:i/>
          <w:iCs/>
          <w:sz w:val="20"/>
          <w:szCs w:val="20"/>
        </w:rPr>
        <w:t>Livestock Water Quality: A field guide for cattle, horses, poultry and swine</w:t>
      </w:r>
      <w:r w:rsidRPr="00375B31">
        <w:rPr>
          <w:rFonts w:ascii="Times New Roman" w:hAnsi="Times New Roman" w:cs="Times New Roman"/>
          <w:sz w:val="20"/>
          <w:szCs w:val="20"/>
        </w:rPr>
        <w:t>. University of Saskatchewan. https://www.ag.ndsu.edu/waterquality/livestock/Livestock_Water_QualityFINALweb.pdf</w:t>
      </w:r>
    </w:p>
    <w:p w14:paraId="32FC0392"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OWRB. (2020). </w:t>
      </w:r>
      <w:r w:rsidRPr="00375B31">
        <w:rPr>
          <w:rFonts w:ascii="Times New Roman" w:hAnsi="Times New Roman" w:cs="Times New Roman"/>
          <w:i/>
          <w:iCs/>
          <w:sz w:val="20"/>
          <w:szCs w:val="20"/>
        </w:rPr>
        <w:t>Water for 2060: Water Reuse</w:t>
      </w:r>
      <w:r w:rsidRPr="00375B31">
        <w:rPr>
          <w:rFonts w:ascii="Times New Roman" w:hAnsi="Times New Roman" w:cs="Times New Roman"/>
          <w:sz w:val="20"/>
          <w:szCs w:val="20"/>
        </w:rPr>
        <w:t>. Oklahoma Water Resources Board. https://www.owrb.ok.gov/2060/pdf/Reuse.pdf</w:t>
      </w:r>
    </w:p>
    <w:p w14:paraId="0921D3D4" w14:textId="0E985A7E"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Paterson, J. A., </w:t>
      </w:r>
      <w:r>
        <w:rPr>
          <w:rFonts w:ascii="Times New Roman" w:hAnsi="Times New Roman" w:cs="Times New Roman"/>
          <w:sz w:val="20"/>
          <w:szCs w:val="20"/>
        </w:rPr>
        <w:t>and</w:t>
      </w:r>
      <w:r w:rsidRPr="00375B31">
        <w:rPr>
          <w:rFonts w:ascii="Times New Roman" w:hAnsi="Times New Roman" w:cs="Times New Roman"/>
          <w:sz w:val="20"/>
          <w:szCs w:val="20"/>
        </w:rPr>
        <w:t xml:space="preserve"> Engle, T. E. (2005). Trace Mineral Nutrition in Beef Cattle. </w:t>
      </w:r>
      <w:r w:rsidRPr="00375B31">
        <w:rPr>
          <w:rFonts w:ascii="Times New Roman" w:hAnsi="Times New Roman" w:cs="Times New Roman"/>
          <w:i/>
          <w:iCs/>
          <w:sz w:val="20"/>
          <w:szCs w:val="20"/>
        </w:rPr>
        <w:t>Presented at the 2005 Nutrition Conference Sponsored by Department of Animal Science, UT Extension and University Professional and Personal Development The University of Tennessee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2005</w:t>
      </w:r>
      <w:r w:rsidRPr="00375B31">
        <w:rPr>
          <w:rFonts w:ascii="Times New Roman" w:hAnsi="Times New Roman" w:cs="Times New Roman"/>
          <w:sz w:val="20"/>
          <w:szCs w:val="20"/>
        </w:rPr>
        <w:t>, 22.</w:t>
      </w:r>
    </w:p>
    <w:p w14:paraId="71C8330C"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Pearson, K. E. (2003). </w:t>
      </w:r>
      <w:r w:rsidRPr="00375B31">
        <w:rPr>
          <w:rFonts w:ascii="Times New Roman" w:hAnsi="Times New Roman" w:cs="Times New Roman"/>
          <w:i/>
          <w:iCs/>
          <w:sz w:val="20"/>
          <w:szCs w:val="20"/>
        </w:rPr>
        <w:t>Basics of Salinity and Sodicity Effects on Soil Physical Properties</w:t>
      </w:r>
      <w:r w:rsidRPr="00375B31">
        <w:rPr>
          <w:rFonts w:ascii="Times New Roman" w:hAnsi="Times New Roman" w:cs="Times New Roman"/>
          <w:sz w:val="20"/>
          <w:szCs w:val="20"/>
        </w:rPr>
        <w:t>. Montana State University Extension. https://waterquality.montana.edu/energy/cbm/background/soil-prop.html</w:t>
      </w:r>
    </w:p>
    <w:p w14:paraId="285B34B1"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Pérez-Harguindeguy, N., Díaz, S., Garnier, E., Lavorel, S., Poorter, H., Jaureguiberry, P., Bret-Harte, M. S., Cornwell, W. K., Craine, J. M., Gurvich, D. E., Urcelay, C., Veneklaas, E. J., Reich, P. B., Poorter, L., Wright, I. J., Ray, P., Enrico, L., Pausas, J. G., de Vos, A. C., … Cornelissen, J. H. C. (2013). New handbook for standardised measurement of plant functional traits worldwide. </w:t>
      </w:r>
      <w:r w:rsidRPr="00375B31">
        <w:rPr>
          <w:rFonts w:ascii="Times New Roman" w:hAnsi="Times New Roman" w:cs="Times New Roman"/>
          <w:i/>
          <w:iCs/>
          <w:sz w:val="20"/>
          <w:szCs w:val="20"/>
        </w:rPr>
        <w:t>Australian Journal of Botany</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61</w:t>
      </w:r>
      <w:r w:rsidRPr="00375B31">
        <w:rPr>
          <w:rFonts w:ascii="Times New Roman" w:hAnsi="Times New Roman" w:cs="Times New Roman"/>
          <w:sz w:val="20"/>
          <w:szCs w:val="20"/>
        </w:rPr>
        <w:t>(3), 167–234. https://doi.org/10.1071/BT12225</w:t>
      </w:r>
    </w:p>
    <w:p w14:paraId="4E014257"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Pescod, M. B. (1992). </w:t>
      </w:r>
      <w:r w:rsidRPr="00375B31">
        <w:rPr>
          <w:rFonts w:ascii="Times New Roman" w:hAnsi="Times New Roman" w:cs="Times New Roman"/>
          <w:i/>
          <w:iCs/>
          <w:sz w:val="20"/>
          <w:szCs w:val="20"/>
        </w:rPr>
        <w:t>Wastewater treatment and use in agriculture</w:t>
      </w:r>
      <w:r w:rsidRPr="00375B31">
        <w:rPr>
          <w:rFonts w:ascii="Times New Roman" w:hAnsi="Times New Roman" w:cs="Times New Roman"/>
          <w:sz w:val="20"/>
          <w:szCs w:val="20"/>
        </w:rPr>
        <w:t>. Food and Agriculture Organization of the United Nations. http://www.fao.org/3/t0551e/t0551e00.htm#Contents</w:t>
      </w:r>
    </w:p>
    <w:p w14:paraId="215AEDDB"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Pettygrove, G. S. (2018). </w:t>
      </w:r>
      <w:r w:rsidRPr="00375B31">
        <w:rPr>
          <w:rFonts w:ascii="Times New Roman" w:hAnsi="Times New Roman" w:cs="Times New Roman"/>
          <w:i/>
          <w:iCs/>
          <w:sz w:val="20"/>
          <w:szCs w:val="20"/>
        </w:rPr>
        <w:t>Irrigation With Reclaimed Municipal Wastewater—A Guidance Manual</w:t>
      </w:r>
      <w:r w:rsidRPr="00375B31">
        <w:rPr>
          <w:rFonts w:ascii="Times New Roman" w:hAnsi="Times New Roman" w:cs="Times New Roman"/>
          <w:sz w:val="20"/>
          <w:szCs w:val="20"/>
        </w:rPr>
        <w:t>. CRC Press.</w:t>
      </w:r>
    </w:p>
    <w:p w14:paraId="3863B3C4" w14:textId="3DF75A51"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Pfost, D. L., Fulhage, C. D., </w:t>
      </w:r>
      <w:r>
        <w:rPr>
          <w:rFonts w:ascii="Times New Roman" w:hAnsi="Times New Roman" w:cs="Times New Roman"/>
          <w:sz w:val="20"/>
          <w:szCs w:val="20"/>
        </w:rPr>
        <w:t>and</w:t>
      </w:r>
      <w:r w:rsidRPr="00375B31">
        <w:rPr>
          <w:rFonts w:ascii="Times New Roman" w:hAnsi="Times New Roman" w:cs="Times New Roman"/>
          <w:sz w:val="20"/>
          <w:szCs w:val="20"/>
        </w:rPr>
        <w:t xml:space="preserve"> Casteel, S. (2001). </w:t>
      </w:r>
      <w:r w:rsidRPr="00375B31">
        <w:rPr>
          <w:rFonts w:ascii="Times New Roman" w:hAnsi="Times New Roman" w:cs="Times New Roman"/>
          <w:i/>
          <w:iCs/>
          <w:sz w:val="20"/>
          <w:szCs w:val="20"/>
        </w:rPr>
        <w:t>Water Quality for Livestock Drinking</w:t>
      </w:r>
      <w:r w:rsidRPr="00375B31">
        <w:rPr>
          <w:rFonts w:ascii="Times New Roman" w:hAnsi="Times New Roman" w:cs="Times New Roman"/>
          <w:sz w:val="20"/>
          <w:szCs w:val="20"/>
        </w:rPr>
        <w:t xml:space="preserve"> (New 2/01/7M; MU Guide, p. 4). University of Missouri-Columbia. https://extensiondata.missouri.edu/pub/pdf/envqual/eq0381.pdf</w:t>
      </w:r>
    </w:p>
    <w:p w14:paraId="63F42B6F" w14:textId="11C2A800"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lastRenderedPageBreak/>
        <w:t xml:space="preserve">Pimentel, D., Berger, B., Filiberto, D., Newton, M., Wolfe, B., Karabinakis, E., Clark, S., Poon, E., Abbett, E., </w:t>
      </w:r>
      <w:r>
        <w:rPr>
          <w:rFonts w:ascii="Times New Roman" w:hAnsi="Times New Roman" w:cs="Times New Roman"/>
          <w:sz w:val="20"/>
          <w:szCs w:val="20"/>
        </w:rPr>
        <w:t>and</w:t>
      </w:r>
      <w:r w:rsidRPr="00375B31">
        <w:rPr>
          <w:rFonts w:ascii="Times New Roman" w:hAnsi="Times New Roman" w:cs="Times New Roman"/>
          <w:sz w:val="20"/>
          <w:szCs w:val="20"/>
        </w:rPr>
        <w:t xml:space="preserve"> Nandagopal, S. (2004). Water Resources: Agricultural and Environmental Issues. </w:t>
      </w:r>
      <w:r w:rsidRPr="00375B31">
        <w:rPr>
          <w:rFonts w:ascii="Times New Roman" w:hAnsi="Times New Roman" w:cs="Times New Roman"/>
          <w:i/>
          <w:iCs/>
          <w:sz w:val="20"/>
          <w:szCs w:val="20"/>
        </w:rPr>
        <w:t>BioScience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54</w:t>
      </w:r>
      <w:r w:rsidRPr="00375B31">
        <w:rPr>
          <w:rFonts w:ascii="Times New Roman" w:hAnsi="Times New Roman" w:cs="Times New Roman"/>
          <w:sz w:val="20"/>
          <w:szCs w:val="20"/>
        </w:rPr>
        <w:t>(10), 909–918. https://doi.org/10.1641/0006-3568(2004)054[0909:WRAAEI]2.0.CO;2</w:t>
      </w:r>
    </w:p>
    <w:p w14:paraId="29333B3C" w14:textId="53CCAABB"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Plappally, A., </w:t>
      </w:r>
      <w:r>
        <w:rPr>
          <w:rFonts w:ascii="Times New Roman" w:hAnsi="Times New Roman" w:cs="Times New Roman"/>
          <w:sz w:val="20"/>
          <w:szCs w:val="20"/>
        </w:rPr>
        <w:t>and</w:t>
      </w:r>
      <w:r w:rsidRPr="00375B31">
        <w:rPr>
          <w:rFonts w:ascii="Times New Roman" w:hAnsi="Times New Roman" w:cs="Times New Roman"/>
          <w:sz w:val="20"/>
          <w:szCs w:val="20"/>
        </w:rPr>
        <w:t xml:space="preserve"> Lienhard, J. H. (2012). Costs for water supply, treatment, end-use and reclamation. </w:t>
      </w:r>
      <w:r w:rsidRPr="00375B31">
        <w:rPr>
          <w:rFonts w:ascii="Times New Roman" w:hAnsi="Times New Roman" w:cs="Times New Roman"/>
          <w:i/>
          <w:iCs/>
          <w:sz w:val="20"/>
          <w:szCs w:val="20"/>
        </w:rPr>
        <w:t>Desalination and Water Treatment</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51</w:t>
      </w:r>
      <w:r w:rsidRPr="00375B31">
        <w:rPr>
          <w:rFonts w:ascii="Times New Roman" w:hAnsi="Times New Roman" w:cs="Times New Roman"/>
          <w:sz w:val="20"/>
          <w:szCs w:val="20"/>
        </w:rPr>
        <w:t>(1), 1–33. https://doi.org/10.1080/19443994.2012.708996</w:t>
      </w:r>
    </w:p>
    <w:p w14:paraId="2D743494"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Platts, W. S. (1979). Livestock grazing and riparian/stream ecosystems: An overview. </w:t>
      </w:r>
      <w:r w:rsidRPr="00375B31">
        <w:rPr>
          <w:rFonts w:ascii="Times New Roman" w:hAnsi="Times New Roman" w:cs="Times New Roman"/>
          <w:i/>
          <w:iCs/>
          <w:sz w:val="20"/>
          <w:szCs w:val="20"/>
        </w:rPr>
        <w:t>Animal Studies Repository</w:t>
      </w:r>
      <w:r w:rsidRPr="00375B31">
        <w:rPr>
          <w:rFonts w:ascii="Times New Roman" w:hAnsi="Times New Roman" w:cs="Times New Roman"/>
          <w:sz w:val="20"/>
          <w:szCs w:val="20"/>
        </w:rPr>
        <w:t>, 39–45.</w:t>
      </w:r>
    </w:p>
    <w:p w14:paraId="5E11EC0D" w14:textId="4476846E"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Pogge, D. J., Drewnoski, M. E., </w:t>
      </w:r>
      <w:r>
        <w:rPr>
          <w:rFonts w:ascii="Times New Roman" w:hAnsi="Times New Roman" w:cs="Times New Roman"/>
          <w:sz w:val="20"/>
          <w:szCs w:val="20"/>
        </w:rPr>
        <w:t>and</w:t>
      </w:r>
      <w:r w:rsidRPr="00375B31">
        <w:rPr>
          <w:rFonts w:ascii="Times New Roman" w:hAnsi="Times New Roman" w:cs="Times New Roman"/>
          <w:sz w:val="20"/>
          <w:szCs w:val="20"/>
        </w:rPr>
        <w:t xml:space="preserve"> Hansen, S. L. (2014). High dietary sulfur decreases the retention of copper, manganese, and zinc in steers. </w:t>
      </w:r>
      <w:r w:rsidRPr="00375B31">
        <w:rPr>
          <w:rFonts w:ascii="Times New Roman" w:hAnsi="Times New Roman" w:cs="Times New Roman"/>
          <w:i/>
          <w:iCs/>
          <w:sz w:val="20"/>
          <w:szCs w:val="20"/>
        </w:rPr>
        <w:t>Journal of Animal Science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92</w:t>
      </w:r>
      <w:r w:rsidRPr="00375B31">
        <w:rPr>
          <w:rFonts w:ascii="Times New Roman" w:hAnsi="Times New Roman" w:cs="Times New Roman"/>
          <w:sz w:val="20"/>
          <w:szCs w:val="20"/>
        </w:rPr>
        <w:t>(5), 2182–2191. https://doi.org/10.2527/jas.2013-7481</w:t>
      </w:r>
    </w:p>
    <w:p w14:paraId="7099AA34" w14:textId="0CD904CD"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Poorter, H., Niklas, K. J., Reich, P. B., Oleksyn, J., Poot, P., </w:t>
      </w:r>
      <w:r>
        <w:rPr>
          <w:rFonts w:ascii="Times New Roman" w:hAnsi="Times New Roman" w:cs="Times New Roman"/>
          <w:sz w:val="20"/>
          <w:szCs w:val="20"/>
        </w:rPr>
        <w:t>and</w:t>
      </w:r>
      <w:r w:rsidRPr="00375B31">
        <w:rPr>
          <w:rFonts w:ascii="Times New Roman" w:hAnsi="Times New Roman" w:cs="Times New Roman"/>
          <w:sz w:val="20"/>
          <w:szCs w:val="20"/>
        </w:rPr>
        <w:t xml:space="preserve"> Mommer, L. (2012). Biomass allocation to leaves, stems and roots: Meta-analyses of interspecific variation and environmental control. </w:t>
      </w:r>
      <w:r w:rsidRPr="00375B31">
        <w:rPr>
          <w:rFonts w:ascii="Times New Roman" w:hAnsi="Times New Roman" w:cs="Times New Roman"/>
          <w:i/>
          <w:iCs/>
          <w:sz w:val="20"/>
          <w:szCs w:val="20"/>
        </w:rPr>
        <w:t>New Phytologist</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193</w:t>
      </w:r>
      <w:r w:rsidRPr="00375B31">
        <w:rPr>
          <w:rFonts w:ascii="Times New Roman" w:hAnsi="Times New Roman" w:cs="Times New Roman"/>
          <w:sz w:val="20"/>
          <w:szCs w:val="20"/>
        </w:rPr>
        <w:t>(1), 30–50. https://doi.org/10.1111/j.1469-8137.2011.03952.x</w:t>
      </w:r>
    </w:p>
    <w:p w14:paraId="522373EB"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Rasby, R. (n.d.). </w:t>
      </w:r>
      <w:r w:rsidRPr="00375B31">
        <w:rPr>
          <w:rFonts w:ascii="Times New Roman" w:hAnsi="Times New Roman" w:cs="Times New Roman"/>
          <w:i/>
          <w:iCs/>
          <w:sz w:val="20"/>
          <w:szCs w:val="20"/>
        </w:rPr>
        <w:t>How much water do cows drink</w:t>
      </w:r>
      <w:r w:rsidRPr="00375B31">
        <w:rPr>
          <w:rFonts w:ascii="Times New Roman" w:hAnsi="Times New Roman" w:cs="Times New Roman"/>
          <w:sz w:val="20"/>
          <w:szCs w:val="20"/>
        </w:rPr>
        <w:t>. UNL Beef. Retrieved December 17, 2019, from https://beef.unl.edu/amountwatercowsdrink</w:t>
      </w:r>
    </w:p>
    <w:p w14:paraId="3522CEEC"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Richards, L. A. (1954). Diagnosis and Improvement of Saline and Alkali Soils. </w:t>
      </w:r>
      <w:r w:rsidRPr="00375B31">
        <w:rPr>
          <w:rFonts w:ascii="Times New Roman" w:hAnsi="Times New Roman" w:cs="Times New Roman"/>
          <w:i/>
          <w:iCs/>
          <w:sz w:val="20"/>
          <w:szCs w:val="20"/>
        </w:rPr>
        <w:t>Soil Science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78</w:t>
      </w:r>
      <w:r w:rsidRPr="00375B31">
        <w:rPr>
          <w:rFonts w:ascii="Times New Roman" w:hAnsi="Times New Roman" w:cs="Times New Roman"/>
          <w:sz w:val="20"/>
          <w:szCs w:val="20"/>
        </w:rPr>
        <w:t>(2), 154.</w:t>
      </w:r>
    </w:p>
    <w:p w14:paraId="1368F154" w14:textId="3875E4D3"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Rink, W., Gambrel, D., Eddy, R., </w:t>
      </w:r>
      <w:r>
        <w:rPr>
          <w:rFonts w:ascii="Times New Roman" w:hAnsi="Times New Roman" w:cs="Times New Roman"/>
          <w:sz w:val="20"/>
          <w:szCs w:val="20"/>
        </w:rPr>
        <w:t>and</w:t>
      </w:r>
      <w:r w:rsidRPr="00375B31">
        <w:rPr>
          <w:rFonts w:ascii="Times New Roman" w:hAnsi="Times New Roman" w:cs="Times New Roman"/>
          <w:sz w:val="20"/>
          <w:szCs w:val="20"/>
        </w:rPr>
        <w:t xml:space="preserve"> Hahn, D. T. (2010). </w:t>
      </w:r>
      <w:r w:rsidRPr="00375B31">
        <w:rPr>
          <w:rFonts w:ascii="Times New Roman" w:hAnsi="Times New Roman" w:cs="Times New Roman"/>
          <w:i/>
          <w:iCs/>
          <w:sz w:val="20"/>
          <w:szCs w:val="20"/>
        </w:rPr>
        <w:t>Optimizing Greenhouse Corn Production: What Is the Best Irrigation Strategy?</w:t>
      </w:r>
      <w:r w:rsidRPr="00375B31">
        <w:rPr>
          <w:rFonts w:ascii="Times New Roman" w:hAnsi="Times New Roman" w:cs="Times New Roman"/>
          <w:sz w:val="20"/>
          <w:szCs w:val="20"/>
        </w:rPr>
        <w:t xml:space="preserve"> (Paper 15; Purdue Methods for Corn Growth, p. 6). http://docs.lib.purdue.edu/pmcg/15</w:t>
      </w:r>
    </w:p>
    <w:p w14:paraId="3BFEE2D5"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Römheld, V. (2012). Chapter 11—Diagnosis of Deficiency and Toxicity of Nutrients. In P. Marschner (Ed.), </w:t>
      </w:r>
      <w:r w:rsidRPr="00375B31">
        <w:rPr>
          <w:rFonts w:ascii="Times New Roman" w:hAnsi="Times New Roman" w:cs="Times New Roman"/>
          <w:i/>
          <w:iCs/>
          <w:sz w:val="20"/>
          <w:szCs w:val="20"/>
        </w:rPr>
        <w:t>Marschner’s Mineral Nutrition of Higher Plants (Third Edition)</w:t>
      </w:r>
      <w:r w:rsidRPr="00375B31">
        <w:rPr>
          <w:rFonts w:ascii="Times New Roman" w:hAnsi="Times New Roman" w:cs="Times New Roman"/>
          <w:sz w:val="20"/>
          <w:szCs w:val="20"/>
        </w:rPr>
        <w:t xml:space="preserve"> (pp. 299–312). Academic Press. https://doi.org/10.1016/B978-0-12-384905-2.00011-X</w:t>
      </w:r>
    </w:p>
    <w:p w14:paraId="3C50CB83"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Ross, E. (1997). </w:t>
      </w:r>
      <w:r w:rsidRPr="00375B31">
        <w:rPr>
          <w:rFonts w:ascii="Times New Roman" w:hAnsi="Times New Roman" w:cs="Times New Roman"/>
          <w:i/>
          <w:iCs/>
          <w:sz w:val="20"/>
          <w:szCs w:val="20"/>
        </w:rPr>
        <w:t>NRCS Irrigation Guide</w:t>
      </w:r>
      <w:r w:rsidRPr="00375B31">
        <w:rPr>
          <w:rFonts w:ascii="Times New Roman" w:hAnsi="Times New Roman" w:cs="Times New Roman"/>
          <w:sz w:val="20"/>
          <w:szCs w:val="20"/>
        </w:rPr>
        <w:t xml:space="preserve"> (No. 210-vi-NEH; p. 820). United States Department of Agriculture, Natural Resources Conservation Service. https://www.nrcs.usda.gov/Internet/FSE_DOCUMENTS/nrcs144p2_033068.pdf</w:t>
      </w:r>
    </w:p>
    <w:p w14:paraId="029C3B08"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Sallenave, R. (2016). </w:t>
      </w:r>
      <w:r w:rsidRPr="00375B31">
        <w:rPr>
          <w:rFonts w:ascii="Times New Roman" w:hAnsi="Times New Roman" w:cs="Times New Roman"/>
          <w:i/>
          <w:iCs/>
          <w:sz w:val="20"/>
          <w:szCs w:val="20"/>
        </w:rPr>
        <w:t>Water Quality for Livestock and Poultry</w:t>
      </w:r>
      <w:r w:rsidRPr="00375B31">
        <w:rPr>
          <w:rFonts w:ascii="Times New Roman" w:hAnsi="Times New Roman" w:cs="Times New Roman"/>
          <w:sz w:val="20"/>
          <w:szCs w:val="20"/>
        </w:rPr>
        <w:t xml:space="preserve"> (Guide M-112; p. 4). NM State University - College of Agricultural, Consumer and Environmental Sciences.</w:t>
      </w:r>
    </w:p>
    <w:p w14:paraId="3E915E99" w14:textId="0FA4BC4F"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lastRenderedPageBreak/>
        <w:t xml:space="preserve">Schiavon, M., Leinauer, B., Serena, M., Sallenave, R., </w:t>
      </w:r>
      <w:r>
        <w:rPr>
          <w:rFonts w:ascii="Times New Roman" w:hAnsi="Times New Roman" w:cs="Times New Roman"/>
          <w:sz w:val="20"/>
          <w:szCs w:val="20"/>
        </w:rPr>
        <w:t>and</w:t>
      </w:r>
      <w:r w:rsidRPr="00375B31">
        <w:rPr>
          <w:rFonts w:ascii="Times New Roman" w:hAnsi="Times New Roman" w:cs="Times New Roman"/>
          <w:sz w:val="20"/>
          <w:szCs w:val="20"/>
        </w:rPr>
        <w:t xml:space="preserve"> Maier, B. (2012). Bermudagrass and Seashore Paspalum Establishment from Seed Using Differing Irrigation Methods and Water Qualities. </w:t>
      </w:r>
      <w:r w:rsidRPr="00375B31">
        <w:rPr>
          <w:rFonts w:ascii="Times New Roman" w:hAnsi="Times New Roman" w:cs="Times New Roman"/>
          <w:i/>
          <w:iCs/>
          <w:sz w:val="20"/>
          <w:szCs w:val="20"/>
        </w:rPr>
        <w:t>Agronomy Journal</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104</w:t>
      </w:r>
      <w:r w:rsidRPr="00375B31">
        <w:rPr>
          <w:rFonts w:ascii="Times New Roman" w:hAnsi="Times New Roman" w:cs="Times New Roman"/>
          <w:sz w:val="20"/>
          <w:szCs w:val="20"/>
        </w:rPr>
        <w:t>(3), 706–714. https://doi.org/10.2134/agronj2011.0390</w:t>
      </w:r>
    </w:p>
    <w:p w14:paraId="69E6F25E" w14:textId="43218812"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Schmer, M. R., Xue, Q., </w:t>
      </w:r>
      <w:r>
        <w:rPr>
          <w:rFonts w:ascii="Times New Roman" w:hAnsi="Times New Roman" w:cs="Times New Roman"/>
          <w:sz w:val="20"/>
          <w:szCs w:val="20"/>
        </w:rPr>
        <w:t>and</w:t>
      </w:r>
      <w:r w:rsidRPr="00375B31">
        <w:rPr>
          <w:rFonts w:ascii="Times New Roman" w:hAnsi="Times New Roman" w:cs="Times New Roman"/>
          <w:sz w:val="20"/>
          <w:szCs w:val="20"/>
        </w:rPr>
        <w:t xml:space="preserve"> Hendrickson, J. R. (2012). Salinity effects on perennial, warm-season (C4) grass germination adapted to the northern Great Plains. </w:t>
      </w:r>
      <w:r w:rsidRPr="00375B31">
        <w:rPr>
          <w:rFonts w:ascii="Times New Roman" w:hAnsi="Times New Roman" w:cs="Times New Roman"/>
          <w:i/>
          <w:iCs/>
          <w:sz w:val="20"/>
          <w:szCs w:val="20"/>
        </w:rPr>
        <w:t>Canadian Journal of Plant Science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92</w:t>
      </w:r>
      <w:r w:rsidRPr="00375B31">
        <w:rPr>
          <w:rFonts w:ascii="Times New Roman" w:hAnsi="Times New Roman" w:cs="Times New Roman"/>
          <w:sz w:val="20"/>
          <w:szCs w:val="20"/>
        </w:rPr>
        <w:t>(5), 873–881. https://doi.org/10.4141/cjps2012-001</w:t>
      </w:r>
    </w:p>
    <w:p w14:paraId="5BECE85F" w14:textId="2D89FBCF"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Shabalala, A. N., </w:t>
      </w:r>
      <w:r>
        <w:rPr>
          <w:rFonts w:ascii="Times New Roman" w:hAnsi="Times New Roman" w:cs="Times New Roman"/>
          <w:sz w:val="20"/>
          <w:szCs w:val="20"/>
        </w:rPr>
        <w:t>and</w:t>
      </w:r>
      <w:r w:rsidRPr="00375B31">
        <w:rPr>
          <w:rFonts w:ascii="Times New Roman" w:hAnsi="Times New Roman" w:cs="Times New Roman"/>
          <w:sz w:val="20"/>
          <w:szCs w:val="20"/>
        </w:rPr>
        <w:t xml:space="preserve"> Ekolu, S. O. (2019). Assessment of the Suitability of Mine Water Treated with Pervious Concrete for Irrigation Use. </w:t>
      </w:r>
      <w:r w:rsidRPr="00375B31">
        <w:rPr>
          <w:rFonts w:ascii="Times New Roman" w:hAnsi="Times New Roman" w:cs="Times New Roman"/>
          <w:i/>
          <w:iCs/>
          <w:sz w:val="20"/>
          <w:szCs w:val="20"/>
        </w:rPr>
        <w:t>Mine Water and the Environment</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38</w:t>
      </w:r>
      <w:r w:rsidRPr="00375B31">
        <w:rPr>
          <w:rFonts w:ascii="Times New Roman" w:hAnsi="Times New Roman" w:cs="Times New Roman"/>
          <w:sz w:val="20"/>
          <w:szCs w:val="20"/>
        </w:rPr>
        <w:t>(4), 798–807. https://doi.org/10.1007/s10230-019-00633-1</w:t>
      </w:r>
    </w:p>
    <w:p w14:paraId="2A9B77C1" w14:textId="5E5F0E1A"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Shahzad, B., Tanveer, M., Hassan, W., Shah, A., Anjum, S., Alam, S., </w:t>
      </w:r>
      <w:r>
        <w:rPr>
          <w:rFonts w:ascii="Times New Roman" w:hAnsi="Times New Roman" w:cs="Times New Roman"/>
          <w:sz w:val="20"/>
          <w:szCs w:val="20"/>
        </w:rPr>
        <w:t>and</w:t>
      </w:r>
      <w:r w:rsidRPr="00375B31">
        <w:rPr>
          <w:rFonts w:ascii="Times New Roman" w:hAnsi="Times New Roman" w:cs="Times New Roman"/>
          <w:sz w:val="20"/>
          <w:szCs w:val="20"/>
        </w:rPr>
        <w:t xml:space="preserve"> Ali, I. (2016). Lithium toxicity in plants: Reasons, mechanisms and remediation possibilities – A review. </w:t>
      </w:r>
      <w:r w:rsidRPr="00375B31">
        <w:rPr>
          <w:rFonts w:ascii="Times New Roman" w:hAnsi="Times New Roman" w:cs="Times New Roman"/>
          <w:i/>
          <w:iCs/>
          <w:sz w:val="20"/>
          <w:szCs w:val="20"/>
        </w:rPr>
        <w:t>Plant Physiology and Biochemistry</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107</w:t>
      </w:r>
      <w:r w:rsidRPr="00375B31">
        <w:rPr>
          <w:rFonts w:ascii="Times New Roman" w:hAnsi="Times New Roman" w:cs="Times New Roman"/>
          <w:sz w:val="20"/>
          <w:szCs w:val="20"/>
        </w:rPr>
        <w:t>, 104–115. https://doi.org/10.1016/j.plaphy.2016.05.034</w:t>
      </w:r>
    </w:p>
    <w:p w14:paraId="294DE887" w14:textId="25BB54F8"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Shakir, E., Zahraw, Z., </w:t>
      </w:r>
      <w:r>
        <w:rPr>
          <w:rFonts w:ascii="Times New Roman" w:hAnsi="Times New Roman" w:cs="Times New Roman"/>
          <w:sz w:val="20"/>
          <w:szCs w:val="20"/>
        </w:rPr>
        <w:t>and</w:t>
      </w:r>
      <w:r w:rsidRPr="00375B31">
        <w:rPr>
          <w:rFonts w:ascii="Times New Roman" w:hAnsi="Times New Roman" w:cs="Times New Roman"/>
          <w:sz w:val="20"/>
          <w:szCs w:val="20"/>
        </w:rPr>
        <w:t xml:space="preserve"> Al-Obaidy, A. H. M. J. (2017). Environmental and health risks associated with reuse of wastewater for irrigation. </w:t>
      </w:r>
      <w:r w:rsidRPr="00375B31">
        <w:rPr>
          <w:rFonts w:ascii="Times New Roman" w:hAnsi="Times New Roman" w:cs="Times New Roman"/>
          <w:i/>
          <w:iCs/>
          <w:sz w:val="20"/>
          <w:szCs w:val="20"/>
        </w:rPr>
        <w:t>Egyptian Journal of Petroleum</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26</w:t>
      </w:r>
      <w:r w:rsidRPr="00375B31">
        <w:rPr>
          <w:rFonts w:ascii="Times New Roman" w:hAnsi="Times New Roman" w:cs="Times New Roman"/>
          <w:sz w:val="20"/>
          <w:szCs w:val="20"/>
        </w:rPr>
        <w:t>(1), 95–102. https://doi.org/10.1016/j.ejpe.2016.01.003</w:t>
      </w:r>
    </w:p>
    <w:p w14:paraId="2CDE4C79" w14:textId="7D23E454"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Shoushtarian, F., </w:t>
      </w:r>
      <w:r>
        <w:rPr>
          <w:rFonts w:ascii="Times New Roman" w:hAnsi="Times New Roman" w:cs="Times New Roman"/>
          <w:sz w:val="20"/>
          <w:szCs w:val="20"/>
        </w:rPr>
        <w:t>and</w:t>
      </w:r>
      <w:r w:rsidRPr="00375B31">
        <w:rPr>
          <w:rFonts w:ascii="Times New Roman" w:hAnsi="Times New Roman" w:cs="Times New Roman"/>
          <w:sz w:val="20"/>
          <w:szCs w:val="20"/>
        </w:rPr>
        <w:t xml:space="preserve"> Negahban-Azar, M. (2020). Worldwide Regulations and Guidelines for Agricultural Water Reuse: A Critical Review. </w:t>
      </w:r>
      <w:r w:rsidRPr="00375B31">
        <w:rPr>
          <w:rFonts w:ascii="Times New Roman" w:hAnsi="Times New Roman" w:cs="Times New Roman"/>
          <w:i/>
          <w:iCs/>
          <w:sz w:val="20"/>
          <w:szCs w:val="20"/>
        </w:rPr>
        <w:t>Water</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12</w:t>
      </w:r>
      <w:r w:rsidRPr="00375B31">
        <w:rPr>
          <w:rFonts w:ascii="Times New Roman" w:hAnsi="Times New Roman" w:cs="Times New Roman"/>
          <w:sz w:val="20"/>
          <w:szCs w:val="20"/>
        </w:rPr>
        <w:t>(4), 971. https://doi.org/10.3390/w12040971</w:t>
      </w:r>
    </w:p>
    <w:p w14:paraId="67289818"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Shuval, H. I. (1991a). Health Guidelines and Standards for Wastewater Reuse in Agriculture: Historical Perspectives. </w:t>
      </w:r>
      <w:r w:rsidRPr="00375B31">
        <w:rPr>
          <w:rFonts w:ascii="Times New Roman" w:hAnsi="Times New Roman" w:cs="Times New Roman"/>
          <w:i/>
          <w:iCs/>
          <w:sz w:val="20"/>
          <w:szCs w:val="20"/>
        </w:rPr>
        <w:t>Water Science and Technology</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23</w:t>
      </w:r>
      <w:r w:rsidRPr="00375B31">
        <w:rPr>
          <w:rFonts w:ascii="Times New Roman" w:hAnsi="Times New Roman" w:cs="Times New Roman"/>
          <w:sz w:val="20"/>
          <w:szCs w:val="20"/>
        </w:rPr>
        <w:t>(10–12), 2073–2080. https://doi.org/10.2166/wst.1991.0663</w:t>
      </w:r>
    </w:p>
    <w:p w14:paraId="1B5FBE44"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Shuval, H. I. (1991b). Effects of wastewater irrigation of pastures on the health of farm animals and humans: -EN- -FR- -ES-. </w:t>
      </w:r>
      <w:r w:rsidRPr="00375B31">
        <w:rPr>
          <w:rFonts w:ascii="Times New Roman" w:hAnsi="Times New Roman" w:cs="Times New Roman"/>
          <w:i/>
          <w:iCs/>
          <w:sz w:val="20"/>
          <w:szCs w:val="20"/>
        </w:rPr>
        <w:t>Revue Scientifique et Technique de l’OIE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10</w:t>
      </w:r>
      <w:r w:rsidRPr="00375B31">
        <w:rPr>
          <w:rFonts w:ascii="Times New Roman" w:hAnsi="Times New Roman" w:cs="Times New Roman"/>
          <w:sz w:val="20"/>
          <w:szCs w:val="20"/>
        </w:rPr>
        <w:t>(3), 847–866. https://doi.org/10.20506/rst.10.3.564</w:t>
      </w:r>
    </w:p>
    <w:p w14:paraId="4312FF9C" w14:textId="198DC55F"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Sou/Dakouré, M. Y., Mermoud, A., Yacouba, H., </w:t>
      </w:r>
      <w:r>
        <w:rPr>
          <w:rFonts w:ascii="Times New Roman" w:hAnsi="Times New Roman" w:cs="Times New Roman"/>
          <w:sz w:val="20"/>
          <w:szCs w:val="20"/>
        </w:rPr>
        <w:t>and</w:t>
      </w:r>
      <w:r w:rsidRPr="00375B31">
        <w:rPr>
          <w:rFonts w:ascii="Times New Roman" w:hAnsi="Times New Roman" w:cs="Times New Roman"/>
          <w:sz w:val="20"/>
          <w:szCs w:val="20"/>
        </w:rPr>
        <w:t xml:space="preserve"> Boivin, P. (2013). Impacts of irrigation with industrial treated wastewater on soil properties. </w:t>
      </w:r>
      <w:r w:rsidRPr="00375B31">
        <w:rPr>
          <w:rFonts w:ascii="Times New Roman" w:hAnsi="Times New Roman" w:cs="Times New Roman"/>
          <w:i/>
          <w:iCs/>
          <w:sz w:val="20"/>
          <w:szCs w:val="20"/>
        </w:rPr>
        <w:t>Geoderma</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200–201</w:t>
      </w:r>
      <w:r w:rsidRPr="00375B31">
        <w:rPr>
          <w:rFonts w:ascii="Times New Roman" w:hAnsi="Times New Roman" w:cs="Times New Roman"/>
          <w:sz w:val="20"/>
          <w:szCs w:val="20"/>
        </w:rPr>
        <w:t>, 31–39. https://doi.org/10.1016/j.geoderma.2013.02.008</w:t>
      </w:r>
    </w:p>
    <w:p w14:paraId="4AE4D365"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Spruill, T. B. (1987). </w:t>
      </w:r>
      <w:r w:rsidRPr="00375B31">
        <w:rPr>
          <w:rFonts w:ascii="Times New Roman" w:hAnsi="Times New Roman" w:cs="Times New Roman"/>
          <w:i/>
          <w:iCs/>
          <w:sz w:val="20"/>
          <w:szCs w:val="20"/>
        </w:rPr>
        <w:t>Assessment of Water Resources in Lead-Zinc Mined Areas in Cherokee County, Kansas, and Adjacent Areas</w:t>
      </w:r>
      <w:r w:rsidRPr="00375B31">
        <w:rPr>
          <w:rFonts w:ascii="Times New Roman" w:hAnsi="Times New Roman" w:cs="Times New Roman"/>
          <w:sz w:val="20"/>
          <w:szCs w:val="20"/>
        </w:rPr>
        <w:t xml:space="preserve"> (Water-Supply Paper No. 2268; p. 74). U.S. Geological Survey.</w:t>
      </w:r>
    </w:p>
    <w:p w14:paraId="478EADB8" w14:textId="2D71EAD4"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Sushil, T., Bob A, S., </w:t>
      </w:r>
      <w:r>
        <w:rPr>
          <w:rFonts w:ascii="Times New Roman" w:hAnsi="Times New Roman" w:cs="Times New Roman"/>
          <w:sz w:val="20"/>
          <w:szCs w:val="20"/>
        </w:rPr>
        <w:t>and</w:t>
      </w:r>
      <w:r w:rsidRPr="00375B31">
        <w:rPr>
          <w:rFonts w:ascii="Times New Roman" w:hAnsi="Times New Roman" w:cs="Times New Roman"/>
          <w:sz w:val="20"/>
          <w:szCs w:val="20"/>
        </w:rPr>
        <w:t xml:space="preserve"> Qingwu, X. (2017). Grain sorghum transpiration efficiency at different growth stages. </w:t>
      </w:r>
      <w:r w:rsidRPr="00375B31">
        <w:rPr>
          <w:rFonts w:ascii="Times New Roman" w:hAnsi="Times New Roman" w:cs="Times New Roman"/>
          <w:i/>
          <w:iCs/>
          <w:sz w:val="20"/>
          <w:szCs w:val="20"/>
        </w:rPr>
        <w:t>Plant, Soil and Environment</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63</w:t>
      </w:r>
      <w:r w:rsidRPr="00375B31">
        <w:rPr>
          <w:rFonts w:ascii="Times New Roman" w:hAnsi="Times New Roman" w:cs="Times New Roman"/>
          <w:sz w:val="20"/>
          <w:szCs w:val="20"/>
        </w:rPr>
        <w:t>(No. 2), 70–75. https://doi.org/10.17221/796/2016-PSE</w:t>
      </w:r>
    </w:p>
    <w:p w14:paraId="47AB587D" w14:textId="751E64DA"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lastRenderedPageBreak/>
        <w:t xml:space="preserve">Terré, M., Bosch, C., Bach, A., Fàbregas, F., Biel, C., Rusiñol, M., Bofill, S., Calderer, M., Jubany, I., </w:t>
      </w:r>
      <w:r>
        <w:rPr>
          <w:rFonts w:ascii="Times New Roman" w:hAnsi="Times New Roman" w:cs="Times New Roman"/>
          <w:sz w:val="20"/>
          <w:szCs w:val="20"/>
        </w:rPr>
        <w:t>and</w:t>
      </w:r>
      <w:r w:rsidRPr="00375B31">
        <w:rPr>
          <w:rFonts w:ascii="Times New Roman" w:hAnsi="Times New Roman" w:cs="Times New Roman"/>
          <w:sz w:val="20"/>
          <w:szCs w:val="20"/>
        </w:rPr>
        <w:t xml:space="preserve"> Martínez-Lladó, X. (2019). Exploring the use of tertiary reclaimed water in dairy cattle production. </w:t>
      </w:r>
      <w:r w:rsidRPr="00375B31">
        <w:rPr>
          <w:rFonts w:ascii="Times New Roman" w:hAnsi="Times New Roman" w:cs="Times New Roman"/>
          <w:i/>
          <w:iCs/>
          <w:sz w:val="20"/>
          <w:szCs w:val="20"/>
        </w:rPr>
        <w:t>Journal of Cleaner Production</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229</w:t>
      </w:r>
      <w:r w:rsidRPr="00375B31">
        <w:rPr>
          <w:rFonts w:ascii="Times New Roman" w:hAnsi="Times New Roman" w:cs="Times New Roman"/>
          <w:sz w:val="20"/>
          <w:szCs w:val="20"/>
        </w:rPr>
        <w:t>, 964–973. https://doi.org/10.1016/j.jclepro.2019.04.391</w:t>
      </w:r>
    </w:p>
    <w:p w14:paraId="136E9BCA" w14:textId="424D033C"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Thebo, A. L., Drechsel, P., Lambin, E. F., </w:t>
      </w:r>
      <w:r>
        <w:rPr>
          <w:rFonts w:ascii="Times New Roman" w:hAnsi="Times New Roman" w:cs="Times New Roman"/>
          <w:sz w:val="20"/>
          <w:szCs w:val="20"/>
        </w:rPr>
        <w:t>and</w:t>
      </w:r>
      <w:r w:rsidRPr="00375B31">
        <w:rPr>
          <w:rFonts w:ascii="Times New Roman" w:hAnsi="Times New Roman" w:cs="Times New Roman"/>
          <w:sz w:val="20"/>
          <w:szCs w:val="20"/>
        </w:rPr>
        <w:t xml:space="preserve"> Nelson, K. L. (2017). A global, spatially-explicit assessment of irrigated croplands influenced by urban wastewater flows. </w:t>
      </w:r>
      <w:r w:rsidRPr="00375B31">
        <w:rPr>
          <w:rFonts w:ascii="Times New Roman" w:hAnsi="Times New Roman" w:cs="Times New Roman"/>
          <w:i/>
          <w:iCs/>
          <w:sz w:val="20"/>
          <w:szCs w:val="20"/>
        </w:rPr>
        <w:t>Environmental Research Letters</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12</w:t>
      </w:r>
      <w:r w:rsidRPr="00375B31">
        <w:rPr>
          <w:rFonts w:ascii="Times New Roman" w:hAnsi="Times New Roman" w:cs="Times New Roman"/>
          <w:sz w:val="20"/>
          <w:szCs w:val="20"/>
        </w:rPr>
        <w:t>(7), 074008. https://doi.org/10.1088/1748-9326/aa75d1</w:t>
      </w:r>
    </w:p>
    <w:p w14:paraId="155B48D6" w14:textId="54D829F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Tiwari, K. K., Singh, N. K., Patel, M. P., Tiwari, M. R., </w:t>
      </w:r>
      <w:r>
        <w:rPr>
          <w:rFonts w:ascii="Times New Roman" w:hAnsi="Times New Roman" w:cs="Times New Roman"/>
          <w:sz w:val="20"/>
          <w:szCs w:val="20"/>
        </w:rPr>
        <w:t>and</w:t>
      </w:r>
      <w:r w:rsidRPr="00375B31">
        <w:rPr>
          <w:rFonts w:ascii="Times New Roman" w:hAnsi="Times New Roman" w:cs="Times New Roman"/>
          <w:sz w:val="20"/>
          <w:szCs w:val="20"/>
        </w:rPr>
        <w:t xml:space="preserve"> Rai, U. N. (2011). Metal contamination of soil and translocation in vegetables growing under industrial wastewater irrigated agricultural field of Vadodara, Gujarat, India. </w:t>
      </w:r>
      <w:r w:rsidRPr="00375B31">
        <w:rPr>
          <w:rFonts w:ascii="Times New Roman" w:hAnsi="Times New Roman" w:cs="Times New Roman"/>
          <w:i/>
          <w:iCs/>
          <w:sz w:val="20"/>
          <w:szCs w:val="20"/>
        </w:rPr>
        <w:t>Ecotoxicology and Environmental Safety</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74</w:t>
      </w:r>
      <w:r w:rsidRPr="00375B31">
        <w:rPr>
          <w:rFonts w:ascii="Times New Roman" w:hAnsi="Times New Roman" w:cs="Times New Roman"/>
          <w:sz w:val="20"/>
          <w:szCs w:val="20"/>
        </w:rPr>
        <w:t>(6), 1670–1677. https://doi.org/10.1016/j.ecoenv.2011.04.029</w:t>
      </w:r>
    </w:p>
    <w:p w14:paraId="6A05F2E9" w14:textId="30E82BBC"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Torres, A., Lopez, R., </w:t>
      </w:r>
      <w:r>
        <w:rPr>
          <w:rFonts w:ascii="Times New Roman" w:hAnsi="Times New Roman" w:cs="Times New Roman"/>
          <w:sz w:val="20"/>
          <w:szCs w:val="20"/>
        </w:rPr>
        <w:t>and</w:t>
      </w:r>
      <w:r w:rsidRPr="00375B31">
        <w:rPr>
          <w:rFonts w:ascii="Times New Roman" w:hAnsi="Times New Roman" w:cs="Times New Roman"/>
          <w:sz w:val="20"/>
          <w:szCs w:val="20"/>
        </w:rPr>
        <w:t xml:space="preserve"> Floriculture, P. (2012). </w:t>
      </w:r>
      <w:r w:rsidRPr="00375B31">
        <w:rPr>
          <w:rFonts w:ascii="Times New Roman" w:hAnsi="Times New Roman" w:cs="Times New Roman"/>
          <w:i/>
          <w:iCs/>
          <w:sz w:val="20"/>
          <w:szCs w:val="20"/>
        </w:rPr>
        <w:t>Measuring Daily Light Integral in a Greenhouse</w:t>
      </w:r>
      <w:r w:rsidRPr="00375B31">
        <w:rPr>
          <w:rFonts w:ascii="Times New Roman" w:hAnsi="Times New Roman" w:cs="Times New Roman"/>
          <w:sz w:val="20"/>
          <w:szCs w:val="20"/>
        </w:rPr>
        <w:t xml:space="preserve"> (HO-238-W; p. 7). Department of Landscape Architecture and Horticulture, Purdue University.</w:t>
      </w:r>
    </w:p>
    <w:p w14:paraId="0144C531"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Trecker, E. A. (2018). </w:t>
      </w:r>
      <w:r w:rsidRPr="00375B31">
        <w:rPr>
          <w:rFonts w:ascii="Times New Roman" w:hAnsi="Times New Roman" w:cs="Times New Roman"/>
          <w:i/>
          <w:iCs/>
          <w:sz w:val="20"/>
          <w:szCs w:val="20"/>
        </w:rPr>
        <w:t>Quantifying the effects of daily light integral or photoperiod on maize tassel morphology across developmental stages</w:t>
      </w:r>
      <w:r w:rsidRPr="00375B31">
        <w:rPr>
          <w:rFonts w:ascii="Times New Roman" w:hAnsi="Times New Roman" w:cs="Times New Roman"/>
          <w:sz w:val="20"/>
          <w:szCs w:val="20"/>
        </w:rPr>
        <w:t xml:space="preserve"> (p. 12331563) [Master of Science, Iowa State University, Digital Repository]. https://doi.org/10.31274/etd-180810-6105</w:t>
      </w:r>
    </w:p>
    <w:p w14:paraId="464D9588"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Uchida, R. (2000). Essential Nutrients for Plant Growth: Nutrient Functions and Deficiency Symptoms. In </w:t>
      </w:r>
      <w:r w:rsidRPr="00375B31">
        <w:rPr>
          <w:rFonts w:ascii="Times New Roman" w:hAnsi="Times New Roman" w:cs="Times New Roman"/>
          <w:i/>
          <w:iCs/>
          <w:sz w:val="20"/>
          <w:szCs w:val="20"/>
        </w:rPr>
        <w:t>Plant Nutrient Management in Hawaii’s Soils, Approaches for Tropical and Subtropical Agriculture</w:t>
      </w:r>
      <w:r w:rsidRPr="00375B31">
        <w:rPr>
          <w:rFonts w:ascii="Times New Roman" w:hAnsi="Times New Roman" w:cs="Times New Roman"/>
          <w:sz w:val="20"/>
          <w:szCs w:val="20"/>
        </w:rPr>
        <w:t xml:space="preserve"> (pp. 31–55). University of Hawaii at Manoa.</w:t>
      </w:r>
    </w:p>
    <w:p w14:paraId="296E6D1B"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UMass Extension. (2015, April 13). </w:t>
      </w:r>
      <w:r w:rsidRPr="00375B31">
        <w:rPr>
          <w:rFonts w:ascii="Times New Roman" w:hAnsi="Times New Roman" w:cs="Times New Roman"/>
          <w:i/>
          <w:iCs/>
          <w:sz w:val="20"/>
          <w:szCs w:val="20"/>
        </w:rPr>
        <w:t>Water Quality for Crop Production</w:t>
      </w:r>
      <w:r w:rsidRPr="00375B31">
        <w:rPr>
          <w:rFonts w:ascii="Times New Roman" w:hAnsi="Times New Roman" w:cs="Times New Roman"/>
          <w:sz w:val="20"/>
          <w:szCs w:val="20"/>
        </w:rPr>
        <w:t xml:space="preserve"> [Text]. Center for Agriculture, Food and the Environment. https://ag.umass.edu/greenhouse-floriculture/greenhouse-best-management-practices-bmp-manual/water-quality-for-crop</w:t>
      </w:r>
    </w:p>
    <w:p w14:paraId="0C5C7CEE"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UN FAO. (2015). </w:t>
      </w:r>
      <w:r w:rsidRPr="00375B31">
        <w:rPr>
          <w:rFonts w:ascii="Times New Roman" w:hAnsi="Times New Roman" w:cs="Times New Roman"/>
          <w:i/>
          <w:iCs/>
          <w:sz w:val="20"/>
          <w:szCs w:val="20"/>
        </w:rPr>
        <w:t>AQUASTAT - FAO’s Global Information System on Water and Agriculture</w:t>
      </w:r>
      <w:r w:rsidRPr="00375B31">
        <w:rPr>
          <w:rFonts w:ascii="Times New Roman" w:hAnsi="Times New Roman" w:cs="Times New Roman"/>
          <w:sz w:val="20"/>
          <w:szCs w:val="20"/>
        </w:rPr>
        <w:t>. Food and Agriculture Organization of the United Nations. http://www.fao.org/aquastat/en/overview/methodology/water-use</w:t>
      </w:r>
    </w:p>
    <w:p w14:paraId="53315AF3"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United Sorghum Checkoff. (n.d.). </w:t>
      </w:r>
      <w:r w:rsidRPr="00375B31">
        <w:rPr>
          <w:rFonts w:ascii="Times New Roman" w:hAnsi="Times New Roman" w:cs="Times New Roman"/>
          <w:i/>
          <w:iCs/>
          <w:sz w:val="20"/>
          <w:szCs w:val="20"/>
        </w:rPr>
        <w:t>Sorghum Growth and Development</w:t>
      </w:r>
      <w:r w:rsidRPr="00375B31">
        <w:rPr>
          <w:rFonts w:ascii="Times New Roman" w:hAnsi="Times New Roman" w:cs="Times New Roman"/>
          <w:sz w:val="20"/>
          <w:szCs w:val="20"/>
        </w:rPr>
        <w:t>. United Sorghum Checkoff. https://www.sorghumcheckoff.com/for-farmers/grain-production/growth-and-development</w:t>
      </w:r>
    </w:p>
    <w:p w14:paraId="277B07BA"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University of Oklahoma. (2020a). </w:t>
      </w:r>
      <w:r w:rsidRPr="00375B31">
        <w:rPr>
          <w:rFonts w:ascii="Times New Roman" w:hAnsi="Times New Roman" w:cs="Times New Roman"/>
          <w:i/>
          <w:iCs/>
          <w:sz w:val="20"/>
          <w:szCs w:val="20"/>
        </w:rPr>
        <w:t>Oklahoma Mesonet</w:t>
      </w:r>
      <w:r w:rsidRPr="00375B31">
        <w:rPr>
          <w:rFonts w:ascii="Times New Roman" w:hAnsi="Times New Roman" w:cs="Times New Roman"/>
          <w:sz w:val="20"/>
          <w:szCs w:val="20"/>
        </w:rPr>
        <w:t>. Mesonet. http://mesonet.org/</w:t>
      </w:r>
    </w:p>
    <w:p w14:paraId="35E4302E"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University of Oklahoma. (2020b). </w:t>
      </w:r>
      <w:r w:rsidRPr="00375B31">
        <w:rPr>
          <w:rFonts w:ascii="Times New Roman" w:hAnsi="Times New Roman" w:cs="Times New Roman"/>
          <w:i/>
          <w:iCs/>
          <w:sz w:val="20"/>
          <w:szCs w:val="20"/>
        </w:rPr>
        <w:t>Oklahoma Mesonet Irrigation Planner</w:t>
      </w:r>
      <w:r w:rsidRPr="00375B31">
        <w:rPr>
          <w:rFonts w:ascii="Times New Roman" w:hAnsi="Times New Roman" w:cs="Times New Roman"/>
          <w:sz w:val="20"/>
          <w:szCs w:val="20"/>
        </w:rPr>
        <w:t>. Mesonet. https://www.mesonet.org/index.php/agriculture/irrigation_planner</w:t>
      </w:r>
    </w:p>
    <w:p w14:paraId="0E1924BD" w14:textId="7092FC28"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lastRenderedPageBreak/>
        <w:t xml:space="preserve">Urbano, V. R., Mendonça, T. G., Bastos, R. G., </w:t>
      </w:r>
      <w:r>
        <w:rPr>
          <w:rFonts w:ascii="Times New Roman" w:hAnsi="Times New Roman" w:cs="Times New Roman"/>
          <w:sz w:val="20"/>
          <w:szCs w:val="20"/>
        </w:rPr>
        <w:t>and</w:t>
      </w:r>
      <w:r w:rsidRPr="00375B31">
        <w:rPr>
          <w:rFonts w:ascii="Times New Roman" w:hAnsi="Times New Roman" w:cs="Times New Roman"/>
          <w:sz w:val="20"/>
          <w:szCs w:val="20"/>
        </w:rPr>
        <w:t xml:space="preserve"> Souza, C. F. (2017). Effects of treated wastewater irrigation on soil properties and lettuce yield. </w:t>
      </w:r>
      <w:r w:rsidRPr="00375B31">
        <w:rPr>
          <w:rFonts w:ascii="Times New Roman" w:hAnsi="Times New Roman" w:cs="Times New Roman"/>
          <w:i/>
          <w:iCs/>
          <w:sz w:val="20"/>
          <w:szCs w:val="20"/>
        </w:rPr>
        <w:t>Agricultural Water Management</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181</w:t>
      </w:r>
      <w:r w:rsidRPr="00375B31">
        <w:rPr>
          <w:rFonts w:ascii="Times New Roman" w:hAnsi="Times New Roman" w:cs="Times New Roman"/>
          <w:sz w:val="20"/>
          <w:szCs w:val="20"/>
        </w:rPr>
        <w:t>, 108–115. https://doi.org/10.1016/j.agwat.2016.12.001</w:t>
      </w:r>
    </w:p>
    <w:p w14:paraId="75A319D5"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USDA. (n.d.). </w:t>
      </w:r>
      <w:r w:rsidRPr="00375B31">
        <w:rPr>
          <w:rFonts w:ascii="Times New Roman" w:hAnsi="Times New Roman" w:cs="Times New Roman"/>
          <w:i/>
          <w:iCs/>
          <w:sz w:val="20"/>
          <w:szCs w:val="20"/>
        </w:rPr>
        <w:t>USDA/NASS QuickStats Ad-hoc Query Tool</w:t>
      </w:r>
      <w:r w:rsidRPr="00375B31">
        <w:rPr>
          <w:rFonts w:ascii="Times New Roman" w:hAnsi="Times New Roman" w:cs="Times New Roman"/>
          <w:sz w:val="20"/>
          <w:szCs w:val="20"/>
        </w:rPr>
        <w:t xml:space="preserve"> [Database]. U.S. Department of Agriculture National Agricultural Statistics Service. Retrieved December 17, 2019, from https://quickstats.nass.usda.gov/</w:t>
      </w:r>
    </w:p>
    <w:p w14:paraId="0D2302E8"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USDA. (2015). </w:t>
      </w:r>
      <w:r w:rsidRPr="00375B31">
        <w:rPr>
          <w:rFonts w:ascii="Times New Roman" w:hAnsi="Times New Roman" w:cs="Times New Roman"/>
          <w:i/>
          <w:iCs/>
          <w:sz w:val="20"/>
          <w:szCs w:val="20"/>
        </w:rPr>
        <w:t>USDA Coexistence Factsheets—Corn</w:t>
      </w:r>
      <w:r w:rsidRPr="00375B31">
        <w:rPr>
          <w:rFonts w:ascii="Times New Roman" w:hAnsi="Times New Roman" w:cs="Times New Roman"/>
          <w:sz w:val="20"/>
          <w:szCs w:val="20"/>
        </w:rPr>
        <w:t xml:space="preserve"> (p. 3). United States Department of Agriculture, Office of Communications.</w:t>
      </w:r>
    </w:p>
    <w:p w14:paraId="133341F2" w14:textId="29C1F376"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USDA. (2019). </w:t>
      </w:r>
      <w:r w:rsidRPr="00375B31">
        <w:rPr>
          <w:rFonts w:ascii="Times New Roman" w:hAnsi="Times New Roman" w:cs="Times New Roman"/>
          <w:i/>
          <w:iCs/>
          <w:sz w:val="20"/>
          <w:szCs w:val="20"/>
        </w:rPr>
        <w:t>2019 Oklahoma Agriculture Statistics</w:t>
      </w:r>
      <w:r w:rsidRPr="00375B31">
        <w:rPr>
          <w:rFonts w:ascii="Times New Roman" w:hAnsi="Times New Roman" w:cs="Times New Roman"/>
          <w:sz w:val="20"/>
          <w:szCs w:val="20"/>
        </w:rPr>
        <w:t xml:space="preserve"> (Oklahoma Agriculture Statistics, p. 88). USDA-National Agricultural Statistics Service </w:t>
      </w:r>
      <w:r>
        <w:rPr>
          <w:rFonts w:ascii="Times New Roman" w:hAnsi="Times New Roman" w:cs="Times New Roman"/>
          <w:sz w:val="20"/>
          <w:szCs w:val="20"/>
        </w:rPr>
        <w:t>and</w:t>
      </w:r>
      <w:r w:rsidRPr="00375B31">
        <w:rPr>
          <w:rFonts w:ascii="Times New Roman" w:hAnsi="Times New Roman" w:cs="Times New Roman"/>
          <w:sz w:val="20"/>
          <w:szCs w:val="20"/>
        </w:rPr>
        <w:t xml:space="preserve"> Oklahoma Department of Agriculture, Food and Forestry.</w:t>
      </w:r>
    </w:p>
    <w:p w14:paraId="30759537"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USEPA. (1994a). </w:t>
      </w:r>
      <w:r w:rsidRPr="00375B31">
        <w:rPr>
          <w:rFonts w:ascii="Times New Roman" w:hAnsi="Times New Roman" w:cs="Times New Roman"/>
          <w:i/>
          <w:iCs/>
          <w:sz w:val="20"/>
          <w:szCs w:val="20"/>
        </w:rPr>
        <w:t>Five Year Review: Tar Creek Superfund Site, Ottawa County, Oklahoma</w:t>
      </w:r>
      <w:r w:rsidRPr="00375B31">
        <w:rPr>
          <w:rFonts w:ascii="Times New Roman" w:hAnsi="Times New Roman" w:cs="Times New Roman"/>
          <w:sz w:val="20"/>
          <w:szCs w:val="20"/>
        </w:rPr>
        <w:t xml:space="preserve"> (p. 164). U.S. Environmental Protection Agency Region 6. https://semspub.epa.gov/work/06/1005834.pdf</w:t>
      </w:r>
    </w:p>
    <w:p w14:paraId="29EA3094"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USEPA. (1994b). </w:t>
      </w:r>
      <w:r w:rsidRPr="00375B31">
        <w:rPr>
          <w:rFonts w:ascii="Times New Roman" w:hAnsi="Times New Roman" w:cs="Times New Roman"/>
          <w:i/>
          <w:iCs/>
          <w:sz w:val="20"/>
          <w:szCs w:val="20"/>
        </w:rPr>
        <w:t>Technical Document: Acid Mine Drainage Prediction</w:t>
      </w:r>
      <w:r w:rsidRPr="00375B31">
        <w:rPr>
          <w:rFonts w:ascii="Times New Roman" w:hAnsi="Times New Roman" w:cs="Times New Roman"/>
          <w:sz w:val="20"/>
          <w:szCs w:val="20"/>
        </w:rPr>
        <w:t xml:space="preserve"> (p. 52). U.S. Environmental Protection Agency Office of Solid Waste.</w:t>
      </w:r>
    </w:p>
    <w:p w14:paraId="18567031"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USEPA. (2006). </w:t>
      </w:r>
      <w:r w:rsidRPr="00375B31">
        <w:rPr>
          <w:rFonts w:ascii="Times New Roman" w:hAnsi="Times New Roman" w:cs="Times New Roman"/>
          <w:i/>
          <w:iCs/>
          <w:sz w:val="20"/>
          <w:szCs w:val="20"/>
        </w:rPr>
        <w:t>Region III Quality Assurance MDL Factsheet</w:t>
      </w:r>
      <w:r w:rsidRPr="00375B31">
        <w:rPr>
          <w:rFonts w:ascii="Times New Roman" w:hAnsi="Times New Roman" w:cs="Times New Roman"/>
          <w:sz w:val="20"/>
          <w:szCs w:val="20"/>
        </w:rPr>
        <w:t>. https://www.epa.gov/sites/production/files/2015-06/documents/whatthel.pdf</w:t>
      </w:r>
    </w:p>
    <w:p w14:paraId="471AB3C9"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USEPA. (2009). </w:t>
      </w:r>
      <w:r w:rsidRPr="00375B31">
        <w:rPr>
          <w:rFonts w:ascii="Times New Roman" w:hAnsi="Times New Roman" w:cs="Times New Roman"/>
          <w:i/>
          <w:iCs/>
          <w:sz w:val="20"/>
          <w:szCs w:val="20"/>
        </w:rPr>
        <w:t>National Recommended Water Quality Criteria</w:t>
      </w:r>
      <w:r w:rsidRPr="00375B31">
        <w:rPr>
          <w:rFonts w:ascii="Times New Roman" w:hAnsi="Times New Roman" w:cs="Times New Roman"/>
          <w:sz w:val="20"/>
          <w:szCs w:val="20"/>
        </w:rPr>
        <w:t xml:space="preserve"> (p. 25). U.S. Environmental Protection Agency Office of Water.</w:t>
      </w:r>
    </w:p>
    <w:p w14:paraId="666FF165"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USEPA. (2012). </w:t>
      </w:r>
      <w:r w:rsidRPr="00375B31">
        <w:rPr>
          <w:rFonts w:ascii="Times New Roman" w:hAnsi="Times New Roman" w:cs="Times New Roman"/>
          <w:i/>
          <w:iCs/>
          <w:sz w:val="20"/>
          <w:szCs w:val="20"/>
        </w:rPr>
        <w:t>2012 Guidelines for Water Reuse</w:t>
      </w:r>
      <w:r w:rsidRPr="00375B31">
        <w:rPr>
          <w:rFonts w:ascii="Times New Roman" w:hAnsi="Times New Roman" w:cs="Times New Roman"/>
          <w:sz w:val="20"/>
          <w:szCs w:val="20"/>
        </w:rPr>
        <w:t xml:space="preserve"> (EPA/600/R-12/618; p. 643). U.S. Environmental Protection Agency Office of Wastewater Management. https://www3.epa.gov/region1/npdes/merrimackstation/pdfs/ar/AR-1530.pdf</w:t>
      </w:r>
    </w:p>
    <w:p w14:paraId="6F8CA58D" w14:textId="441B448E"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Vanderlip, R. L., </w:t>
      </w:r>
      <w:r>
        <w:rPr>
          <w:rFonts w:ascii="Times New Roman" w:hAnsi="Times New Roman" w:cs="Times New Roman"/>
          <w:sz w:val="20"/>
          <w:szCs w:val="20"/>
        </w:rPr>
        <w:t>and</w:t>
      </w:r>
      <w:r w:rsidRPr="00375B31">
        <w:rPr>
          <w:rFonts w:ascii="Times New Roman" w:hAnsi="Times New Roman" w:cs="Times New Roman"/>
          <w:sz w:val="20"/>
          <w:szCs w:val="20"/>
        </w:rPr>
        <w:t xml:space="preserve"> Reeves, H. E. (1972). Growth Stages of Sorghum [Sorghum bicolor, (L.) Moench.]1. </w:t>
      </w:r>
      <w:r w:rsidRPr="00375B31">
        <w:rPr>
          <w:rFonts w:ascii="Times New Roman" w:hAnsi="Times New Roman" w:cs="Times New Roman"/>
          <w:i/>
          <w:iCs/>
          <w:sz w:val="20"/>
          <w:szCs w:val="20"/>
        </w:rPr>
        <w:t>Agronomy Journal</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64</w:t>
      </w:r>
      <w:r w:rsidRPr="00375B31">
        <w:rPr>
          <w:rFonts w:ascii="Times New Roman" w:hAnsi="Times New Roman" w:cs="Times New Roman"/>
          <w:sz w:val="20"/>
          <w:szCs w:val="20"/>
        </w:rPr>
        <w:t>(1), 13–16. https://doi.org/10.2134/agronj1972.00021962006400010005x</w:t>
      </w:r>
    </w:p>
    <w:p w14:paraId="01B807B7"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Vandevender, J. (2006). </w:t>
      </w:r>
      <w:r w:rsidRPr="00375B31">
        <w:rPr>
          <w:rFonts w:ascii="Times New Roman" w:hAnsi="Times New Roman" w:cs="Times New Roman"/>
          <w:i/>
          <w:iCs/>
          <w:sz w:val="20"/>
          <w:szCs w:val="20"/>
        </w:rPr>
        <w:t>Plant guide for Bermudagrass (Cynodon dactylon L.)</w:t>
      </w:r>
      <w:r w:rsidRPr="00375B31">
        <w:rPr>
          <w:rFonts w:ascii="Times New Roman" w:hAnsi="Times New Roman" w:cs="Times New Roman"/>
          <w:sz w:val="20"/>
          <w:szCs w:val="20"/>
        </w:rPr>
        <w:t xml:space="preserve"> (p. 3). USDA-Natural Resources Conservation Service.</w:t>
      </w:r>
    </w:p>
    <w:p w14:paraId="0C0CA3C4" w14:textId="5E9261EE"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Waldner, D. N., </w:t>
      </w:r>
      <w:r>
        <w:rPr>
          <w:rFonts w:ascii="Times New Roman" w:hAnsi="Times New Roman" w:cs="Times New Roman"/>
          <w:sz w:val="20"/>
          <w:szCs w:val="20"/>
        </w:rPr>
        <w:t>and</w:t>
      </w:r>
      <w:r w:rsidRPr="00375B31">
        <w:rPr>
          <w:rFonts w:ascii="Times New Roman" w:hAnsi="Times New Roman" w:cs="Times New Roman"/>
          <w:sz w:val="20"/>
          <w:szCs w:val="20"/>
        </w:rPr>
        <w:t xml:space="preserve"> Looper, M. L. (n.d.). </w:t>
      </w:r>
      <w:r w:rsidRPr="00375B31">
        <w:rPr>
          <w:rFonts w:ascii="Times New Roman" w:hAnsi="Times New Roman" w:cs="Times New Roman"/>
          <w:i/>
          <w:iCs/>
          <w:sz w:val="20"/>
          <w:szCs w:val="20"/>
        </w:rPr>
        <w:t>Water for Dairy Cattle</w:t>
      </w:r>
      <w:r w:rsidRPr="00375B31">
        <w:rPr>
          <w:rFonts w:ascii="Times New Roman" w:hAnsi="Times New Roman" w:cs="Times New Roman"/>
          <w:sz w:val="20"/>
          <w:szCs w:val="20"/>
        </w:rPr>
        <w:t xml:space="preserve"> (ANSI-4275). Oklahoma State University Extension Service, Division of Agricultural Sciences and Natural Resources. Retrieved November 17, 2020, from https://www.landcan.org/pdfs/ANSI-4275%20Water%20for%20Dairy%20Cattle.pdf</w:t>
      </w:r>
    </w:p>
    <w:p w14:paraId="5BF35718"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lastRenderedPageBreak/>
        <w:t xml:space="preserve">Ward, G. M. (1976). Sulphur deficiency and toxicity symptoms in greenhouse tomatoes and cucumbers. </w:t>
      </w:r>
      <w:r w:rsidRPr="00375B31">
        <w:rPr>
          <w:rFonts w:ascii="Times New Roman" w:hAnsi="Times New Roman" w:cs="Times New Roman"/>
          <w:i/>
          <w:iCs/>
          <w:sz w:val="20"/>
          <w:szCs w:val="20"/>
        </w:rPr>
        <w:t>Canadian Journal of Plant Science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56</w:t>
      </w:r>
      <w:r w:rsidRPr="00375B31">
        <w:rPr>
          <w:rFonts w:ascii="Times New Roman" w:hAnsi="Times New Roman" w:cs="Times New Roman"/>
          <w:sz w:val="20"/>
          <w:szCs w:val="20"/>
        </w:rPr>
        <w:t>(1), 133–137. https://doi.org/10.4141/cjps76-020</w:t>
      </w:r>
    </w:p>
    <w:p w14:paraId="216109BB" w14:textId="6505E8AA"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Ward, M. A., Ashcroft, N. K., Scholljegerdes, E. J., </w:t>
      </w:r>
      <w:r>
        <w:rPr>
          <w:rFonts w:ascii="Times New Roman" w:hAnsi="Times New Roman" w:cs="Times New Roman"/>
          <w:sz w:val="20"/>
          <w:szCs w:val="20"/>
        </w:rPr>
        <w:t>and</w:t>
      </w:r>
      <w:r w:rsidRPr="00375B31">
        <w:rPr>
          <w:rFonts w:ascii="Times New Roman" w:hAnsi="Times New Roman" w:cs="Times New Roman"/>
          <w:sz w:val="20"/>
          <w:szCs w:val="20"/>
        </w:rPr>
        <w:t xml:space="preserve"> Smallidge, S. T. (2017). </w:t>
      </w:r>
      <w:r w:rsidRPr="00375B31">
        <w:rPr>
          <w:rFonts w:ascii="Times New Roman" w:hAnsi="Times New Roman" w:cs="Times New Roman"/>
          <w:i/>
          <w:iCs/>
          <w:sz w:val="20"/>
          <w:szCs w:val="20"/>
        </w:rPr>
        <w:t>Estimating water intake for range beef cattle</w:t>
      </w:r>
      <w:r w:rsidRPr="00375B31">
        <w:rPr>
          <w:rFonts w:ascii="Times New Roman" w:hAnsi="Times New Roman" w:cs="Times New Roman"/>
          <w:sz w:val="20"/>
          <w:szCs w:val="20"/>
        </w:rPr>
        <w:t xml:space="preserve"> (B-231). NM State University - College of Agricultural, Consumer and Environmental Sciences.</w:t>
      </w:r>
    </w:p>
    <w:p w14:paraId="22BF0335" w14:textId="6F136554"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Weeth, H. J., </w:t>
      </w:r>
      <w:r>
        <w:rPr>
          <w:rFonts w:ascii="Times New Roman" w:hAnsi="Times New Roman" w:cs="Times New Roman"/>
          <w:sz w:val="20"/>
          <w:szCs w:val="20"/>
        </w:rPr>
        <w:t>and</w:t>
      </w:r>
      <w:r w:rsidRPr="00375B31">
        <w:rPr>
          <w:rFonts w:ascii="Times New Roman" w:hAnsi="Times New Roman" w:cs="Times New Roman"/>
          <w:sz w:val="20"/>
          <w:szCs w:val="20"/>
        </w:rPr>
        <w:t xml:space="preserve"> Hunter, J. E. (1971). Drinking of Sulfate-Water by Cattle. </w:t>
      </w:r>
      <w:r w:rsidRPr="00375B31">
        <w:rPr>
          <w:rFonts w:ascii="Times New Roman" w:hAnsi="Times New Roman" w:cs="Times New Roman"/>
          <w:i/>
          <w:iCs/>
          <w:sz w:val="20"/>
          <w:szCs w:val="20"/>
        </w:rPr>
        <w:t>Journal of Animal Science</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32</w:t>
      </w:r>
      <w:r w:rsidRPr="00375B31">
        <w:rPr>
          <w:rFonts w:ascii="Times New Roman" w:hAnsi="Times New Roman" w:cs="Times New Roman"/>
          <w:sz w:val="20"/>
          <w:szCs w:val="20"/>
        </w:rPr>
        <w:t>(2), 277–281. https://doi.org/10.2527/jas1971.322277x</w:t>
      </w:r>
    </w:p>
    <w:p w14:paraId="14EACB8B"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WSDA. (2020). </w:t>
      </w:r>
      <w:r w:rsidRPr="00375B31">
        <w:rPr>
          <w:rFonts w:ascii="Times New Roman" w:hAnsi="Times New Roman" w:cs="Times New Roman"/>
          <w:i/>
          <w:iCs/>
          <w:sz w:val="20"/>
          <w:szCs w:val="20"/>
        </w:rPr>
        <w:t>Fertilizer Product Lookup</w:t>
      </w:r>
      <w:r w:rsidRPr="00375B31">
        <w:rPr>
          <w:rFonts w:ascii="Times New Roman" w:hAnsi="Times New Roman" w:cs="Times New Roman"/>
          <w:sz w:val="20"/>
          <w:szCs w:val="20"/>
        </w:rPr>
        <w:t>. Washington State Department of Agriculture. https://agr.wa.gov/departments/pesticides-and-fertilizers/fertilizers/fertilizer-database/fertilizer-product-lookup</w:t>
      </w:r>
    </w:p>
    <w:p w14:paraId="0E8F4B52" w14:textId="77777777"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WSDH. (2016). </w:t>
      </w:r>
      <w:r w:rsidRPr="00375B31">
        <w:rPr>
          <w:rFonts w:ascii="Times New Roman" w:hAnsi="Times New Roman" w:cs="Times New Roman"/>
          <w:i/>
          <w:iCs/>
          <w:sz w:val="20"/>
          <w:szCs w:val="20"/>
        </w:rPr>
        <w:t>Coliform Bacteria and Drinking Water</w:t>
      </w:r>
      <w:r w:rsidRPr="00375B31">
        <w:rPr>
          <w:rFonts w:ascii="Times New Roman" w:hAnsi="Times New Roman" w:cs="Times New Roman"/>
          <w:sz w:val="20"/>
          <w:szCs w:val="20"/>
        </w:rPr>
        <w:t xml:space="preserve"> (DOH 331-181; p. 2). Washington State Department of Health - Environmental Health Division - Office of Drinking Water.</w:t>
      </w:r>
    </w:p>
    <w:p w14:paraId="2A4948A1" w14:textId="20136BBB"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Yeit Haan, T., Wan Mohammad Hamdan, W. N. A., Rosnan, N. A., Mohamad Mazuki, N. I., </w:t>
      </w:r>
      <w:r>
        <w:rPr>
          <w:rFonts w:ascii="Times New Roman" w:hAnsi="Times New Roman" w:cs="Times New Roman"/>
          <w:sz w:val="20"/>
          <w:szCs w:val="20"/>
        </w:rPr>
        <w:t>and</w:t>
      </w:r>
      <w:r w:rsidRPr="00375B31">
        <w:rPr>
          <w:rFonts w:ascii="Times New Roman" w:hAnsi="Times New Roman" w:cs="Times New Roman"/>
          <w:sz w:val="20"/>
          <w:szCs w:val="20"/>
        </w:rPr>
        <w:t xml:space="preserve"> K.C., H. (2017). Application of Membrane Technology towards The Reusability of Lake Water, Mine Water, and Tube Well Water. </w:t>
      </w:r>
      <w:r w:rsidRPr="00375B31">
        <w:rPr>
          <w:rFonts w:ascii="Times New Roman" w:hAnsi="Times New Roman" w:cs="Times New Roman"/>
          <w:i/>
          <w:iCs/>
          <w:sz w:val="20"/>
          <w:szCs w:val="20"/>
        </w:rPr>
        <w:t>Jurnal Kejuruteraan</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29</w:t>
      </w:r>
      <w:r w:rsidRPr="00375B31">
        <w:rPr>
          <w:rFonts w:ascii="Times New Roman" w:hAnsi="Times New Roman" w:cs="Times New Roman"/>
          <w:sz w:val="20"/>
          <w:szCs w:val="20"/>
        </w:rPr>
        <w:t>(2), 131–137. https://doi.org/10.17576/jkukm-2017-29(2)-09</w:t>
      </w:r>
    </w:p>
    <w:p w14:paraId="58741909" w14:textId="626A39F9" w:rsidR="00375B31" w:rsidRPr="00375B31" w:rsidRDefault="00375B31" w:rsidP="00375B31">
      <w:pPr>
        <w:pStyle w:val="Bibliography"/>
        <w:rPr>
          <w:rFonts w:ascii="Times New Roman" w:hAnsi="Times New Roman" w:cs="Times New Roman"/>
          <w:sz w:val="20"/>
          <w:szCs w:val="20"/>
        </w:rPr>
      </w:pPr>
      <w:r w:rsidRPr="00375B31">
        <w:rPr>
          <w:rFonts w:ascii="Times New Roman" w:hAnsi="Times New Roman" w:cs="Times New Roman"/>
          <w:sz w:val="20"/>
          <w:szCs w:val="20"/>
        </w:rPr>
        <w:t xml:space="preserve">Zurayk, R. A., Khoury, N. F., Talhouk, S. N., </w:t>
      </w:r>
      <w:r>
        <w:rPr>
          <w:rFonts w:ascii="Times New Roman" w:hAnsi="Times New Roman" w:cs="Times New Roman"/>
          <w:sz w:val="20"/>
          <w:szCs w:val="20"/>
        </w:rPr>
        <w:t>and</w:t>
      </w:r>
      <w:r w:rsidRPr="00375B31">
        <w:rPr>
          <w:rFonts w:ascii="Times New Roman" w:hAnsi="Times New Roman" w:cs="Times New Roman"/>
          <w:sz w:val="20"/>
          <w:szCs w:val="20"/>
        </w:rPr>
        <w:t xml:space="preserve"> Baalbaki, R. Z. (2001). Salinity-Heavy Metal Interactions in Four Salt-Tolerant Plant Species. </w:t>
      </w:r>
      <w:r w:rsidRPr="00375B31">
        <w:rPr>
          <w:rFonts w:ascii="Times New Roman" w:hAnsi="Times New Roman" w:cs="Times New Roman"/>
          <w:i/>
          <w:iCs/>
          <w:sz w:val="20"/>
          <w:szCs w:val="20"/>
        </w:rPr>
        <w:t>Journal of Plant Nutrition</w:t>
      </w:r>
      <w:r w:rsidRPr="00375B31">
        <w:rPr>
          <w:rFonts w:ascii="Times New Roman" w:hAnsi="Times New Roman" w:cs="Times New Roman"/>
          <w:sz w:val="20"/>
          <w:szCs w:val="20"/>
        </w:rPr>
        <w:t xml:space="preserve">, </w:t>
      </w:r>
      <w:r w:rsidRPr="00375B31">
        <w:rPr>
          <w:rFonts w:ascii="Times New Roman" w:hAnsi="Times New Roman" w:cs="Times New Roman"/>
          <w:i/>
          <w:iCs/>
          <w:sz w:val="20"/>
          <w:szCs w:val="20"/>
        </w:rPr>
        <w:t>24</w:t>
      </w:r>
      <w:r w:rsidRPr="00375B31">
        <w:rPr>
          <w:rFonts w:ascii="Times New Roman" w:hAnsi="Times New Roman" w:cs="Times New Roman"/>
          <w:sz w:val="20"/>
          <w:szCs w:val="20"/>
        </w:rPr>
        <w:t>(11), 1773–1786. https://doi.org/10.1081/PLN-100107311</w:t>
      </w:r>
    </w:p>
    <w:p w14:paraId="7BBD73A0" w14:textId="78F15239" w:rsidR="008F6F85" w:rsidRPr="00F07DEB" w:rsidRDefault="006934E2" w:rsidP="00FF5DF8">
      <w:pPr>
        <w:spacing w:line="240" w:lineRule="auto"/>
        <w:rPr>
          <w:rFonts w:ascii="Times New Roman" w:hAnsi="Times New Roman" w:cs="Times New Roman"/>
        </w:rPr>
      </w:pPr>
      <w:r w:rsidRPr="00375B31">
        <w:rPr>
          <w:rFonts w:ascii="Times New Roman" w:hAnsi="Times New Roman" w:cs="Times New Roman"/>
          <w:sz w:val="20"/>
          <w:szCs w:val="20"/>
        </w:rPr>
        <w:fldChar w:fldCharType="end"/>
      </w:r>
    </w:p>
    <w:p w14:paraId="0370CD82" w14:textId="77777777" w:rsidR="008F6F85" w:rsidRPr="00F07DEB" w:rsidRDefault="008F6F85">
      <w:pPr>
        <w:rPr>
          <w:rFonts w:ascii="Times New Roman" w:hAnsi="Times New Roman" w:cs="Times New Roman"/>
          <w:sz w:val="20"/>
          <w:szCs w:val="20"/>
        </w:rPr>
      </w:pPr>
      <w:r w:rsidRPr="00F07DEB">
        <w:rPr>
          <w:rFonts w:ascii="Times New Roman" w:hAnsi="Times New Roman" w:cs="Times New Roman"/>
          <w:sz w:val="20"/>
          <w:szCs w:val="20"/>
        </w:rPr>
        <w:br w:type="page"/>
      </w:r>
    </w:p>
    <w:p w14:paraId="41B068A2" w14:textId="1A833632" w:rsidR="00F54CC1" w:rsidRDefault="006811C1" w:rsidP="00F54CC1">
      <w:pPr>
        <w:pStyle w:val="Heading1"/>
      </w:pPr>
      <w:bookmarkStart w:id="165" w:name="_Toc58975180"/>
      <w:r w:rsidRPr="00F07DEB">
        <w:lastRenderedPageBreak/>
        <w:t>Appendi</w:t>
      </w:r>
      <w:r w:rsidR="008233D9">
        <w:t>ces</w:t>
      </w:r>
      <w:bookmarkEnd w:id="165"/>
    </w:p>
    <w:p w14:paraId="600D7D88" w14:textId="39D00F85" w:rsidR="00204C13" w:rsidRDefault="00204C13" w:rsidP="0084357E">
      <w:pPr>
        <w:pStyle w:val="Heading2"/>
        <w:numPr>
          <w:ilvl w:val="0"/>
          <w:numId w:val="0"/>
        </w:numPr>
        <w:ind w:left="1170"/>
      </w:pPr>
      <w:bookmarkStart w:id="166" w:name="_Toc58975181"/>
      <w:r>
        <w:t>Appendix A: Irrigation Water Quality</w:t>
      </w:r>
      <w:bookmarkEnd w:id="166"/>
    </w:p>
    <w:p w14:paraId="4257B538" w14:textId="77777777" w:rsidR="00204C13" w:rsidRDefault="00204C13" w:rsidP="00204C13">
      <w:pPr>
        <w:pStyle w:val="Heading2"/>
        <w:numPr>
          <w:ilvl w:val="0"/>
          <w:numId w:val="0"/>
        </w:numPr>
      </w:pPr>
    </w:p>
    <w:p w14:paraId="628F1316" w14:textId="78BE204E" w:rsidR="00204C13" w:rsidRPr="00F07DEB" w:rsidRDefault="00204C13" w:rsidP="00204C13">
      <w:pPr>
        <w:pStyle w:val="Caption"/>
      </w:pPr>
      <w:r>
        <w:t>Table A.1</w:t>
      </w:r>
      <w:r w:rsidR="00FE213F">
        <w:t>:</w:t>
      </w:r>
      <w:r>
        <w:t xml:space="preserve"> Total</w:t>
      </w:r>
      <w:r w:rsidR="00806F1B">
        <w:t xml:space="preserve"> metals</w:t>
      </w:r>
      <w:r w:rsidRPr="00F07DEB">
        <w:t xml:space="preserve"> measured in the irrigation waters</w:t>
      </w:r>
    </w:p>
    <w:tbl>
      <w:tblPr>
        <w:tblW w:w="5000" w:type="pct"/>
        <w:tblLayout w:type="fixed"/>
        <w:tblLook w:val="04A0" w:firstRow="1" w:lastRow="0" w:firstColumn="1" w:lastColumn="0" w:noHBand="0" w:noVBand="1"/>
      </w:tblPr>
      <w:tblGrid>
        <w:gridCol w:w="2147"/>
        <w:gridCol w:w="1275"/>
        <w:gridCol w:w="1709"/>
        <w:gridCol w:w="1709"/>
        <w:gridCol w:w="1170"/>
        <w:gridCol w:w="1350"/>
      </w:tblGrid>
      <w:tr w:rsidR="00204C13" w:rsidRPr="00F07DEB" w14:paraId="1EE0B0D6" w14:textId="77777777" w:rsidTr="009678A2">
        <w:trPr>
          <w:trHeight w:val="300"/>
        </w:trPr>
        <w:tc>
          <w:tcPr>
            <w:tcW w:w="1828" w:type="pct"/>
            <w:gridSpan w:val="2"/>
            <w:tcBorders>
              <w:top w:val="single" w:sz="8" w:space="0" w:color="auto"/>
              <w:left w:val="nil"/>
              <w:bottom w:val="single" w:sz="8" w:space="0" w:color="auto"/>
              <w:right w:val="nil"/>
            </w:tcBorders>
            <w:noWrap/>
            <w:vAlign w:val="center"/>
            <w:hideMark/>
          </w:tcPr>
          <w:p w14:paraId="25DC0C62" w14:textId="77777777" w:rsidR="00204C13" w:rsidRPr="00F07DEB" w:rsidRDefault="00204C13" w:rsidP="009678A2">
            <w:pPr>
              <w:spacing w:after="0"/>
              <w:rPr>
                <w:rFonts w:ascii="Times New Roman" w:hAnsi="Times New Roman" w:cs="Times New Roman"/>
                <w:sz w:val="20"/>
                <w:szCs w:val="20"/>
              </w:rPr>
            </w:pPr>
            <w:r w:rsidRPr="00F07DEB">
              <w:rPr>
                <w:rFonts w:ascii="Times New Roman" w:hAnsi="Times New Roman" w:cs="Times New Roman"/>
                <w:sz w:val="20"/>
                <w:szCs w:val="20"/>
              </w:rPr>
              <w:t>Parameter</w:t>
            </w:r>
          </w:p>
        </w:tc>
        <w:tc>
          <w:tcPr>
            <w:tcW w:w="913" w:type="pct"/>
            <w:tcBorders>
              <w:top w:val="single" w:sz="8" w:space="0" w:color="auto"/>
              <w:left w:val="nil"/>
              <w:bottom w:val="single" w:sz="8" w:space="0" w:color="auto"/>
              <w:right w:val="nil"/>
            </w:tcBorders>
            <w:noWrap/>
            <w:vAlign w:val="center"/>
            <w:hideMark/>
          </w:tcPr>
          <w:p w14:paraId="05D3D9D5" w14:textId="77777777" w:rsidR="00204C13" w:rsidRPr="00F07DEB" w:rsidRDefault="00204C13" w:rsidP="009678A2">
            <w:pPr>
              <w:spacing w:after="0"/>
              <w:rPr>
                <w:rFonts w:ascii="Times New Roman" w:hAnsi="Times New Roman" w:cs="Times New Roman"/>
                <w:sz w:val="20"/>
                <w:szCs w:val="20"/>
              </w:rPr>
            </w:pPr>
            <w:r w:rsidRPr="00F07DEB">
              <w:rPr>
                <w:rFonts w:ascii="Times New Roman" w:hAnsi="Times New Roman" w:cs="Times New Roman"/>
                <w:sz w:val="20"/>
                <w:szCs w:val="20"/>
              </w:rPr>
              <w:t>ARFGW</w:t>
            </w:r>
          </w:p>
        </w:tc>
        <w:tc>
          <w:tcPr>
            <w:tcW w:w="913" w:type="pct"/>
            <w:tcBorders>
              <w:top w:val="single" w:sz="8" w:space="0" w:color="auto"/>
              <w:left w:val="nil"/>
              <w:bottom w:val="single" w:sz="8" w:space="0" w:color="auto"/>
              <w:right w:val="nil"/>
            </w:tcBorders>
            <w:noWrap/>
            <w:vAlign w:val="center"/>
            <w:hideMark/>
          </w:tcPr>
          <w:p w14:paraId="2B5865C5" w14:textId="77777777" w:rsidR="00204C13" w:rsidRPr="00F07DEB" w:rsidRDefault="00204C13" w:rsidP="009678A2">
            <w:pPr>
              <w:spacing w:after="0"/>
              <w:rPr>
                <w:rFonts w:ascii="Times New Roman" w:hAnsi="Times New Roman" w:cs="Times New Roman"/>
                <w:sz w:val="20"/>
                <w:szCs w:val="20"/>
              </w:rPr>
            </w:pPr>
            <w:r w:rsidRPr="00F07DEB">
              <w:rPr>
                <w:rFonts w:ascii="Times New Roman" w:hAnsi="Times New Roman" w:cs="Times New Roman"/>
                <w:sz w:val="20"/>
                <w:szCs w:val="20"/>
              </w:rPr>
              <w:t>MRPTS</w:t>
            </w:r>
          </w:p>
        </w:tc>
        <w:tc>
          <w:tcPr>
            <w:tcW w:w="625" w:type="pct"/>
            <w:tcBorders>
              <w:top w:val="single" w:sz="8" w:space="0" w:color="auto"/>
              <w:left w:val="nil"/>
              <w:bottom w:val="single" w:sz="8" w:space="0" w:color="auto"/>
              <w:right w:val="nil"/>
            </w:tcBorders>
            <w:noWrap/>
            <w:vAlign w:val="center"/>
            <w:hideMark/>
          </w:tcPr>
          <w:p w14:paraId="7945028A" w14:textId="77777777" w:rsidR="00204C13" w:rsidRPr="00F07DEB" w:rsidRDefault="00204C13" w:rsidP="009678A2">
            <w:pPr>
              <w:spacing w:after="0"/>
              <w:rPr>
                <w:rFonts w:ascii="Times New Roman" w:hAnsi="Times New Roman" w:cs="Times New Roman"/>
                <w:i/>
                <w:iCs/>
                <w:sz w:val="20"/>
                <w:szCs w:val="20"/>
              </w:rPr>
            </w:pPr>
            <w:r w:rsidRPr="00F07DEB">
              <w:rPr>
                <w:rFonts w:ascii="Times New Roman" w:hAnsi="Times New Roman" w:cs="Times New Roman"/>
                <w:i/>
                <w:iCs/>
                <w:sz w:val="20"/>
                <w:szCs w:val="20"/>
              </w:rPr>
              <w:t>p</w:t>
            </w:r>
          </w:p>
        </w:tc>
        <w:tc>
          <w:tcPr>
            <w:tcW w:w="721" w:type="pct"/>
            <w:tcBorders>
              <w:top w:val="single" w:sz="8" w:space="0" w:color="auto"/>
              <w:left w:val="nil"/>
              <w:bottom w:val="single" w:sz="8" w:space="0" w:color="auto"/>
              <w:right w:val="nil"/>
            </w:tcBorders>
            <w:vAlign w:val="center"/>
          </w:tcPr>
          <w:p w14:paraId="677F6F60" w14:textId="77777777" w:rsidR="00204C13" w:rsidRPr="00F07DEB" w:rsidRDefault="00204C13" w:rsidP="009678A2">
            <w:pPr>
              <w:spacing w:after="0"/>
              <w:rPr>
                <w:rFonts w:ascii="Times New Roman" w:hAnsi="Times New Roman" w:cs="Times New Roman"/>
                <w:iCs/>
                <w:sz w:val="20"/>
                <w:szCs w:val="20"/>
              </w:rPr>
            </w:pPr>
            <w:r w:rsidRPr="00F07DEB">
              <w:rPr>
                <w:rFonts w:ascii="Times New Roman" w:hAnsi="Times New Roman" w:cs="Times New Roman"/>
                <w:iCs/>
                <w:sz w:val="20"/>
                <w:szCs w:val="20"/>
              </w:rPr>
              <w:t>Irrigation Criteria</w:t>
            </w:r>
          </w:p>
        </w:tc>
      </w:tr>
      <w:tr w:rsidR="00806F1B" w:rsidRPr="00F07DEB" w14:paraId="7246006E" w14:textId="77777777" w:rsidTr="009678A2">
        <w:trPr>
          <w:trHeight w:val="292"/>
        </w:trPr>
        <w:tc>
          <w:tcPr>
            <w:tcW w:w="1147" w:type="pct"/>
            <w:vMerge w:val="restart"/>
            <w:tcBorders>
              <w:top w:val="single" w:sz="8" w:space="0" w:color="auto"/>
              <w:left w:val="nil"/>
              <w:right w:val="nil"/>
            </w:tcBorders>
            <w:hideMark/>
          </w:tcPr>
          <w:p w14:paraId="2CECB7FE" w14:textId="77777777" w:rsidR="00806F1B" w:rsidRPr="00F07DEB" w:rsidRDefault="00806F1B" w:rsidP="00806F1B">
            <w:pPr>
              <w:spacing w:after="0"/>
              <w:rPr>
                <w:rFonts w:ascii="Times New Roman" w:hAnsi="Times New Roman" w:cs="Times New Roman"/>
                <w:sz w:val="20"/>
                <w:szCs w:val="20"/>
              </w:rPr>
            </w:pPr>
            <w:r w:rsidRPr="00F07DEB">
              <w:rPr>
                <w:rFonts w:ascii="Times New Roman" w:hAnsi="Times New Roman" w:cs="Times New Roman"/>
                <w:sz w:val="20"/>
                <w:szCs w:val="20"/>
              </w:rPr>
              <w:t>Dissolved metals (mg/L)</w:t>
            </w:r>
          </w:p>
        </w:tc>
        <w:tc>
          <w:tcPr>
            <w:tcW w:w="681" w:type="pct"/>
            <w:tcBorders>
              <w:top w:val="single" w:sz="8" w:space="0" w:color="auto"/>
              <w:left w:val="nil"/>
              <w:bottom w:val="nil"/>
              <w:right w:val="nil"/>
            </w:tcBorders>
            <w:noWrap/>
            <w:vAlign w:val="center"/>
            <w:hideMark/>
          </w:tcPr>
          <w:p w14:paraId="105B523C" w14:textId="77777777" w:rsidR="00806F1B" w:rsidRPr="00F07DEB" w:rsidRDefault="00806F1B" w:rsidP="00806F1B">
            <w:pPr>
              <w:spacing w:after="0"/>
              <w:rPr>
                <w:rFonts w:ascii="Times New Roman" w:hAnsi="Times New Roman" w:cs="Times New Roman"/>
                <w:sz w:val="20"/>
                <w:szCs w:val="20"/>
              </w:rPr>
            </w:pPr>
            <w:r w:rsidRPr="00F07DEB">
              <w:rPr>
                <w:rFonts w:ascii="Times New Roman" w:hAnsi="Times New Roman" w:cs="Times New Roman"/>
                <w:sz w:val="20"/>
                <w:szCs w:val="20"/>
              </w:rPr>
              <w:t>Ca</w:t>
            </w:r>
          </w:p>
        </w:tc>
        <w:tc>
          <w:tcPr>
            <w:tcW w:w="913" w:type="pct"/>
            <w:tcBorders>
              <w:top w:val="single" w:sz="8" w:space="0" w:color="auto"/>
              <w:left w:val="nil"/>
              <w:bottom w:val="nil"/>
              <w:right w:val="nil"/>
            </w:tcBorders>
            <w:noWrap/>
            <w:vAlign w:val="center"/>
            <w:hideMark/>
          </w:tcPr>
          <w:p w14:paraId="1A6E7BCD" w14:textId="390649BD"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97.7 ± 62.1</w:t>
            </w:r>
          </w:p>
        </w:tc>
        <w:tc>
          <w:tcPr>
            <w:tcW w:w="913" w:type="pct"/>
            <w:tcBorders>
              <w:top w:val="single" w:sz="8" w:space="0" w:color="auto"/>
              <w:left w:val="nil"/>
              <w:bottom w:val="nil"/>
              <w:right w:val="nil"/>
            </w:tcBorders>
            <w:noWrap/>
            <w:vAlign w:val="center"/>
            <w:hideMark/>
          </w:tcPr>
          <w:p w14:paraId="1B901D33" w14:textId="75A2567B"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602 ± 52.3</w:t>
            </w:r>
          </w:p>
        </w:tc>
        <w:tc>
          <w:tcPr>
            <w:tcW w:w="625" w:type="pct"/>
            <w:tcBorders>
              <w:top w:val="single" w:sz="8" w:space="0" w:color="auto"/>
              <w:left w:val="nil"/>
              <w:bottom w:val="nil"/>
              <w:right w:val="nil"/>
            </w:tcBorders>
            <w:noWrap/>
            <w:vAlign w:val="center"/>
            <w:hideMark/>
          </w:tcPr>
          <w:p w14:paraId="02BCEA13" w14:textId="7E492493"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b/>
                <w:bCs/>
                <w:color w:val="000000"/>
                <w:sz w:val="20"/>
                <w:szCs w:val="20"/>
              </w:rPr>
              <w:t>&lt; 0.001</w:t>
            </w:r>
            <w:r w:rsidRPr="00806F1B">
              <w:rPr>
                <w:rFonts w:ascii="Times New Roman" w:hAnsi="Times New Roman" w:cs="Times New Roman"/>
                <w:color w:val="000000"/>
                <w:sz w:val="20"/>
                <w:szCs w:val="20"/>
              </w:rPr>
              <w:t xml:space="preserve"> </w:t>
            </w:r>
            <w:r w:rsidRPr="00806F1B">
              <w:rPr>
                <w:rFonts w:ascii="Times New Roman" w:hAnsi="Times New Roman" w:cs="Times New Roman"/>
                <w:color w:val="000000"/>
                <w:sz w:val="20"/>
                <w:szCs w:val="20"/>
                <w:vertAlign w:val="superscript"/>
              </w:rPr>
              <w:t>a</w:t>
            </w:r>
          </w:p>
        </w:tc>
        <w:tc>
          <w:tcPr>
            <w:tcW w:w="721" w:type="pct"/>
            <w:tcBorders>
              <w:top w:val="single" w:sz="8" w:space="0" w:color="auto"/>
              <w:left w:val="nil"/>
              <w:bottom w:val="nil"/>
              <w:right w:val="nil"/>
            </w:tcBorders>
            <w:vAlign w:val="center"/>
          </w:tcPr>
          <w:p w14:paraId="246C8564" w14:textId="299BC114" w:rsidR="00806F1B" w:rsidRPr="00806F1B" w:rsidRDefault="00806F1B" w:rsidP="00806F1B">
            <w:pPr>
              <w:spacing w:after="0"/>
              <w:rPr>
                <w:rFonts w:ascii="Times New Roman" w:hAnsi="Times New Roman" w:cs="Times New Roman"/>
                <w:b/>
                <w:sz w:val="20"/>
                <w:szCs w:val="20"/>
              </w:rPr>
            </w:pPr>
            <w:r w:rsidRPr="00806F1B">
              <w:rPr>
                <w:rFonts w:ascii="Times New Roman" w:hAnsi="Times New Roman" w:cs="Times New Roman"/>
                <w:color w:val="000000"/>
                <w:sz w:val="20"/>
                <w:szCs w:val="20"/>
              </w:rPr>
              <w:t>40-100</w:t>
            </w:r>
            <w:r w:rsidRPr="00806F1B">
              <w:rPr>
                <w:rFonts w:ascii="Times New Roman" w:hAnsi="Times New Roman" w:cs="Times New Roman"/>
                <w:color w:val="000000"/>
                <w:sz w:val="20"/>
                <w:szCs w:val="20"/>
                <w:vertAlign w:val="superscript"/>
              </w:rPr>
              <w:t>4</w:t>
            </w:r>
          </w:p>
        </w:tc>
      </w:tr>
      <w:tr w:rsidR="00806F1B" w:rsidRPr="00F07DEB" w14:paraId="50060D81" w14:textId="77777777" w:rsidTr="009678A2">
        <w:trPr>
          <w:trHeight w:val="300"/>
        </w:trPr>
        <w:tc>
          <w:tcPr>
            <w:tcW w:w="1147" w:type="pct"/>
            <w:vMerge/>
            <w:tcBorders>
              <w:left w:val="nil"/>
              <w:right w:val="nil"/>
            </w:tcBorders>
            <w:vAlign w:val="center"/>
            <w:hideMark/>
          </w:tcPr>
          <w:p w14:paraId="028B6829" w14:textId="77777777" w:rsidR="00806F1B" w:rsidRPr="00F07DEB" w:rsidRDefault="00806F1B" w:rsidP="00806F1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3927AB76" w14:textId="77777777" w:rsidR="00806F1B" w:rsidRPr="00DA1138" w:rsidRDefault="00806F1B" w:rsidP="00806F1B">
            <w:pPr>
              <w:spacing w:after="0"/>
              <w:rPr>
                <w:rFonts w:ascii="Times New Roman" w:hAnsi="Times New Roman"/>
                <w:sz w:val="20"/>
              </w:rPr>
            </w:pPr>
            <w:r w:rsidRPr="00DA1138">
              <w:rPr>
                <w:rFonts w:ascii="Times New Roman" w:hAnsi="Times New Roman"/>
                <w:sz w:val="20"/>
              </w:rPr>
              <w:t>Cd</w:t>
            </w:r>
          </w:p>
        </w:tc>
        <w:tc>
          <w:tcPr>
            <w:tcW w:w="913" w:type="pct"/>
            <w:tcBorders>
              <w:top w:val="nil"/>
              <w:left w:val="nil"/>
              <w:bottom w:val="nil"/>
              <w:right w:val="nil"/>
            </w:tcBorders>
            <w:noWrap/>
            <w:vAlign w:val="center"/>
            <w:hideMark/>
          </w:tcPr>
          <w:p w14:paraId="41E99B0C" w14:textId="70632BE7" w:rsidR="00806F1B" w:rsidRPr="00806F1B" w:rsidRDefault="00806F1B" w:rsidP="00806F1B">
            <w:pPr>
              <w:spacing w:after="0"/>
              <w:rPr>
                <w:rFonts w:ascii="Times New Roman" w:hAnsi="Times New Roman" w:cs="Times New Roman"/>
                <w:sz w:val="20"/>
              </w:rPr>
            </w:pPr>
            <w:r w:rsidRPr="00806F1B">
              <w:rPr>
                <w:rFonts w:ascii="Times New Roman" w:hAnsi="Times New Roman" w:cs="Times New Roman"/>
                <w:color w:val="000000"/>
                <w:sz w:val="20"/>
                <w:szCs w:val="20"/>
              </w:rPr>
              <w:t>0.0004 ± 0.0001</w:t>
            </w:r>
          </w:p>
        </w:tc>
        <w:tc>
          <w:tcPr>
            <w:tcW w:w="913" w:type="pct"/>
            <w:tcBorders>
              <w:top w:val="nil"/>
              <w:left w:val="nil"/>
              <w:bottom w:val="nil"/>
              <w:right w:val="nil"/>
            </w:tcBorders>
            <w:noWrap/>
            <w:vAlign w:val="center"/>
            <w:hideMark/>
          </w:tcPr>
          <w:p w14:paraId="39EDE949" w14:textId="144E5887"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0.0006 ± 0.0001</w:t>
            </w:r>
          </w:p>
        </w:tc>
        <w:tc>
          <w:tcPr>
            <w:tcW w:w="625" w:type="pct"/>
            <w:tcBorders>
              <w:top w:val="nil"/>
              <w:left w:val="nil"/>
              <w:bottom w:val="nil"/>
              <w:right w:val="nil"/>
            </w:tcBorders>
            <w:noWrap/>
            <w:vAlign w:val="center"/>
            <w:hideMark/>
          </w:tcPr>
          <w:p w14:paraId="771B6BC2" w14:textId="4DA942AA"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b/>
                <w:bCs/>
                <w:color w:val="000000"/>
                <w:sz w:val="20"/>
                <w:szCs w:val="20"/>
              </w:rPr>
              <w:t>0.003</w:t>
            </w:r>
            <w:r w:rsidRPr="00806F1B">
              <w:rPr>
                <w:rFonts w:ascii="Times New Roman" w:hAnsi="Times New Roman" w:cs="Times New Roman"/>
                <w:color w:val="000000"/>
                <w:sz w:val="20"/>
                <w:szCs w:val="20"/>
              </w:rPr>
              <w:t xml:space="preserve"> </w:t>
            </w:r>
            <w:r w:rsidRPr="00806F1B">
              <w:rPr>
                <w:rFonts w:ascii="Times New Roman" w:hAnsi="Times New Roman" w:cs="Times New Roman"/>
                <w:color w:val="000000"/>
                <w:sz w:val="20"/>
                <w:szCs w:val="20"/>
                <w:vertAlign w:val="superscript"/>
              </w:rPr>
              <w:t>c</w:t>
            </w:r>
          </w:p>
        </w:tc>
        <w:tc>
          <w:tcPr>
            <w:tcW w:w="721" w:type="pct"/>
            <w:tcBorders>
              <w:top w:val="nil"/>
              <w:left w:val="nil"/>
              <w:bottom w:val="nil"/>
              <w:right w:val="nil"/>
            </w:tcBorders>
            <w:vAlign w:val="center"/>
          </w:tcPr>
          <w:p w14:paraId="7201F44C" w14:textId="56039820" w:rsidR="00806F1B" w:rsidRPr="00806F1B" w:rsidRDefault="00806F1B" w:rsidP="00806F1B">
            <w:pPr>
              <w:spacing w:after="0"/>
              <w:rPr>
                <w:rFonts w:ascii="Times New Roman" w:hAnsi="Times New Roman" w:cs="Times New Roman"/>
                <w:b/>
                <w:sz w:val="20"/>
                <w:szCs w:val="20"/>
              </w:rPr>
            </w:pPr>
            <w:r w:rsidRPr="00806F1B">
              <w:rPr>
                <w:rFonts w:ascii="Times New Roman" w:hAnsi="Times New Roman" w:cs="Times New Roman"/>
                <w:color w:val="000000"/>
                <w:sz w:val="20"/>
                <w:szCs w:val="20"/>
              </w:rPr>
              <w:t>0.01</w:t>
            </w:r>
            <w:r w:rsidRPr="00806F1B">
              <w:rPr>
                <w:rFonts w:ascii="Times New Roman" w:hAnsi="Times New Roman" w:cs="Times New Roman"/>
                <w:color w:val="000000"/>
                <w:sz w:val="20"/>
                <w:szCs w:val="20"/>
                <w:vertAlign w:val="superscript"/>
              </w:rPr>
              <w:t>1,2,3</w:t>
            </w:r>
          </w:p>
        </w:tc>
      </w:tr>
      <w:tr w:rsidR="00806F1B" w:rsidRPr="00F07DEB" w14:paraId="429417C7" w14:textId="77777777" w:rsidTr="009678A2">
        <w:trPr>
          <w:trHeight w:val="300"/>
        </w:trPr>
        <w:tc>
          <w:tcPr>
            <w:tcW w:w="1147" w:type="pct"/>
            <w:vMerge/>
            <w:tcBorders>
              <w:left w:val="nil"/>
              <w:right w:val="nil"/>
            </w:tcBorders>
            <w:vAlign w:val="center"/>
            <w:hideMark/>
          </w:tcPr>
          <w:p w14:paraId="1340FE7C" w14:textId="77777777" w:rsidR="00806F1B" w:rsidRPr="00F07DEB" w:rsidRDefault="00806F1B" w:rsidP="00806F1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3F6F8EBF" w14:textId="77777777" w:rsidR="00806F1B" w:rsidRPr="00F07DEB" w:rsidRDefault="00806F1B" w:rsidP="00806F1B">
            <w:pPr>
              <w:spacing w:after="0"/>
              <w:rPr>
                <w:rFonts w:ascii="Times New Roman" w:hAnsi="Times New Roman" w:cs="Times New Roman"/>
                <w:sz w:val="20"/>
                <w:szCs w:val="20"/>
              </w:rPr>
            </w:pPr>
            <w:r w:rsidRPr="00F07DEB">
              <w:rPr>
                <w:rFonts w:ascii="Times New Roman" w:hAnsi="Times New Roman" w:cs="Times New Roman"/>
                <w:sz w:val="20"/>
                <w:szCs w:val="20"/>
              </w:rPr>
              <w:t>Fe</w:t>
            </w:r>
          </w:p>
        </w:tc>
        <w:tc>
          <w:tcPr>
            <w:tcW w:w="913" w:type="pct"/>
            <w:tcBorders>
              <w:top w:val="nil"/>
              <w:left w:val="nil"/>
              <w:bottom w:val="nil"/>
              <w:right w:val="nil"/>
            </w:tcBorders>
            <w:noWrap/>
            <w:vAlign w:val="center"/>
            <w:hideMark/>
          </w:tcPr>
          <w:p w14:paraId="35C41BF7" w14:textId="266377AA"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0.044 ± 0.046</w:t>
            </w:r>
          </w:p>
        </w:tc>
        <w:tc>
          <w:tcPr>
            <w:tcW w:w="913" w:type="pct"/>
            <w:tcBorders>
              <w:top w:val="nil"/>
              <w:left w:val="nil"/>
              <w:bottom w:val="nil"/>
              <w:right w:val="nil"/>
            </w:tcBorders>
            <w:noWrap/>
            <w:vAlign w:val="center"/>
            <w:hideMark/>
          </w:tcPr>
          <w:p w14:paraId="3F719FC2" w14:textId="0113BAC3"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0.089 ± 0.121</w:t>
            </w:r>
          </w:p>
        </w:tc>
        <w:tc>
          <w:tcPr>
            <w:tcW w:w="625" w:type="pct"/>
            <w:tcBorders>
              <w:top w:val="nil"/>
              <w:left w:val="nil"/>
              <w:bottom w:val="nil"/>
              <w:right w:val="nil"/>
            </w:tcBorders>
            <w:noWrap/>
            <w:vAlign w:val="center"/>
            <w:hideMark/>
          </w:tcPr>
          <w:p w14:paraId="050AA4D4" w14:textId="61F9B1C9"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 xml:space="preserve">0.529 </w:t>
            </w:r>
            <w:r w:rsidRPr="00806F1B">
              <w:rPr>
                <w:rFonts w:ascii="Times New Roman" w:hAnsi="Times New Roman" w:cs="Times New Roman"/>
                <w:color w:val="000000"/>
                <w:sz w:val="20"/>
                <w:szCs w:val="20"/>
                <w:vertAlign w:val="superscript"/>
              </w:rPr>
              <w:t>c</w:t>
            </w:r>
          </w:p>
        </w:tc>
        <w:tc>
          <w:tcPr>
            <w:tcW w:w="721" w:type="pct"/>
            <w:tcBorders>
              <w:top w:val="nil"/>
              <w:left w:val="nil"/>
              <w:bottom w:val="nil"/>
              <w:right w:val="nil"/>
            </w:tcBorders>
            <w:vAlign w:val="center"/>
          </w:tcPr>
          <w:p w14:paraId="04621A35" w14:textId="318335DE"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5.0</w:t>
            </w:r>
            <w:r w:rsidRPr="00806F1B">
              <w:rPr>
                <w:rFonts w:ascii="Times New Roman" w:hAnsi="Times New Roman" w:cs="Times New Roman"/>
                <w:color w:val="000000"/>
                <w:sz w:val="20"/>
                <w:szCs w:val="20"/>
                <w:vertAlign w:val="superscript"/>
              </w:rPr>
              <w:t>1,2,3</w:t>
            </w:r>
          </w:p>
        </w:tc>
      </w:tr>
      <w:tr w:rsidR="00806F1B" w:rsidRPr="00F07DEB" w14:paraId="71E7ACF7" w14:textId="77777777" w:rsidTr="009678A2">
        <w:trPr>
          <w:trHeight w:val="292"/>
        </w:trPr>
        <w:tc>
          <w:tcPr>
            <w:tcW w:w="1147" w:type="pct"/>
            <w:vMerge/>
            <w:tcBorders>
              <w:left w:val="nil"/>
              <w:right w:val="nil"/>
            </w:tcBorders>
            <w:vAlign w:val="center"/>
            <w:hideMark/>
          </w:tcPr>
          <w:p w14:paraId="466113CB" w14:textId="77777777" w:rsidR="00806F1B" w:rsidRPr="00F07DEB" w:rsidRDefault="00806F1B" w:rsidP="00806F1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15413F2C" w14:textId="77777777" w:rsidR="00806F1B" w:rsidRPr="00F07DEB" w:rsidRDefault="00806F1B" w:rsidP="00806F1B">
            <w:pPr>
              <w:spacing w:after="0"/>
              <w:rPr>
                <w:rFonts w:ascii="Times New Roman" w:hAnsi="Times New Roman" w:cs="Times New Roman"/>
                <w:sz w:val="20"/>
                <w:szCs w:val="20"/>
              </w:rPr>
            </w:pPr>
            <w:r w:rsidRPr="00F07DEB">
              <w:rPr>
                <w:rFonts w:ascii="Times New Roman" w:hAnsi="Times New Roman" w:cs="Times New Roman"/>
                <w:sz w:val="20"/>
                <w:szCs w:val="20"/>
              </w:rPr>
              <w:t>K</w:t>
            </w:r>
          </w:p>
        </w:tc>
        <w:tc>
          <w:tcPr>
            <w:tcW w:w="913" w:type="pct"/>
            <w:tcBorders>
              <w:top w:val="nil"/>
              <w:left w:val="nil"/>
              <w:bottom w:val="nil"/>
              <w:right w:val="nil"/>
            </w:tcBorders>
            <w:noWrap/>
            <w:vAlign w:val="center"/>
            <w:hideMark/>
          </w:tcPr>
          <w:p w14:paraId="03212818" w14:textId="197D727C"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2.58 ± 1.18</w:t>
            </w:r>
          </w:p>
        </w:tc>
        <w:tc>
          <w:tcPr>
            <w:tcW w:w="913" w:type="pct"/>
            <w:tcBorders>
              <w:top w:val="nil"/>
              <w:left w:val="nil"/>
              <w:bottom w:val="nil"/>
              <w:right w:val="nil"/>
            </w:tcBorders>
            <w:noWrap/>
            <w:vAlign w:val="center"/>
            <w:hideMark/>
          </w:tcPr>
          <w:p w14:paraId="2A0BE189" w14:textId="4C126B1B"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21.0 ± 2.36</w:t>
            </w:r>
          </w:p>
        </w:tc>
        <w:tc>
          <w:tcPr>
            <w:tcW w:w="625" w:type="pct"/>
            <w:tcBorders>
              <w:top w:val="nil"/>
              <w:left w:val="nil"/>
              <w:bottom w:val="nil"/>
              <w:right w:val="nil"/>
            </w:tcBorders>
            <w:noWrap/>
            <w:vAlign w:val="center"/>
            <w:hideMark/>
          </w:tcPr>
          <w:p w14:paraId="24D7FCD2" w14:textId="1B0C625C"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b/>
                <w:bCs/>
                <w:color w:val="000000"/>
                <w:sz w:val="20"/>
                <w:szCs w:val="20"/>
              </w:rPr>
              <w:t>&lt; 0.001</w:t>
            </w:r>
            <w:r w:rsidRPr="00806F1B">
              <w:rPr>
                <w:rFonts w:ascii="Times New Roman" w:hAnsi="Times New Roman" w:cs="Times New Roman"/>
                <w:color w:val="000000"/>
                <w:sz w:val="20"/>
                <w:szCs w:val="20"/>
              </w:rPr>
              <w:t xml:space="preserve"> </w:t>
            </w:r>
            <w:r w:rsidRPr="00806F1B">
              <w:rPr>
                <w:rFonts w:ascii="Times New Roman" w:hAnsi="Times New Roman" w:cs="Times New Roman"/>
                <w:color w:val="000000"/>
                <w:sz w:val="20"/>
                <w:szCs w:val="20"/>
                <w:vertAlign w:val="superscript"/>
              </w:rPr>
              <w:t>c</w:t>
            </w:r>
          </w:p>
        </w:tc>
        <w:tc>
          <w:tcPr>
            <w:tcW w:w="721" w:type="pct"/>
            <w:tcBorders>
              <w:top w:val="nil"/>
              <w:left w:val="nil"/>
              <w:bottom w:val="nil"/>
              <w:right w:val="nil"/>
            </w:tcBorders>
            <w:vAlign w:val="center"/>
          </w:tcPr>
          <w:p w14:paraId="0D0AC9AD" w14:textId="61324842" w:rsidR="00806F1B" w:rsidRPr="00806F1B" w:rsidRDefault="00806F1B" w:rsidP="00806F1B">
            <w:pPr>
              <w:spacing w:after="0"/>
              <w:rPr>
                <w:rFonts w:ascii="Times New Roman" w:hAnsi="Times New Roman" w:cs="Times New Roman"/>
                <w:b/>
                <w:sz w:val="20"/>
                <w:szCs w:val="20"/>
              </w:rPr>
            </w:pPr>
            <w:r w:rsidRPr="00806F1B">
              <w:rPr>
                <w:rFonts w:ascii="Times New Roman" w:hAnsi="Times New Roman" w:cs="Times New Roman"/>
                <w:color w:val="000000"/>
                <w:sz w:val="20"/>
                <w:szCs w:val="20"/>
              </w:rPr>
              <w:t>25</w:t>
            </w:r>
          </w:p>
        </w:tc>
      </w:tr>
      <w:tr w:rsidR="00806F1B" w:rsidRPr="00F07DEB" w14:paraId="0C6D7C8F" w14:textId="77777777" w:rsidTr="009678A2">
        <w:trPr>
          <w:trHeight w:val="300"/>
        </w:trPr>
        <w:tc>
          <w:tcPr>
            <w:tcW w:w="1147" w:type="pct"/>
            <w:vMerge/>
            <w:tcBorders>
              <w:left w:val="nil"/>
              <w:right w:val="nil"/>
            </w:tcBorders>
            <w:vAlign w:val="center"/>
            <w:hideMark/>
          </w:tcPr>
          <w:p w14:paraId="5FE365A2" w14:textId="77777777" w:rsidR="00806F1B" w:rsidRPr="00F07DEB" w:rsidRDefault="00806F1B" w:rsidP="00806F1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31BED2E4" w14:textId="77777777" w:rsidR="00806F1B" w:rsidRPr="00F07DEB" w:rsidRDefault="00806F1B" w:rsidP="00806F1B">
            <w:pPr>
              <w:spacing w:after="0"/>
              <w:rPr>
                <w:rFonts w:ascii="Times New Roman" w:hAnsi="Times New Roman" w:cs="Times New Roman"/>
                <w:sz w:val="20"/>
                <w:szCs w:val="20"/>
              </w:rPr>
            </w:pPr>
            <w:r w:rsidRPr="00F07DEB">
              <w:rPr>
                <w:rFonts w:ascii="Times New Roman" w:hAnsi="Times New Roman" w:cs="Times New Roman"/>
                <w:sz w:val="20"/>
                <w:szCs w:val="20"/>
              </w:rPr>
              <w:t>Mg</w:t>
            </w:r>
          </w:p>
        </w:tc>
        <w:tc>
          <w:tcPr>
            <w:tcW w:w="913" w:type="pct"/>
            <w:tcBorders>
              <w:top w:val="nil"/>
              <w:left w:val="nil"/>
              <w:bottom w:val="nil"/>
              <w:right w:val="nil"/>
            </w:tcBorders>
            <w:noWrap/>
            <w:vAlign w:val="center"/>
            <w:hideMark/>
          </w:tcPr>
          <w:p w14:paraId="00AD42E8" w14:textId="7EFEDC77"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31.4 ± 1.99</w:t>
            </w:r>
          </w:p>
        </w:tc>
        <w:tc>
          <w:tcPr>
            <w:tcW w:w="913" w:type="pct"/>
            <w:tcBorders>
              <w:top w:val="nil"/>
              <w:left w:val="nil"/>
              <w:bottom w:val="nil"/>
              <w:right w:val="nil"/>
            </w:tcBorders>
            <w:noWrap/>
            <w:vAlign w:val="center"/>
            <w:hideMark/>
          </w:tcPr>
          <w:p w14:paraId="11EC7C1A" w14:textId="0D91F8C3"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138 ± 14.1</w:t>
            </w:r>
          </w:p>
        </w:tc>
        <w:tc>
          <w:tcPr>
            <w:tcW w:w="625" w:type="pct"/>
            <w:tcBorders>
              <w:top w:val="nil"/>
              <w:left w:val="nil"/>
              <w:bottom w:val="nil"/>
              <w:right w:val="nil"/>
            </w:tcBorders>
            <w:noWrap/>
            <w:vAlign w:val="center"/>
            <w:hideMark/>
          </w:tcPr>
          <w:p w14:paraId="38619F4E" w14:textId="25EA0AC8"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b/>
                <w:bCs/>
                <w:color w:val="000000"/>
                <w:sz w:val="20"/>
                <w:szCs w:val="20"/>
              </w:rPr>
              <w:t>&lt; 0.001</w:t>
            </w:r>
            <w:r w:rsidRPr="00806F1B">
              <w:rPr>
                <w:rFonts w:ascii="Times New Roman" w:hAnsi="Times New Roman" w:cs="Times New Roman"/>
                <w:color w:val="000000"/>
                <w:sz w:val="20"/>
                <w:szCs w:val="20"/>
                <w:vertAlign w:val="superscript"/>
              </w:rPr>
              <w:t xml:space="preserve"> b</w:t>
            </w:r>
          </w:p>
        </w:tc>
        <w:tc>
          <w:tcPr>
            <w:tcW w:w="721" w:type="pct"/>
            <w:tcBorders>
              <w:top w:val="nil"/>
              <w:left w:val="nil"/>
              <w:bottom w:val="nil"/>
              <w:right w:val="nil"/>
            </w:tcBorders>
            <w:vAlign w:val="center"/>
          </w:tcPr>
          <w:p w14:paraId="1429389C" w14:textId="5574868C" w:rsidR="00806F1B" w:rsidRPr="00806F1B" w:rsidRDefault="00806F1B" w:rsidP="00806F1B">
            <w:pPr>
              <w:spacing w:after="0"/>
              <w:rPr>
                <w:rFonts w:ascii="Times New Roman" w:hAnsi="Times New Roman" w:cs="Times New Roman"/>
                <w:b/>
                <w:sz w:val="20"/>
                <w:szCs w:val="20"/>
              </w:rPr>
            </w:pPr>
            <w:r w:rsidRPr="00806F1B">
              <w:rPr>
                <w:rFonts w:ascii="Times New Roman" w:hAnsi="Times New Roman" w:cs="Times New Roman"/>
                <w:color w:val="000000"/>
                <w:sz w:val="20"/>
                <w:szCs w:val="20"/>
              </w:rPr>
              <w:t>30-50</w:t>
            </w:r>
            <w:r w:rsidRPr="00806F1B">
              <w:rPr>
                <w:rFonts w:ascii="Times New Roman" w:hAnsi="Times New Roman" w:cs="Times New Roman"/>
                <w:color w:val="000000"/>
                <w:sz w:val="20"/>
                <w:szCs w:val="20"/>
                <w:vertAlign w:val="superscript"/>
              </w:rPr>
              <w:t>4</w:t>
            </w:r>
          </w:p>
        </w:tc>
      </w:tr>
      <w:tr w:rsidR="00806F1B" w:rsidRPr="00F07DEB" w14:paraId="02B2B4B0" w14:textId="77777777" w:rsidTr="009678A2">
        <w:trPr>
          <w:trHeight w:val="300"/>
        </w:trPr>
        <w:tc>
          <w:tcPr>
            <w:tcW w:w="1147" w:type="pct"/>
            <w:vMerge/>
            <w:tcBorders>
              <w:left w:val="nil"/>
              <w:right w:val="nil"/>
            </w:tcBorders>
            <w:vAlign w:val="center"/>
            <w:hideMark/>
          </w:tcPr>
          <w:p w14:paraId="5F504327" w14:textId="77777777" w:rsidR="00806F1B" w:rsidRPr="00F07DEB" w:rsidRDefault="00806F1B" w:rsidP="00806F1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252D1AC4" w14:textId="77777777" w:rsidR="00806F1B" w:rsidRPr="00F07DEB" w:rsidRDefault="00806F1B" w:rsidP="00806F1B">
            <w:pPr>
              <w:spacing w:after="0"/>
              <w:rPr>
                <w:rFonts w:ascii="Times New Roman" w:hAnsi="Times New Roman" w:cs="Times New Roman"/>
                <w:sz w:val="20"/>
                <w:szCs w:val="20"/>
              </w:rPr>
            </w:pPr>
            <w:proofErr w:type="spellStart"/>
            <w:r w:rsidRPr="00F07DEB">
              <w:rPr>
                <w:rFonts w:ascii="Times New Roman" w:hAnsi="Times New Roman" w:cs="Times New Roman"/>
                <w:sz w:val="20"/>
                <w:szCs w:val="20"/>
              </w:rPr>
              <w:t>Mn</w:t>
            </w:r>
            <w:proofErr w:type="spellEnd"/>
          </w:p>
        </w:tc>
        <w:tc>
          <w:tcPr>
            <w:tcW w:w="913" w:type="pct"/>
            <w:tcBorders>
              <w:top w:val="nil"/>
              <w:left w:val="nil"/>
              <w:bottom w:val="nil"/>
              <w:right w:val="nil"/>
            </w:tcBorders>
            <w:noWrap/>
            <w:vAlign w:val="center"/>
            <w:hideMark/>
          </w:tcPr>
          <w:p w14:paraId="4E68A4BF" w14:textId="14550A36"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0.003 ± 0.003</w:t>
            </w:r>
          </w:p>
        </w:tc>
        <w:tc>
          <w:tcPr>
            <w:tcW w:w="913" w:type="pct"/>
            <w:tcBorders>
              <w:top w:val="nil"/>
              <w:left w:val="nil"/>
              <w:bottom w:val="nil"/>
              <w:right w:val="nil"/>
            </w:tcBorders>
            <w:noWrap/>
            <w:vAlign w:val="center"/>
            <w:hideMark/>
          </w:tcPr>
          <w:p w14:paraId="1F852189" w14:textId="40119EEC"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0.017 ± 0.035</w:t>
            </w:r>
          </w:p>
        </w:tc>
        <w:tc>
          <w:tcPr>
            <w:tcW w:w="625" w:type="pct"/>
            <w:tcBorders>
              <w:top w:val="nil"/>
              <w:left w:val="nil"/>
              <w:bottom w:val="nil"/>
              <w:right w:val="nil"/>
            </w:tcBorders>
            <w:noWrap/>
            <w:vAlign w:val="center"/>
            <w:hideMark/>
          </w:tcPr>
          <w:p w14:paraId="516438B2" w14:textId="538B7640"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 xml:space="preserve">0.836 </w:t>
            </w:r>
            <w:r w:rsidRPr="00806F1B">
              <w:rPr>
                <w:rFonts w:ascii="Times New Roman" w:hAnsi="Times New Roman" w:cs="Times New Roman"/>
                <w:color w:val="000000"/>
                <w:sz w:val="20"/>
                <w:szCs w:val="20"/>
                <w:vertAlign w:val="superscript"/>
              </w:rPr>
              <w:t>c</w:t>
            </w:r>
          </w:p>
        </w:tc>
        <w:tc>
          <w:tcPr>
            <w:tcW w:w="721" w:type="pct"/>
            <w:tcBorders>
              <w:top w:val="nil"/>
              <w:left w:val="nil"/>
              <w:bottom w:val="nil"/>
              <w:right w:val="nil"/>
            </w:tcBorders>
            <w:vAlign w:val="center"/>
          </w:tcPr>
          <w:p w14:paraId="0CDFD9C9" w14:textId="5E2B0794"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0.2</w:t>
            </w:r>
            <w:r w:rsidRPr="00806F1B">
              <w:rPr>
                <w:rFonts w:ascii="Times New Roman" w:hAnsi="Times New Roman" w:cs="Times New Roman"/>
                <w:color w:val="000000"/>
                <w:sz w:val="20"/>
                <w:szCs w:val="20"/>
                <w:vertAlign w:val="superscript"/>
              </w:rPr>
              <w:t>1,2,3</w:t>
            </w:r>
          </w:p>
        </w:tc>
      </w:tr>
      <w:tr w:rsidR="00806F1B" w:rsidRPr="00F07DEB" w14:paraId="58714492" w14:textId="77777777" w:rsidTr="009678A2">
        <w:trPr>
          <w:trHeight w:val="300"/>
        </w:trPr>
        <w:tc>
          <w:tcPr>
            <w:tcW w:w="1147" w:type="pct"/>
            <w:vMerge/>
            <w:tcBorders>
              <w:left w:val="nil"/>
              <w:right w:val="nil"/>
            </w:tcBorders>
            <w:vAlign w:val="center"/>
            <w:hideMark/>
          </w:tcPr>
          <w:p w14:paraId="1CCA6E0D" w14:textId="77777777" w:rsidR="00806F1B" w:rsidRPr="00F07DEB" w:rsidRDefault="00806F1B" w:rsidP="00806F1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1CEC9F5A" w14:textId="77777777" w:rsidR="00806F1B" w:rsidRPr="00F07DEB" w:rsidRDefault="00806F1B" w:rsidP="00806F1B">
            <w:pPr>
              <w:spacing w:after="0"/>
              <w:rPr>
                <w:rFonts w:ascii="Times New Roman" w:hAnsi="Times New Roman" w:cs="Times New Roman"/>
                <w:sz w:val="20"/>
                <w:szCs w:val="20"/>
              </w:rPr>
            </w:pPr>
            <w:r w:rsidRPr="00F07DEB">
              <w:rPr>
                <w:rFonts w:ascii="Times New Roman" w:hAnsi="Times New Roman" w:cs="Times New Roman"/>
                <w:sz w:val="20"/>
                <w:szCs w:val="20"/>
              </w:rPr>
              <w:t>Na</w:t>
            </w:r>
          </w:p>
        </w:tc>
        <w:tc>
          <w:tcPr>
            <w:tcW w:w="913" w:type="pct"/>
            <w:tcBorders>
              <w:top w:val="nil"/>
              <w:left w:val="nil"/>
              <w:bottom w:val="nil"/>
              <w:right w:val="nil"/>
            </w:tcBorders>
            <w:noWrap/>
            <w:vAlign w:val="center"/>
            <w:hideMark/>
          </w:tcPr>
          <w:p w14:paraId="3CA9F3C5" w14:textId="1B19A519"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33.5 ± 1.65</w:t>
            </w:r>
          </w:p>
        </w:tc>
        <w:tc>
          <w:tcPr>
            <w:tcW w:w="913" w:type="pct"/>
            <w:tcBorders>
              <w:top w:val="nil"/>
              <w:left w:val="nil"/>
              <w:bottom w:val="nil"/>
              <w:right w:val="nil"/>
            </w:tcBorders>
            <w:noWrap/>
            <w:vAlign w:val="center"/>
            <w:hideMark/>
          </w:tcPr>
          <w:p w14:paraId="5EF9AF9F" w14:textId="342E9D46"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84.2 ± 5.07</w:t>
            </w:r>
          </w:p>
        </w:tc>
        <w:tc>
          <w:tcPr>
            <w:tcW w:w="625" w:type="pct"/>
            <w:tcBorders>
              <w:top w:val="nil"/>
              <w:left w:val="nil"/>
              <w:bottom w:val="nil"/>
              <w:right w:val="nil"/>
            </w:tcBorders>
            <w:noWrap/>
            <w:vAlign w:val="center"/>
            <w:hideMark/>
          </w:tcPr>
          <w:p w14:paraId="2BD3458C" w14:textId="6E9C4D22"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b/>
                <w:bCs/>
                <w:color w:val="000000"/>
                <w:sz w:val="20"/>
                <w:szCs w:val="20"/>
              </w:rPr>
              <w:t>&lt; 0.001</w:t>
            </w:r>
            <w:r w:rsidRPr="00806F1B">
              <w:rPr>
                <w:rFonts w:ascii="Times New Roman" w:hAnsi="Times New Roman" w:cs="Times New Roman"/>
                <w:color w:val="000000"/>
                <w:sz w:val="20"/>
                <w:szCs w:val="20"/>
              </w:rPr>
              <w:t xml:space="preserve"> </w:t>
            </w:r>
            <w:r w:rsidRPr="00806F1B">
              <w:rPr>
                <w:rFonts w:ascii="Times New Roman" w:hAnsi="Times New Roman" w:cs="Times New Roman"/>
                <w:color w:val="000000"/>
                <w:sz w:val="20"/>
                <w:szCs w:val="20"/>
                <w:vertAlign w:val="superscript"/>
              </w:rPr>
              <w:t>b</w:t>
            </w:r>
          </w:p>
        </w:tc>
        <w:tc>
          <w:tcPr>
            <w:tcW w:w="721" w:type="pct"/>
            <w:tcBorders>
              <w:top w:val="nil"/>
              <w:left w:val="nil"/>
              <w:bottom w:val="nil"/>
              <w:right w:val="nil"/>
            </w:tcBorders>
            <w:vAlign w:val="center"/>
          </w:tcPr>
          <w:p w14:paraId="631FDD14" w14:textId="4EC55E21" w:rsidR="00806F1B" w:rsidRPr="00806F1B" w:rsidRDefault="00806F1B" w:rsidP="00806F1B">
            <w:pPr>
              <w:spacing w:after="0"/>
              <w:rPr>
                <w:rFonts w:ascii="Times New Roman" w:hAnsi="Times New Roman" w:cs="Times New Roman"/>
                <w:b/>
                <w:sz w:val="20"/>
                <w:szCs w:val="20"/>
              </w:rPr>
            </w:pPr>
            <w:r w:rsidRPr="00806F1B">
              <w:rPr>
                <w:rFonts w:ascii="Times New Roman" w:hAnsi="Times New Roman" w:cs="Times New Roman"/>
                <w:color w:val="000000"/>
                <w:sz w:val="20"/>
                <w:szCs w:val="20"/>
              </w:rPr>
              <w:t>See Table 4</w:t>
            </w:r>
          </w:p>
        </w:tc>
      </w:tr>
      <w:tr w:rsidR="00806F1B" w:rsidRPr="00F07DEB" w14:paraId="45690753" w14:textId="77777777" w:rsidTr="009678A2">
        <w:trPr>
          <w:trHeight w:val="300"/>
        </w:trPr>
        <w:tc>
          <w:tcPr>
            <w:tcW w:w="1147" w:type="pct"/>
            <w:vMerge/>
            <w:tcBorders>
              <w:left w:val="nil"/>
              <w:right w:val="nil"/>
            </w:tcBorders>
            <w:vAlign w:val="center"/>
            <w:hideMark/>
          </w:tcPr>
          <w:p w14:paraId="0C607BFE" w14:textId="77777777" w:rsidR="00806F1B" w:rsidRPr="00F07DEB" w:rsidRDefault="00806F1B" w:rsidP="00806F1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6C8188C7" w14:textId="77777777" w:rsidR="00806F1B" w:rsidRPr="00F07DEB" w:rsidRDefault="00806F1B" w:rsidP="00806F1B">
            <w:pPr>
              <w:spacing w:after="0"/>
              <w:rPr>
                <w:rFonts w:ascii="Times New Roman" w:hAnsi="Times New Roman" w:cs="Times New Roman"/>
                <w:sz w:val="20"/>
                <w:szCs w:val="20"/>
              </w:rPr>
            </w:pPr>
            <w:r w:rsidRPr="00F07DEB">
              <w:rPr>
                <w:rFonts w:ascii="Times New Roman" w:hAnsi="Times New Roman" w:cs="Times New Roman"/>
                <w:sz w:val="20"/>
                <w:szCs w:val="20"/>
              </w:rPr>
              <w:t>Ni</w:t>
            </w:r>
          </w:p>
        </w:tc>
        <w:tc>
          <w:tcPr>
            <w:tcW w:w="913" w:type="pct"/>
            <w:tcBorders>
              <w:top w:val="nil"/>
              <w:left w:val="nil"/>
              <w:bottom w:val="nil"/>
              <w:right w:val="nil"/>
            </w:tcBorders>
            <w:noWrap/>
            <w:vAlign w:val="center"/>
            <w:hideMark/>
          </w:tcPr>
          <w:p w14:paraId="40691B66" w14:textId="45C627D3"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0.035 ± 0.002</w:t>
            </w:r>
          </w:p>
        </w:tc>
        <w:tc>
          <w:tcPr>
            <w:tcW w:w="913" w:type="pct"/>
            <w:tcBorders>
              <w:top w:val="nil"/>
              <w:left w:val="nil"/>
              <w:bottom w:val="nil"/>
              <w:right w:val="nil"/>
            </w:tcBorders>
            <w:noWrap/>
            <w:vAlign w:val="center"/>
            <w:hideMark/>
          </w:tcPr>
          <w:p w14:paraId="1B4D017B" w14:textId="42E98E41"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0.122 ± 0.042</w:t>
            </w:r>
          </w:p>
        </w:tc>
        <w:tc>
          <w:tcPr>
            <w:tcW w:w="625" w:type="pct"/>
            <w:tcBorders>
              <w:top w:val="nil"/>
              <w:left w:val="nil"/>
              <w:bottom w:val="nil"/>
              <w:right w:val="nil"/>
            </w:tcBorders>
            <w:noWrap/>
            <w:vAlign w:val="center"/>
            <w:hideMark/>
          </w:tcPr>
          <w:p w14:paraId="743E94F6" w14:textId="337B2944"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b/>
                <w:bCs/>
                <w:color w:val="000000"/>
                <w:sz w:val="20"/>
                <w:szCs w:val="20"/>
              </w:rPr>
              <w:t>&lt; 0.001</w:t>
            </w:r>
            <w:r w:rsidRPr="00806F1B">
              <w:rPr>
                <w:rFonts w:ascii="Times New Roman" w:hAnsi="Times New Roman" w:cs="Times New Roman"/>
                <w:color w:val="000000"/>
                <w:sz w:val="20"/>
                <w:szCs w:val="20"/>
              </w:rPr>
              <w:t xml:space="preserve"> </w:t>
            </w:r>
            <w:r w:rsidRPr="00806F1B">
              <w:rPr>
                <w:rFonts w:ascii="Times New Roman" w:hAnsi="Times New Roman" w:cs="Times New Roman"/>
                <w:color w:val="000000"/>
                <w:sz w:val="20"/>
                <w:szCs w:val="20"/>
                <w:vertAlign w:val="superscript"/>
              </w:rPr>
              <w:t>b</w:t>
            </w:r>
          </w:p>
        </w:tc>
        <w:tc>
          <w:tcPr>
            <w:tcW w:w="721" w:type="pct"/>
            <w:tcBorders>
              <w:top w:val="nil"/>
              <w:left w:val="nil"/>
              <w:bottom w:val="nil"/>
              <w:right w:val="nil"/>
            </w:tcBorders>
            <w:vAlign w:val="center"/>
          </w:tcPr>
          <w:p w14:paraId="1FE593EF" w14:textId="4BC6D242" w:rsidR="00806F1B" w:rsidRPr="00806F1B" w:rsidRDefault="00806F1B" w:rsidP="00806F1B">
            <w:pPr>
              <w:spacing w:after="0"/>
              <w:rPr>
                <w:rFonts w:ascii="Times New Roman" w:hAnsi="Times New Roman" w:cs="Times New Roman"/>
                <w:b/>
                <w:sz w:val="20"/>
                <w:szCs w:val="20"/>
              </w:rPr>
            </w:pPr>
            <w:r w:rsidRPr="00806F1B">
              <w:rPr>
                <w:rFonts w:ascii="Times New Roman" w:hAnsi="Times New Roman" w:cs="Times New Roman"/>
                <w:color w:val="000000"/>
                <w:sz w:val="20"/>
                <w:szCs w:val="20"/>
              </w:rPr>
              <w:t>0.2</w:t>
            </w:r>
            <w:r w:rsidRPr="00806F1B">
              <w:rPr>
                <w:rFonts w:ascii="Times New Roman" w:hAnsi="Times New Roman" w:cs="Times New Roman"/>
                <w:color w:val="000000"/>
                <w:sz w:val="20"/>
                <w:szCs w:val="20"/>
                <w:vertAlign w:val="superscript"/>
              </w:rPr>
              <w:t>1,2,3</w:t>
            </w:r>
          </w:p>
        </w:tc>
      </w:tr>
      <w:tr w:rsidR="00806F1B" w:rsidRPr="00F07DEB" w14:paraId="172D3F30" w14:textId="77777777" w:rsidTr="009678A2">
        <w:trPr>
          <w:trHeight w:val="292"/>
        </w:trPr>
        <w:tc>
          <w:tcPr>
            <w:tcW w:w="1147" w:type="pct"/>
            <w:vMerge/>
            <w:tcBorders>
              <w:left w:val="nil"/>
              <w:right w:val="nil"/>
            </w:tcBorders>
            <w:vAlign w:val="center"/>
            <w:hideMark/>
          </w:tcPr>
          <w:p w14:paraId="694ACA46" w14:textId="77777777" w:rsidR="00806F1B" w:rsidRPr="00F07DEB" w:rsidRDefault="00806F1B" w:rsidP="00806F1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753ED870" w14:textId="77777777" w:rsidR="00806F1B" w:rsidRPr="00F07DEB" w:rsidRDefault="00806F1B" w:rsidP="00806F1B">
            <w:pPr>
              <w:spacing w:after="0"/>
              <w:rPr>
                <w:rFonts w:ascii="Times New Roman" w:hAnsi="Times New Roman" w:cs="Times New Roman"/>
                <w:sz w:val="20"/>
                <w:szCs w:val="20"/>
              </w:rPr>
            </w:pPr>
            <w:proofErr w:type="spellStart"/>
            <w:r w:rsidRPr="00F07DEB">
              <w:rPr>
                <w:rFonts w:ascii="Times New Roman" w:hAnsi="Times New Roman" w:cs="Times New Roman"/>
                <w:sz w:val="20"/>
                <w:szCs w:val="20"/>
              </w:rPr>
              <w:t>Pb</w:t>
            </w:r>
            <w:proofErr w:type="spellEnd"/>
          </w:p>
        </w:tc>
        <w:tc>
          <w:tcPr>
            <w:tcW w:w="913" w:type="pct"/>
            <w:tcBorders>
              <w:top w:val="nil"/>
              <w:left w:val="nil"/>
              <w:bottom w:val="nil"/>
              <w:right w:val="nil"/>
            </w:tcBorders>
            <w:noWrap/>
            <w:vAlign w:val="center"/>
            <w:hideMark/>
          </w:tcPr>
          <w:p w14:paraId="070227F1" w14:textId="47A4B9FA"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0.045 ± 0.021</w:t>
            </w:r>
          </w:p>
        </w:tc>
        <w:tc>
          <w:tcPr>
            <w:tcW w:w="913" w:type="pct"/>
            <w:tcBorders>
              <w:top w:val="nil"/>
              <w:left w:val="nil"/>
              <w:bottom w:val="nil"/>
              <w:right w:val="nil"/>
            </w:tcBorders>
            <w:noWrap/>
            <w:vAlign w:val="center"/>
            <w:hideMark/>
          </w:tcPr>
          <w:p w14:paraId="78C307B6" w14:textId="5AC118D6"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0.154 ± 0.129</w:t>
            </w:r>
          </w:p>
        </w:tc>
        <w:tc>
          <w:tcPr>
            <w:tcW w:w="625" w:type="pct"/>
            <w:tcBorders>
              <w:top w:val="nil"/>
              <w:left w:val="nil"/>
              <w:bottom w:val="nil"/>
              <w:right w:val="nil"/>
            </w:tcBorders>
            <w:noWrap/>
            <w:vAlign w:val="center"/>
            <w:hideMark/>
          </w:tcPr>
          <w:p w14:paraId="6D0BD60A" w14:textId="61C0ADB9"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 xml:space="preserve">0.481 </w:t>
            </w:r>
            <w:r w:rsidRPr="00806F1B">
              <w:rPr>
                <w:rFonts w:ascii="Times New Roman" w:hAnsi="Times New Roman" w:cs="Times New Roman"/>
                <w:color w:val="000000"/>
                <w:sz w:val="20"/>
                <w:szCs w:val="20"/>
                <w:vertAlign w:val="superscript"/>
              </w:rPr>
              <w:t>c</w:t>
            </w:r>
          </w:p>
        </w:tc>
        <w:tc>
          <w:tcPr>
            <w:tcW w:w="721" w:type="pct"/>
            <w:tcBorders>
              <w:top w:val="nil"/>
              <w:left w:val="nil"/>
              <w:bottom w:val="nil"/>
              <w:right w:val="nil"/>
            </w:tcBorders>
            <w:vAlign w:val="center"/>
          </w:tcPr>
          <w:p w14:paraId="7A1F2076" w14:textId="16B7DF52"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5</w:t>
            </w:r>
            <w:r w:rsidRPr="00806F1B">
              <w:rPr>
                <w:rFonts w:ascii="Times New Roman" w:hAnsi="Times New Roman" w:cs="Times New Roman"/>
                <w:color w:val="000000"/>
                <w:sz w:val="20"/>
                <w:szCs w:val="20"/>
                <w:vertAlign w:val="superscript"/>
              </w:rPr>
              <w:t>1,2,3</w:t>
            </w:r>
          </w:p>
        </w:tc>
      </w:tr>
      <w:tr w:rsidR="00806F1B" w:rsidRPr="00F07DEB" w14:paraId="3798C0D9" w14:textId="77777777" w:rsidTr="009678A2">
        <w:trPr>
          <w:trHeight w:val="292"/>
        </w:trPr>
        <w:tc>
          <w:tcPr>
            <w:tcW w:w="1147" w:type="pct"/>
            <w:vMerge/>
            <w:tcBorders>
              <w:left w:val="nil"/>
              <w:right w:val="nil"/>
            </w:tcBorders>
            <w:vAlign w:val="center"/>
            <w:hideMark/>
          </w:tcPr>
          <w:p w14:paraId="3DDDD2B4" w14:textId="77777777" w:rsidR="00806F1B" w:rsidRPr="00F07DEB" w:rsidRDefault="00806F1B" w:rsidP="00806F1B">
            <w:pPr>
              <w:spacing w:after="0"/>
              <w:rPr>
                <w:rFonts w:ascii="Times New Roman" w:hAnsi="Times New Roman" w:cs="Times New Roman"/>
                <w:sz w:val="20"/>
                <w:szCs w:val="20"/>
              </w:rPr>
            </w:pPr>
          </w:p>
        </w:tc>
        <w:tc>
          <w:tcPr>
            <w:tcW w:w="681" w:type="pct"/>
            <w:tcBorders>
              <w:top w:val="nil"/>
              <w:left w:val="nil"/>
              <w:bottom w:val="nil"/>
              <w:right w:val="nil"/>
            </w:tcBorders>
            <w:noWrap/>
            <w:vAlign w:val="center"/>
            <w:hideMark/>
          </w:tcPr>
          <w:p w14:paraId="01E91B10" w14:textId="77777777" w:rsidR="00806F1B" w:rsidRPr="00F07DEB" w:rsidRDefault="00806F1B" w:rsidP="00806F1B">
            <w:pPr>
              <w:spacing w:after="0"/>
              <w:rPr>
                <w:rFonts w:ascii="Times New Roman" w:hAnsi="Times New Roman" w:cs="Times New Roman"/>
                <w:sz w:val="20"/>
                <w:szCs w:val="20"/>
              </w:rPr>
            </w:pPr>
            <w:r w:rsidRPr="00F07DEB">
              <w:rPr>
                <w:rFonts w:ascii="Times New Roman" w:hAnsi="Times New Roman" w:cs="Times New Roman"/>
                <w:sz w:val="20"/>
                <w:szCs w:val="20"/>
              </w:rPr>
              <w:t>S</w:t>
            </w:r>
          </w:p>
        </w:tc>
        <w:tc>
          <w:tcPr>
            <w:tcW w:w="913" w:type="pct"/>
            <w:tcBorders>
              <w:top w:val="nil"/>
              <w:left w:val="nil"/>
              <w:bottom w:val="nil"/>
              <w:right w:val="nil"/>
            </w:tcBorders>
            <w:noWrap/>
            <w:vAlign w:val="center"/>
            <w:hideMark/>
          </w:tcPr>
          <w:p w14:paraId="66BFD5DB" w14:textId="20FBF3E5"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20.0 ± 2.28</w:t>
            </w:r>
          </w:p>
        </w:tc>
        <w:tc>
          <w:tcPr>
            <w:tcW w:w="913" w:type="pct"/>
            <w:tcBorders>
              <w:top w:val="nil"/>
              <w:left w:val="nil"/>
              <w:bottom w:val="nil"/>
              <w:right w:val="nil"/>
            </w:tcBorders>
            <w:noWrap/>
            <w:vAlign w:val="center"/>
            <w:hideMark/>
          </w:tcPr>
          <w:p w14:paraId="687C105E" w14:textId="2ACC73A4"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739 ± 56.0</w:t>
            </w:r>
          </w:p>
        </w:tc>
        <w:tc>
          <w:tcPr>
            <w:tcW w:w="625" w:type="pct"/>
            <w:tcBorders>
              <w:top w:val="nil"/>
              <w:left w:val="nil"/>
              <w:bottom w:val="nil"/>
              <w:right w:val="nil"/>
            </w:tcBorders>
            <w:noWrap/>
            <w:vAlign w:val="center"/>
            <w:hideMark/>
          </w:tcPr>
          <w:p w14:paraId="7A8CE6DF" w14:textId="5A96697A"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b/>
                <w:bCs/>
                <w:color w:val="000000"/>
                <w:sz w:val="20"/>
                <w:szCs w:val="20"/>
              </w:rPr>
              <w:t>&lt; 0.001</w:t>
            </w:r>
            <w:r w:rsidRPr="00806F1B">
              <w:rPr>
                <w:rFonts w:ascii="Times New Roman" w:hAnsi="Times New Roman" w:cs="Times New Roman"/>
                <w:color w:val="000000"/>
                <w:sz w:val="20"/>
                <w:szCs w:val="20"/>
                <w:vertAlign w:val="superscript"/>
              </w:rPr>
              <w:t xml:space="preserve"> b</w:t>
            </w:r>
          </w:p>
        </w:tc>
        <w:tc>
          <w:tcPr>
            <w:tcW w:w="721" w:type="pct"/>
            <w:tcBorders>
              <w:top w:val="nil"/>
              <w:left w:val="nil"/>
              <w:bottom w:val="nil"/>
              <w:right w:val="nil"/>
            </w:tcBorders>
            <w:vAlign w:val="center"/>
          </w:tcPr>
          <w:p w14:paraId="0A81FB77" w14:textId="1ACBE1D7" w:rsidR="00806F1B" w:rsidRPr="00806F1B" w:rsidRDefault="00806F1B" w:rsidP="00806F1B">
            <w:pPr>
              <w:spacing w:after="0"/>
              <w:rPr>
                <w:rFonts w:ascii="Times New Roman" w:hAnsi="Times New Roman" w:cs="Times New Roman"/>
                <w:b/>
                <w:sz w:val="20"/>
                <w:szCs w:val="20"/>
              </w:rPr>
            </w:pPr>
            <w:r w:rsidRPr="00806F1B">
              <w:rPr>
                <w:rFonts w:ascii="Times New Roman" w:hAnsi="Times New Roman" w:cs="Times New Roman"/>
                <w:color w:val="000000"/>
                <w:sz w:val="20"/>
                <w:szCs w:val="20"/>
              </w:rPr>
              <w:t>&gt;17</w:t>
            </w:r>
            <w:r w:rsidRPr="00806F1B">
              <w:rPr>
                <w:rFonts w:ascii="Times New Roman" w:hAnsi="Times New Roman" w:cs="Times New Roman"/>
                <w:color w:val="000000"/>
                <w:sz w:val="20"/>
                <w:szCs w:val="20"/>
                <w:vertAlign w:val="superscript"/>
              </w:rPr>
              <w:t>4</w:t>
            </w:r>
          </w:p>
        </w:tc>
      </w:tr>
      <w:tr w:rsidR="00806F1B" w:rsidRPr="00F07DEB" w14:paraId="2DC15A3E" w14:textId="77777777" w:rsidTr="009678A2">
        <w:trPr>
          <w:trHeight w:val="292"/>
        </w:trPr>
        <w:tc>
          <w:tcPr>
            <w:tcW w:w="1147" w:type="pct"/>
            <w:vMerge/>
            <w:tcBorders>
              <w:left w:val="nil"/>
              <w:bottom w:val="single" w:sz="8" w:space="0" w:color="auto"/>
              <w:right w:val="nil"/>
            </w:tcBorders>
            <w:vAlign w:val="center"/>
            <w:hideMark/>
          </w:tcPr>
          <w:p w14:paraId="7A2B1CA5" w14:textId="77777777" w:rsidR="00806F1B" w:rsidRPr="00F07DEB" w:rsidRDefault="00806F1B" w:rsidP="00806F1B">
            <w:pPr>
              <w:spacing w:after="0"/>
              <w:rPr>
                <w:rFonts w:ascii="Times New Roman" w:hAnsi="Times New Roman" w:cs="Times New Roman"/>
                <w:sz w:val="20"/>
                <w:szCs w:val="20"/>
              </w:rPr>
            </w:pPr>
          </w:p>
        </w:tc>
        <w:tc>
          <w:tcPr>
            <w:tcW w:w="681" w:type="pct"/>
            <w:tcBorders>
              <w:top w:val="nil"/>
              <w:left w:val="nil"/>
              <w:bottom w:val="single" w:sz="8" w:space="0" w:color="auto"/>
              <w:right w:val="nil"/>
            </w:tcBorders>
            <w:noWrap/>
            <w:vAlign w:val="center"/>
            <w:hideMark/>
          </w:tcPr>
          <w:p w14:paraId="62F6E1A5" w14:textId="77777777" w:rsidR="00806F1B" w:rsidRPr="00F07DEB" w:rsidRDefault="00806F1B" w:rsidP="00806F1B">
            <w:pPr>
              <w:spacing w:after="0"/>
              <w:rPr>
                <w:rFonts w:ascii="Times New Roman" w:hAnsi="Times New Roman" w:cs="Times New Roman"/>
                <w:sz w:val="20"/>
                <w:szCs w:val="20"/>
              </w:rPr>
            </w:pPr>
            <w:r w:rsidRPr="00F07DEB">
              <w:rPr>
                <w:rFonts w:ascii="Times New Roman" w:hAnsi="Times New Roman" w:cs="Times New Roman"/>
                <w:sz w:val="20"/>
                <w:szCs w:val="20"/>
              </w:rPr>
              <w:t>Zn</w:t>
            </w:r>
          </w:p>
        </w:tc>
        <w:tc>
          <w:tcPr>
            <w:tcW w:w="913" w:type="pct"/>
            <w:tcBorders>
              <w:top w:val="nil"/>
              <w:left w:val="nil"/>
              <w:bottom w:val="single" w:sz="8" w:space="0" w:color="auto"/>
              <w:right w:val="nil"/>
            </w:tcBorders>
            <w:noWrap/>
            <w:vAlign w:val="center"/>
            <w:hideMark/>
          </w:tcPr>
          <w:p w14:paraId="343B72F3" w14:textId="12F49466"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0.027 ± 0.022</w:t>
            </w:r>
          </w:p>
        </w:tc>
        <w:tc>
          <w:tcPr>
            <w:tcW w:w="913" w:type="pct"/>
            <w:tcBorders>
              <w:top w:val="nil"/>
              <w:left w:val="nil"/>
              <w:bottom w:val="single" w:sz="8" w:space="0" w:color="auto"/>
              <w:right w:val="nil"/>
            </w:tcBorders>
            <w:noWrap/>
            <w:vAlign w:val="center"/>
            <w:hideMark/>
          </w:tcPr>
          <w:p w14:paraId="67B59F5A" w14:textId="7DAEF42A"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0.041 ± 0.075</w:t>
            </w:r>
          </w:p>
        </w:tc>
        <w:tc>
          <w:tcPr>
            <w:tcW w:w="625" w:type="pct"/>
            <w:tcBorders>
              <w:top w:val="nil"/>
              <w:left w:val="nil"/>
              <w:bottom w:val="single" w:sz="8" w:space="0" w:color="auto"/>
              <w:right w:val="nil"/>
            </w:tcBorders>
            <w:noWrap/>
            <w:vAlign w:val="center"/>
            <w:hideMark/>
          </w:tcPr>
          <w:p w14:paraId="3DAF400C" w14:textId="34931EB8"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 xml:space="preserve">0.897 </w:t>
            </w:r>
            <w:r w:rsidRPr="00806F1B">
              <w:rPr>
                <w:rFonts w:ascii="Times New Roman" w:hAnsi="Times New Roman" w:cs="Times New Roman"/>
                <w:color w:val="000000"/>
                <w:sz w:val="20"/>
                <w:szCs w:val="20"/>
                <w:vertAlign w:val="superscript"/>
              </w:rPr>
              <w:t>c</w:t>
            </w:r>
          </w:p>
        </w:tc>
        <w:tc>
          <w:tcPr>
            <w:tcW w:w="721" w:type="pct"/>
            <w:tcBorders>
              <w:top w:val="nil"/>
              <w:left w:val="nil"/>
              <w:bottom w:val="single" w:sz="8" w:space="0" w:color="auto"/>
              <w:right w:val="nil"/>
            </w:tcBorders>
            <w:vAlign w:val="center"/>
          </w:tcPr>
          <w:p w14:paraId="0738EBF9" w14:textId="3DC3898D" w:rsidR="00806F1B" w:rsidRPr="00806F1B" w:rsidRDefault="00806F1B" w:rsidP="00806F1B">
            <w:pPr>
              <w:spacing w:after="0"/>
              <w:rPr>
                <w:rFonts w:ascii="Times New Roman" w:hAnsi="Times New Roman" w:cs="Times New Roman"/>
                <w:sz w:val="20"/>
                <w:szCs w:val="20"/>
              </w:rPr>
            </w:pPr>
            <w:r w:rsidRPr="00806F1B">
              <w:rPr>
                <w:rFonts w:ascii="Times New Roman" w:hAnsi="Times New Roman" w:cs="Times New Roman"/>
                <w:color w:val="000000"/>
                <w:sz w:val="20"/>
                <w:szCs w:val="20"/>
              </w:rPr>
              <w:t>2.0</w:t>
            </w:r>
            <w:r w:rsidRPr="00806F1B">
              <w:rPr>
                <w:rFonts w:ascii="Times New Roman" w:hAnsi="Times New Roman" w:cs="Times New Roman"/>
                <w:color w:val="000000"/>
                <w:sz w:val="20"/>
                <w:szCs w:val="20"/>
                <w:vertAlign w:val="superscript"/>
              </w:rPr>
              <w:t>1,2,3</w:t>
            </w:r>
          </w:p>
        </w:tc>
      </w:tr>
    </w:tbl>
    <w:p w14:paraId="0F6158A3" w14:textId="0D0B79FD" w:rsidR="00204C13" w:rsidRDefault="00204C13" w:rsidP="00204C13">
      <w:pPr>
        <w:spacing w:line="240" w:lineRule="auto"/>
        <w:rPr>
          <w:rFonts w:ascii="Times New Roman" w:hAnsi="Times New Roman" w:cs="Times New Roman"/>
          <w:sz w:val="20"/>
          <w:szCs w:val="20"/>
        </w:rPr>
      </w:pPr>
      <w:r w:rsidRPr="00F07DEB">
        <w:rPr>
          <w:rFonts w:ascii="Times New Roman" w:hAnsi="Times New Roman" w:cs="Times New Roman"/>
          <w:sz w:val="20"/>
          <w:szCs w:val="20"/>
        </w:rPr>
        <w:t xml:space="preserve">The type of two-tailed hypothesis test used to compare independent samples is indicated by the superscript: </w:t>
      </w:r>
      <w:proofErr w:type="spellStart"/>
      <w:r w:rsidRPr="00F07DEB">
        <w:rPr>
          <w:rFonts w:ascii="Times New Roman" w:hAnsi="Times New Roman" w:cs="Times New Roman"/>
          <w:sz w:val="20"/>
          <w:szCs w:val="20"/>
          <w:vertAlign w:val="superscript"/>
        </w:rPr>
        <w:t>a</w:t>
      </w:r>
      <w:r w:rsidRPr="00F07DEB">
        <w:rPr>
          <w:rFonts w:ascii="Times New Roman" w:hAnsi="Times New Roman" w:cs="Times New Roman"/>
          <w:sz w:val="20"/>
          <w:szCs w:val="20"/>
        </w:rPr>
        <w:t>Student's</w:t>
      </w:r>
      <w:proofErr w:type="spellEnd"/>
      <w:r w:rsidRPr="00F07DEB">
        <w:rPr>
          <w:rFonts w:ascii="Times New Roman" w:hAnsi="Times New Roman" w:cs="Times New Roman"/>
          <w:sz w:val="20"/>
          <w:szCs w:val="20"/>
        </w:rPr>
        <w:t xml:space="preserve"> t-test; </w:t>
      </w:r>
      <w:proofErr w:type="spellStart"/>
      <w:r w:rsidRPr="00F07DEB">
        <w:rPr>
          <w:rFonts w:ascii="Times New Roman" w:hAnsi="Times New Roman" w:cs="Times New Roman"/>
          <w:sz w:val="20"/>
          <w:szCs w:val="20"/>
          <w:vertAlign w:val="superscript"/>
        </w:rPr>
        <w:t>b</w:t>
      </w:r>
      <w:r w:rsidRPr="00F07DEB">
        <w:rPr>
          <w:rFonts w:ascii="Times New Roman" w:hAnsi="Times New Roman" w:cs="Times New Roman"/>
          <w:sz w:val="20"/>
          <w:szCs w:val="20"/>
        </w:rPr>
        <w:t>Welch's</w:t>
      </w:r>
      <w:proofErr w:type="spellEnd"/>
      <w:r w:rsidRPr="00F07DEB">
        <w:rPr>
          <w:rFonts w:ascii="Times New Roman" w:hAnsi="Times New Roman" w:cs="Times New Roman"/>
          <w:sz w:val="20"/>
          <w:szCs w:val="20"/>
        </w:rPr>
        <w:t xml:space="preserve"> t-test (unequal variances); </w:t>
      </w:r>
      <w:proofErr w:type="spellStart"/>
      <w:r w:rsidRPr="00F07DEB">
        <w:rPr>
          <w:rFonts w:ascii="Times New Roman" w:hAnsi="Times New Roman" w:cs="Times New Roman"/>
          <w:sz w:val="20"/>
          <w:szCs w:val="20"/>
          <w:vertAlign w:val="superscript"/>
        </w:rPr>
        <w:t>c</w:t>
      </w:r>
      <w:r w:rsidRPr="00F07DEB">
        <w:rPr>
          <w:rFonts w:ascii="Times New Roman" w:hAnsi="Times New Roman" w:cs="Times New Roman"/>
          <w:sz w:val="20"/>
          <w:szCs w:val="20"/>
        </w:rPr>
        <w:t>Mann</w:t>
      </w:r>
      <w:proofErr w:type="spellEnd"/>
      <w:r w:rsidRPr="00F07DEB">
        <w:rPr>
          <w:rFonts w:ascii="Times New Roman" w:hAnsi="Times New Roman" w:cs="Times New Roman"/>
          <w:sz w:val="20"/>
          <w:szCs w:val="20"/>
        </w:rPr>
        <w:t xml:space="preserve">-Whitney U test. Significant </w:t>
      </w:r>
      <w:r w:rsidRPr="007B5610">
        <w:rPr>
          <w:rFonts w:ascii="Times New Roman" w:hAnsi="Times New Roman" w:cs="Times New Roman"/>
          <w:i/>
          <w:sz w:val="20"/>
          <w:szCs w:val="20"/>
        </w:rPr>
        <w:t>p</w:t>
      </w:r>
      <w:r w:rsidRPr="00F07DEB">
        <w:rPr>
          <w:rFonts w:ascii="Times New Roman" w:hAnsi="Times New Roman" w:cs="Times New Roman"/>
          <w:sz w:val="20"/>
          <w:szCs w:val="20"/>
        </w:rPr>
        <w:t xml:space="preserve">-values at alpha = 0.05 are bolded. </w:t>
      </w:r>
      <w:r w:rsidRPr="00F07DEB">
        <w:rPr>
          <w:rFonts w:ascii="Times New Roman" w:hAnsi="Times New Roman" w:cs="Times New Roman"/>
          <w:szCs w:val="24"/>
          <w:vertAlign w:val="superscript"/>
        </w:rPr>
        <w:t>1</w:t>
      </w:r>
      <w:r w:rsidRPr="00F07DEB">
        <w:rPr>
          <w:rFonts w:ascii="Times New Roman" w:hAnsi="Times New Roman" w:cs="Times New Roman"/>
          <w:sz w:val="20"/>
          <w:szCs w:val="24"/>
        </w:rPr>
        <w:fldChar w:fldCharType="begin"/>
      </w:r>
      <w:r w:rsidR="00375B31">
        <w:rPr>
          <w:rFonts w:ascii="Times New Roman" w:hAnsi="Times New Roman" w:cs="Times New Roman"/>
          <w:sz w:val="20"/>
          <w:szCs w:val="24"/>
        </w:rPr>
        <w:instrText xml:space="preserve"> ADDIN ZOTERO_ITEM CSL_CITATION {"citationID":"l1P5wKwo","properties":{"formattedCitation":"(USEPA, 2012)","plainCitation":"(USEPA, 2012)","noteIndex":0},"citationItems":[{"id":410,"uris":["http://zotero.org/users/5446453/items/6AD5KZJC"],"uri":["http://zotero.org/users/5446453/items/6AD5KZJC"],"itemData":{"id":410,"type":"report","event-place":"Washington, D.C.","language":"en","number":"EPA/600/R-12/618","page":"643","publisher":"U.S. Environmental Protection Agency Office of Wastewater Management","publisher-place":"Washington, D.C.","source":"Zotero","title":"2012 Guidelines for Water Reuse","URL":"https://www3.epa.gov/region1/npdes/merrimackstation/pdfs/ar/AR-1530.pdf","author":[{"literal":"USEPA"}],"issued":{"date-parts":[["2012",9]]}}}],"schema":"https://github.com/citation-style-language/schema/raw/master/csl-citation.json"} </w:instrText>
      </w:r>
      <w:r w:rsidRPr="00F07DEB">
        <w:rPr>
          <w:rFonts w:ascii="Times New Roman" w:hAnsi="Times New Roman" w:cs="Times New Roman"/>
          <w:sz w:val="20"/>
          <w:szCs w:val="24"/>
        </w:rPr>
        <w:fldChar w:fldCharType="separate"/>
      </w:r>
      <w:r w:rsidRPr="00234033">
        <w:rPr>
          <w:rFonts w:ascii="Times New Roman" w:hAnsi="Times New Roman" w:cs="Times New Roman"/>
          <w:sz w:val="20"/>
        </w:rPr>
        <w:t>(USEPA, 2012)</w:t>
      </w:r>
      <w:r w:rsidRPr="00F07DEB">
        <w:rPr>
          <w:rFonts w:ascii="Times New Roman" w:hAnsi="Times New Roman" w:cs="Times New Roman"/>
          <w:sz w:val="20"/>
          <w:szCs w:val="24"/>
        </w:rPr>
        <w:fldChar w:fldCharType="end"/>
      </w:r>
      <w:r w:rsidRPr="00F07DEB">
        <w:rPr>
          <w:rFonts w:ascii="Times New Roman" w:hAnsi="Times New Roman" w:cs="Times New Roman"/>
          <w:sz w:val="20"/>
          <w:szCs w:val="24"/>
        </w:rPr>
        <w:t xml:space="preserve"> </w:t>
      </w:r>
      <w:r w:rsidRPr="00F07DEB">
        <w:rPr>
          <w:rFonts w:ascii="Times New Roman" w:hAnsi="Times New Roman" w:cs="Times New Roman"/>
          <w:sz w:val="20"/>
          <w:szCs w:val="24"/>
          <w:vertAlign w:val="superscript"/>
        </w:rPr>
        <w:t>2</w:t>
      </w:r>
      <w:r w:rsidRPr="00F07DEB">
        <w:rPr>
          <w:rFonts w:ascii="Times New Roman" w:hAnsi="Times New Roman" w:cs="Times New Roman"/>
          <w:sz w:val="20"/>
          <w:szCs w:val="24"/>
        </w:rPr>
        <w:fldChar w:fldCharType="begin"/>
      </w:r>
      <w:r w:rsidR="00375B31">
        <w:rPr>
          <w:rFonts w:ascii="Times New Roman" w:hAnsi="Times New Roman" w:cs="Times New Roman"/>
          <w:sz w:val="20"/>
          <w:szCs w:val="24"/>
        </w:rPr>
        <w:instrText xml:space="preserve"> ADDIN ZOTERO_ITEM CSL_CITATION {"citationID":"hOIm2K5c","properties":{"formattedCitation":"(Chang et al., 2001)","plainCitation":"(Chang et al., 2001)","noteIndex":0},"citationItems":[{"id":412,"uris":["http://zotero.org/users/5446453/items/QM4Z8T66"],"uri":["http://zotero.org/users/5446453/items/QM4Z8T66"],"itemData":{"id":412,"type":"report","number":"No. WHO/EOS/95.20","page":"13","publisher":"World Health Organization European Environmental Bureau","source":"ResearchGate","title":"Developing human health-related chemical guidelines for reclaimed water and sewage sludge applications in agriculture","author":[{"family":"Chang","given":"Andrew"},{"family":"Pan","given":"Genxing"},{"family":"Page","given":"Albert"},{"family":"Asano","given":"Takashi"}],"issued":{"date-parts":[["2001",1,1]]}}}],"schema":"https://github.com/citation-style-language/schema/raw/master/csl-citation.json"} </w:instrText>
      </w:r>
      <w:r w:rsidRPr="00F07DEB">
        <w:rPr>
          <w:rFonts w:ascii="Times New Roman" w:hAnsi="Times New Roman" w:cs="Times New Roman"/>
          <w:sz w:val="20"/>
          <w:szCs w:val="24"/>
        </w:rPr>
        <w:fldChar w:fldCharType="separate"/>
      </w:r>
      <w:r w:rsidRPr="00234033">
        <w:rPr>
          <w:rFonts w:ascii="Times New Roman" w:hAnsi="Times New Roman" w:cs="Times New Roman"/>
          <w:sz w:val="20"/>
        </w:rPr>
        <w:t>(Chang et al., 2001)</w:t>
      </w:r>
      <w:r w:rsidRPr="00F07DEB">
        <w:rPr>
          <w:rFonts w:ascii="Times New Roman" w:hAnsi="Times New Roman" w:cs="Times New Roman"/>
          <w:sz w:val="20"/>
          <w:szCs w:val="24"/>
        </w:rPr>
        <w:fldChar w:fldCharType="end"/>
      </w:r>
      <w:r w:rsidRPr="00F07DEB">
        <w:rPr>
          <w:rFonts w:ascii="Times New Roman" w:hAnsi="Times New Roman" w:cs="Times New Roman"/>
          <w:sz w:val="20"/>
          <w:szCs w:val="24"/>
        </w:rPr>
        <w:t xml:space="preserve"> </w:t>
      </w:r>
      <w:r w:rsidRPr="00F07DEB">
        <w:rPr>
          <w:rFonts w:ascii="Times New Roman" w:hAnsi="Times New Roman" w:cs="Times New Roman"/>
          <w:sz w:val="20"/>
          <w:szCs w:val="24"/>
          <w:vertAlign w:val="superscript"/>
        </w:rPr>
        <w:t>3</w:t>
      </w:r>
      <w:r w:rsidRPr="00F07DEB">
        <w:rPr>
          <w:rFonts w:ascii="Times New Roman" w:hAnsi="Times New Roman" w:cs="Times New Roman"/>
          <w:sz w:val="20"/>
          <w:szCs w:val="24"/>
        </w:rPr>
        <w:fldChar w:fldCharType="begin"/>
      </w:r>
      <w:r w:rsidR="00375B31">
        <w:rPr>
          <w:rFonts w:ascii="Times New Roman" w:hAnsi="Times New Roman" w:cs="Times New Roman"/>
          <w:sz w:val="20"/>
          <w:szCs w:val="24"/>
        </w:rPr>
        <w:instrText xml:space="preserve"> ADDIN ZOTERO_ITEM CSL_CITATION {"citationID":"TgLMWzd9","properties":{"formattedCitation":"(Pescod, 1992)","plainCitation":"(Pescod, 1992)","noteIndex":0},"citationItems":[{"id":315,"uris":["http://zotero.org/users/5446453/items/NEYTNK6R"],"uri":["http://zotero.org/users/5446453/items/NEYTNK6R"],"itemData":{"id":315,"type":"webpage","container-title":"Food and Agriculture Organization of the United Nations","title":"Wastewater treatment and use in agriculture","URL":"http://www.fao.org/3/t0551e/t0551e00.htm#Contents","author":[{"family":"Pescod","given":"M.B."}],"accessed":{"date-parts":[["2020",4,11]]},"issued":{"date-parts":[["1992"]]}}}],"schema":"https://github.com/citation-style-language/schema/raw/master/csl-citation.json"} </w:instrText>
      </w:r>
      <w:r w:rsidRPr="00F07DEB">
        <w:rPr>
          <w:rFonts w:ascii="Times New Roman" w:hAnsi="Times New Roman" w:cs="Times New Roman"/>
          <w:sz w:val="20"/>
          <w:szCs w:val="24"/>
        </w:rPr>
        <w:fldChar w:fldCharType="separate"/>
      </w:r>
      <w:r w:rsidRPr="00234033">
        <w:rPr>
          <w:rFonts w:ascii="Times New Roman" w:hAnsi="Times New Roman" w:cs="Times New Roman"/>
          <w:sz w:val="20"/>
        </w:rPr>
        <w:t>(</w:t>
      </w:r>
      <w:proofErr w:type="spellStart"/>
      <w:r w:rsidRPr="00234033">
        <w:rPr>
          <w:rFonts w:ascii="Times New Roman" w:hAnsi="Times New Roman" w:cs="Times New Roman"/>
          <w:sz w:val="20"/>
        </w:rPr>
        <w:t>Pescod</w:t>
      </w:r>
      <w:proofErr w:type="spellEnd"/>
      <w:r w:rsidRPr="00234033">
        <w:rPr>
          <w:rFonts w:ascii="Times New Roman" w:hAnsi="Times New Roman" w:cs="Times New Roman"/>
          <w:sz w:val="20"/>
        </w:rPr>
        <w:t>, 1992)</w:t>
      </w:r>
      <w:r w:rsidRPr="00F07DEB">
        <w:rPr>
          <w:rFonts w:ascii="Times New Roman" w:hAnsi="Times New Roman" w:cs="Times New Roman"/>
          <w:sz w:val="20"/>
          <w:szCs w:val="24"/>
        </w:rPr>
        <w:fldChar w:fldCharType="end"/>
      </w:r>
      <w:r w:rsidRPr="00F07DEB">
        <w:rPr>
          <w:rFonts w:ascii="Times New Roman" w:hAnsi="Times New Roman" w:cs="Times New Roman"/>
          <w:sz w:val="20"/>
          <w:szCs w:val="24"/>
        </w:rPr>
        <w:t xml:space="preserve"> </w:t>
      </w:r>
      <w:r w:rsidRPr="00F07DEB">
        <w:rPr>
          <w:rFonts w:ascii="Times New Roman" w:hAnsi="Times New Roman" w:cs="Times New Roman"/>
          <w:sz w:val="20"/>
          <w:szCs w:val="24"/>
          <w:vertAlign w:val="superscript"/>
        </w:rPr>
        <w:t>4</w:t>
      </w:r>
      <w:r w:rsidRPr="00F07DEB">
        <w:rPr>
          <w:rFonts w:ascii="Times New Roman" w:hAnsi="Times New Roman" w:cs="Times New Roman"/>
          <w:sz w:val="20"/>
          <w:szCs w:val="24"/>
        </w:rPr>
        <w:fldChar w:fldCharType="begin"/>
      </w:r>
      <w:r w:rsidR="00375B31">
        <w:rPr>
          <w:rFonts w:ascii="Times New Roman" w:hAnsi="Times New Roman" w:cs="Times New Roman"/>
          <w:sz w:val="20"/>
          <w:szCs w:val="24"/>
        </w:rPr>
        <w:instrText xml:space="preserve"> ADDIN ZOTERO_ITEM CSL_CITATION {"citationID":"deE0UXgr","properties":{"formattedCitation":"(UMass Extension, 2015)","plainCitation":"(UMass Extension, 2015)","noteIndex":0},"citationItems":[{"id":465,"uris":["http://zotero.org/users/5446453/items/4SWD98GG"],"uri":["http://zotero.org/users/5446453/items/4SWD98GG"],"itemData":{"id":465,"type":"webpage","abstract":"Water Quality for Crop Production Irrigation water quality is a critical aspect of greenhouse crop production. There are many factors which determine water quality. Among the most important are alkalinity, pH and soluble salts. But there are several other factors to consider, such as whether hard water salts such as calcium and magnesium or heavy metals that can clog irrigation systems or individual toxic ions are present. In order to determine this, water must be tested at a laboratory that is equipped to test water for agricultural irrigation purposes.","container-title":"Center for Agriculture, Food and the Environment","genre":"Text","language":"en","note":"source: ag.umass.edu","title":"Water Quality for Crop Production","URL":"https://ag.umass.edu/greenhouse-floriculture/greenhouse-best-management-practices-bmp-manual/water-quality-for-crop","author":[{"literal":"UMass Extension"}],"accessed":{"date-parts":[["2020",5,1]]},"issued":{"date-parts":[["2015",4,13]]}}}],"schema":"https://github.com/citation-style-language/schema/raw/master/csl-citation.json"} </w:instrText>
      </w:r>
      <w:r w:rsidRPr="00F07DEB">
        <w:rPr>
          <w:rFonts w:ascii="Times New Roman" w:hAnsi="Times New Roman" w:cs="Times New Roman"/>
          <w:sz w:val="20"/>
          <w:szCs w:val="24"/>
        </w:rPr>
        <w:fldChar w:fldCharType="separate"/>
      </w:r>
      <w:r w:rsidRPr="00234033">
        <w:rPr>
          <w:rFonts w:ascii="Times New Roman" w:hAnsi="Times New Roman" w:cs="Times New Roman"/>
          <w:sz w:val="20"/>
        </w:rPr>
        <w:t>(UMass Extension, 2015)</w:t>
      </w:r>
      <w:r w:rsidRPr="00F07DEB">
        <w:rPr>
          <w:rFonts w:ascii="Times New Roman" w:hAnsi="Times New Roman" w:cs="Times New Roman"/>
          <w:sz w:val="20"/>
          <w:szCs w:val="24"/>
        </w:rPr>
        <w:fldChar w:fldCharType="end"/>
      </w:r>
      <w:r w:rsidRPr="00F07DEB">
        <w:rPr>
          <w:rFonts w:ascii="Times New Roman" w:hAnsi="Times New Roman" w:cs="Times New Roman"/>
          <w:sz w:val="20"/>
          <w:szCs w:val="24"/>
        </w:rPr>
        <w:t xml:space="preserve"> </w:t>
      </w:r>
      <w:r w:rsidRPr="00F07DEB">
        <w:rPr>
          <w:rFonts w:ascii="Times New Roman" w:hAnsi="Times New Roman" w:cs="Times New Roman"/>
          <w:sz w:val="20"/>
          <w:szCs w:val="24"/>
          <w:vertAlign w:val="superscript"/>
        </w:rPr>
        <w:t>5</w:t>
      </w:r>
      <w:r w:rsidRPr="00F07DEB">
        <w:rPr>
          <w:rFonts w:ascii="Times New Roman" w:hAnsi="Times New Roman" w:cs="Times New Roman"/>
          <w:sz w:val="20"/>
          <w:szCs w:val="24"/>
        </w:rPr>
        <w:fldChar w:fldCharType="begin"/>
      </w:r>
      <w:r w:rsidR="00375B31">
        <w:rPr>
          <w:rFonts w:ascii="Times New Roman" w:hAnsi="Times New Roman" w:cs="Times New Roman"/>
          <w:sz w:val="20"/>
          <w:szCs w:val="24"/>
        </w:rPr>
        <w:instrText xml:space="preserve"> ADDIN ZOTERO_ITEM CSL_CITATION {"citationID":"JfyU51Qh","properties":{"formattedCitation":"(Ayers &amp; Westcot, 1985a)","plainCitation":"(Ayers &amp; Westcot, 1985a)","dontUpdate":true,"noteIndex":0},"citationItems":[{"id":415,"uris":["http://zotero.org/users/5446453/items/5W5EXXQA"],"uri":["http://zotero.org/users/5446453/items/5W5EXXQA"],"itemData":{"id":415,"type":"webpage","container-title":"Food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schema":"https://github.com/citation-style-language/schema/raw/master/csl-citation.json"} </w:instrText>
      </w:r>
      <w:r w:rsidRPr="00F07DEB">
        <w:rPr>
          <w:rFonts w:ascii="Times New Roman" w:hAnsi="Times New Roman" w:cs="Times New Roman"/>
          <w:sz w:val="20"/>
          <w:szCs w:val="24"/>
        </w:rPr>
        <w:fldChar w:fldCharType="separate"/>
      </w:r>
      <w:r w:rsidRPr="00F07DEB">
        <w:rPr>
          <w:rFonts w:ascii="Times New Roman" w:hAnsi="Times New Roman" w:cs="Times New Roman"/>
          <w:sz w:val="20"/>
        </w:rPr>
        <w:t xml:space="preserve">(Ayers </w:t>
      </w:r>
      <w:r>
        <w:rPr>
          <w:rFonts w:ascii="Times New Roman" w:hAnsi="Times New Roman" w:cs="Times New Roman"/>
          <w:sz w:val="20"/>
        </w:rPr>
        <w:t>and</w:t>
      </w:r>
      <w:r w:rsidRPr="00F07DEB">
        <w:rPr>
          <w:rFonts w:ascii="Times New Roman" w:hAnsi="Times New Roman" w:cs="Times New Roman"/>
          <w:sz w:val="20"/>
        </w:rPr>
        <w:t xml:space="preserve"> Westcot, 1985a)</w:t>
      </w:r>
      <w:r w:rsidRPr="00F07DEB">
        <w:rPr>
          <w:rFonts w:ascii="Times New Roman" w:hAnsi="Times New Roman" w:cs="Times New Roman"/>
          <w:sz w:val="20"/>
          <w:szCs w:val="24"/>
        </w:rPr>
        <w:fldChar w:fldCharType="end"/>
      </w:r>
    </w:p>
    <w:p w14:paraId="3D542E5E" w14:textId="3E4B1C72" w:rsidR="00204C13" w:rsidRDefault="00204C13" w:rsidP="00204C13">
      <w:pPr>
        <w:pStyle w:val="Heading2"/>
        <w:numPr>
          <w:ilvl w:val="0"/>
          <w:numId w:val="0"/>
        </w:numPr>
      </w:pPr>
    </w:p>
    <w:p w14:paraId="4B6C7ABB" w14:textId="77777777" w:rsidR="00204C13" w:rsidRPr="00204C13" w:rsidRDefault="00204C13" w:rsidP="00204C13">
      <w:pPr>
        <w:pStyle w:val="Heading2"/>
        <w:numPr>
          <w:ilvl w:val="0"/>
          <w:numId w:val="0"/>
        </w:numPr>
      </w:pPr>
    </w:p>
    <w:p w14:paraId="422C1984" w14:textId="6A831458" w:rsidR="008233D9" w:rsidRDefault="008233D9" w:rsidP="0084357E">
      <w:pPr>
        <w:pStyle w:val="Heading2"/>
        <w:numPr>
          <w:ilvl w:val="0"/>
          <w:numId w:val="0"/>
        </w:numPr>
        <w:ind w:left="1170"/>
      </w:pPr>
      <w:bookmarkStart w:id="167" w:name="_Toc58975182"/>
      <w:r w:rsidRPr="009C74A3">
        <w:t xml:space="preserve">Appendix </w:t>
      </w:r>
      <w:r w:rsidR="00204C13" w:rsidRPr="009C74A3">
        <w:t>B</w:t>
      </w:r>
      <w:r w:rsidRPr="009C74A3">
        <w:t>:</w:t>
      </w:r>
      <w:r>
        <w:t xml:space="preserve"> Plant </w:t>
      </w:r>
      <w:r w:rsidR="00F54CC1">
        <w:t>Height and Biomass Production</w:t>
      </w:r>
      <w:bookmarkEnd w:id="167"/>
    </w:p>
    <w:p w14:paraId="037B27D6" w14:textId="77777777" w:rsidR="008233D9" w:rsidRDefault="008233D9" w:rsidP="008233D9"/>
    <w:p w14:paraId="36C2EB84" w14:textId="3CD414C8" w:rsidR="00F54CC1" w:rsidRDefault="00F54CC1" w:rsidP="00F54CC1">
      <w:pPr>
        <w:jc w:val="center"/>
      </w:pPr>
      <w:r>
        <w:rPr>
          <w:noProof/>
          <w:lang w:eastAsia="en-US"/>
        </w:rPr>
        <w:drawing>
          <wp:inline distT="0" distB="0" distL="0" distR="0" wp14:anchorId="2F2E1CF1" wp14:editId="63A9303A">
            <wp:extent cx="5349014" cy="2892224"/>
            <wp:effectExtent l="0" t="0" r="4445" b="38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742F569" w14:textId="66B3F2CB" w:rsidR="00F54CC1" w:rsidRPr="00F54CC1" w:rsidRDefault="00F54CC1" w:rsidP="00F54CC1">
      <w:pPr>
        <w:jc w:val="center"/>
        <w:rPr>
          <w:rFonts w:ascii="Times New Roman" w:hAnsi="Times New Roman" w:cs="Times New Roman"/>
          <w:b/>
          <w:sz w:val="20"/>
          <w:szCs w:val="20"/>
        </w:rPr>
      </w:pPr>
      <w:r w:rsidRPr="00F54CC1">
        <w:rPr>
          <w:rFonts w:ascii="Times New Roman" w:hAnsi="Times New Roman" w:cs="Times New Roman"/>
          <w:b/>
          <w:sz w:val="20"/>
          <w:szCs w:val="20"/>
        </w:rPr>
        <w:t>Figure B.1:</w:t>
      </w:r>
      <w:r>
        <w:rPr>
          <w:rFonts w:ascii="Times New Roman" w:hAnsi="Times New Roman" w:cs="Times New Roman"/>
          <w:b/>
          <w:sz w:val="20"/>
          <w:szCs w:val="20"/>
        </w:rPr>
        <w:t xml:space="preserve"> Box plots of corn heights for mixed ANOVA between-subjects</w:t>
      </w:r>
    </w:p>
    <w:p w14:paraId="3E8C2951" w14:textId="6DE4EAD4" w:rsidR="00F54CC1" w:rsidRDefault="00F54CC1" w:rsidP="00F54CC1">
      <w:pPr>
        <w:jc w:val="center"/>
      </w:pPr>
      <w:r>
        <w:rPr>
          <w:noProof/>
          <w:lang w:eastAsia="en-US"/>
        </w:rPr>
        <w:lastRenderedPageBreak/>
        <w:drawing>
          <wp:inline distT="0" distB="0" distL="0" distR="0" wp14:anchorId="0211BEC1" wp14:editId="45B61504">
            <wp:extent cx="5943600" cy="3749675"/>
            <wp:effectExtent l="0" t="0" r="0" b="317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0034197" w14:textId="125AEB03" w:rsidR="00F54CC1" w:rsidRPr="00F54CC1" w:rsidRDefault="00F54CC1" w:rsidP="00F54CC1">
      <w:pPr>
        <w:jc w:val="center"/>
        <w:rPr>
          <w:rFonts w:ascii="Times New Roman" w:hAnsi="Times New Roman" w:cs="Times New Roman"/>
          <w:b/>
          <w:sz w:val="20"/>
          <w:szCs w:val="20"/>
        </w:rPr>
      </w:pPr>
      <w:r w:rsidRPr="00F54CC1">
        <w:rPr>
          <w:rFonts w:ascii="Times New Roman" w:hAnsi="Times New Roman" w:cs="Times New Roman"/>
          <w:b/>
          <w:sz w:val="20"/>
          <w:szCs w:val="20"/>
        </w:rPr>
        <w:t>Figure B.</w:t>
      </w:r>
      <w:r>
        <w:rPr>
          <w:rFonts w:ascii="Times New Roman" w:hAnsi="Times New Roman" w:cs="Times New Roman"/>
          <w:b/>
          <w:sz w:val="20"/>
          <w:szCs w:val="20"/>
        </w:rPr>
        <w:t>2</w:t>
      </w:r>
      <w:r w:rsidRPr="00F54CC1">
        <w:rPr>
          <w:rFonts w:ascii="Times New Roman" w:hAnsi="Times New Roman" w:cs="Times New Roman"/>
          <w:b/>
          <w:sz w:val="20"/>
          <w:szCs w:val="20"/>
        </w:rPr>
        <w:t>:</w:t>
      </w:r>
      <w:r>
        <w:rPr>
          <w:rFonts w:ascii="Times New Roman" w:hAnsi="Times New Roman" w:cs="Times New Roman"/>
          <w:b/>
          <w:sz w:val="20"/>
          <w:szCs w:val="20"/>
        </w:rPr>
        <w:t xml:space="preserve"> Box plots of corn height for mixed ANOVA within-subjects</w:t>
      </w:r>
    </w:p>
    <w:p w14:paraId="6825F21E" w14:textId="77777777" w:rsidR="00F54CC1" w:rsidRDefault="00F54CC1" w:rsidP="00F54CC1">
      <w:pPr>
        <w:jc w:val="center"/>
      </w:pPr>
    </w:p>
    <w:p w14:paraId="46994B40" w14:textId="1E0E6B01" w:rsidR="00F54CC1" w:rsidRDefault="00F54CC1" w:rsidP="00F54CC1">
      <w:pPr>
        <w:jc w:val="center"/>
      </w:pPr>
      <w:r>
        <w:rPr>
          <w:noProof/>
          <w:lang w:eastAsia="en-US"/>
        </w:rPr>
        <w:drawing>
          <wp:inline distT="0" distB="0" distL="0" distR="0" wp14:anchorId="2A2BC7D4" wp14:editId="776A8798">
            <wp:extent cx="5942778" cy="3125694"/>
            <wp:effectExtent l="0" t="0" r="1270" b="0"/>
            <wp:docPr id="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57"/>
                    <a:srcRect b="7230"/>
                    <a:stretch/>
                  </pic:blipFill>
                  <pic:spPr bwMode="auto">
                    <a:xfrm>
                      <a:off x="0" y="0"/>
                      <a:ext cx="5946052" cy="3127416"/>
                    </a:xfrm>
                    <a:prstGeom prst="rect">
                      <a:avLst/>
                    </a:prstGeom>
                    <a:ln>
                      <a:noFill/>
                    </a:ln>
                    <a:extLst>
                      <a:ext uri="{53640926-AAD7-44D8-BBD7-CCE9431645EC}">
                        <a14:shadowObscured xmlns:a14="http://schemas.microsoft.com/office/drawing/2010/main"/>
                      </a:ext>
                    </a:extLst>
                  </pic:spPr>
                </pic:pic>
              </a:graphicData>
            </a:graphic>
          </wp:inline>
        </w:drawing>
      </w:r>
    </w:p>
    <w:p w14:paraId="75C30695" w14:textId="43E155A5" w:rsidR="00F54CC1" w:rsidRPr="00F54CC1" w:rsidRDefault="00F54CC1" w:rsidP="00F54CC1">
      <w:pPr>
        <w:jc w:val="center"/>
        <w:rPr>
          <w:rFonts w:ascii="Times New Roman" w:hAnsi="Times New Roman" w:cs="Times New Roman"/>
          <w:b/>
          <w:sz w:val="20"/>
          <w:szCs w:val="20"/>
        </w:rPr>
      </w:pPr>
      <w:r w:rsidRPr="00F54CC1">
        <w:rPr>
          <w:rFonts w:ascii="Times New Roman" w:hAnsi="Times New Roman" w:cs="Times New Roman"/>
          <w:b/>
          <w:sz w:val="20"/>
          <w:szCs w:val="20"/>
        </w:rPr>
        <w:t>Figure B.</w:t>
      </w:r>
      <w:r>
        <w:rPr>
          <w:rFonts w:ascii="Times New Roman" w:hAnsi="Times New Roman" w:cs="Times New Roman"/>
          <w:b/>
          <w:sz w:val="20"/>
          <w:szCs w:val="20"/>
        </w:rPr>
        <w:t>3</w:t>
      </w:r>
      <w:r w:rsidRPr="00F54CC1">
        <w:rPr>
          <w:rFonts w:ascii="Times New Roman" w:hAnsi="Times New Roman" w:cs="Times New Roman"/>
          <w:b/>
          <w:sz w:val="20"/>
          <w:szCs w:val="20"/>
        </w:rPr>
        <w:t>:</w:t>
      </w:r>
      <w:r>
        <w:rPr>
          <w:rFonts w:ascii="Times New Roman" w:hAnsi="Times New Roman" w:cs="Times New Roman"/>
          <w:b/>
          <w:sz w:val="20"/>
          <w:szCs w:val="20"/>
        </w:rPr>
        <w:t xml:space="preserve">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height mixed ANOVA</w:t>
      </w:r>
    </w:p>
    <w:p w14:paraId="1FF3BFCA" w14:textId="77777777" w:rsidR="00F54CC1" w:rsidRDefault="00F54CC1" w:rsidP="00F54CC1">
      <w:pPr>
        <w:jc w:val="center"/>
      </w:pPr>
    </w:p>
    <w:p w14:paraId="35EEB885" w14:textId="69ED105A" w:rsidR="00F54CC1" w:rsidRDefault="00F54CC1" w:rsidP="00F54CC1">
      <w:pPr>
        <w:jc w:val="center"/>
      </w:pPr>
    </w:p>
    <w:p w14:paraId="27CBBB02" w14:textId="6F7BE169" w:rsidR="00F54CC1" w:rsidRDefault="00F54CC1" w:rsidP="00F54CC1">
      <w:pPr>
        <w:jc w:val="center"/>
      </w:pPr>
      <w:r>
        <w:rPr>
          <w:noProof/>
          <w:lang w:eastAsia="en-US"/>
        </w:rPr>
        <w:drawing>
          <wp:inline distT="0" distB="0" distL="0" distR="0" wp14:anchorId="7E835AB3" wp14:editId="103B720D">
            <wp:extent cx="4608135" cy="2603671"/>
            <wp:effectExtent l="0" t="0" r="2540" b="6350"/>
            <wp:docPr id="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58"/>
                    <a:stretch>
                      <a:fillRect/>
                    </a:stretch>
                  </pic:blipFill>
                  <pic:spPr>
                    <a:xfrm>
                      <a:off x="0" y="0"/>
                      <a:ext cx="4608135" cy="2603671"/>
                    </a:xfrm>
                    <a:prstGeom prst="rect">
                      <a:avLst/>
                    </a:prstGeom>
                  </pic:spPr>
                </pic:pic>
              </a:graphicData>
            </a:graphic>
          </wp:inline>
        </w:drawing>
      </w:r>
    </w:p>
    <w:p w14:paraId="2543DF90" w14:textId="1E5E4DAF" w:rsidR="00F54CC1" w:rsidRPr="00F54CC1" w:rsidRDefault="00F54CC1" w:rsidP="00F54CC1">
      <w:pPr>
        <w:jc w:val="center"/>
        <w:rPr>
          <w:rFonts w:ascii="Times New Roman" w:hAnsi="Times New Roman" w:cs="Times New Roman"/>
          <w:b/>
          <w:sz w:val="20"/>
          <w:szCs w:val="20"/>
        </w:rPr>
      </w:pPr>
      <w:r w:rsidRPr="00F54CC1">
        <w:rPr>
          <w:rFonts w:ascii="Times New Roman" w:hAnsi="Times New Roman" w:cs="Times New Roman"/>
          <w:b/>
          <w:sz w:val="20"/>
          <w:szCs w:val="20"/>
        </w:rPr>
        <w:t>Figure B.</w:t>
      </w:r>
      <w:r>
        <w:rPr>
          <w:rFonts w:ascii="Times New Roman" w:hAnsi="Times New Roman" w:cs="Times New Roman"/>
          <w:b/>
          <w:sz w:val="20"/>
          <w:szCs w:val="20"/>
        </w:rPr>
        <w:t>4</w:t>
      </w:r>
      <w:r w:rsidRPr="00F54CC1">
        <w:rPr>
          <w:rFonts w:ascii="Times New Roman" w:hAnsi="Times New Roman" w:cs="Times New Roman"/>
          <w:b/>
          <w:sz w:val="20"/>
          <w:szCs w:val="20"/>
        </w:rPr>
        <w:t>:</w:t>
      </w:r>
      <w:r>
        <w:rPr>
          <w:rFonts w:ascii="Times New Roman" w:hAnsi="Times New Roman" w:cs="Times New Roman"/>
          <w:b/>
          <w:sz w:val="20"/>
          <w:szCs w:val="20"/>
        </w:rPr>
        <w:t xml:space="preserve"> Q-Q plot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height mixed ANOVA</w:t>
      </w:r>
    </w:p>
    <w:p w14:paraId="52736381" w14:textId="128BD429" w:rsidR="00F54CC1" w:rsidRDefault="00F54CC1" w:rsidP="00F54CC1">
      <w:pPr>
        <w:jc w:val="center"/>
      </w:pPr>
      <w:r>
        <w:rPr>
          <w:noProof/>
          <w:lang w:eastAsia="en-US"/>
        </w:rPr>
        <w:drawing>
          <wp:inline distT="0" distB="0" distL="0" distR="0" wp14:anchorId="1956DB8C" wp14:editId="3E808386">
            <wp:extent cx="5310493" cy="3226703"/>
            <wp:effectExtent l="0" t="0" r="5080" b="1206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3A7924E" w14:textId="2BDC5486" w:rsidR="00F54CC1" w:rsidRPr="00F54CC1" w:rsidRDefault="00F54CC1" w:rsidP="00F54CC1">
      <w:pPr>
        <w:jc w:val="center"/>
        <w:rPr>
          <w:rFonts w:ascii="Times New Roman" w:hAnsi="Times New Roman" w:cs="Times New Roman"/>
          <w:b/>
          <w:sz w:val="20"/>
          <w:szCs w:val="20"/>
        </w:rPr>
      </w:pPr>
      <w:r>
        <w:rPr>
          <w:rFonts w:ascii="Times New Roman" w:hAnsi="Times New Roman" w:cs="Times New Roman"/>
          <w:b/>
          <w:sz w:val="20"/>
          <w:szCs w:val="20"/>
        </w:rPr>
        <w:t>Figure B.5</w:t>
      </w:r>
      <w:r w:rsidRPr="00F54CC1">
        <w:rPr>
          <w:rFonts w:ascii="Times New Roman" w:hAnsi="Times New Roman" w:cs="Times New Roman"/>
          <w:b/>
          <w:sz w:val="20"/>
          <w:szCs w:val="20"/>
        </w:rPr>
        <w:t>:</w:t>
      </w:r>
      <w:r>
        <w:rPr>
          <w:rFonts w:ascii="Times New Roman" w:hAnsi="Times New Roman" w:cs="Times New Roman"/>
          <w:b/>
          <w:sz w:val="20"/>
          <w:szCs w:val="20"/>
        </w:rPr>
        <w:t xml:space="preserve"> Box plots of sorghum heights for mixed ANOVA between-subjects</w:t>
      </w:r>
    </w:p>
    <w:p w14:paraId="1BA376B2" w14:textId="77777777" w:rsidR="00F54CC1" w:rsidRDefault="00F54CC1" w:rsidP="00F54CC1">
      <w:pPr>
        <w:jc w:val="center"/>
      </w:pPr>
    </w:p>
    <w:p w14:paraId="3AE38719" w14:textId="087B31F7" w:rsidR="00F54CC1" w:rsidRDefault="00F54CC1" w:rsidP="00F54CC1">
      <w:pPr>
        <w:jc w:val="center"/>
      </w:pPr>
      <w:r>
        <w:rPr>
          <w:noProof/>
          <w:lang w:eastAsia="en-US"/>
        </w:rPr>
        <w:lastRenderedPageBreak/>
        <w:drawing>
          <wp:inline distT="0" distB="0" distL="0" distR="0" wp14:anchorId="79387FB5" wp14:editId="48DDCA84">
            <wp:extent cx="5558118" cy="3782014"/>
            <wp:effectExtent l="0" t="0" r="5080" b="952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C1CCE60" w14:textId="1AAD40B2" w:rsidR="00F54CC1" w:rsidRPr="00F54CC1" w:rsidRDefault="00F54CC1" w:rsidP="00F54CC1">
      <w:pPr>
        <w:jc w:val="center"/>
        <w:rPr>
          <w:rFonts w:ascii="Times New Roman" w:hAnsi="Times New Roman" w:cs="Times New Roman"/>
          <w:b/>
          <w:sz w:val="20"/>
          <w:szCs w:val="20"/>
        </w:rPr>
      </w:pPr>
      <w:r>
        <w:rPr>
          <w:rFonts w:ascii="Times New Roman" w:hAnsi="Times New Roman" w:cs="Times New Roman"/>
          <w:b/>
          <w:sz w:val="20"/>
          <w:szCs w:val="20"/>
        </w:rPr>
        <w:t>Figure B.6</w:t>
      </w:r>
      <w:r w:rsidRPr="00F54CC1">
        <w:rPr>
          <w:rFonts w:ascii="Times New Roman" w:hAnsi="Times New Roman" w:cs="Times New Roman"/>
          <w:b/>
          <w:sz w:val="20"/>
          <w:szCs w:val="20"/>
        </w:rPr>
        <w:t>:</w:t>
      </w:r>
      <w:r>
        <w:rPr>
          <w:rFonts w:ascii="Times New Roman" w:hAnsi="Times New Roman" w:cs="Times New Roman"/>
          <w:b/>
          <w:sz w:val="20"/>
          <w:szCs w:val="20"/>
        </w:rPr>
        <w:t xml:space="preserve"> Box plots of sorghum height for mixed ANOVA within-subjects</w:t>
      </w:r>
    </w:p>
    <w:p w14:paraId="684E8E77" w14:textId="77777777" w:rsidR="00F54CC1" w:rsidRDefault="00F54CC1" w:rsidP="00F54CC1">
      <w:pPr>
        <w:jc w:val="center"/>
      </w:pPr>
    </w:p>
    <w:p w14:paraId="67C8DCFB" w14:textId="23AE7519" w:rsidR="00F54CC1" w:rsidRDefault="00F54CC1" w:rsidP="00F54CC1">
      <w:pPr>
        <w:jc w:val="center"/>
      </w:pPr>
      <w:r>
        <w:rPr>
          <w:noProof/>
          <w:lang w:eastAsia="en-US"/>
        </w:rPr>
        <w:drawing>
          <wp:inline distT="0" distB="0" distL="0" distR="0" wp14:anchorId="76CF0CE1" wp14:editId="273A8BD1">
            <wp:extent cx="5943193" cy="3233271"/>
            <wp:effectExtent l="0" t="0" r="635" b="5715"/>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rotWithShape="1">
                    <a:blip r:embed="rId61"/>
                    <a:srcRect b="7691"/>
                    <a:stretch/>
                  </pic:blipFill>
                  <pic:spPr bwMode="auto">
                    <a:xfrm>
                      <a:off x="0" y="0"/>
                      <a:ext cx="5948672" cy="3236252"/>
                    </a:xfrm>
                    <a:prstGeom prst="rect">
                      <a:avLst/>
                    </a:prstGeom>
                    <a:ln>
                      <a:noFill/>
                    </a:ln>
                    <a:extLst>
                      <a:ext uri="{53640926-AAD7-44D8-BBD7-CCE9431645EC}">
                        <a14:shadowObscured xmlns:a14="http://schemas.microsoft.com/office/drawing/2010/main"/>
                      </a:ext>
                    </a:extLst>
                  </pic:spPr>
                </pic:pic>
              </a:graphicData>
            </a:graphic>
          </wp:inline>
        </w:drawing>
      </w:r>
    </w:p>
    <w:p w14:paraId="765098FC" w14:textId="6D5CDA6D" w:rsidR="00F54CC1" w:rsidRPr="00F54CC1" w:rsidRDefault="00F54CC1" w:rsidP="00F54CC1">
      <w:pPr>
        <w:jc w:val="center"/>
        <w:rPr>
          <w:rFonts w:ascii="Times New Roman" w:hAnsi="Times New Roman" w:cs="Times New Roman"/>
          <w:b/>
          <w:sz w:val="20"/>
          <w:szCs w:val="20"/>
        </w:rPr>
      </w:pPr>
      <w:r>
        <w:rPr>
          <w:rFonts w:ascii="Times New Roman" w:hAnsi="Times New Roman" w:cs="Times New Roman"/>
          <w:b/>
          <w:sz w:val="20"/>
          <w:szCs w:val="20"/>
        </w:rPr>
        <w:t>Figure B.7</w:t>
      </w:r>
      <w:r w:rsidRPr="00F54CC1">
        <w:rPr>
          <w:rFonts w:ascii="Times New Roman" w:hAnsi="Times New Roman" w:cs="Times New Roman"/>
          <w:b/>
          <w:sz w:val="20"/>
          <w:szCs w:val="20"/>
        </w:rPr>
        <w:t>:</w:t>
      </w:r>
      <w:r>
        <w:rPr>
          <w:rFonts w:ascii="Times New Roman" w:hAnsi="Times New Roman" w:cs="Times New Roman"/>
          <w:b/>
          <w:sz w:val="20"/>
          <w:szCs w:val="20"/>
        </w:rPr>
        <w:t xml:space="preserve">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sorghum height mixed ANOVA</w:t>
      </w:r>
    </w:p>
    <w:p w14:paraId="09811D7B" w14:textId="77777777" w:rsidR="00F54CC1" w:rsidRDefault="00F54CC1" w:rsidP="00F54CC1">
      <w:pPr>
        <w:jc w:val="center"/>
      </w:pPr>
    </w:p>
    <w:p w14:paraId="03CB2A33" w14:textId="08FC4677" w:rsidR="00F54CC1" w:rsidRDefault="00F54CC1" w:rsidP="00F54CC1">
      <w:pPr>
        <w:jc w:val="center"/>
      </w:pPr>
      <w:r>
        <w:rPr>
          <w:noProof/>
          <w:lang w:eastAsia="en-US"/>
        </w:rPr>
        <w:drawing>
          <wp:inline distT="0" distB="0" distL="0" distR="0" wp14:anchorId="5127EB04" wp14:editId="036FE39B">
            <wp:extent cx="4899812" cy="2926792"/>
            <wp:effectExtent l="0" t="0" r="0" b="6985"/>
            <wp:docPr id="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62"/>
                    <a:stretch>
                      <a:fillRect/>
                    </a:stretch>
                  </pic:blipFill>
                  <pic:spPr>
                    <a:xfrm>
                      <a:off x="0" y="0"/>
                      <a:ext cx="4899812" cy="2926792"/>
                    </a:xfrm>
                    <a:prstGeom prst="rect">
                      <a:avLst/>
                    </a:prstGeom>
                  </pic:spPr>
                </pic:pic>
              </a:graphicData>
            </a:graphic>
          </wp:inline>
        </w:drawing>
      </w:r>
    </w:p>
    <w:p w14:paraId="720E2FDF" w14:textId="5D3418B5" w:rsidR="00F54CC1" w:rsidRPr="00F54CC1" w:rsidRDefault="00F54CC1" w:rsidP="00F54CC1">
      <w:pPr>
        <w:jc w:val="center"/>
        <w:rPr>
          <w:rFonts w:ascii="Times New Roman" w:hAnsi="Times New Roman" w:cs="Times New Roman"/>
          <w:b/>
          <w:sz w:val="20"/>
          <w:szCs w:val="20"/>
        </w:rPr>
      </w:pPr>
      <w:r>
        <w:rPr>
          <w:rFonts w:ascii="Times New Roman" w:hAnsi="Times New Roman" w:cs="Times New Roman"/>
          <w:b/>
          <w:sz w:val="20"/>
          <w:szCs w:val="20"/>
        </w:rPr>
        <w:t>Figure B.8</w:t>
      </w:r>
      <w:r w:rsidRPr="00F54CC1">
        <w:rPr>
          <w:rFonts w:ascii="Times New Roman" w:hAnsi="Times New Roman" w:cs="Times New Roman"/>
          <w:b/>
          <w:sz w:val="20"/>
          <w:szCs w:val="20"/>
        </w:rPr>
        <w:t>:</w:t>
      </w:r>
      <w:r>
        <w:rPr>
          <w:rFonts w:ascii="Times New Roman" w:hAnsi="Times New Roman" w:cs="Times New Roman"/>
          <w:b/>
          <w:sz w:val="20"/>
          <w:szCs w:val="20"/>
        </w:rPr>
        <w:t xml:space="preserve"> Q-Q plot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sorghum height mixed ANOVA</w:t>
      </w:r>
    </w:p>
    <w:p w14:paraId="32D652D6" w14:textId="460EEEA0" w:rsidR="00F54CC1" w:rsidRDefault="00F54CC1" w:rsidP="00F54CC1">
      <w:pPr>
        <w:jc w:val="center"/>
      </w:pPr>
      <w:r>
        <w:rPr>
          <w:noProof/>
          <w:lang w:eastAsia="en-US"/>
        </w:rPr>
        <w:drawing>
          <wp:inline distT="0" distB="0" distL="0" distR="0" wp14:anchorId="45E53DFA" wp14:editId="590F13D8">
            <wp:extent cx="4585558" cy="2777386"/>
            <wp:effectExtent l="0" t="0" r="5715" b="444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3F3C05D" w14:textId="7648E2D7" w:rsidR="00F54CC1" w:rsidRPr="00F54CC1" w:rsidRDefault="00F54CC1" w:rsidP="00F54CC1">
      <w:pPr>
        <w:jc w:val="center"/>
        <w:rPr>
          <w:rFonts w:ascii="Times New Roman" w:hAnsi="Times New Roman" w:cs="Times New Roman"/>
          <w:b/>
          <w:sz w:val="20"/>
          <w:szCs w:val="20"/>
        </w:rPr>
      </w:pPr>
      <w:r>
        <w:rPr>
          <w:rFonts w:ascii="Times New Roman" w:hAnsi="Times New Roman" w:cs="Times New Roman"/>
          <w:b/>
          <w:sz w:val="20"/>
          <w:szCs w:val="20"/>
        </w:rPr>
        <w:t>Figure B.9</w:t>
      </w:r>
      <w:r w:rsidRPr="00F54CC1">
        <w:rPr>
          <w:rFonts w:ascii="Times New Roman" w:hAnsi="Times New Roman" w:cs="Times New Roman"/>
          <w:b/>
          <w:sz w:val="20"/>
          <w:szCs w:val="20"/>
        </w:rPr>
        <w:t>:</w:t>
      </w:r>
      <w:r>
        <w:rPr>
          <w:rFonts w:ascii="Times New Roman" w:hAnsi="Times New Roman" w:cs="Times New Roman"/>
          <w:b/>
          <w:sz w:val="20"/>
          <w:szCs w:val="20"/>
        </w:rPr>
        <w:t xml:space="preserve"> Box plots of Bermuda grass percent coverages for mixed ANOVA between-subjects</w:t>
      </w:r>
    </w:p>
    <w:p w14:paraId="64392219" w14:textId="77777777" w:rsidR="00F54CC1" w:rsidRDefault="00F54CC1" w:rsidP="00F54CC1">
      <w:pPr>
        <w:jc w:val="center"/>
      </w:pPr>
    </w:p>
    <w:p w14:paraId="505384FB" w14:textId="490A43F6" w:rsidR="00F54CC1" w:rsidRDefault="00F54CC1" w:rsidP="00F54CC1">
      <w:pPr>
        <w:jc w:val="center"/>
      </w:pPr>
      <w:r>
        <w:rPr>
          <w:noProof/>
          <w:lang w:eastAsia="en-US"/>
        </w:rPr>
        <w:lastRenderedPageBreak/>
        <w:drawing>
          <wp:inline distT="0" distB="0" distL="0" distR="0" wp14:anchorId="29DE0FA2" wp14:editId="5D8137CA">
            <wp:extent cx="5943600" cy="3573780"/>
            <wp:effectExtent l="0" t="0" r="0" b="762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A78E2A9" w14:textId="65334D96" w:rsidR="00F54CC1" w:rsidRPr="00F54CC1" w:rsidRDefault="00F54CC1" w:rsidP="00F54CC1">
      <w:pPr>
        <w:jc w:val="center"/>
        <w:rPr>
          <w:rFonts w:ascii="Times New Roman" w:hAnsi="Times New Roman" w:cs="Times New Roman"/>
          <w:b/>
          <w:sz w:val="20"/>
          <w:szCs w:val="20"/>
        </w:rPr>
      </w:pPr>
      <w:r w:rsidRPr="00F54CC1">
        <w:rPr>
          <w:rFonts w:ascii="Times New Roman" w:hAnsi="Times New Roman" w:cs="Times New Roman"/>
          <w:b/>
          <w:sz w:val="20"/>
          <w:szCs w:val="20"/>
        </w:rPr>
        <w:t>Figure B.1</w:t>
      </w:r>
      <w:r>
        <w:rPr>
          <w:rFonts w:ascii="Times New Roman" w:hAnsi="Times New Roman" w:cs="Times New Roman"/>
          <w:b/>
          <w:sz w:val="20"/>
          <w:szCs w:val="20"/>
        </w:rPr>
        <w:t>0</w:t>
      </w:r>
      <w:r w:rsidRPr="00F54CC1">
        <w:rPr>
          <w:rFonts w:ascii="Times New Roman" w:hAnsi="Times New Roman" w:cs="Times New Roman"/>
          <w:b/>
          <w:sz w:val="20"/>
          <w:szCs w:val="20"/>
        </w:rPr>
        <w:t>:</w:t>
      </w:r>
      <w:r>
        <w:rPr>
          <w:rFonts w:ascii="Times New Roman" w:hAnsi="Times New Roman" w:cs="Times New Roman"/>
          <w:b/>
          <w:sz w:val="20"/>
          <w:szCs w:val="20"/>
        </w:rPr>
        <w:t xml:space="preserve"> Box plots of Bermuda grass percent coverages for mixed ANOVA within-subjects</w:t>
      </w:r>
    </w:p>
    <w:p w14:paraId="238DD0F9" w14:textId="77777777" w:rsidR="00F54CC1" w:rsidRDefault="00F54CC1" w:rsidP="00F54CC1">
      <w:pPr>
        <w:jc w:val="center"/>
      </w:pPr>
    </w:p>
    <w:p w14:paraId="2C2E2511" w14:textId="1A21A021" w:rsidR="00F54CC1" w:rsidRDefault="00F54CC1" w:rsidP="00F54CC1">
      <w:pPr>
        <w:jc w:val="center"/>
      </w:pPr>
      <w:r>
        <w:rPr>
          <w:noProof/>
          <w:lang w:eastAsia="en-US"/>
        </w:rPr>
        <w:drawing>
          <wp:inline distT="0" distB="0" distL="0" distR="0" wp14:anchorId="1708CA0A" wp14:editId="5360E521">
            <wp:extent cx="5943600" cy="3233271"/>
            <wp:effectExtent l="0" t="0" r="0" b="5715"/>
            <wp:docPr id="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65"/>
                    <a:srcRect b="7858"/>
                    <a:stretch/>
                  </pic:blipFill>
                  <pic:spPr bwMode="auto">
                    <a:xfrm>
                      <a:off x="0" y="0"/>
                      <a:ext cx="5943600" cy="3233271"/>
                    </a:xfrm>
                    <a:prstGeom prst="rect">
                      <a:avLst/>
                    </a:prstGeom>
                    <a:ln>
                      <a:noFill/>
                    </a:ln>
                    <a:extLst>
                      <a:ext uri="{53640926-AAD7-44D8-BBD7-CCE9431645EC}">
                        <a14:shadowObscured xmlns:a14="http://schemas.microsoft.com/office/drawing/2010/main"/>
                      </a:ext>
                    </a:extLst>
                  </pic:spPr>
                </pic:pic>
              </a:graphicData>
            </a:graphic>
          </wp:inline>
        </w:drawing>
      </w:r>
    </w:p>
    <w:p w14:paraId="497E9C13" w14:textId="7C345A84" w:rsidR="00F54CC1" w:rsidRPr="00F54CC1" w:rsidRDefault="00F54CC1" w:rsidP="00F54CC1">
      <w:pPr>
        <w:jc w:val="center"/>
        <w:rPr>
          <w:rFonts w:ascii="Times New Roman" w:hAnsi="Times New Roman" w:cs="Times New Roman"/>
          <w:b/>
          <w:sz w:val="20"/>
          <w:szCs w:val="20"/>
        </w:rPr>
      </w:pPr>
      <w:r w:rsidRPr="00F54CC1">
        <w:rPr>
          <w:rFonts w:ascii="Times New Roman" w:hAnsi="Times New Roman" w:cs="Times New Roman"/>
          <w:b/>
          <w:sz w:val="20"/>
          <w:szCs w:val="20"/>
        </w:rPr>
        <w:t>Figure B.1</w:t>
      </w:r>
      <w:r>
        <w:rPr>
          <w:rFonts w:ascii="Times New Roman" w:hAnsi="Times New Roman" w:cs="Times New Roman"/>
          <w:b/>
          <w:sz w:val="20"/>
          <w:szCs w:val="20"/>
        </w:rPr>
        <w:t>1</w:t>
      </w:r>
      <w:r w:rsidRPr="00F54CC1">
        <w:rPr>
          <w:rFonts w:ascii="Times New Roman" w:hAnsi="Times New Roman" w:cs="Times New Roman"/>
          <w:b/>
          <w:sz w:val="20"/>
          <w:szCs w:val="20"/>
        </w:rPr>
        <w:t>:</w:t>
      </w:r>
      <w:r>
        <w:rPr>
          <w:rFonts w:ascii="Times New Roman" w:hAnsi="Times New Roman" w:cs="Times New Roman"/>
          <w:b/>
          <w:sz w:val="20"/>
          <w:szCs w:val="20"/>
        </w:rPr>
        <w:t xml:space="preserve">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Bermuda grass percent coverage mixed ANOVA</w:t>
      </w:r>
    </w:p>
    <w:p w14:paraId="7FAF1433" w14:textId="77777777" w:rsidR="00F54CC1" w:rsidRDefault="00F54CC1" w:rsidP="00F54CC1">
      <w:pPr>
        <w:jc w:val="center"/>
      </w:pPr>
    </w:p>
    <w:p w14:paraId="4FBE1977" w14:textId="18490CED" w:rsidR="00F54CC1" w:rsidRDefault="00F54CC1" w:rsidP="00F54CC1">
      <w:pPr>
        <w:jc w:val="center"/>
      </w:pPr>
      <w:r>
        <w:rPr>
          <w:noProof/>
          <w:lang w:eastAsia="en-US"/>
        </w:rPr>
        <w:lastRenderedPageBreak/>
        <w:drawing>
          <wp:inline distT="0" distB="0" distL="0" distR="0" wp14:anchorId="4581A7CE" wp14:editId="03011458">
            <wp:extent cx="5943600" cy="3509010"/>
            <wp:effectExtent l="0" t="0" r="0" b="0"/>
            <wp:docPr id="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66"/>
                    <a:stretch>
                      <a:fillRect/>
                    </a:stretch>
                  </pic:blipFill>
                  <pic:spPr>
                    <a:xfrm>
                      <a:off x="0" y="0"/>
                      <a:ext cx="5943600" cy="3509010"/>
                    </a:xfrm>
                    <a:prstGeom prst="rect">
                      <a:avLst/>
                    </a:prstGeom>
                  </pic:spPr>
                </pic:pic>
              </a:graphicData>
            </a:graphic>
          </wp:inline>
        </w:drawing>
      </w:r>
    </w:p>
    <w:p w14:paraId="155C6BC5" w14:textId="7F8170C9" w:rsidR="00F54CC1" w:rsidRPr="00F54CC1" w:rsidRDefault="00F54CC1" w:rsidP="00F54CC1">
      <w:pPr>
        <w:jc w:val="center"/>
        <w:rPr>
          <w:rFonts w:ascii="Times New Roman" w:hAnsi="Times New Roman" w:cs="Times New Roman"/>
          <w:b/>
          <w:sz w:val="20"/>
          <w:szCs w:val="20"/>
        </w:rPr>
      </w:pPr>
      <w:r w:rsidRPr="00F54CC1">
        <w:rPr>
          <w:rFonts w:ascii="Times New Roman" w:hAnsi="Times New Roman" w:cs="Times New Roman"/>
          <w:b/>
          <w:sz w:val="20"/>
          <w:szCs w:val="20"/>
        </w:rPr>
        <w:t>Figure B.1</w:t>
      </w:r>
      <w:r>
        <w:rPr>
          <w:rFonts w:ascii="Times New Roman" w:hAnsi="Times New Roman" w:cs="Times New Roman"/>
          <w:b/>
          <w:sz w:val="20"/>
          <w:szCs w:val="20"/>
        </w:rPr>
        <w:t>2</w:t>
      </w:r>
      <w:r w:rsidRPr="00F54CC1">
        <w:rPr>
          <w:rFonts w:ascii="Times New Roman" w:hAnsi="Times New Roman" w:cs="Times New Roman"/>
          <w:b/>
          <w:sz w:val="20"/>
          <w:szCs w:val="20"/>
        </w:rPr>
        <w:t>:</w:t>
      </w:r>
      <w:r>
        <w:rPr>
          <w:rFonts w:ascii="Times New Roman" w:hAnsi="Times New Roman" w:cs="Times New Roman"/>
          <w:b/>
          <w:sz w:val="20"/>
          <w:szCs w:val="20"/>
        </w:rPr>
        <w:t xml:space="preserve"> Q-Q plot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Bermuda grass percent coverage mixed ANOVA</w:t>
      </w:r>
    </w:p>
    <w:p w14:paraId="11C45A48" w14:textId="1D3D2D26" w:rsidR="004F01CD" w:rsidRPr="00F07DEB" w:rsidRDefault="004F01CD" w:rsidP="00437290">
      <w:pPr>
        <w:rPr>
          <w:rFonts w:ascii="Times New Roman" w:hAnsi="Times New Roman" w:cs="Times New Roman"/>
          <w:sz w:val="20"/>
          <w:szCs w:val="20"/>
        </w:rPr>
      </w:pPr>
    </w:p>
    <w:p w14:paraId="000CD99C" w14:textId="1F011F2E" w:rsidR="004F01CD" w:rsidRDefault="004F01CD" w:rsidP="0058798F">
      <w:pPr>
        <w:jc w:val="center"/>
        <w:rPr>
          <w:rFonts w:ascii="Times New Roman" w:hAnsi="Times New Roman" w:cs="Times New Roman"/>
          <w:sz w:val="20"/>
          <w:szCs w:val="20"/>
        </w:rPr>
      </w:pPr>
      <w:r w:rsidRPr="00F07DEB">
        <w:rPr>
          <w:rFonts w:ascii="Times New Roman" w:hAnsi="Times New Roman" w:cs="Times New Roman"/>
          <w:noProof/>
          <w:lang w:eastAsia="en-US"/>
        </w:rPr>
        <w:drawing>
          <wp:inline distT="0" distB="0" distL="0" distR="0" wp14:anchorId="0915DF16" wp14:editId="6BA1AEAE">
            <wp:extent cx="5855335" cy="3566098"/>
            <wp:effectExtent l="0" t="0" r="12065" b="1587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1D6EC92" w14:textId="393E7FFC" w:rsidR="00B75A03" w:rsidRDefault="00B75A03" w:rsidP="0058798F">
      <w:pPr>
        <w:jc w:val="center"/>
        <w:rPr>
          <w:rFonts w:ascii="Times New Roman" w:hAnsi="Times New Roman" w:cs="Times New Roman"/>
          <w:b/>
          <w:sz w:val="20"/>
          <w:szCs w:val="20"/>
        </w:rPr>
      </w:pPr>
      <w:r w:rsidRPr="00B75A03">
        <w:rPr>
          <w:rFonts w:ascii="Times New Roman" w:hAnsi="Times New Roman" w:cs="Times New Roman"/>
          <w:b/>
          <w:sz w:val="20"/>
          <w:szCs w:val="20"/>
        </w:rPr>
        <w:t>Figure B.1</w:t>
      </w:r>
      <w:r w:rsidR="00F54CC1">
        <w:rPr>
          <w:rFonts w:ascii="Times New Roman" w:hAnsi="Times New Roman" w:cs="Times New Roman"/>
          <w:b/>
          <w:sz w:val="20"/>
          <w:szCs w:val="20"/>
        </w:rPr>
        <w:t>3</w:t>
      </w:r>
      <w:r w:rsidRPr="00B75A03">
        <w:rPr>
          <w:rFonts w:ascii="Times New Roman" w:hAnsi="Times New Roman" w:cs="Times New Roman"/>
          <w:b/>
          <w:sz w:val="20"/>
          <w:szCs w:val="20"/>
        </w:rPr>
        <w:t>: Total dry biomass of all Bermuda grass plants</w:t>
      </w:r>
    </w:p>
    <w:p w14:paraId="561B93A0" w14:textId="77777777" w:rsidR="0058798F" w:rsidRDefault="0058798F" w:rsidP="0058798F">
      <w:pPr>
        <w:jc w:val="center"/>
        <w:rPr>
          <w:rFonts w:ascii="Times New Roman" w:hAnsi="Times New Roman" w:cs="Times New Roman"/>
          <w:b/>
          <w:sz w:val="20"/>
          <w:szCs w:val="20"/>
        </w:rPr>
      </w:pPr>
    </w:p>
    <w:p w14:paraId="0518E4B3" w14:textId="77777777" w:rsidR="0058798F" w:rsidRDefault="0058798F" w:rsidP="0058798F">
      <w:pPr>
        <w:jc w:val="center"/>
        <w:rPr>
          <w:rFonts w:ascii="Times New Roman" w:hAnsi="Times New Roman" w:cs="Times New Roman"/>
          <w:sz w:val="20"/>
          <w:szCs w:val="20"/>
        </w:rPr>
      </w:pPr>
      <w:r w:rsidRPr="00F07DEB">
        <w:rPr>
          <w:rFonts w:ascii="Times New Roman" w:hAnsi="Times New Roman" w:cs="Times New Roman"/>
          <w:noProof/>
          <w:lang w:eastAsia="en-US"/>
        </w:rPr>
        <w:drawing>
          <wp:inline distT="0" distB="0" distL="0" distR="0" wp14:anchorId="1AE6E3F1" wp14:editId="26C34508">
            <wp:extent cx="4529455" cy="2530773"/>
            <wp:effectExtent l="0" t="0" r="4445" b="317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D0FA95E" w14:textId="270A557C" w:rsidR="00B75A03" w:rsidRDefault="00F54CC1" w:rsidP="0058798F">
      <w:pPr>
        <w:jc w:val="center"/>
        <w:rPr>
          <w:rFonts w:ascii="Times New Roman" w:hAnsi="Times New Roman" w:cs="Times New Roman"/>
          <w:b/>
          <w:sz w:val="20"/>
          <w:szCs w:val="20"/>
        </w:rPr>
      </w:pPr>
      <w:r>
        <w:rPr>
          <w:rFonts w:ascii="Times New Roman" w:hAnsi="Times New Roman" w:cs="Times New Roman"/>
          <w:b/>
          <w:sz w:val="20"/>
          <w:szCs w:val="20"/>
        </w:rPr>
        <w:t>Figure B.14</w:t>
      </w:r>
      <w:r w:rsidR="00B75A03" w:rsidRPr="00B75A03">
        <w:rPr>
          <w:rFonts w:ascii="Times New Roman" w:hAnsi="Times New Roman" w:cs="Times New Roman"/>
          <w:b/>
          <w:sz w:val="20"/>
          <w:szCs w:val="20"/>
        </w:rPr>
        <w:t xml:space="preserve">: </w:t>
      </w:r>
      <w:r w:rsidR="00B75A03">
        <w:rPr>
          <w:rFonts w:ascii="Times New Roman" w:hAnsi="Times New Roman" w:cs="Times New Roman"/>
          <w:b/>
          <w:sz w:val="20"/>
          <w:szCs w:val="20"/>
        </w:rPr>
        <w:t>Corn</w:t>
      </w:r>
      <w:r w:rsidR="00B75A03" w:rsidRPr="00B75A03">
        <w:rPr>
          <w:rFonts w:ascii="Times New Roman" w:hAnsi="Times New Roman" w:cs="Times New Roman"/>
          <w:b/>
          <w:sz w:val="20"/>
          <w:szCs w:val="20"/>
        </w:rPr>
        <w:t xml:space="preserve"> biomass </w:t>
      </w:r>
      <w:r w:rsidR="00B75A03">
        <w:rPr>
          <w:rFonts w:ascii="Times New Roman" w:hAnsi="Times New Roman" w:cs="Times New Roman"/>
          <w:b/>
          <w:sz w:val="20"/>
          <w:szCs w:val="20"/>
        </w:rPr>
        <w:t>allocation under groundwater irrigation</w:t>
      </w:r>
    </w:p>
    <w:p w14:paraId="33B6FDBC" w14:textId="0E30E121" w:rsidR="00B75A03" w:rsidRPr="00F07DEB" w:rsidRDefault="00B75A03" w:rsidP="0058798F">
      <w:pPr>
        <w:jc w:val="center"/>
        <w:rPr>
          <w:rFonts w:ascii="Times New Roman" w:hAnsi="Times New Roman" w:cs="Times New Roman"/>
          <w:sz w:val="20"/>
          <w:szCs w:val="20"/>
        </w:rPr>
      </w:pPr>
    </w:p>
    <w:p w14:paraId="4CF3876C" w14:textId="4E4C096C" w:rsidR="00C37AB1" w:rsidRDefault="00C37AB1" w:rsidP="0058798F">
      <w:pPr>
        <w:jc w:val="center"/>
        <w:rPr>
          <w:rFonts w:ascii="Times New Roman" w:hAnsi="Times New Roman" w:cs="Times New Roman"/>
          <w:sz w:val="20"/>
          <w:szCs w:val="20"/>
        </w:rPr>
      </w:pPr>
      <w:r w:rsidRPr="00F07DEB">
        <w:rPr>
          <w:rFonts w:ascii="Times New Roman" w:hAnsi="Times New Roman" w:cs="Times New Roman"/>
          <w:noProof/>
          <w:lang w:eastAsia="en-US"/>
        </w:rPr>
        <w:drawing>
          <wp:inline distT="0" distB="0" distL="0" distR="0" wp14:anchorId="561261A1" wp14:editId="404CEFDF">
            <wp:extent cx="4529712" cy="2759627"/>
            <wp:effectExtent l="0" t="0" r="4445" b="317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051D98B" w14:textId="63BEBFAB" w:rsidR="00B75A03" w:rsidRDefault="00F54CC1" w:rsidP="0058798F">
      <w:pPr>
        <w:jc w:val="center"/>
        <w:rPr>
          <w:rFonts w:ascii="Times New Roman" w:hAnsi="Times New Roman" w:cs="Times New Roman"/>
          <w:b/>
          <w:sz w:val="20"/>
          <w:szCs w:val="20"/>
        </w:rPr>
      </w:pPr>
      <w:r>
        <w:rPr>
          <w:rFonts w:ascii="Times New Roman" w:hAnsi="Times New Roman" w:cs="Times New Roman"/>
          <w:b/>
          <w:sz w:val="20"/>
          <w:szCs w:val="20"/>
        </w:rPr>
        <w:t>Figure B.15</w:t>
      </w:r>
      <w:r w:rsidR="00B75A03" w:rsidRPr="00B75A03">
        <w:rPr>
          <w:rFonts w:ascii="Times New Roman" w:hAnsi="Times New Roman" w:cs="Times New Roman"/>
          <w:b/>
          <w:sz w:val="20"/>
          <w:szCs w:val="20"/>
        </w:rPr>
        <w:t xml:space="preserve">: </w:t>
      </w:r>
      <w:r w:rsidR="00B75A03">
        <w:rPr>
          <w:rFonts w:ascii="Times New Roman" w:hAnsi="Times New Roman" w:cs="Times New Roman"/>
          <w:b/>
          <w:sz w:val="20"/>
          <w:szCs w:val="20"/>
        </w:rPr>
        <w:t>Corn</w:t>
      </w:r>
      <w:r w:rsidR="00B75A03" w:rsidRPr="00B75A03">
        <w:rPr>
          <w:rFonts w:ascii="Times New Roman" w:hAnsi="Times New Roman" w:cs="Times New Roman"/>
          <w:b/>
          <w:sz w:val="20"/>
          <w:szCs w:val="20"/>
        </w:rPr>
        <w:t xml:space="preserve"> biomass </w:t>
      </w:r>
      <w:r w:rsidR="00B75A03">
        <w:rPr>
          <w:rFonts w:ascii="Times New Roman" w:hAnsi="Times New Roman" w:cs="Times New Roman"/>
          <w:b/>
          <w:sz w:val="20"/>
          <w:szCs w:val="20"/>
        </w:rPr>
        <w:t>allocation under mine water irrigation</w:t>
      </w:r>
    </w:p>
    <w:p w14:paraId="6950EAF0" w14:textId="77777777" w:rsidR="00B75A03" w:rsidRPr="00F07DEB" w:rsidRDefault="00B75A03" w:rsidP="0058798F">
      <w:pPr>
        <w:jc w:val="center"/>
        <w:rPr>
          <w:rFonts w:ascii="Times New Roman" w:hAnsi="Times New Roman" w:cs="Times New Roman"/>
          <w:sz w:val="20"/>
          <w:szCs w:val="20"/>
        </w:rPr>
      </w:pPr>
    </w:p>
    <w:p w14:paraId="6BFE5EE4" w14:textId="591056E9" w:rsidR="00C37AB1" w:rsidRDefault="00C37AB1" w:rsidP="0058798F">
      <w:pPr>
        <w:jc w:val="center"/>
        <w:rPr>
          <w:rFonts w:ascii="Times New Roman" w:hAnsi="Times New Roman" w:cs="Times New Roman"/>
          <w:sz w:val="20"/>
          <w:szCs w:val="20"/>
        </w:rPr>
      </w:pPr>
      <w:r w:rsidRPr="00F07DEB">
        <w:rPr>
          <w:rFonts w:ascii="Times New Roman" w:hAnsi="Times New Roman" w:cs="Times New Roman"/>
          <w:noProof/>
          <w:lang w:eastAsia="en-US"/>
        </w:rPr>
        <w:lastRenderedPageBreak/>
        <w:drawing>
          <wp:inline distT="0" distB="0" distL="0" distR="0" wp14:anchorId="62E3172A" wp14:editId="0322174E">
            <wp:extent cx="4582874" cy="2725251"/>
            <wp:effectExtent l="0" t="0" r="8255" b="1841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8EB7A50" w14:textId="5829DE83" w:rsidR="00B75A03" w:rsidRDefault="00F54CC1" w:rsidP="0058798F">
      <w:pPr>
        <w:jc w:val="center"/>
        <w:rPr>
          <w:rFonts w:ascii="Times New Roman" w:hAnsi="Times New Roman" w:cs="Times New Roman"/>
          <w:b/>
          <w:sz w:val="20"/>
          <w:szCs w:val="20"/>
        </w:rPr>
      </w:pPr>
      <w:r>
        <w:rPr>
          <w:rFonts w:ascii="Times New Roman" w:hAnsi="Times New Roman" w:cs="Times New Roman"/>
          <w:b/>
          <w:sz w:val="20"/>
          <w:szCs w:val="20"/>
        </w:rPr>
        <w:t>Figure B.16</w:t>
      </w:r>
      <w:r w:rsidR="00B75A03" w:rsidRPr="00B75A03">
        <w:rPr>
          <w:rFonts w:ascii="Times New Roman" w:hAnsi="Times New Roman" w:cs="Times New Roman"/>
          <w:b/>
          <w:sz w:val="20"/>
          <w:szCs w:val="20"/>
        </w:rPr>
        <w:t xml:space="preserve">: </w:t>
      </w:r>
      <w:r w:rsidR="00B75A03">
        <w:rPr>
          <w:rFonts w:ascii="Times New Roman" w:hAnsi="Times New Roman" w:cs="Times New Roman"/>
          <w:b/>
          <w:sz w:val="20"/>
          <w:szCs w:val="20"/>
        </w:rPr>
        <w:t>Sorghum</w:t>
      </w:r>
      <w:r w:rsidR="00B75A03" w:rsidRPr="00B75A03">
        <w:rPr>
          <w:rFonts w:ascii="Times New Roman" w:hAnsi="Times New Roman" w:cs="Times New Roman"/>
          <w:b/>
          <w:sz w:val="20"/>
          <w:szCs w:val="20"/>
        </w:rPr>
        <w:t xml:space="preserve"> biomass </w:t>
      </w:r>
      <w:r w:rsidR="00B75A03">
        <w:rPr>
          <w:rFonts w:ascii="Times New Roman" w:hAnsi="Times New Roman" w:cs="Times New Roman"/>
          <w:b/>
          <w:sz w:val="20"/>
          <w:szCs w:val="20"/>
        </w:rPr>
        <w:t>allocation under groundwater irrigation</w:t>
      </w:r>
    </w:p>
    <w:p w14:paraId="083D0B69" w14:textId="77777777" w:rsidR="00B75A03" w:rsidRPr="00F07DEB" w:rsidRDefault="00B75A03" w:rsidP="0058798F">
      <w:pPr>
        <w:jc w:val="center"/>
        <w:rPr>
          <w:rFonts w:ascii="Times New Roman" w:hAnsi="Times New Roman" w:cs="Times New Roman"/>
          <w:sz w:val="20"/>
          <w:szCs w:val="20"/>
        </w:rPr>
      </w:pPr>
    </w:p>
    <w:p w14:paraId="711CE941" w14:textId="2AF46675" w:rsidR="00C37AB1" w:rsidRDefault="00C37AB1" w:rsidP="0058798F">
      <w:pPr>
        <w:jc w:val="center"/>
        <w:rPr>
          <w:rFonts w:ascii="Times New Roman" w:hAnsi="Times New Roman" w:cs="Times New Roman"/>
          <w:sz w:val="20"/>
          <w:szCs w:val="20"/>
        </w:rPr>
      </w:pPr>
      <w:r w:rsidRPr="00F07DEB">
        <w:rPr>
          <w:rFonts w:ascii="Times New Roman" w:hAnsi="Times New Roman" w:cs="Times New Roman"/>
          <w:noProof/>
          <w:lang w:eastAsia="en-US"/>
        </w:rPr>
        <w:drawing>
          <wp:inline distT="0" distB="0" distL="0" distR="0" wp14:anchorId="7D0B6F24" wp14:editId="7199DB41">
            <wp:extent cx="4581748" cy="2715545"/>
            <wp:effectExtent l="0" t="0" r="9525" b="889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671188D2" w14:textId="100D5B4E" w:rsidR="00B75A03" w:rsidRDefault="00F54CC1" w:rsidP="0058798F">
      <w:pPr>
        <w:jc w:val="center"/>
        <w:rPr>
          <w:rFonts w:ascii="Times New Roman" w:hAnsi="Times New Roman" w:cs="Times New Roman"/>
          <w:b/>
          <w:sz w:val="20"/>
          <w:szCs w:val="20"/>
        </w:rPr>
      </w:pPr>
      <w:r>
        <w:rPr>
          <w:rFonts w:ascii="Times New Roman" w:hAnsi="Times New Roman" w:cs="Times New Roman"/>
          <w:b/>
          <w:sz w:val="20"/>
          <w:szCs w:val="20"/>
        </w:rPr>
        <w:t>Figure B.17</w:t>
      </w:r>
      <w:r w:rsidR="00B75A03" w:rsidRPr="00B75A03">
        <w:rPr>
          <w:rFonts w:ascii="Times New Roman" w:hAnsi="Times New Roman" w:cs="Times New Roman"/>
          <w:b/>
          <w:sz w:val="20"/>
          <w:szCs w:val="20"/>
        </w:rPr>
        <w:t xml:space="preserve">: </w:t>
      </w:r>
      <w:r w:rsidR="00B75A03">
        <w:rPr>
          <w:rFonts w:ascii="Times New Roman" w:hAnsi="Times New Roman" w:cs="Times New Roman"/>
          <w:b/>
          <w:sz w:val="20"/>
          <w:szCs w:val="20"/>
        </w:rPr>
        <w:t>Sorghum</w:t>
      </w:r>
      <w:r w:rsidR="00B75A03" w:rsidRPr="00B75A03">
        <w:rPr>
          <w:rFonts w:ascii="Times New Roman" w:hAnsi="Times New Roman" w:cs="Times New Roman"/>
          <w:b/>
          <w:sz w:val="20"/>
          <w:szCs w:val="20"/>
        </w:rPr>
        <w:t xml:space="preserve"> biomass </w:t>
      </w:r>
      <w:r w:rsidR="00B75A03">
        <w:rPr>
          <w:rFonts w:ascii="Times New Roman" w:hAnsi="Times New Roman" w:cs="Times New Roman"/>
          <w:b/>
          <w:sz w:val="20"/>
          <w:szCs w:val="20"/>
        </w:rPr>
        <w:t>allocation under mine water irrigation</w:t>
      </w:r>
    </w:p>
    <w:p w14:paraId="253E6E13" w14:textId="77777777" w:rsidR="00B75A03" w:rsidRDefault="00B75A03" w:rsidP="00437290">
      <w:pPr>
        <w:rPr>
          <w:rFonts w:ascii="Times New Roman" w:hAnsi="Times New Roman" w:cs="Times New Roman"/>
          <w:sz w:val="20"/>
          <w:szCs w:val="20"/>
        </w:rPr>
      </w:pPr>
    </w:p>
    <w:p w14:paraId="26B3F9A9" w14:textId="617D95B8" w:rsidR="008233D9" w:rsidRDefault="008233D9">
      <w:pPr>
        <w:rPr>
          <w:rFonts w:ascii="Times New Roman" w:hAnsi="Times New Roman" w:cs="Times New Roman"/>
          <w:sz w:val="20"/>
          <w:szCs w:val="20"/>
        </w:rPr>
      </w:pPr>
      <w:r>
        <w:rPr>
          <w:rFonts w:ascii="Times New Roman" w:hAnsi="Times New Roman" w:cs="Times New Roman"/>
          <w:sz w:val="20"/>
          <w:szCs w:val="20"/>
        </w:rPr>
        <w:br w:type="page"/>
      </w:r>
    </w:p>
    <w:p w14:paraId="19FF0E31" w14:textId="16F7DCDE" w:rsidR="00F54CC1" w:rsidRPr="00F07DEB" w:rsidRDefault="008233D9" w:rsidP="0084357E">
      <w:pPr>
        <w:pStyle w:val="Heading2"/>
        <w:numPr>
          <w:ilvl w:val="0"/>
          <w:numId w:val="0"/>
        </w:numPr>
        <w:ind w:left="1080"/>
      </w:pPr>
      <w:bookmarkStart w:id="168" w:name="_Toc58975183"/>
      <w:r>
        <w:lastRenderedPageBreak/>
        <w:t>Appe</w:t>
      </w:r>
      <w:r w:rsidR="00723993">
        <w:t xml:space="preserve">ndix </w:t>
      </w:r>
      <w:r w:rsidR="00B75A03">
        <w:t>C</w:t>
      </w:r>
      <w:r>
        <w:t>: Metals</w:t>
      </w:r>
      <w:r w:rsidR="0006673C">
        <w:t xml:space="preserve"> Concentrations in Plants</w:t>
      </w:r>
      <w:bookmarkEnd w:id="168"/>
    </w:p>
    <w:p w14:paraId="0DE70920" w14:textId="77777777" w:rsidR="001E1298" w:rsidRDefault="001E1298" w:rsidP="00CE3D29">
      <w:pPr>
        <w:rPr>
          <w:rFonts w:ascii="Times New Roman" w:hAnsi="Times New Roman" w:cs="Times New Roman"/>
          <w:b/>
          <w:sz w:val="20"/>
          <w:szCs w:val="20"/>
        </w:rPr>
      </w:pPr>
    </w:p>
    <w:p w14:paraId="39470C86" w14:textId="1583005F" w:rsidR="00926014" w:rsidRDefault="00926014" w:rsidP="00926014">
      <w:pPr>
        <w:jc w:val="center"/>
        <w:rPr>
          <w:rFonts w:ascii="Times New Roman" w:hAnsi="Times New Roman" w:cs="Times New Roman"/>
          <w:b/>
          <w:sz w:val="20"/>
          <w:szCs w:val="20"/>
        </w:rPr>
      </w:pPr>
      <w:r>
        <w:rPr>
          <w:noProof/>
          <w:lang w:eastAsia="en-US"/>
        </w:rPr>
        <w:drawing>
          <wp:inline distT="0" distB="0" distL="0" distR="0" wp14:anchorId="7343E78F" wp14:editId="4C00C0E2">
            <wp:extent cx="5943600" cy="3077882"/>
            <wp:effectExtent l="0" t="0" r="0" b="8255"/>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72" cstate="print"/>
                    <a:srcRect b="7215"/>
                    <a:stretch/>
                  </pic:blipFill>
                  <pic:spPr bwMode="auto">
                    <a:xfrm>
                      <a:off x="0" y="0"/>
                      <a:ext cx="5943600" cy="3077882"/>
                    </a:xfrm>
                    <a:prstGeom prst="rect">
                      <a:avLst/>
                    </a:prstGeom>
                    <a:noFill/>
                    <a:ln>
                      <a:noFill/>
                    </a:ln>
                    <a:effectLst/>
                    <a:extLst>
                      <a:ext uri="{53640926-AAD7-44D8-BBD7-CCE9431645EC}">
                        <a14:shadowObscured xmlns:a14="http://schemas.microsoft.com/office/drawing/2010/main"/>
                      </a:ext>
                    </a:extLst>
                  </pic:spPr>
                </pic:pic>
              </a:graphicData>
            </a:graphic>
          </wp:inline>
        </w:drawing>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1: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Ca mixed ANOVA</w:t>
      </w:r>
    </w:p>
    <w:p w14:paraId="107A8BF2" w14:textId="77777777" w:rsidR="00926014" w:rsidRDefault="00926014" w:rsidP="00926014">
      <w:pPr>
        <w:jc w:val="center"/>
        <w:rPr>
          <w:rFonts w:ascii="Times New Roman" w:hAnsi="Times New Roman" w:cs="Times New Roman"/>
          <w:b/>
          <w:sz w:val="20"/>
          <w:szCs w:val="20"/>
        </w:rPr>
      </w:pPr>
    </w:p>
    <w:p w14:paraId="3A2C60B2" w14:textId="5DB20C29" w:rsidR="00926014" w:rsidRDefault="00926014" w:rsidP="00926014">
      <w:pPr>
        <w:jc w:val="center"/>
        <w:rPr>
          <w:rFonts w:ascii="Times New Roman" w:hAnsi="Times New Roman" w:cs="Times New Roman"/>
          <w:b/>
          <w:sz w:val="20"/>
          <w:szCs w:val="20"/>
        </w:rPr>
      </w:pPr>
      <w:r>
        <w:rPr>
          <w:noProof/>
          <w:lang w:eastAsia="en-US"/>
        </w:rPr>
        <w:drawing>
          <wp:inline distT="0" distB="0" distL="0" distR="0" wp14:anchorId="7519E06A" wp14:editId="574B505D">
            <wp:extent cx="5943600" cy="331724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3" cstate="print"/>
                    <a:srcRect/>
                    <a:stretch>
                      <a:fillRect/>
                    </a:stretch>
                  </pic:blipFill>
                  <pic:spPr bwMode="auto">
                    <a:xfrm>
                      <a:off x="0" y="0"/>
                      <a:ext cx="5943600" cy="3317240"/>
                    </a:xfrm>
                    <a:prstGeom prst="rect">
                      <a:avLst/>
                    </a:prstGeom>
                    <a:noFill/>
                    <a:ln w="1">
                      <a:noFill/>
                      <a:miter lim="800000"/>
                      <a:headEnd/>
                      <a:tailEnd type="none" w="med" len="med"/>
                    </a:ln>
                    <a:effectLst/>
                  </pic:spPr>
                </pic:pic>
              </a:graphicData>
            </a:graphic>
          </wp:inline>
        </w:drawing>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2: Q-Q plot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Ca mixed ANOVA</w:t>
      </w:r>
    </w:p>
    <w:p w14:paraId="714E8573" w14:textId="77777777" w:rsidR="00926014" w:rsidRDefault="00926014" w:rsidP="00926014">
      <w:pPr>
        <w:jc w:val="center"/>
        <w:rPr>
          <w:rFonts w:ascii="Times New Roman" w:hAnsi="Times New Roman" w:cs="Times New Roman"/>
          <w:b/>
          <w:sz w:val="20"/>
          <w:szCs w:val="20"/>
        </w:rPr>
      </w:pPr>
    </w:p>
    <w:p w14:paraId="6F173B32" w14:textId="12895DF5" w:rsidR="00926014" w:rsidRDefault="00926014" w:rsidP="00926014">
      <w:pPr>
        <w:jc w:val="center"/>
        <w:rPr>
          <w:rFonts w:ascii="Times New Roman" w:hAnsi="Times New Roman" w:cs="Times New Roman"/>
          <w:b/>
          <w:sz w:val="20"/>
          <w:szCs w:val="20"/>
        </w:rPr>
      </w:pPr>
      <w:r>
        <w:rPr>
          <w:noProof/>
          <w:lang w:eastAsia="en-US"/>
        </w:rPr>
        <w:lastRenderedPageBreak/>
        <w:drawing>
          <wp:inline distT="0" distB="0" distL="0" distR="0" wp14:anchorId="0AE28B67" wp14:editId="51642612">
            <wp:extent cx="5943600" cy="3077882"/>
            <wp:effectExtent l="0" t="0" r="0" b="8255"/>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74" cstate="print"/>
                    <a:srcRect b="7144"/>
                    <a:stretch/>
                  </pic:blipFill>
                  <pic:spPr bwMode="auto">
                    <a:xfrm>
                      <a:off x="0" y="0"/>
                      <a:ext cx="5943600" cy="3077882"/>
                    </a:xfrm>
                    <a:prstGeom prst="rect">
                      <a:avLst/>
                    </a:prstGeom>
                    <a:noFill/>
                    <a:ln>
                      <a:noFill/>
                    </a:ln>
                    <a:effectLst/>
                    <a:extLst>
                      <a:ext uri="{53640926-AAD7-44D8-BBD7-CCE9431645EC}">
                        <a14:shadowObscured xmlns:a14="http://schemas.microsoft.com/office/drawing/2010/main"/>
                      </a:ext>
                    </a:ex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3: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Cd mixed ANOVA</w:t>
      </w:r>
    </w:p>
    <w:p w14:paraId="7F56DF77" w14:textId="5DEDE7CD" w:rsidR="00926014" w:rsidRDefault="00926014" w:rsidP="00926014">
      <w:pPr>
        <w:jc w:val="center"/>
        <w:rPr>
          <w:rFonts w:ascii="Times New Roman" w:hAnsi="Times New Roman" w:cs="Times New Roman"/>
          <w:b/>
          <w:sz w:val="20"/>
          <w:szCs w:val="20"/>
        </w:rPr>
      </w:pPr>
    </w:p>
    <w:p w14:paraId="713BE4B9" w14:textId="3AE64A69" w:rsidR="00926014" w:rsidRDefault="00926014" w:rsidP="00926014">
      <w:pPr>
        <w:jc w:val="center"/>
        <w:rPr>
          <w:rFonts w:ascii="Times New Roman" w:hAnsi="Times New Roman" w:cs="Times New Roman"/>
          <w:b/>
          <w:sz w:val="20"/>
          <w:szCs w:val="20"/>
        </w:rPr>
      </w:pPr>
      <w:r>
        <w:rPr>
          <w:noProof/>
          <w:lang w:eastAsia="en-US"/>
        </w:rPr>
        <w:drawing>
          <wp:inline distT="0" distB="0" distL="0" distR="0" wp14:anchorId="099F3C0B" wp14:editId="2FA84BE3">
            <wp:extent cx="5943600" cy="3314700"/>
            <wp:effectExtent l="0" t="0" r="0" b="0"/>
            <wp:docPr id="6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noChangeArrowheads="1"/>
                    </pic:cNvPicPr>
                  </pic:nvPicPr>
                  <pic:blipFill>
                    <a:blip r:embed="rId75" cstate="print"/>
                    <a:srcRect/>
                    <a:stretch>
                      <a:fillRect/>
                    </a:stretch>
                  </pic:blipFill>
                  <pic:spPr bwMode="auto">
                    <a:xfrm>
                      <a:off x="0" y="0"/>
                      <a:ext cx="5943600" cy="3314700"/>
                    </a:xfrm>
                    <a:prstGeom prst="rect">
                      <a:avLst/>
                    </a:prstGeom>
                    <a:noFill/>
                    <a:ln w="1">
                      <a:noFill/>
                      <a:miter lim="800000"/>
                      <a:headEnd/>
                      <a:tailEnd type="none" w="med" len="med"/>
                    </a:ln>
                    <a:effec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4: Q-Q plot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Cd mixed ANOVA</w:t>
      </w:r>
    </w:p>
    <w:p w14:paraId="6C89DA8D" w14:textId="3E34C610" w:rsidR="00926014" w:rsidRDefault="00926014" w:rsidP="00926014">
      <w:pPr>
        <w:jc w:val="center"/>
        <w:rPr>
          <w:rFonts w:ascii="Times New Roman" w:hAnsi="Times New Roman" w:cs="Times New Roman"/>
          <w:b/>
          <w:sz w:val="20"/>
          <w:szCs w:val="20"/>
        </w:rPr>
      </w:pPr>
    </w:p>
    <w:p w14:paraId="6027B923" w14:textId="2FC15FC8" w:rsidR="00926014" w:rsidRDefault="00926014" w:rsidP="00926014">
      <w:pPr>
        <w:jc w:val="center"/>
        <w:rPr>
          <w:rFonts w:ascii="Times New Roman" w:hAnsi="Times New Roman" w:cs="Times New Roman"/>
          <w:b/>
          <w:sz w:val="20"/>
          <w:szCs w:val="20"/>
        </w:rPr>
      </w:pPr>
      <w:r>
        <w:rPr>
          <w:noProof/>
          <w:lang w:eastAsia="en-US"/>
        </w:rPr>
        <w:lastRenderedPageBreak/>
        <w:drawing>
          <wp:inline distT="0" distB="0" distL="0" distR="0" wp14:anchorId="458D7ED2" wp14:editId="7182BAD3">
            <wp:extent cx="5943600" cy="3089835"/>
            <wp:effectExtent l="0" t="0" r="0" b="0"/>
            <wp:docPr id="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76" cstate="print"/>
                    <a:srcRect b="6730"/>
                    <a:stretch/>
                  </pic:blipFill>
                  <pic:spPr bwMode="auto">
                    <a:xfrm>
                      <a:off x="0" y="0"/>
                      <a:ext cx="5943600" cy="3089835"/>
                    </a:xfrm>
                    <a:prstGeom prst="rect">
                      <a:avLst/>
                    </a:prstGeom>
                    <a:noFill/>
                    <a:ln>
                      <a:noFill/>
                    </a:ln>
                    <a:effectLst/>
                    <a:extLst>
                      <a:ext uri="{53640926-AAD7-44D8-BBD7-CCE9431645EC}">
                        <a14:shadowObscured xmlns:a14="http://schemas.microsoft.com/office/drawing/2010/main"/>
                      </a:ext>
                    </a:ex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ab/>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5: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Fe mixed ANOVA</w:t>
      </w:r>
      <w:r>
        <w:rPr>
          <w:rFonts w:ascii="Times New Roman" w:hAnsi="Times New Roman" w:cs="Times New Roman"/>
          <w:b/>
          <w:sz w:val="20"/>
          <w:szCs w:val="20"/>
        </w:rPr>
        <w:tab/>
      </w:r>
    </w:p>
    <w:p w14:paraId="6364A38F" w14:textId="77777777" w:rsidR="00926014" w:rsidRDefault="00926014" w:rsidP="00926014">
      <w:pPr>
        <w:jc w:val="center"/>
        <w:rPr>
          <w:rFonts w:ascii="Times New Roman" w:hAnsi="Times New Roman" w:cs="Times New Roman"/>
          <w:b/>
          <w:sz w:val="20"/>
          <w:szCs w:val="20"/>
        </w:rPr>
      </w:pPr>
    </w:p>
    <w:p w14:paraId="442CB94E" w14:textId="288459FE" w:rsidR="00926014" w:rsidRDefault="00926014" w:rsidP="00926014">
      <w:pPr>
        <w:jc w:val="center"/>
        <w:rPr>
          <w:rFonts w:ascii="Times New Roman" w:hAnsi="Times New Roman" w:cs="Times New Roman"/>
          <w:b/>
          <w:sz w:val="20"/>
          <w:szCs w:val="20"/>
        </w:rPr>
      </w:pPr>
      <w:r>
        <w:rPr>
          <w:noProof/>
          <w:lang w:eastAsia="en-US"/>
        </w:rPr>
        <w:drawing>
          <wp:inline distT="0" distB="0" distL="0" distR="0" wp14:anchorId="05ACF22D" wp14:editId="08068BEB">
            <wp:extent cx="5943600" cy="3097642"/>
            <wp:effectExtent l="0" t="0" r="0" b="7620"/>
            <wp:docPr id="6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noChangeArrowheads="1"/>
                    </pic:cNvPicPr>
                  </pic:nvPicPr>
                  <pic:blipFill rotWithShape="1">
                    <a:blip r:embed="rId77" cstate="print"/>
                    <a:srcRect t="6495"/>
                    <a:stretch/>
                  </pic:blipFill>
                  <pic:spPr bwMode="auto">
                    <a:xfrm>
                      <a:off x="0" y="0"/>
                      <a:ext cx="5943600" cy="3097642"/>
                    </a:xfrm>
                    <a:prstGeom prst="rect">
                      <a:avLst/>
                    </a:prstGeom>
                    <a:noFill/>
                    <a:ln>
                      <a:noFill/>
                    </a:ln>
                    <a:effectLst/>
                    <a:extLst>
                      <a:ext uri="{53640926-AAD7-44D8-BBD7-CCE9431645EC}">
                        <a14:shadowObscured xmlns:a14="http://schemas.microsoft.com/office/drawing/2010/main"/>
                      </a:ext>
                    </a:ex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6: Q-Q plot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Fe mixed ANOVA</w:t>
      </w:r>
    </w:p>
    <w:p w14:paraId="2D28916E" w14:textId="7AC8D554" w:rsidR="00926014" w:rsidRDefault="00926014" w:rsidP="00926014">
      <w:pPr>
        <w:jc w:val="center"/>
        <w:rPr>
          <w:rFonts w:ascii="Times New Roman" w:hAnsi="Times New Roman" w:cs="Times New Roman"/>
          <w:b/>
          <w:sz w:val="20"/>
          <w:szCs w:val="20"/>
        </w:rPr>
      </w:pPr>
    </w:p>
    <w:p w14:paraId="5B8980CD" w14:textId="787D330C" w:rsidR="00926014" w:rsidRDefault="00926014" w:rsidP="00926014">
      <w:pPr>
        <w:jc w:val="center"/>
        <w:rPr>
          <w:rFonts w:ascii="Times New Roman" w:hAnsi="Times New Roman" w:cs="Times New Roman"/>
          <w:b/>
          <w:sz w:val="20"/>
          <w:szCs w:val="20"/>
        </w:rPr>
      </w:pPr>
      <w:r>
        <w:rPr>
          <w:noProof/>
          <w:lang w:eastAsia="en-US"/>
        </w:rPr>
        <w:lastRenderedPageBreak/>
        <w:drawing>
          <wp:inline distT="0" distB="0" distL="0" distR="0" wp14:anchorId="21E9F020" wp14:editId="003DB0CC">
            <wp:extent cx="5943600" cy="3089835"/>
            <wp:effectExtent l="0" t="0" r="0" b="0"/>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78" cstate="print"/>
                    <a:srcRect b="6855"/>
                    <a:stretch/>
                  </pic:blipFill>
                  <pic:spPr bwMode="auto">
                    <a:xfrm>
                      <a:off x="0" y="0"/>
                      <a:ext cx="5943600" cy="3089835"/>
                    </a:xfrm>
                    <a:prstGeom prst="rect">
                      <a:avLst/>
                    </a:prstGeom>
                    <a:noFill/>
                    <a:ln>
                      <a:noFill/>
                    </a:ln>
                    <a:effectLst/>
                    <a:extLst>
                      <a:ext uri="{53640926-AAD7-44D8-BBD7-CCE9431645EC}">
                        <a14:shadowObscured xmlns:a14="http://schemas.microsoft.com/office/drawing/2010/main"/>
                      </a:ext>
                    </a:ex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7: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K mixed ANOVA</w:t>
      </w:r>
    </w:p>
    <w:p w14:paraId="5489EAA4" w14:textId="267CEF02" w:rsidR="00926014" w:rsidRDefault="00926014" w:rsidP="00926014">
      <w:pPr>
        <w:jc w:val="center"/>
        <w:rPr>
          <w:rFonts w:ascii="Times New Roman" w:hAnsi="Times New Roman" w:cs="Times New Roman"/>
          <w:b/>
          <w:sz w:val="20"/>
          <w:szCs w:val="20"/>
        </w:rPr>
      </w:pPr>
    </w:p>
    <w:p w14:paraId="497B0007" w14:textId="57D98E77" w:rsidR="00926014" w:rsidRDefault="00926014" w:rsidP="00926014">
      <w:pPr>
        <w:jc w:val="center"/>
        <w:rPr>
          <w:rFonts w:ascii="Times New Roman" w:hAnsi="Times New Roman" w:cs="Times New Roman"/>
          <w:b/>
          <w:sz w:val="20"/>
          <w:szCs w:val="20"/>
        </w:rPr>
      </w:pPr>
      <w:r>
        <w:rPr>
          <w:noProof/>
          <w:lang w:eastAsia="en-US"/>
        </w:rPr>
        <w:drawing>
          <wp:inline distT="0" distB="0" distL="0" distR="0" wp14:anchorId="314406BA" wp14:editId="2E71B049">
            <wp:extent cx="5943600" cy="3317240"/>
            <wp:effectExtent l="0" t="0" r="0" b="0"/>
            <wp:docPr id="7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noChangeArrowheads="1"/>
                    </pic:cNvPicPr>
                  </pic:nvPicPr>
                  <pic:blipFill>
                    <a:blip r:embed="rId79" cstate="print"/>
                    <a:srcRect/>
                    <a:stretch>
                      <a:fillRect/>
                    </a:stretch>
                  </pic:blipFill>
                  <pic:spPr bwMode="auto">
                    <a:xfrm>
                      <a:off x="0" y="0"/>
                      <a:ext cx="5943600" cy="3317240"/>
                    </a:xfrm>
                    <a:prstGeom prst="rect">
                      <a:avLst/>
                    </a:prstGeom>
                    <a:noFill/>
                    <a:ln w="1">
                      <a:noFill/>
                      <a:miter lim="800000"/>
                      <a:headEnd/>
                      <a:tailEnd type="none" w="med" len="med"/>
                    </a:ln>
                    <a:effec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8: Q-Q plot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K mixed ANOVA</w:t>
      </w:r>
    </w:p>
    <w:p w14:paraId="657D4DC5" w14:textId="3A60DE7C" w:rsidR="00926014" w:rsidRDefault="00926014" w:rsidP="00926014">
      <w:pPr>
        <w:jc w:val="center"/>
        <w:rPr>
          <w:rFonts w:ascii="Times New Roman" w:hAnsi="Times New Roman" w:cs="Times New Roman"/>
          <w:b/>
          <w:sz w:val="20"/>
          <w:szCs w:val="20"/>
        </w:rPr>
      </w:pPr>
    </w:p>
    <w:p w14:paraId="07C7807F" w14:textId="503B57BA" w:rsidR="00926014" w:rsidRDefault="00926014" w:rsidP="00926014">
      <w:pPr>
        <w:jc w:val="center"/>
        <w:rPr>
          <w:rFonts w:ascii="Times New Roman" w:hAnsi="Times New Roman" w:cs="Times New Roman"/>
          <w:b/>
          <w:sz w:val="20"/>
          <w:szCs w:val="20"/>
        </w:rPr>
      </w:pPr>
      <w:r>
        <w:rPr>
          <w:noProof/>
          <w:lang w:eastAsia="en-US"/>
        </w:rPr>
        <w:lastRenderedPageBreak/>
        <w:drawing>
          <wp:inline distT="0" distB="0" distL="0" distR="0" wp14:anchorId="689668D3" wp14:editId="3336DCF3">
            <wp:extent cx="5943600" cy="3071906"/>
            <wp:effectExtent l="0" t="0" r="0" b="0"/>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80" cstate="print"/>
                    <a:srcRect b="7272"/>
                    <a:stretch/>
                  </pic:blipFill>
                  <pic:spPr bwMode="auto">
                    <a:xfrm>
                      <a:off x="0" y="0"/>
                      <a:ext cx="5943600" cy="3071906"/>
                    </a:xfrm>
                    <a:prstGeom prst="rect">
                      <a:avLst/>
                    </a:prstGeom>
                    <a:noFill/>
                    <a:ln>
                      <a:noFill/>
                    </a:ln>
                    <a:effectLst/>
                    <a:extLst>
                      <a:ext uri="{53640926-AAD7-44D8-BBD7-CCE9431645EC}">
                        <a14:shadowObscured xmlns:a14="http://schemas.microsoft.com/office/drawing/2010/main"/>
                      </a:ext>
                    </a:ex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9: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Mg mixed ANOVA</w:t>
      </w:r>
    </w:p>
    <w:p w14:paraId="6528A591" w14:textId="77777777" w:rsidR="00926014" w:rsidRDefault="00926014" w:rsidP="00926014">
      <w:pPr>
        <w:jc w:val="center"/>
        <w:rPr>
          <w:rFonts w:ascii="Times New Roman" w:hAnsi="Times New Roman" w:cs="Times New Roman"/>
          <w:b/>
          <w:sz w:val="20"/>
          <w:szCs w:val="20"/>
        </w:rPr>
      </w:pPr>
    </w:p>
    <w:p w14:paraId="2885F49D" w14:textId="0FA15503" w:rsidR="00926014" w:rsidRDefault="00926014" w:rsidP="00926014">
      <w:pPr>
        <w:jc w:val="center"/>
        <w:rPr>
          <w:rFonts w:ascii="Times New Roman" w:hAnsi="Times New Roman" w:cs="Times New Roman"/>
          <w:b/>
          <w:sz w:val="20"/>
          <w:szCs w:val="20"/>
        </w:rPr>
      </w:pPr>
      <w:r>
        <w:rPr>
          <w:noProof/>
          <w:lang w:eastAsia="en-US"/>
        </w:rPr>
        <w:drawing>
          <wp:inline distT="0" distB="0" distL="0" distR="0" wp14:anchorId="095E94D6" wp14:editId="54399BE3">
            <wp:extent cx="5943600" cy="3312795"/>
            <wp:effectExtent l="0" t="0" r="0" b="1905"/>
            <wp:docPr id="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noChangeArrowheads="1"/>
                    </pic:cNvPicPr>
                  </pic:nvPicPr>
                  <pic:blipFill>
                    <a:blip r:embed="rId81" cstate="print"/>
                    <a:srcRect/>
                    <a:stretch>
                      <a:fillRect/>
                    </a:stretch>
                  </pic:blipFill>
                  <pic:spPr bwMode="auto">
                    <a:xfrm>
                      <a:off x="0" y="0"/>
                      <a:ext cx="5943600" cy="3312795"/>
                    </a:xfrm>
                    <a:prstGeom prst="rect">
                      <a:avLst/>
                    </a:prstGeom>
                    <a:noFill/>
                    <a:ln w="1">
                      <a:noFill/>
                      <a:miter lim="800000"/>
                      <a:headEnd/>
                      <a:tailEnd type="none" w="med" len="med"/>
                    </a:ln>
                    <a:effec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10: Q-Q plot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Mg mixed ANOVA</w:t>
      </w:r>
    </w:p>
    <w:p w14:paraId="5A8499D7" w14:textId="1DA9779D" w:rsidR="00926014" w:rsidRDefault="00926014" w:rsidP="00926014">
      <w:pPr>
        <w:jc w:val="center"/>
        <w:rPr>
          <w:rFonts w:ascii="Times New Roman" w:hAnsi="Times New Roman" w:cs="Times New Roman"/>
          <w:b/>
          <w:sz w:val="20"/>
          <w:szCs w:val="20"/>
        </w:rPr>
      </w:pPr>
    </w:p>
    <w:p w14:paraId="650D9FB0" w14:textId="3B4710C8" w:rsidR="00926014" w:rsidRDefault="00926014" w:rsidP="00926014">
      <w:pPr>
        <w:jc w:val="center"/>
        <w:rPr>
          <w:rFonts w:ascii="Times New Roman" w:hAnsi="Times New Roman" w:cs="Times New Roman"/>
          <w:b/>
          <w:sz w:val="20"/>
          <w:szCs w:val="20"/>
        </w:rPr>
      </w:pPr>
      <w:r>
        <w:rPr>
          <w:noProof/>
          <w:lang w:eastAsia="en-US"/>
        </w:rPr>
        <w:lastRenderedPageBreak/>
        <w:drawing>
          <wp:inline distT="0" distB="0" distL="0" distR="0" wp14:anchorId="6F297F72" wp14:editId="4EA0A8FD">
            <wp:extent cx="5943600" cy="3059953"/>
            <wp:effectExtent l="0" t="0" r="0" b="7620"/>
            <wp:docPr id="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82" cstate="print"/>
                    <a:srcRect b="7827"/>
                    <a:stretch/>
                  </pic:blipFill>
                  <pic:spPr bwMode="auto">
                    <a:xfrm>
                      <a:off x="0" y="0"/>
                      <a:ext cx="5943600" cy="3059953"/>
                    </a:xfrm>
                    <a:prstGeom prst="rect">
                      <a:avLst/>
                    </a:prstGeom>
                    <a:noFill/>
                    <a:ln>
                      <a:noFill/>
                    </a:ln>
                    <a:effectLst/>
                    <a:extLst>
                      <a:ext uri="{53640926-AAD7-44D8-BBD7-CCE9431645EC}">
                        <a14:shadowObscured xmlns:a14="http://schemas.microsoft.com/office/drawing/2010/main"/>
                      </a:ext>
                    </a:ex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11: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w:t>
      </w:r>
      <w:proofErr w:type="spellStart"/>
      <w:r>
        <w:rPr>
          <w:rFonts w:ascii="Times New Roman" w:hAnsi="Times New Roman" w:cs="Times New Roman"/>
          <w:b/>
          <w:sz w:val="20"/>
          <w:szCs w:val="20"/>
        </w:rPr>
        <w:t>Mn</w:t>
      </w:r>
      <w:proofErr w:type="spellEnd"/>
      <w:r>
        <w:rPr>
          <w:rFonts w:ascii="Times New Roman" w:hAnsi="Times New Roman" w:cs="Times New Roman"/>
          <w:b/>
          <w:sz w:val="20"/>
          <w:szCs w:val="20"/>
        </w:rPr>
        <w:t xml:space="preserve"> mixed ANOVA</w:t>
      </w:r>
    </w:p>
    <w:p w14:paraId="55818719" w14:textId="77777777" w:rsidR="00926014" w:rsidRDefault="00926014" w:rsidP="00926014">
      <w:pPr>
        <w:jc w:val="center"/>
        <w:rPr>
          <w:rFonts w:ascii="Times New Roman" w:hAnsi="Times New Roman" w:cs="Times New Roman"/>
          <w:b/>
          <w:sz w:val="20"/>
          <w:szCs w:val="20"/>
        </w:rPr>
      </w:pPr>
    </w:p>
    <w:p w14:paraId="041BB3AD" w14:textId="305BA771" w:rsidR="00926014" w:rsidRDefault="00926014" w:rsidP="00926014">
      <w:pPr>
        <w:jc w:val="center"/>
        <w:rPr>
          <w:rFonts w:ascii="Times New Roman" w:hAnsi="Times New Roman" w:cs="Times New Roman"/>
          <w:b/>
          <w:sz w:val="20"/>
          <w:szCs w:val="20"/>
        </w:rPr>
      </w:pPr>
      <w:r>
        <w:rPr>
          <w:noProof/>
          <w:lang w:eastAsia="en-US"/>
        </w:rPr>
        <w:drawing>
          <wp:inline distT="0" distB="0" distL="0" distR="0" wp14:anchorId="2DF127A3" wp14:editId="68AC2B7A">
            <wp:extent cx="5943600" cy="3319780"/>
            <wp:effectExtent l="0" t="0" r="0" b="0"/>
            <wp:docPr id="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noChangeArrowheads="1"/>
                    </pic:cNvPicPr>
                  </pic:nvPicPr>
                  <pic:blipFill>
                    <a:blip r:embed="rId83" cstate="print"/>
                    <a:srcRect/>
                    <a:stretch>
                      <a:fillRect/>
                    </a:stretch>
                  </pic:blipFill>
                  <pic:spPr bwMode="auto">
                    <a:xfrm>
                      <a:off x="0" y="0"/>
                      <a:ext cx="5943600" cy="3319780"/>
                    </a:xfrm>
                    <a:prstGeom prst="rect">
                      <a:avLst/>
                    </a:prstGeom>
                    <a:noFill/>
                    <a:ln w="1">
                      <a:noFill/>
                      <a:miter lim="800000"/>
                      <a:headEnd/>
                      <a:tailEnd type="none" w="med" len="med"/>
                    </a:ln>
                    <a:effec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12: Q-Q plot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w:t>
      </w:r>
      <w:proofErr w:type="spellStart"/>
      <w:r>
        <w:rPr>
          <w:rFonts w:ascii="Times New Roman" w:hAnsi="Times New Roman" w:cs="Times New Roman"/>
          <w:b/>
          <w:sz w:val="20"/>
          <w:szCs w:val="20"/>
        </w:rPr>
        <w:t>Mn</w:t>
      </w:r>
      <w:proofErr w:type="spellEnd"/>
      <w:r>
        <w:rPr>
          <w:rFonts w:ascii="Times New Roman" w:hAnsi="Times New Roman" w:cs="Times New Roman"/>
          <w:b/>
          <w:sz w:val="20"/>
          <w:szCs w:val="20"/>
        </w:rPr>
        <w:t xml:space="preserve"> mixed ANOVA</w:t>
      </w:r>
    </w:p>
    <w:p w14:paraId="411E322D" w14:textId="76762833" w:rsidR="00926014" w:rsidRDefault="00926014" w:rsidP="00926014">
      <w:pPr>
        <w:jc w:val="center"/>
        <w:rPr>
          <w:rFonts w:ascii="Times New Roman" w:hAnsi="Times New Roman" w:cs="Times New Roman"/>
          <w:b/>
          <w:sz w:val="20"/>
          <w:szCs w:val="20"/>
        </w:rPr>
      </w:pPr>
    </w:p>
    <w:p w14:paraId="2617F874" w14:textId="47336B46" w:rsidR="00926014" w:rsidRDefault="00926014" w:rsidP="00926014">
      <w:pPr>
        <w:jc w:val="center"/>
        <w:rPr>
          <w:rFonts w:ascii="Times New Roman" w:hAnsi="Times New Roman" w:cs="Times New Roman"/>
          <w:b/>
          <w:sz w:val="20"/>
          <w:szCs w:val="20"/>
        </w:rPr>
      </w:pPr>
      <w:r>
        <w:rPr>
          <w:noProof/>
          <w:lang w:eastAsia="en-US"/>
        </w:rPr>
        <w:lastRenderedPageBreak/>
        <w:drawing>
          <wp:inline distT="0" distB="0" distL="0" distR="0" wp14:anchorId="2CD186E9" wp14:editId="0985DA65">
            <wp:extent cx="5943600" cy="3083859"/>
            <wp:effectExtent l="0" t="0" r="0" b="2540"/>
            <wp:docPr id="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84" cstate="print"/>
                    <a:srcRect b="6911"/>
                    <a:stretch/>
                  </pic:blipFill>
                  <pic:spPr bwMode="auto">
                    <a:xfrm>
                      <a:off x="0" y="0"/>
                      <a:ext cx="5943600" cy="3083859"/>
                    </a:xfrm>
                    <a:prstGeom prst="rect">
                      <a:avLst/>
                    </a:prstGeom>
                    <a:noFill/>
                    <a:ln>
                      <a:noFill/>
                    </a:ln>
                    <a:effectLst/>
                    <a:extLst>
                      <a:ext uri="{53640926-AAD7-44D8-BBD7-CCE9431645EC}">
                        <a14:shadowObscured xmlns:a14="http://schemas.microsoft.com/office/drawing/2010/main"/>
                      </a:ext>
                    </a:ex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13: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Ni mixed ANOVA</w:t>
      </w:r>
    </w:p>
    <w:p w14:paraId="110561F5" w14:textId="77777777" w:rsidR="00926014" w:rsidRDefault="00926014" w:rsidP="00926014">
      <w:pPr>
        <w:jc w:val="center"/>
        <w:rPr>
          <w:rFonts w:ascii="Times New Roman" w:hAnsi="Times New Roman" w:cs="Times New Roman"/>
          <w:b/>
          <w:sz w:val="20"/>
          <w:szCs w:val="20"/>
        </w:rPr>
      </w:pPr>
    </w:p>
    <w:p w14:paraId="0A342DDD" w14:textId="1AA73260" w:rsidR="00926014" w:rsidRDefault="00926014" w:rsidP="00926014">
      <w:pPr>
        <w:jc w:val="center"/>
        <w:rPr>
          <w:rFonts w:ascii="Times New Roman" w:hAnsi="Times New Roman" w:cs="Times New Roman"/>
          <w:b/>
          <w:sz w:val="20"/>
          <w:szCs w:val="20"/>
        </w:rPr>
      </w:pPr>
      <w:r>
        <w:rPr>
          <w:noProof/>
          <w:lang w:eastAsia="en-US"/>
        </w:rPr>
        <w:drawing>
          <wp:inline distT="0" distB="0" distL="0" distR="0" wp14:anchorId="25EFC964" wp14:editId="0A0C79DB">
            <wp:extent cx="5943600" cy="3312795"/>
            <wp:effectExtent l="0" t="0" r="0" b="1905"/>
            <wp:docPr id="7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noChangeArrowheads="1"/>
                    </pic:cNvPicPr>
                  </pic:nvPicPr>
                  <pic:blipFill>
                    <a:blip r:embed="rId85" cstate="print"/>
                    <a:srcRect/>
                    <a:stretch>
                      <a:fillRect/>
                    </a:stretch>
                  </pic:blipFill>
                  <pic:spPr bwMode="auto">
                    <a:xfrm>
                      <a:off x="0" y="0"/>
                      <a:ext cx="5943600" cy="3312795"/>
                    </a:xfrm>
                    <a:prstGeom prst="rect">
                      <a:avLst/>
                    </a:prstGeom>
                    <a:noFill/>
                    <a:ln w="1">
                      <a:noFill/>
                      <a:miter lim="800000"/>
                      <a:headEnd/>
                      <a:tailEnd type="none" w="med" len="med"/>
                    </a:ln>
                    <a:effec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14: Q-Q plot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Ni mixed ANOVA</w:t>
      </w:r>
    </w:p>
    <w:p w14:paraId="300CC3DC" w14:textId="2020D09D" w:rsidR="00926014" w:rsidRDefault="00926014" w:rsidP="00926014">
      <w:pPr>
        <w:jc w:val="center"/>
        <w:rPr>
          <w:rFonts w:ascii="Times New Roman" w:hAnsi="Times New Roman" w:cs="Times New Roman"/>
          <w:b/>
          <w:sz w:val="20"/>
          <w:szCs w:val="20"/>
        </w:rPr>
      </w:pPr>
    </w:p>
    <w:p w14:paraId="5D074E36" w14:textId="1B444D77" w:rsidR="00926014" w:rsidRDefault="00926014" w:rsidP="00926014">
      <w:pPr>
        <w:jc w:val="center"/>
        <w:rPr>
          <w:rFonts w:ascii="Times New Roman" w:hAnsi="Times New Roman" w:cs="Times New Roman"/>
          <w:b/>
          <w:sz w:val="20"/>
          <w:szCs w:val="20"/>
        </w:rPr>
      </w:pPr>
      <w:r>
        <w:rPr>
          <w:noProof/>
          <w:lang w:eastAsia="en-US"/>
        </w:rPr>
        <w:lastRenderedPageBreak/>
        <w:drawing>
          <wp:inline distT="0" distB="0" distL="0" distR="0" wp14:anchorId="7761F069" wp14:editId="3C917B6C">
            <wp:extent cx="5943600" cy="3053976"/>
            <wp:effectExtent l="0" t="0" r="0" b="0"/>
            <wp:docPr id="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86" cstate="print"/>
                    <a:srcRect b="7812"/>
                    <a:stretch/>
                  </pic:blipFill>
                  <pic:spPr bwMode="auto">
                    <a:xfrm>
                      <a:off x="0" y="0"/>
                      <a:ext cx="5943600" cy="3053976"/>
                    </a:xfrm>
                    <a:prstGeom prst="rect">
                      <a:avLst/>
                    </a:prstGeom>
                    <a:noFill/>
                    <a:ln>
                      <a:noFill/>
                    </a:ln>
                    <a:effectLst/>
                    <a:extLst>
                      <a:ext uri="{53640926-AAD7-44D8-BBD7-CCE9431645EC}">
                        <a14:shadowObscured xmlns:a14="http://schemas.microsoft.com/office/drawing/2010/main"/>
                      </a:ext>
                    </a:ex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15: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w:t>
      </w:r>
      <w:proofErr w:type="spellStart"/>
      <w:r>
        <w:rPr>
          <w:rFonts w:ascii="Times New Roman" w:hAnsi="Times New Roman" w:cs="Times New Roman"/>
          <w:b/>
          <w:sz w:val="20"/>
          <w:szCs w:val="20"/>
        </w:rPr>
        <w:t>Pb</w:t>
      </w:r>
      <w:proofErr w:type="spellEnd"/>
      <w:r>
        <w:rPr>
          <w:rFonts w:ascii="Times New Roman" w:hAnsi="Times New Roman" w:cs="Times New Roman"/>
          <w:b/>
          <w:sz w:val="20"/>
          <w:szCs w:val="20"/>
        </w:rPr>
        <w:t xml:space="preserve"> mixed ANOVA</w:t>
      </w:r>
    </w:p>
    <w:p w14:paraId="1BAB8C78" w14:textId="2EDD35B3" w:rsidR="00926014" w:rsidRDefault="00926014" w:rsidP="00926014">
      <w:pPr>
        <w:jc w:val="center"/>
        <w:rPr>
          <w:rFonts w:ascii="Times New Roman" w:hAnsi="Times New Roman" w:cs="Times New Roman"/>
          <w:b/>
          <w:sz w:val="20"/>
          <w:szCs w:val="20"/>
        </w:rPr>
      </w:pPr>
    </w:p>
    <w:p w14:paraId="44CB02F5" w14:textId="265C97BD" w:rsidR="00926014" w:rsidRDefault="00926014" w:rsidP="00926014">
      <w:pPr>
        <w:jc w:val="center"/>
        <w:rPr>
          <w:rFonts w:ascii="Times New Roman" w:hAnsi="Times New Roman" w:cs="Times New Roman"/>
          <w:b/>
          <w:sz w:val="20"/>
          <w:szCs w:val="20"/>
        </w:rPr>
      </w:pPr>
      <w:r>
        <w:rPr>
          <w:noProof/>
          <w:lang w:eastAsia="en-US"/>
        </w:rPr>
        <w:drawing>
          <wp:inline distT="0" distB="0" distL="0" distR="0" wp14:anchorId="3B8888EE" wp14:editId="2A74E4FA">
            <wp:extent cx="5943600" cy="3312795"/>
            <wp:effectExtent l="0" t="0" r="0" b="1905"/>
            <wp:docPr id="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noChangeArrowheads="1"/>
                    </pic:cNvPicPr>
                  </pic:nvPicPr>
                  <pic:blipFill>
                    <a:blip r:embed="rId87" cstate="print"/>
                    <a:srcRect/>
                    <a:stretch>
                      <a:fillRect/>
                    </a:stretch>
                  </pic:blipFill>
                  <pic:spPr bwMode="auto">
                    <a:xfrm>
                      <a:off x="0" y="0"/>
                      <a:ext cx="5943600" cy="3312795"/>
                    </a:xfrm>
                    <a:prstGeom prst="rect">
                      <a:avLst/>
                    </a:prstGeom>
                    <a:noFill/>
                    <a:ln w="1">
                      <a:noFill/>
                      <a:miter lim="800000"/>
                      <a:headEnd/>
                      <a:tailEnd type="none" w="med" len="med"/>
                    </a:ln>
                    <a:effec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16: Q-Q plot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w:t>
      </w:r>
      <w:proofErr w:type="spellStart"/>
      <w:r>
        <w:rPr>
          <w:rFonts w:ascii="Times New Roman" w:hAnsi="Times New Roman" w:cs="Times New Roman"/>
          <w:b/>
          <w:sz w:val="20"/>
          <w:szCs w:val="20"/>
        </w:rPr>
        <w:t>Pb</w:t>
      </w:r>
      <w:proofErr w:type="spellEnd"/>
      <w:r>
        <w:rPr>
          <w:rFonts w:ascii="Times New Roman" w:hAnsi="Times New Roman" w:cs="Times New Roman"/>
          <w:b/>
          <w:sz w:val="20"/>
          <w:szCs w:val="20"/>
        </w:rPr>
        <w:t xml:space="preserve"> mixed ANOVA</w:t>
      </w:r>
    </w:p>
    <w:p w14:paraId="799F8EA4" w14:textId="5F0AC731" w:rsidR="00926014" w:rsidRDefault="00926014" w:rsidP="00926014">
      <w:pPr>
        <w:jc w:val="center"/>
        <w:rPr>
          <w:rFonts w:ascii="Times New Roman" w:hAnsi="Times New Roman" w:cs="Times New Roman"/>
          <w:b/>
          <w:sz w:val="20"/>
          <w:szCs w:val="20"/>
        </w:rPr>
      </w:pPr>
    </w:p>
    <w:p w14:paraId="33E63DF5" w14:textId="4935E867" w:rsidR="00926014" w:rsidRDefault="00926014" w:rsidP="00926014">
      <w:pPr>
        <w:jc w:val="center"/>
        <w:rPr>
          <w:rFonts w:ascii="Times New Roman" w:hAnsi="Times New Roman" w:cs="Times New Roman"/>
          <w:b/>
          <w:sz w:val="20"/>
          <w:szCs w:val="20"/>
        </w:rPr>
      </w:pPr>
      <w:r>
        <w:rPr>
          <w:noProof/>
          <w:lang w:eastAsia="en-US"/>
        </w:rPr>
        <w:lastRenderedPageBreak/>
        <w:drawing>
          <wp:inline distT="0" distB="0" distL="0" distR="0" wp14:anchorId="3CBF97A6" wp14:editId="30E44AF5">
            <wp:extent cx="5943600" cy="3065929"/>
            <wp:effectExtent l="0" t="0" r="0" b="1270"/>
            <wp:docPr id="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88" cstate="print"/>
                    <a:srcRect b="7310"/>
                    <a:stretch/>
                  </pic:blipFill>
                  <pic:spPr bwMode="auto">
                    <a:xfrm>
                      <a:off x="0" y="0"/>
                      <a:ext cx="5943600" cy="3065929"/>
                    </a:xfrm>
                    <a:prstGeom prst="rect">
                      <a:avLst/>
                    </a:prstGeom>
                    <a:noFill/>
                    <a:ln>
                      <a:noFill/>
                    </a:ln>
                    <a:effectLst/>
                    <a:extLst>
                      <a:ext uri="{53640926-AAD7-44D8-BBD7-CCE9431645EC}">
                        <a14:shadowObscured xmlns:a14="http://schemas.microsoft.com/office/drawing/2010/main"/>
                      </a:ext>
                    </a:ex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17: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S mixed ANOVA</w:t>
      </w:r>
    </w:p>
    <w:p w14:paraId="61810F61" w14:textId="3BDD8838" w:rsidR="00926014" w:rsidRDefault="00926014" w:rsidP="00926014">
      <w:pPr>
        <w:jc w:val="center"/>
        <w:rPr>
          <w:rFonts w:ascii="Times New Roman" w:hAnsi="Times New Roman" w:cs="Times New Roman"/>
          <w:b/>
          <w:sz w:val="20"/>
          <w:szCs w:val="20"/>
        </w:rPr>
      </w:pPr>
    </w:p>
    <w:p w14:paraId="72A0A1BD" w14:textId="78D278FA" w:rsidR="00926014" w:rsidRDefault="00926014" w:rsidP="00926014">
      <w:pPr>
        <w:jc w:val="center"/>
        <w:rPr>
          <w:rFonts w:ascii="Times New Roman" w:hAnsi="Times New Roman" w:cs="Times New Roman"/>
          <w:b/>
          <w:sz w:val="20"/>
          <w:szCs w:val="20"/>
        </w:rPr>
      </w:pPr>
      <w:r>
        <w:rPr>
          <w:noProof/>
          <w:lang w:eastAsia="en-US"/>
        </w:rPr>
        <w:drawing>
          <wp:inline distT="0" distB="0" distL="0" distR="0" wp14:anchorId="69A6C9B6" wp14:editId="0061F336">
            <wp:extent cx="5943600" cy="3307715"/>
            <wp:effectExtent l="0" t="0" r="0" b="6985"/>
            <wp:docPr id="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noChangeArrowheads="1"/>
                    </pic:cNvPicPr>
                  </pic:nvPicPr>
                  <pic:blipFill>
                    <a:blip r:embed="rId89" cstate="print"/>
                    <a:srcRect/>
                    <a:stretch>
                      <a:fillRect/>
                    </a:stretch>
                  </pic:blipFill>
                  <pic:spPr bwMode="auto">
                    <a:xfrm>
                      <a:off x="0" y="0"/>
                      <a:ext cx="5943600" cy="3307715"/>
                    </a:xfrm>
                    <a:prstGeom prst="rect">
                      <a:avLst/>
                    </a:prstGeom>
                    <a:noFill/>
                    <a:ln w="1">
                      <a:noFill/>
                      <a:miter lim="800000"/>
                      <a:headEnd/>
                      <a:tailEnd type="none" w="med" len="med"/>
                    </a:ln>
                    <a:effec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375B31">
        <w:rPr>
          <w:rFonts w:ascii="Times New Roman" w:hAnsi="Times New Roman" w:cs="Times New Roman"/>
          <w:b/>
          <w:sz w:val="20"/>
          <w:szCs w:val="20"/>
        </w:rPr>
        <w:t>.</w:t>
      </w:r>
      <w:r>
        <w:rPr>
          <w:rFonts w:ascii="Times New Roman" w:hAnsi="Times New Roman" w:cs="Times New Roman"/>
          <w:b/>
          <w:sz w:val="20"/>
          <w:szCs w:val="20"/>
        </w:rPr>
        <w:t xml:space="preserve">18: Q-Q plot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S mixed ANOVA</w:t>
      </w:r>
    </w:p>
    <w:p w14:paraId="5E469EBE" w14:textId="4C7CC538" w:rsidR="00926014" w:rsidRDefault="00926014" w:rsidP="00926014">
      <w:pPr>
        <w:jc w:val="center"/>
        <w:rPr>
          <w:rFonts w:ascii="Times New Roman" w:hAnsi="Times New Roman" w:cs="Times New Roman"/>
          <w:b/>
          <w:sz w:val="20"/>
          <w:szCs w:val="20"/>
        </w:rPr>
      </w:pPr>
    </w:p>
    <w:p w14:paraId="281AC359" w14:textId="34B0AC65" w:rsidR="00926014" w:rsidRDefault="00926014" w:rsidP="00926014">
      <w:pPr>
        <w:jc w:val="center"/>
        <w:rPr>
          <w:rFonts w:ascii="Times New Roman" w:hAnsi="Times New Roman" w:cs="Times New Roman"/>
          <w:b/>
          <w:sz w:val="20"/>
          <w:szCs w:val="20"/>
        </w:rPr>
      </w:pPr>
      <w:r>
        <w:rPr>
          <w:noProof/>
          <w:lang w:eastAsia="en-US"/>
        </w:rPr>
        <w:lastRenderedPageBreak/>
        <w:drawing>
          <wp:inline distT="0" distB="0" distL="0" distR="0" wp14:anchorId="34CFC6E8" wp14:editId="5E808493">
            <wp:extent cx="5943600" cy="3083859"/>
            <wp:effectExtent l="0" t="0" r="0" b="2540"/>
            <wp:docPr id="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90" cstate="print"/>
                    <a:srcRect b="7000"/>
                    <a:stretch/>
                  </pic:blipFill>
                  <pic:spPr bwMode="auto">
                    <a:xfrm>
                      <a:off x="0" y="0"/>
                      <a:ext cx="5943600" cy="3083859"/>
                    </a:xfrm>
                    <a:prstGeom prst="rect">
                      <a:avLst/>
                    </a:prstGeom>
                    <a:noFill/>
                    <a:ln>
                      <a:noFill/>
                    </a:ln>
                    <a:effectLst/>
                    <a:extLst>
                      <a:ext uri="{53640926-AAD7-44D8-BBD7-CCE9431645EC}">
                        <a14:shadowObscured xmlns:a14="http://schemas.microsoft.com/office/drawing/2010/main"/>
                      </a:ext>
                    </a:ex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Figure C</w:t>
      </w:r>
      <w:r w:rsidR="00375B31">
        <w:rPr>
          <w:rFonts w:ascii="Times New Roman" w:hAnsi="Times New Roman" w:cs="Times New Roman"/>
          <w:b/>
          <w:sz w:val="20"/>
          <w:szCs w:val="20"/>
        </w:rPr>
        <w:t>.</w:t>
      </w:r>
      <w:r>
        <w:rPr>
          <w:rFonts w:ascii="Times New Roman" w:hAnsi="Times New Roman" w:cs="Times New Roman"/>
          <w:b/>
          <w:sz w:val="20"/>
          <w:szCs w:val="20"/>
        </w:rPr>
        <w:t xml:space="preserve">19: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Zn mixed ANOVA</w:t>
      </w:r>
    </w:p>
    <w:p w14:paraId="12A5752D" w14:textId="77777777" w:rsidR="00926014" w:rsidRDefault="00926014" w:rsidP="00926014">
      <w:pPr>
        <w:jc w:val="center"/>
        <w:rPr>
          <w:rFonts w:ascii="Times New Roman" w:hAnsi="Times New Roman" w:cs="Times New Roman"/>
          <w:b/>
          <w:sz w:val="20"/>
          <w:szCs w:val="20"/>
        </w:rPr>
      </w:pPr>
    </w:p>
    <w:p w14:paraId="6CB37EA5" w14:textId="092447C1" w:rsidR="00926014" w:rsidRDefault="00926014" w:rsidP="00926014">
      <w:pPr>
        <w:jc w:val="center"/>
        <w:rPr>
          <w:rFonts w:ascii="Times New Roman" w:hAnsi="Times New Roman" w:cs="Times New Roman"/>
          <w:b/>
          <w:sz w:val="20"/>
          <w:szCs w:val="20"/>
        </w:rPr>
      </w:pPr>
      <w:r>
        <w:rPr>
          <w:noProof/>
          <w:lang w:eastAsia="en-US"/>
        </w:rPr>
        <w:drawing>
          <wp:inline distT="0" distB="0" distL="0" distR="0" wp14:anchorId="4AA411B6" wp14:editId="3707A602">
            <wp:extent cx="5943600" cy="3315970"/>
            <wp:effectExtent l="0" t="0" r="0" b="0"/>
            <wp:docPr id="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noChangeArrowheads="1"/>
                    </pic:cNvPicPr>
                  </pic:nvPicPr>
                  <pic:blipFill>
                    <a:blip r:embed="rId91" cstate="print"/>
                    <a:srcRect/>
                    <a:stretch>
                      <a:fillRect/>
                    </a:stretch>
                  </pic:blipFill>
                  <pic:spPr bwMode="auto">
                    <a:xfrm>
                      <a:off x="0" y="0"/>
                      <a:ext cx="5943600" cy="3315970"/>
                    </a:xfrm>
                    <a:prstGeom prst="rect">
                      <a:avLst/>
                    </a:prstGeom>
                    <a:noFill/>
                    <a:ln w="1">
                      <a:noFill/>
                      <a:miter lim="800000"/>
                      <a:headEnd/>
                      <a:tailEnd type="none" w="med" len="med"/>
                    </a:ln>
                    <a:effectLst/>
                  </pic:spPr>
                </pic:pic>
              </a:graphicData>
            </a:graphic>
          </wp:inline>
        </w:drawing>
      </w:r>
      <w:r w:rsidRPr="00926014">
        <w:rPr>
          <w:rFonts w:ascii="Times New Roman" w:hAnsi="Times New Roman" w:cs="Times New Roman"/>
          <w:b/>
          <w:sz w:val="20"/>
          <w:szCs w:val="20"/>
        </w:rPr>
        <w:t xml:space="preserve"> </w:t>
      </w:r>
      <w:r>
        <w:rPr>
          <w:rFonts w:ascii="Times New Roman" w:hAnsi="Times New Roman" w:cs="Times New Roman"/>
          <w:b/>
          <w:sz w:val="20"/>
          <w:szCs w:val="20"/>
        </w:rPr>
        <w:t xml:space="preserve">Figure </w:t>
      </w:r>
      <w:r w:rsidR="00933477">
        <w:rPr>
          <w:rFonts w:ascii="Times New Roman" w:hAnsi="Times New Roman" w:cs="Times New Roman"/>
          <w:b/>
          <w:sz w:val="20"/>
          <w:szCs w:val="20"/>
        </w:rPr>
        <w:t>C.2</w:t>
      </w:r>
      <w:r>
        <w:rPr>
          <w:rFonts w:ascii="Times New Roman" w:hAnsi="Times New Roman" w:cs="Times New Roman"/>
          <w:b/>
          <w:sz w:val="20"/>
          <w:szCs w:val="20"/>
        </w:rPr>
        <w:t xml:space="preserve">0: Q-Q plot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corn Zn mixed ANOVA</w:t>
      </w:r>
    </w:p>
    <w:p w14:paraId="48BC1337" w14:textId="111E18A4" w:rsidR="00926014" w:rsidRDefault="00926014" w:rsidP="00926014">
      <w:pPr>
        <w:jc w:val="center"/>
        <w:rPr>
          <w:rFonts w:ascii="Times New Roman" w:hAnsi="Times New Roman" w:cs="Times New Roman"/>
          <w:b/>
          <w:sz w:val="20"/>
          <w:szCs w:val="20"/>
        </w:rPr>
      </w:pPr>
    </w:p>
    <w:p w14:paraId="53866335" w14:textId="77777777" w:rsidR="00926014" w:rsidRDefault="00926014" w:rsidP="00926014">
      <w:pPr>
        <w:jc w:val="center"/>
        <w:rPr>
          <w:rFonts w:ascii="Times New Roman" w:hAnsi="Times New Roman" w:cs="Times New Roman"/>
          <w:b/>
          <w:sz w:val="20"/>
          <w:szCs w:val="20"/>
        </w:rPr>
      </w:pPr>
    </w:p>
    <w:p w14:paraId="6598BA39" w14:textId="77777777" w:rsidR="00926014" w:rsidRDefault="00926014" w:rsidP="00926014">
      <w:pPr>
        <w:jc w:val="center"/>
        <w:rPr>
          <w:rFonts w:ascii="Times New Roman" w:hAnsi="Times New Roman" w:cs="Times New Roman"/>
          <w:b/>
          <w:sz w:val="20"/>
          <w:szCs w:val="20"/>
        </w:rPr>
      </w:pPr>
    </w:p>
    <w:p w14:paraId="28DA00E3" w14:textId="32BF0469" w:rsidR="00926014" w:rsidRDefault="00926014" w:rsidP="00926014">
      <w:pPr>
        <w:tabs>
          <w:tab w:val="center" w:pos="4680"/>
          <w:tab w:val="left" w:pos="8386"/>
        </w:tabs>
        <w:rPr>
          <w:rFonts w:ascii="Times New Roman" w:hAnsi="Times New Roman" w:cs="Times New Roman"/>
          <w:b/>
          <w:sz w:val="20"/>
          <w:szCs w:val="20"/>
        </w:rPr>
      </w:pPr>
    </w:p>
    <w:p w14:paraId="36445AD8" w14:textId="13B7CC11" w:rsidR="00926014" w:rsidRDefault="00E37389" w:rsidP="00926014">
      <w:pPr>
        <w:jc w:val="center"/>
        <w:rPr>
          <w:rFonts w:ascii="Times New Roman" w:hAnsi="Times New Roman" w:cs="Times New Roman"/>
          <w:b/>
          <w:sz w:val="20"/>
          <w:szCs w:val="20"/>
        </w:rPr>
      </w:pPr>
      <w:r>
        <w:rPr>
          <w:noProof/>
          <w:lang w:eastAsia="en-US"/>
        </w:rPr>
        <w:drawing>
          <wp:inline distT="0" distB="0" distL="0" distR="0" wp14:anchorId="51BC3923" wp14:editId="74BCC446">
            <wp:extent cx="5943600" cy="3059953"/>
            <wp:effectExtent l="0" t="0" r="0" b="7620"/>
            <wp:docPr id="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noChangeArrowheads="1"/>
                    </pic:cNvPicPr>
                  </pic:nvPicPr>
                  <pic:blipFill rotWithShape="1">
                    <a:blip r:embed="rId92" cstate="print"/>
                    <a:srcRect b="7597"/>
                    <a:stretch/>
                  </pic:blipFill>
                  <pic:spPr bwMode="auto">
                    <a:xfrm>
                      <a:off x="0" y="0"/>
                      <a:ext cx="5943600" cy="3059953"/>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C.2</w:t>
      </w:r>
      <w:r w:rsidR="00926014">
        <w:rPr>
          <w:rFonts w:ascii="Times New Roman" w:hAnsi="Times New Roman" w:cs="Times New Roman"/>
          <w:b/>
          <w:sz w:val="20"/>
          <w:szCs w:val="20"/>
        </w:rPr>
        <w:t xml:space="preserve">1: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Ca mixed ANOVA</w:t>
      </w:r>
    </w:p>
    <w:p w14:paraId="08C2B96E" w14:textId="77777777" w:rsidR="00290B6B" w:rsidRDefault="00290B6B" w:rsidP="00926014">
      <w:pPr>
        <w:jc w:val="center"/>
        <w:rPr>
          <w:rFonts w:ascii="Times New Roman" w:hAnsi="Times New Roman" w:cs="Times New Roman"/>
          <w:b/>
          <w:sz w:val="20"/>
          <w:szCs w:val="20"/>
        </w:rPr>
      </w:pPr>
    </w:p>
    <w:p w14:paraId="775DF35F" w14:textId="170E43A6" w:rsidR="00926014" w:rsidRDefault="00E37389" w:rsidP="00926014">
      <w:pPr>
        <w:jc w:val="center"/>
        <w:rPr>
          <w:rFonts w:ascii="Times New Roman" w:hAnsi="Times New Roman" w:cs="Times New Roman"/>
          <w:b/>
          <w:sz w:val="20"/>
          <w:szCs w:val="20"/>
        </w:rPr>
      </w:pPr>
      <w:r>
        <w:rPr>
          <w:noProof/>
          <w:lang w:eastAsia="en-US"/>
        </w:rPr>
        <w:drawing>
          <wp:inline distT="0" distB="0" distL="0" distR="0" wp14:anchorId="721E704A" wp14:editId="1A9C5BF0">
            <wp:extent cx="5943600" cy="3102348"/>
            <wp:effectExtent l="0" t="0" r="0" b="3175"/>
            <wp:docPr id="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rotWithShape="1">
                    <a:blip r:embed="rId93" cstate="print"/>
                    <a:srcRect t="6317"/>
                    <a:stretch/>
                  </pic:blipFill>
                  <pic:spPr bwMode="auto">
                    <a:xfrm>
                      <a:off x="0" y="0"/>
                      <a:ext cx="5943600" cy="3102348"/>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C.2</w:t>
      </w:r>
      <w:r w:rsidR="00926014">
        <w:rPr>
          <w:rFonts w:ascii="Times New Roman" w:hAnsi="Times New Roman" w:cs="Times New Roman"/>
          <w:b/>
          <w:sz w:val="20"/>
          <w:szCs w:val="20"/>
        </w:rPr>
        <w:t xml:space="preserve">2: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Ca mixed ANOVA</w:t>
      </w:r>
    </w:p>
    <w:p w14:paraId="6A4E7AB8" w14:textId="2C40F5D4" w:rsidR="00926014" w:rsidRDefault="00E37389" w:rsidP="00926014">
      <w:pPr>
        <w:jc w:val="center"/>
        <w:rPr>
          <w:rFonts w:ascii="Times New Roman" w:hAnsi="Times New Roman" w:cs="Times New Roman"/>
          <w:b/>
          <w:sz w:val="20"/>
          <w:szCs w:val="20"/>
        </w:rPr>
      </w:pPr>
      <w:r>
        <w:rPr>
          <w:noProof/>
          <w:lang w:eastAsia="en-US"/>
        </w:rPr>
        <w:lastRenderedPageBreak/>
        <w:drawing>
          <wp:inline distT="0" distB="0" distL="0" distR="0" wp14:anchorId="48927A87" wp14:editId="611F68C5">
            <wp:extent cx="5943600" cy="3059953"/>
            <wp:effectExtent l="0" t="0" r="0" b="7620"/>
            <wp:docPr id="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94" cstate="print"/>
                    <a:srcRect b="7473"/>
                    <a:stretch/>
                  </pic:blipFill>
                  <pic:spPr bwMode="auto">
                    <a:xfrm>
                      <a:off x="0" y="0"/>
                      <a:ext cx="5943600" cy="3059953"/>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C.2</w:t>
      </w:r>
      <w:r w:rsidR="00926014">
        <w:rPr>
          <w:rFonts w:ascii="Times New Roman" w:hAnsi="Times New Roman" w:cs="Times New Roman"/>
          <w:b/>
          <w:sz w:val="20"/>
          <w:szCs w:val="20"/>
        </w:rPr>
        <w:t xml:space="preserve">3: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Cd mixed ANOVA</w:t>
      </w:r>
    </w:p>
    <w:p w14:paraId="31505826" w14:textId="77777777" w:rsidR="00290B6B" w:rsidRDefault="00290B6B" w:rsidP="00926014">
      <w:pPr>
        <w:jc w:val="center"/>
        <w:rPr>
          <w:rFonts w:ascii="Times New Roman" w:hAnsi="Times New Roman" w:cs="Times New Roman"/>
          <w:b/>
          <w:sz w:val="20"/>
          <w:szCs w:val="20"/>
        </w:rPr>
      </w:pPr>
    </w:p>
    <w:p w14:paraId="5FC6E4BF" w14:textId="14AD94CA" w:rsidR="00926014" w:rsidRDefault="00E37389" w:rsidP="00926014">
      <w:pPr>
        <w:jc w:val="center"/>
        <w:rPr>
          <w:rFonts w:ascii="Times New Roman" w:hAnsi="Times New Roman" w:cs="Times New Roman"/>
          <w:b/>
          <w:sz w:val="20"/>
          <w:szCs w:val="20"/>
        </w:rPr>
      </w:pPr>
      <w:r>
        <w:rPr>
          <w:noProof/>
          <w:lang w:eastAsia="en-US"/>
        </w:rPr>
        <w:drawing>
          <wp:inline distT="0" distB="0" distL="0" distR="0" wp14:anchorId="0295D6AA" wp14:editId="14D2BDEA">
            <wp:extent cx="5943600" cy="3307080"/>
            <wp:effectExtent l="0" t="0" r="0" b="7620"/>
            <wp:docPr id="1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95" cstate="print"/>
                    <a:srcRect/>
                    <a:stretch>
                      <a:fillRect/>
                    </a:stretch>
                  </pic:blipFill>
                  <pic:spPr bwMode="auto">
                    <a:xfrm>
                      <a:off x="0" y="0"/>
                      <a:ext cx="5943600" cy="3307080"/>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C.2</w:t>
      </w:r>
      <w:r w:rsidR="00926014">
        <w:rPr>
          <w:rFonts w:ascii="Times New Roman" w:hAnsi="Times New Roman" w:cs="Times New Roman"/>
          <w:b/>
          <w:sz w:val="20"/>
          <w:szCs w:val="20"/>
        </w:rPr>
        <w:t xml:space="preserve">4: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Cd mixed ANOVA</w:t>
      </w:r>
    </w:p>
    <w:p w14:paraId="6C424F8C" w14:textId="2CF2A9E2" w:rsidR="00926014" w:rsidRDefault="00E37389" w:rsidP="00926014">
      <w:pPr>
        <w:jc w:val="center"/>
        <w:rPr>
          <w:rFonts w:ascii="Times New Roman" w:hAnsi="Times New Roman" w:cs="Times New Roman"/>
          <w:b/>
          <w:sz w:val="20"/>
          <w:szCs w:val="20"/>
        </w:rPr>
      </w:pPr>
      <w:r>
        <w:rPr>
          <w:noProof/>
          <w:lang w:eastAsia="en-US"/>
        </w:rPr>
        <w:lastRenderedPageBreak/>
        <w:drawing>
          <wp:inline distT="0" distB="0" distL="0" distR="0" wp14:anchorId="50F4F3CD" wp14:editId="293D12A3">
            <wp:extent cx="5943600" cy="3065929"/>
            <wp:effectExtent l="0" t="0" r="0" b="1270"/>
            <wp:docPr id="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96" cstate="print"/>
                    <a:srcRect b="7221"/>
                    <a:stretch/>
                  </pic:blipFill>
                  <pic:spPr bwMode="auto">
                    <a:xfrm>
                      <a:off x="0" y="0"/>
                      <a:ext cx="5943600" cy="3065929"/>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C.2</w:t>
      </w:r>
      <w:r w:rsidR="00926014">
        <w:rPr>
          <w:rFonts w:ascii="Times New Roman" w:hAnsi="Times New Roman" w:cs="Times New Roman"/>
          <w:b/>
          <w:sz w:val="20"/>
          <w:szCs w:val="20"/>
        </w:rPr>
        <w:t xml:space="preserve">5: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Fe mixed ANOVA</w:t>
      </w:r>
    </w:p>
    <w:p w14:paraId="72528391" w14:textId="77777777" w:rsidR="00290B6B" w:rsidRDefault="00290B6B" w:rsidP="00926014">
      <w:pPr>
        <w:jc w:val="center"/>
        <w:rPr>
          <w:rFonts w:ascii="Times New Roman" w:hAnsi="Times New Roman" w:cs="Times New Roman"/>
          <w:b/>
          <w:sz w:val="20"/>
          <w:szCs w:val="20"/>
        </w:rPr>
      </w:pPr>
    </w:p>
    <w:p w14:paraId="46F297BC" w14:textId="70C7B06E" w:rsidR="00926014" w:rsidRDefault="00E37389" w:rsidP="00926014">
      <w:pPr>
        <w:jc w:val="center"/>
        <w:rPr>
          <w:rFonts w:ascii="Times New Roman" w:hAnsi="Times New Roman" w:cs="Times New Roman"/>
          <w:b/>
          <w:sz w:val="20"/>
          <w:szCs w:val="20"/>
        </w:rPr>
      </w:pPr>
      <w:r>
        <w:rPr>
          <w:noProof/>
          <w:lang w:eastAsia="en-US"/>
        </w:rPr>
        <w:drawing>
          <wp:inline distT="0" distB="0" distL="0" distR="0" wp14:anchorId="7215BB0E" wp14:editId="2ECD64CF">
            <wp:extent cx="5943600" cy="3304540"/>
            <wp:effectExtent l="0" t="0" r="0" b="0"/>
            <wp:docPr id="1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97" cstate="print"/>
                    <a:srcRect/>
                    <a:stretch>
                      <a:fillRect/>
                    </a:stretch>
                  </pic:blipFill>
                  <pic:spPr bwMode="auto">
                    <a:xfrm>
                      <a:off x="0" y="0"/>
                      <a:ext cx="5943600" cy="3304540"/>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C.2</w:t>
      </w:r>
      <w:r w:rsidR="00926014">
        <w:rPr>
          <w:rFonts w:ascii="Times New Roman" w:hAnsi="Times New Roman" w:cs="Times New Roman"/>
          <w:b/>
          <w:sz w:val="20"/>
          <w:szCs w:val="20"/>
        </w:rPr>
        <w:t xml:space="preserve">6: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Fe mixed ANOVA</w:t>
      </w:r>
    </w:p>
    <w:p w14:paraId="63B3D419" w14:textId="1CAB72DF" w:rsidR="00926014" w:rsidRDefault="00E37389" w:rsidP="00926014">
      <w:pPr>
        <w:jc w:val="center"/>
        <w:rPr>
          <w:rFonts w:ascii="Times New Roman" w:hAnsi="Times New Roman" w:cs="Times New Roman"/>
          <w:b/>
          <w:sz w:val="20"/>
          <w:szCs w:val="20"/>
        </w:rPr>
      </w:pPr>
      <w:r>
        <w:rPr>
          <w:noProof/>
          <w:lang w:eastAsia="en-US"/>
        </w:rPr>
        <w:lastRenderedPageBreak/>
        <w:drawing>
          <wp:inline distT="0" distB="0" distL="0" distR="0" wp14:anchorId="5C6C4162" wp14:editId="04F08D4B">
            <wp:extent cx="5943600" cy="3059953"/>
            <wp:effectExtent l="0" t="0" r="0" b="7620"/>
            <wp:docPr id="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98" cstate="print"/>
                    <a:srcRect b="7473"/>
                    <a:stretch/>
                  </pic:blipFill>
                  <pic:spPr bwMode="auto">
                    <a:xfrm>
                      <a:off x="0" y="0"/>
                      <a:ext cx="5943600" cy="3059953"/>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C.2</w:t>
      </w:r>
      <w:r w:rsidR="00926014">
        <w:rPr>
          <w:rFonts w:ascii="Times New Roman" w:hAnsi="Times New Roman" w:cs="Times New Roman"/>
          <w:b/>
          <w:sz w:val="20"/>
          <w:szCs w:val="20"/>
        </w:rPr>
        <w:t xml:space="preserve">7: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K mixed ANOVA</w:t>
      </w:r>
    </w:p>
    <w:p w14:paraId="628E42BE" w14:textId="77777777" w:rsidR="00290B6B" w:rsidRDefault="00290B6B" w:rsidP="00926014">
      <w:pPr>
        <w:jc w:val="center"/>
        <w:rPr>
          <w:rFonts w:ascii="Times New Roman" w:hAnsi="Times New Roman" w:cs="Times New Roman"/>
          <w:b/>
          <w:sz w:val="20"/>
          <w:szCs w:val="20"/>
        </w:rPr>
      </w:pPr>
    </w:p>
    <w:p w14:paraId="04DCA3E5" w14:textId="7ADDE9C1" w:rsidR="00926014" w:rsidRDefault="00E37389" w:rsidP="00926014">
      <w:pPr>
        <w:jc w:val="center"/>
        <w:rPr>
          <w:rFonts w:ascii="Times New Roman" w:hAnsi="Times New Roman" w:cs="Times New Roman"/>
          <w:b/>
          <w:sz w:val="20"/>
          <w:szCs w:val="20"/>
        </w:rPr>
      </w:pPr>
      <w:r>
        <w:rPr>
          <w:noProof/>
          <w:lang w:eastAsia="en-US"/>
        </w:rPr>
        <w:drawing>
          <wp:inline distT="0" distB="0" distL="0" distR="0" wp14:anchorId="4BB01C31" wp14:editId="54DF0F5C">
            <wp:extent cx="5943600" cy="3307080"/>
            <wp:effectExtent l="0" t="0" r="0" b="7620"/>
            <wp:docPr id="1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99" cstate="print"/>
                    <a:srcRect/>
                    <a:stretch>
                      <a:fillRect/>
                    </a:stretch>
                  </pic:blipFill>
                  <pic:spPr bwMode="auto">
                    <a:xfrm>
                      <a:off x="0" y="0"/>
                      <a:ext cx="5943600" cy="3307080"/>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C.2</w:t>
      </w:r>
      <w:r w:rsidR="00926014">
        <w:rPr>
          <w:rFonts w:ascii="Times New Roman" w:hAnsi="Times New Roman" w:cs="Times New Roman"/>
          <w:b/>
          <w:sz w:val="20"/>
          <w:szCs w:val="20"/>
        </w:rPr>
        <w:t xml:space="preserve">8: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K mixed ANOVA</w:t>
      </w:r>
    </w:p>
    <w:p w14:paraId="1F882F62" w14:textId="56A261EA" w:rsidR="00926014" w:rsidRDefault="00E37389" w:rsidP="00926014">
      <w:pPr>
        <w:jc w:val="center"/>
        <w:rPr>
          <w:rFonts w:ascii="Times New Roman" w:hAnsi="Times New Roman" w:cs="Times New Roman"/>
          <w:b/>
          <w:sz w:val="20"/>
          <w:szCs w:val="20"/>
        </w:rPr>
      </w:pPr>
      <w:r>
        <w:rPr>
          <w:noProof/>
          <w:lang w:eastAsia="en-US"/>
        </w:rPr>
        <w:lastRenderedPageBreak/>
        <w:drawing>
          <wp:inline distT="0" distB="0" distL="0" distR="0" wp14:anchorId="3DFE40D9" wp14:editId="7FC82E69">
            <wp:extent cx="5943600" cy="3083859"/>
            <wp:effectExtent l="0" t="0" r="0" b="2540"/>
            <wp:docPr id="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100" cstate="print"/>
                    <a:srcRect b="6875"/>
                    <a:stretch/>
                  </pic:blipFill>
                  <pic:spPr bwMode="auto">
                    <a:xfrm>
                      <a:off x="0" y="0"/>
                      <a:ext cx="5943600" cy="3083859"/>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C.2</w:t>
      </w:r>
      <w:r w:rsidR="00926014">
        <w:rPr>
          <w:rFonts w:ascii="Times New Roman" w:hAnsi="Times New Roman" w:cs="Times New Roman"/>
          <w:b/>
          <w:sz w:val="20"/>
          <w:szCs w:val="20"/>
        </w:rPr>
        <w:t xml:space="preserve">9: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Mg mixed ANOVA</w:t>
      </w:r>
    </w:p>
    <w:p w14:paraId="06A3509D" w14:textId="77777777" w:rsidR="00290B6B" w:rsidRDefault="00290B6B" w:rsidP="00926014">
      <w:pPr>
        <w:jc w:val="center"/>
        <w:rPr>
          <w:rFonts w:ascii="Times New Roman" w:hAnsi="Times New Roman" w:cs="Times New Roman"/>
          <w:b/>
          <w:sz w:val="20"/>
          <w:szCs w:val="20"/>
        </w:rPr>
      </w:pPr>
    </w:p>
    <w:p w14:paraId="468E7601" w14:textId="5E2A647A" w:rsidR="00926014" w:rsidRDefault="00E37389" w:rsidP="00926014">
      <w:pPr>
        <w:jc w:val="center"/>
        <w:rPr>
          <w:rFonts w:ascii="Times New Roman" w:hAnsi="Times New Roman" w:cs="Times New Roman"/>
          <w:b/>
          <w:sz w:val="20"/>
          <w:szCs w:val="20"/>
        </w:rPr>
      </w:pPr>
      <w:r>
        <w:rPr>
          <w:noProof/>
          <w:lang w:eastAsia="en-US"/>
        </w:rPr>
        <w:drawing>
          <wp:inline distT="0" distB="0" distL="0" distR="0" wp14:anchorId="109918EC" wp14:editId="299BDF5A">
            <wp:extent cx="5943600" cy="3311525"/>
            <wp:effectExtent l="0" t="0" r="0" b="3175"/>
            <wp:docPr id="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noChangeArrowheads="1"/>
                    </pic:cNvPicPr>
                  </pic:nvPicPr>
                  <pic:blipFill>
                    <a:blip r:embed="rId101" cstate="print"/>
                    <a:srcRect/>
                    <a:stretch>
                      <a:fillRect/>
                    </a:stretch>
                  </pic:blipFill>
                  <pic:spPr bwMode="auto">
                    <a:xfrm>
                      <a:off x="0" y="0"/>
                      <a:ext cx="5943600" cy="3311525"/>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C.3</w:t>
      </w:r>
      <w:r w:rsidR="00926014">
        <w:rPr>
          <w:rFonts w:ascii="Times New Roman" w:hAnsi="Times New Roman" w:cs="Times New Roman"/>
          <w:b/>
          <w:sz w:val="20"/>
          <w:szCs w:val="20"/>
        </w:rPr>
        <w:t xml:space="preserve">0: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Mg mixed ANOVA</w:t>
      </w:r>
    </w:p>
    <w:p w14:paraId="72750E64" w14:textId="77777777" w:rsidR="00290B6B" w:rsidRDefault="00E37389" w:rsidP="00926014">
      <w:pPr>
        <w:jc w:val="center"/>
        <w:rPr>
          <w:rFonts w:ascii="Times New Roman" w:hAnsi="Times New Roman" w:cs="Times New Roman"/>
          <w:b/>
          <w:sz w:val="20"/>
          <w:szCs w:val="20"/>
        </w:rPr>
      </w:pPr>
      <w:r>
        <w:rPr>
          <w:noProof/>
          <w:lang w:eastAsia="en-US"/>
        </w:rPr>
        <w:lastRenderedPageBreak/>
        <w:drawing>
          <wp:inline distT="0" distB="0" distL="0" distR="0" wp14:anchorId="5D293999" wp14:editId="67E5B59C">
            <wp:extent cx="4470400" cy="3035935"/>
            <wp:effectExtent l="0" t="0" r="6350" b="0"/>
            <wp:docPr id="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102" cstate="print"/>
                    <a:srcRect r="24784" b="8319"/>
                    <a:stretch/>
                  </pic:blipFill>
                  <pic:spPr bwMode="auto">
                    <a:xfrm>
                      <a:off x="0" y="0"/>
                      <a:ext cx="4470565" cy="3036047"/>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6251CF11" w14:textId="6E2E562C" w:rsidR="00926014" w:rsidRDefault="00926014" w:rsidP="00926014">
      <w:pPr>
        <w:jc w:val="center"/>
        <w:rPr>
          <w:rFonts w:ascii="Times New Roman" w:hAnsi="Times New Roman" w:cs="Times New Roman"/>
          <w:b/>
          <w:sz w:val="20"/>
          <w:szCs w:val="20"/>
        </w:rPr>
      </w:pPr>
      <w:r>
        <w:rPr>
          <w:rFonts w:ascii="Times New Roman" w:hAnsi="Times New Roman" w:cs="Times New Roman"/>
          <w:b/>
          <w:sz w:val="20"/>
          <w:szCs w:val="20"/>
        </w:rPr>
        <w:t xml:space="preserve">Figure </w:t>
      </w:r>
      <w:r w:rsidR="00933477">
        <w:rPr>
          <w:rFonts w:ascii="Times New Roman" w:hAnsi="Times New Roman" w:cs="Times New Roman"/>
          <w:b/>
          <w:sz w:val="20"/>
          <w:szCs w:val="20"/>
        </w:rPr>
        <w:t>C.3</w:t>
      </w:r>
      <w:r>
        <w:rPr>
          <w:rFonts w:ascii="Times New Roman" w:hAnsi="Times New Roman" w:cs="Times New Roman"/>
          <w:b/>
          <w:sz w:val="20"/>
          <w:szCs w:val="20"/>
        </w:rPr>
        <w:t xml:space="preserve">1: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sorghum </w:t>
      </w:r>
      <w:proofErr w:type="spellStart"/>
      <w:r>
        <w:rPr>
          <w:rFonts w:ascii="Times New Roman" w:hAnsi="Times New Roman" w:cs="Times New Roman"/>
          <w:b/>
          <w:sz w:val="20"/>
          <w:szCs w:val="20"/>
        </w:rPr>
        <w:t>Mn</w:t>
      </w:r>
      <w:proofErr w:type="spellEnd"/>
      <w:r>
        <w:rPr>
          <w:rFonts w:ascii="Times New Roman" w:hAnsi="Times New Roman" w:cs="Times New Roman"/>
          <w:b/>
          <w:sz w:val="20"/>
          <w:szCs w:val="20"/>
        </w:rPr>
        <w:t xml:space="preserve"> mixed ANOVA</w:t>
      </w:r>
    </w:p>
    <w:p w14:paraId="4258457E" w14:textId="77777777" w:rsidR="00290B6B" w:rsidRDefault="00290B6B" w:rsidP="00926014">
      <w:pPr>
        <w:jc w:val="center"/>
        <w:rPr>
          <w:rFonts w:ascii="Times New Roman" w:hAnsi="Times New Roman" w:cs="Times New Roman"/>
          <w:b/>
          <w:sz w:val="20"/>
          <w:szCs w:val="20"/>
        </w:rPr>
      </w:pPr>
    </w:p>
    <w:p w14:paraId="77819CAF" w14:textId="3A29320D" w:rsidR="00926014" w:rsidRDefault="00E37389" w:rsidP="00926014">
      <w:pPr>
        <w:jc w:val="center"/>
        <w:rPr>
          <w:rFonts w:ascii="Times New Roman" w:hAnsi="Times New Roman" w:cs="Times New Roman"/>
          <w:b/>
          <w:sz w:val="20"/>
          <w:szCs w:val="20"/>
        </w:rPr>
      </w:pPr>
      <w:r>
        <w:rPr>
          <w:noProof/>
          <w:lang w:eastAsia="en-US"/>
        </w:rPr>
        <w:drawing>
          <wp:inline distT="0" distB="0" distL="0" distR="0" wp14:anchorId="0A0E3C3B" wp14:editId="1A89DF72">
            <wp:extent cx="5943600" cy="3311525"/>
            <wp:effectExtent l="0" t="0" r="0" b="3175"/>
            <wp:docPr id="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noChangeArrowheads="1"/>
                    </pic:cNvPicPr>
                  </pic:nvPicPr>
                  <pic:blipFill>
                    <a:blip r:embed="rId103" cstate="print"/>
                    <a:srcRect/>
                    <a:stretch>
                      <a:fillRect/>
                    </a:stretch>
                  </pic:blipFill>
                  <pic:spPr bwMode="auto">
                    <a:xfrm>
                      <a:off x="0" y="0"/>
                      <a:ext cx="5943600" cy="3311525"/>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C.3</w:t>
      </w:r>
      <w:r w:rsidR="00926014">
        <w:rPr>
          <w:rFonts w:ascii="Times New Roman" w:hAnsi="Times New Roman" w:cs="Times New Roman"/>
          <w:b/>
          <w:sz w:val="20"/>
          <w:szCs w:val="20"/>
        </w:rPr>
        <w:t xml:space="preserve">2: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w:t>
      </w:r>
      <w:proofErr w:type="spellStart"/>
      <w:r w:rsidR="00926014">
        <w:rPr>
          <w:rFonts w:ascii="Times New Roman" w:hAnsi="Times New Roman" w:cs="Times New Roman"/>
          <w:b/>
          <w:sz w:val="20"/>
          <w:szCs w:val="20"/>
        </w:rPr>
        <w:t>Mn</w:t>
      </w:r>
      <w:proofErr w:type="spellEnd"/>
      <w:r w:rsidR="00926014">
        <w:rPr>
          <w:rFonts w:ascii="Times New Roman" w:hAnsi="Times New Roman" w:cs="Times New Roman"/>
          <w:b/>
          <w:sz w:val="20"/>
          <w:szCs w:val="20"/>
        </w:rPr>
        <w:t xml:space="preserve"> mixed ANOVA</w:t>
      </w:r>
    </w:p>
    <w:p w14:paraId="5B2A927C" w14:textId="0465F6FB" w:rsidR="00926014" w:rsidRDefault="00E37389" w:rsidP="00926014">
      <w:pPr>
        <w:jc w:val="center"/>
        <w:rPr>
          <w:rFonts w:ascii="Times New Roman" w:hAnsi="Times New Roman" w:cs="Times New Roman"/>
          <w:b/>
          <w:sz w:val="20"/>
          <w:szCs w:val="20"/>
        </w:rPr>
      </w:pPr>
      <w:r>
        <w:rPr>
          <w:noProof/>
          <w:lang w:eastAsia="en-US"/>
        </w:rPr>
        <w:lastRenderedPageBreak/>
        <w:drawing>
          <wp:inline distT="0" distB="0" distL="0" distR="0" wp14:anchorId="109D4CAA" wp14:editId="77010FEB">
            <wp:extent cx="5943600" cy="3048000"/>
            <wp:effectExtent l="0" t="0" r="0" b="0"/>
            <wp:docPr id="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04" cstate="print"/>
                    <a:srcRect b="7746"/>
                    <a:stretch/>
                  </pic:blipFill>
                  <pic:spPr bwMode="auto">
                    <a:xfrm>
                      <a:off x="0" y="0"/>
                      <a:ext cx="5943600" cy="3048000"/>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C.3</w:t>
      </w:r>
      <w:r w:rsidR="00926014">
        <w:rPr>
          <w:rFonts w:ascii="Times New Roman" w:hAnsi="Times New Roman" w:cs="Times New Roman"/>
          <w:b/>
          <w:sz w:val="20"/>
          <w:szCs w:val="20"/>
        </w:rPr>
        <w:t xml:space="preserve">3: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Ni mixed ANOVA</w:t>
      </w:r>
    </w:p>
    <w:p w14:paraId="4F6EBDED" w14:textId="77777777" w:rsidR="00290B6B" w:rsidRDefault="00290B6B" w:rsidP="00926014">
      <w:pPr>
        <w:jc w:val="center"/>
        <w:rPr>
          <w:rFonts w:ascii="Times New Roman" w:hAnsi="Times New Roman" w:cs="Times New Roman"/>
          <w:b/>
          <w:sz w:val="20"/>
          <w:szCs w:val="20"/>
        </w:rPr>
      </w:pPr>
    </w:p>
    <w:p w14:paraId="0B4279F0" w14:textId="3B663F22" w:rsidR="00926014" w:rsidRDefault="00E37389" w:rsidP="00926014">
      <w:pPr>
        <w:jc w:val="center"/>
        <w:rPr>
          <w:rFonts w:ascii="Times New Roman" w:hAnsi="Times New Roman" w:cs="Times New Roman"/>
          <w:b/>
          <w:sz w:val="20"/>
          <w:szCs w:val="20"/>
        </w:rPr>
      </w:pPr>
      <w:r>
        <w:rPr>
          <w:noProof/>
          <w:lang w:eastAsia="en-US"/>
        </w:rPr>
        <w:drawing>
          <wp:inline distT="0" distB="0" distL="0" distR="0" wp14:anchorId="1D7B280A" wp14:editId="590E77FF">
            <wp:extent cx="5943600" cy="3303905"/>
            <wp:effectExtent l="0" t="0" r="0" b="0"/>
            <wp:docPr id="1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105" cstate="print"/>
                    <a:srcRect/>
                    <a:stretch>
                      <a:fillRect/>
                    </a:stretch>
                  </pic:blipFill>
                  <pic:spPr bwMode="auto">
                    <a:xfrm>
                      <a:off x="0" y="0"/>
                      <a:ext cx="5943600" cy="3303905"/>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C.3</w:t>
      </w:r>
      <w:r w:rsidR="00926014">
        <w:rPr>
          <w:rFonts w:ascii="Times New Roman" w:hAnsi="Times New Roman" w:cs="Times New Roman"/>
          <w:b/>
          <w:sz w:val="20"/>
          <w:szCs w:val="20"/>
        </w:rPr>
        <w:t xml:space="preserve">4: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Ni mixed ANOVA</w:t>
      </w:r>
    </w:p>
    <w:p w14:paraId="104CAC54" w14:textId="3A1358B3" w:rsidR="00926014" w:rsidRDefault="00E37389" w:rsidP="00926014">
      <w:pPr>
        <w:jc w:val="center"/>
        <w:rPr>
          <w:rFonts w:ascii="Times New Roman" w:hAnsi="Times New Roman" w:cs="Times New Roman"/>
          <w:b/>
          <w:sz w:val="20"/>
          <w:szCs w:val="20"/>
        </w:rPr>
      </w:pPr>
      <w:r>
        <w:rPr>
          <w:noProof/>
          <w:lang w:eastAsia="en-US"/>
        </w:rPr>
        <w:lastRenderedPageBreak/>
        <w:drawing>
          <wp:inline distT="0" distB="0" distL="0" distR="0" wp14:anchorId="63D9B37D" wp14:editId="2A0ED458">
            <wp:extent cx="5943600" cy="3077882"/>
            <wp:effectExtent l="0" t="0" r="0" b="8255"/>
            <wp:docPr id="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106" cstate="print"/>
                    <a:srcRect b="7055"/>
                    <a:stretch/>
                  </pic:blipFill>
                  <pic:spPr bwMode="auto">
                    <a:xfrm>
                      <a:off x="0" y="0"/>
                      <a:ext cx="5943600" cy="3077882"/>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C.3</w:t>
      </w:r>
      <w:r w:rsidR="00926014">
        <w:rPr>
          <w:rFonts w:ascii="Times New Roman" w:hAnsi="Times New Roman" w:cs="Times New Roman"/>
          <w:b/>
          <w:sz w:val="20"/>
          <w:szCs w:val="20"/>
        </w:rPr>
        <w:t xml:space="preserve">5: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w:t>
      </w:r>
      <w:proofErr w:type="spellStart"/>
      <w:r w:rsidR="00926014">
        <w:rPr>
          <w:rFonts w:ascii="Times New Roman" w:hAnsi="Times New Roman" w:cs="Times New Roman"/>
          <w:b/>
          <w:sz w:val="20"/>
          <w:szCs w:val="20"/>
        </w:rPr>
        <w:t>Pb</w:t>
      </w:r>
      <w:proofErr w:type="spellEnd"/>
      <w:r w:rsidR="00926014">
        <w:rPr>
          <w:rFonts w:ascii="Times New Roman" w:hAnsi="Times New Roman" w:cs="Times New Roman"/>
          <w:b/>
          <w:sz w:val="20"/>
          <w:szCs w:val="20"/>
        </w:rPr>
        <w:t xml:space="preserve"> mixed ANOVA</w:t>
      </w:r>
    </w:p>
    <w:p w14:paraId="66790E0E" w14:textId="77777777" w:rsidR="00290B6B" w:rsidRDefault="00290B6B" w:rsidP="00926014">
      <w:pPr>
        <w:jc w:val="center"/>
        <w:rPr>
          <w:rFonts w:ascii="Times New Roman" w:hAnsi="Times New Roman" w:cs="Times New Roman"/>
          <w:b/>
          <w:sz w:val="20"/>
          <w:szCs w:val="20"/>
        </w:rPr>
      </w:pPr>
    </w:p>
    <w:p w14:paraId="687BD892" w14:textId="64283740" w:rsidR="00926014" w:rsidRDefault="00E37389" w:rsidP="00926014">
      <w:pPr>
        <w:jc w:val="center"/>
        <w:rPr>
          <w:rFonts w:ascii="Times New Roman" w:hAnsi="Times New Roman" w:cs="Times New Roman"/>
          <w:b/>
          <w:sz w:val="20"/>
          <w:szCs w:val="20"/>
        </w:rPr>
      </w:pPr>
      <w:r>
        <w:rPr>
          <w:noProof/>
          <w:lang w:eastAsia="en-US"/>
        </w:rPr>
        <w:drawing>
          <wp:inline distT="0" distB="0" distL="0" distR="0" wp14:anchorId="103E2FC5" wp14:editId="0A24173B">
            <wp:extent cx="5943600" cy="3311525"/>
            <wp:effectExtent l="0" t="0" r="0" b="3175"/>
            <wp:docPr id="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noChangeArrowheads="1"/>
                    </pic:cNvPicPr>
                  </pic:nvPicPr>
                  <pic:blipFill>
                    <a:blip r:embed="rId107" cstate="print"/>
                    <a:srcRect/>
                    <a:stretch>
                      <a:fillRect/>
                    </a:stretch>
                  </pic:blipFill>
                  <pic:spPr bwMode="auto">
                    <a:xfrm>
                      <a:off x="0" y="0"/>
                      <a:ext cx="5943600" cy="3311525"/>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C.3</w:t>
      </w:r>
      <w:r w:rsidR="00926014">
        <w:rPr>
          <w:rFonts w:ascii="Times New Roman" w:hAnsi="Times New Roman" w:cs="Times New Roman"/>
          <w:b/>
          <w:sz w:val="20"/>
          <w:szCs w:val="20"/>
        </w:rPr>
        <w:t xml:space="preserve">6: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w:t>
      </w:r>
      <w:proofErr w:type="spellStart"/>
      <w:r w:rsidR="00926014">
        <w:rPr>
          <w:rFonts w:ascii="Times New Roman" w:hAnsi="Times New Roman" w:cs="Times New Roman"/>
          <w:b/>
          <w:sz w:val="20"/>
          <w:szCs w:val="20"/>
        </w:rPr>
        <w:t>Pb</w:t>
      </w:r>
      <w:proofErr w:type="spellEnd"/>
      <w:r w:rsidR="00926014">
        <w:rPr>
          <w:rFonts w:ascii="Times New Roman" w:hAnsi="Times New Roman" w:cs="Times New Roman"/>
          <w:b/>
          <w:sz w:val="20"/>
          <w:szCs w:val="20"/>
        </w:rPr>
        <w:t xml:space="preserve"> mixed ANOVA</w:t>
      </w:r>
    </w:p>
    <w:p w14:paraId="723052DF" w14:textId="285E8FA9" w:rsidR="00926014" w:rsidRDefault="00E37389" w:rsidP="00926014">
      <w:pPr>
        <w:jc w:val="center"/>
        <w:rPr>
          <w:rFonts w:ascii="Times New Roman" w:hAnsi="Times New Roman" w:cs="Times New Roman"/>
          <w:b/>
          <w:sz w:val="20"/>
          <w:szCs w:val="20"/>
        </w:rPr>
      </w:pPr>
      <w:r>
        <w:rPr>
          <w:noProof/>
          <w:lang w:eastAsia="en-US"/>
        </w:rPr>
        <w:lastRenderedPageBreak/>
        <w:drawing>
          <wp:inline distT="0" distB="0" distL="0" distR="0" wp14:anchorId="325840B6" wp14:editId="7FDE1617">
            <wp:extent cx="5943600" cy="3059953"/>
            <wp:effectExtent l="0" t="0" r="0" b="7620"/>
            <wp:docPr id="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08" cstate="print"/>
                    <a:srcRect b="7756"/>
                    <a:stretch/>
                  </pic:blipFill>
                  <pic:spPr bwMode="auto">
                    <a:xfrm>
                      <a:off x="0" y="0"/>
                      <a:ext cx="5943600" cy="3059953"/>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C.3</w:t>
      </w:r>
      <w:r w:rsidR="00926014">
        <w:rPr>
          <w:rFonts w:ascii="Times New Roman" w:hAnsi="Times New Roman" w:cs="Times New Roman"/>
          <w:b/>
          <w:sz w:val="20"/>
          <w:szCs w:val="20"/>
        </w:rPr>
        <w:t xml:space="preserve">7: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S mixed ANOVA</w:t>
      </w:r>
    </w:p>
    <w:p w14:paraId="4D1D0A93" w14:textId="77777777" w:rsidR="00290B6B" w:rsidRDefault="00290B6B" w:rsidP="00926014">
      <w:pPr>
        <w:jc w:val="center"/>
        <w:rPr>
          <w:rFonts w:ascii="Times New Roman" w:hAnsi="Times New Roman" w:cs="Times New Roman"/>
          <w:b/>
          <w:sz w:val="20"/>
          <w:szCs w:val="20"/>
        </w:rPr>
      </w:pPr>
    </w:p>
    <w:p w14:paraId="42E81C30" w14:textId="545F7BE2" w:rsidR="00926014" w:rsidRDefault="00E37389" w:rsidP="00926014">
      <w:pPr>
        <w:jc w:val="center"/>
        <w:rPr>
          <w:rFonts w:ascii="Times New Roman" w:hAnsi="Times New Roman" w:cs="Times New Roman"/>
          <w:b/>
          <w:sz w:val="20"/>
          <w:szCs w:val="20"/>
        </w:rPr>
      </w:pPr>
      <w:r>
        <w:rPr>
          <w:noProof/>
          <w:lang w:eastAsia="en-US"/>
        </w:rPr>
        <w:drawing>
          <wp:inline distT="0" distB="0" distL="0" distR="0" wp14:anchorId="66426403" wp14:editId="2CA1112C">
            <wp:extent cx="5943600" cy="3317240"/>
            <wp:effectExtent l="0" t="0" r="0" b="0"/>
            <wp:docPr id="1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109" cstate="print"/>
                    <a:srcRect/>
                    <a:stretch>
                      <a:fillRect/>
                    </a:stretch>
                  </pic:blipFill>
                  <pic:spPr bwMode="auto">
                    <a:xfrm>
                      <a:off x="0" y="0"/>
                      <a:ext cx="5943600" cy="3317240"/>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C.3</w:t>
      </w:r>
      <w:r w:rsidR="00926014">
        <w:rPr>
          <w:rFonts w:ascii="Times New Roman" w:hAnsi="Times New Roman" w:cs="Times New Roman"/>
          <w:b/>
          <w:sz w:val="20"/>
          <w:szCs w:val="20"/>
        </w:rPr>
        <w:t xml:space="preserve">8: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S mixed ANOVA</w:t>
      </w:r>
    </w:p>
    <w:p w14:paraId="5D8E3BEC" w14:textId="6DD4A94E" w:rsidR="00926014" w:rsidRDefault="00E37389" w:rsidP="00926014">
      <w:pPr>
        <w:jc w:val="center"/>
        <w:rPr>
          <w:rFonts w:ascii="Times New Roman" w:hAnsi="Times New Roman" w:cs="Times New Roman"/>
          <w:b/>
          <w:sz w:val="20"/>
          <w:szCs w:val="20"/>
        </w:rPr>
      </w:pPr>
      <w:r>
        <w:rPr>
          <w:noProof/>
          <w:lang w:eastAsia="en-US"/>
        </w:rPr>
        <w:lastRenderedPageBreak/>
        <w:drawing>
          <wp:inline distT="0" distB="0" distL="0" distR="0" wp14:anchorId="0D2AA55B" wp14:editId="6F0AC36A">
            <wp:extent cx="5943600" cy="3083859"/>
            <wp:effectExtent l="0" t="0" r="0" b="2540"/>
            <wp:docPr id="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110" cstate="print"/>
                    <a:srcRect b="6875"/>
                    <a:stretch/>
                  </pic:blipFill>
                  <pic:spPr bwMode="auto">
                    <a:xfrm>
                      <a:off x="0" y="0"/>
                      <a:ext cx="5943600" cy="3083859"/>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C.3</w:t>
      </w:r>
      <w:r w:rsidR="00926014">
        <w:rPr>
          <w:rFonts w:ascii="Times New Roman" w:hAnsi="Times New Roman" w:cs="Times New Roman"/>
          <w:b/>
          <w:sz w:val="20"/>
          <w:szCs w:val="20"/>
        </w:rPr>
        <w:t xml:space="preserve">9: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Zn mixed ANOVA</w:t>
      </w:r>
    </w:p>
    <w:p w14:paraId="6E2B7AEC" w14:textId="77777777" w:rsidR="00290B6B" w:rsidRDefault="00290B6B" w:rsidP="00926014">
      <w:pPr>
        <w:jc w:val="center"/>
        <w:rPr>
          <w:rFonts w:ascii="Times New Roman" w:hAnsi="Times New Roman" w:cs="Times New Roman"/>
          <w:b/>
          <w:sz w:val="20"/>
          <w:szCs w:val="20"/>
        </w:rPr>
      </w:pPr>
    </w:p>
    <w:p w14:paraId="349DA873" w14:textId="6DC6C59B" w:rsidR="00926014" w:rsidRDefault="00E37389" w:rsidP="00926014">
      <w:pPr>
        <w:jc w:val="center"/>
        <w:rPr>
          <w:rFonts w:ascii="Times New Roman" w:hAnsi="Times New Roman" w:cs="Times New Roman"/>
          <w:b/>
          <w:sz w:val="20"/>
          <w:szCs w:val="20"/>
        </w:rPr>
      </w:pPr>
      <w:r>
        <w:rPr>
          <w:noProof/>
          <w:lang w:eastAsia="en-US"/>
        </w:rPr>
        <w:drawing>
          <wp:inline distT="0" distB="0" distL="0" distR="0" wp14:anchorId="5F5EE915" wp14:editId="12E2DF54">
            <wp:extent cx="5943600" cy="3311525"/>
            <wp:effectExtent l="0" t="0" r="0" b="3175"/>
            <wp:docPr id="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noChangeArrowheads="1"/>
                    </pic:cNvPicPr>
                  </pic:nvPicPr>
                  <pic:blipFill>
                    <a:blip r:embed="rId111" cstate="print"/>
                    <a:srcRect/>
                    <a:stretch>
                      <a:fillRect/>
                    </a:stretch>
                  </pic:blipFill>
                  <pic:spPr bwMode="auto">
                    <a:xfrm>
                      <a:off x="0" y="0"/>
                      <a:ext cx="5943600" cy="3311525"/>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C.4</w:t>
      </w:r>
      <w:r w:rsidR="00926014">
        <w:rPr>
          <w:rFonts w:ascii="Times New Roman" w:hAnsi="Times New Roman" w:cs="Times New Roman"/>
          <w:b/>
          <w:sz w:val="20"/>
          <w:szCs w:val="20"/>
        </w:rPr>
        <w:t xml:space="preserve">0: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sorghum Zn mixed ANOVA</w:t>
      </w:r>
    </w:p>
    <w:p w14:paraId="40A0E4C5" w14:textId="77777777" w:rsidR="00290B6B" w:rsidRDefault="00DE0A9A" w:rsidP="00926014">
      <w:pPr>
        <w:jc w:val="center"/>
        <w:rPr>
          <w:rFonts w:ascii="Times New Roman" w:hAnsi="Times New Roman" w:cs="Times New Roman"/>
          <w:b/>
          <w:sz w:val="20"/>
          <w:szCs w:val="20"/>
        </w:rPr>
      </w:pPr>
      <w:r>
        <w:rPr>
          <w:noProof/>
          <w:lang w:eastAsia="en-US"/>
        </w:rPr>
        <w:lastRenderedPageBreak/>
        <w:drawing>
          <wp:inline distT="0" distB="0" distL="0" distR="0" wp14:anchorId="1464949A" wp14:editId="07AADB04">
            <wp:extent cx="4488329" cy="3071495"/>
            <wp:effectExtent l="0" t="0" r="7620" b="0"/>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rotWithShape="1">
                    <a:blip r:embed="rId112" cstate="print"/>
                    <a:srcRect r="24475" b="7112"/>
                    <a:stretch/>
                  </pic:blipFill>
                  <pic:spPr bwMode="auto">
                    <a:xfrm>
                      <a:off x="0" y="0"/>
                      <a:ext cx="4488930" cy="3071906"/>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301C3B2F" w14:textId="418CE7C0" w:rsidR="00926014" w:rsidRDefault="00926014" w:rsidP="00926014">
      <w:pPr>
        <w:jc w:val="center"/>
        <w:rPr>
          <w:rFonts w:ascii="Times New Roman" w:hAnsi="Times New Roman" w:cs="Times New Roman"/>
          <w:b/>
          <w:sz w:val="20"/>
          <w:szCs w:val="20"/>
        </w:rPr>
      </w:pPr>
      <w:r>
        <w:rPr>
          <w:rFonts w:ascii="Times New Roman" w:hAnsi="Times New Roman" w:cs="Times New Roman"/>
          <w:b/>
          <w:sz w:val="20"/>
          <w:szCs w:val="20"/>
        </w:rPr>
        <w:t xml:space="preserve">Figure </w:t>
      </w:r>
      <w:r w:rsidR="00933477">
        <w:rPr>
          <w:rFonts w:ascii="Times New Roman" w:hAnsi="Times New Roman" w:cs="Times New Roman"/>
          <w:b/>
          <w:sz w:val="20"/>
          <w:szCs w:val="20"/>
        </w:rPr>
        <w:t>C.4</w:t>
      </w:r>
      <w:r>
        <w:rPr>
          <w:rFonts w:ascii="Times New Roman" w:hAnsi="Times New Roman" w:cs="Times New Roman"/>
          <w:b/>
          <w:sz w:val="20"/>
          <w:szCs w:val="20"/>
        </w:rPr>
        <w:t xml:space="preserve">1: Histogram of </w:t>
      </w:r>
      <w:proofErr w:type="spellStart"/>
      <w:r>
        <w:rPr>
          <w:rFonts w:ascii="Times New Roman" w:hAnsi="Times New Roman" w:cs="Times New Roman"/>
          <w:b/>
          <w:sz w:val="20"/>
          <w:szCs w:val="20"/>
        </w:rPr>
        <w:t>Studentized</w:t>
      </w:r>
      <w:proofErr w:type="spellEnd"/>
      <w:r>
        <w:rPr>
          <w:rFonts w:ascii="Times New Roman" w:hAnsi="Times New Roman" w:cs="Times New Roman"/>
          <w:b/>
          <w:sz w:val="20"/>
          <w:szCs w:val="20"/>
        </w:rPr>
        <w:t xml:space="preserve"> residuals from Bermuda grass Ca mixed ANOVA</w:t>
      </w:r>
    </w:p>
    <w:p w14:paraId="1517A18E" w14:textId="77777777" w:rsidR="00290B6B" w:rsidRDefault="00290B6B" w:rsidP="00926014">
      <w:pPr>
        <w:jc w:val="center"/>
        <w:rPr>
          <w:rFonts w:ascii="Times New Roman" w:hAnsi="Times New Roman" w:cs="Times New Roman"/>
          <w:b/>
          <w:sz w:val="20"/>
          <w:szCs w:val="20"/>
        </w:rPr>
      </w:pPr>
    </w:p>
    <w:p w14:paraId="461748D3" w14:textId="7E7B8F5A" w:rsidR="00926014" w:rsidRDefault="00DE0A9A" w:rsidP="00926014">
      <w:pPr>
        <w:jc w:val="center"/>
        <w:rPr>
          <w:rFonts w:ascii="Times New Roman" w:hAnsi="Times New Roman" w:cs="Times New Roman"/>
          <w:b/>
          <w:sz w:val="20"/>
          <w:szCs w:val="20"/>
        </w:rPr>
      </w:pPr>
      <w:r>
        <w:rPr>
          <w:noProof/>
          <w:lang w:eastAsia="en-US"/>
        </w:rPr>
        <w:drawing>
          <wp:inline distT="0" distB="0" distL="0" distR="0" wp14:anchorId="1A4E3C6C" wp14:editId="611F4AFD">
            <wp:extent cx="5943600" cy="3115833"/>
            <wp:effectExtent l="0" t="0" r="0" b="8890"/>
            <wp:docPr id="10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rotWithShape="1">
                    <a:blip r:embed="rId113" cstate="print"/>
                    <a:srcRect t="5783"/>
                    <a:stretch/>
                  </pic:blipFill>
                  <pic:spPr bwMode="auto">
                    <a:xfrm>
                      <a:off x="0" y="0"/>
                      <a:ext cx="5943600" cy="3115833"/>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C.4</w:t>
      </w:r>
      <w:r w:rsidR="00926014">
        <w:rPr>
          <w:rFonts w:ascii="Times New Roman" w:hAnsi="Times New Roman" w:cs="Times New Roman"/>
          <w:b/>
          <w:sz w:val="20"/>
          <w:szCs w:val="20"/>
        </w:rPr>
        <w:t xml:space="preserve">2: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Ca mixed ANOVA</w:t>
      </w:r>
    </w:p>
    <w:p w14:paraId="06519CD3" w14:textId="190670BD" w:rsidR="00926014" w:rsidRDefault="00290B6B" w:rsidP="00926014">
      <w:pPr>
        <w:jc w:val="center"/>
        <w:rPr>
          <w:rFonts w:ascii="Times New Roman" w:hAnsi="Times New Roman" w:cs="Times New Roman"/>
          <w:b/>
          <w:sz w:val="20"/>
          <w:szCs w:val="20"/>
        </w:rPr>
      </w:pPr>
      <w:r>
        <w:rPr>
          <w:noProof/>
          <w:lang w:eastAsia="en-US"/>
        </w:rPr>
        <w:lastRenderedPageBreak/>
        <w:drawing>
          <wp:inline distT="0" distB="0" distL="0" distR="0" wp14:anchorId="1B7C9CA0" wp14:editId="111F43A5">
            <wp:extent cx="5943600" cy="3077882"/>
            <wp:effectExtent l="0" t="0" r="0" b="8255"/>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14" cstate="print"/>
                    <a:srcRect b="7287"/>
                    <a:stretch/>
                  </pic:blipFill>
                  <pic:spPr bwMode="auto">
                    <a:xfrm>
                      <a:off x="0" y="0"/>
                      <a:ext cx="5943600" cy="3077882"/>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C.4</w:t>
      </w:r>
      <w:r w:rsidR="00926014">
        <w:rPr>
          <w:rFonts w:ascii="Times New Roman" w:hAnsi="Times New Roman" w:cs="Times New Roman"/>
          <w:b/>
          <w:sz w:val="20"/>
          <w:szCs w:val="20"/>
        </w:rPr>
        <w:t xml:space="preserve">3: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Cd mixed ANOVA</w:t>
      </w:r>
    </w:p>
    <w:p w14:paraId="469D74C4" w14:textId="77777777" w:rsidR="00290B6B" w:rsidRDefault="00290B6B" w:rsidP="00926014">
      <w:pPr>
        <w:jc w:val="center"/>
        <w:rPr>
          <w:rFonts w:ascii="Times New Roman" w:hAnsi="Times New Roman" w:cs="Times New Roman"/>
          <w:b/>
          <w:sz w:val="20"/>
          <w:szCs w:val="20"/>
        </w:rPr>
      </w:pPr>
    </w:p>
    <w:p w14:paraId="03F9F9C9" w14:textId="076D04F3" w:rsidR="00926014" w:rsidRDefault="00290B6B" w:rsidP="00926014">
      <w:pPr>
        <w:jc w:val="center"/>
        <w:rPr>
          <w:rFonts w:ascii="Times New Roman" w:hAnsi="Times New Roman" w:cs="Times New Roman"/>
          <w:b/>
          <w:sz w:val="20"/>
          <w:szCs w:val="20"/>
        </w:rPr>
      </w:pPr>
      <w:r>
        <w:rPr>
          <w:noProof/>
          <w:lang w:eastAsia="en-US"/>
        </w:rPr>
        <w:drawing>
          <wp:inline distT="0" distB="0" distL="0" distR="0" wp14:anchorId="6CEF1A1A" wp14:editId="45141F51">
            <wp:extent cx="5943600" cy="3319780"/>
            <wp:effectExtent l="0" t="0" r="0" b="0"/>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115" cstate="print"/>
                    <a:srcRect/>
                    <a:stretch>
                      <a:fillRect/>
                    </a:stretch>
                  </pic:blipFill>
                  <pic:spPr bwMode="auto">
                    <a:xfrm>
                      <a:off x="0" y="0"/>
                      <a:ext cx="5943600" cy="3319780"/>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C.4</w:t>
      </w:r>
      <w:r w:rsidR="00926014">
        <w:rPr>
          <w:rFonts w:ascii="Times New Roman" w:hAnsi="Times New Roman" w:cs="Times New Roman"/>
          <w:b/>
          <w:sz w:val="20"/>
          <w:szCs w:val="20"/>
        </w:rPr>
        <w:t xml:space="preserve">4: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Cd mixed ANOVA</w:t>
      </w:r>
    </w:p>
    <w:p w14:paraId="27F0512A" w14:textId="13B30117" w:rsidR="00926014" w:rsidRDefault="00290B6B" w:rsidP="00926014">
      <w:pPr>
        <w:jc w:val="center"/>
        <w:rPr>
          <w:rFonts w:ascii="Times New Roman" w:hAnsi="Times New Roman" w:cs="Times New Roman"/>
          <w:b/>
          <w:sz w:val="20"/>
          <w:szCs w:val="20"/>
        </w:rPr>
      </w:pPr>
      <w:r>
        <w:rPr>
          <w:noProof/>
          <w:lang w:eastAsia="en-US"/>
        </w:rPr>
        <w:lastRenderedPageBreak/>
        <w:drawing>
          <wp:inline distT="0" distB="0" distL="0" distR="0" wp14:anchorId="503BDDCC" wp14:editId="1C5443A7">
            <wp:extent cx="5943600" cy="3065929"/>
            <wp:effectExtent l="0" t="0" r="0" b="127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16" cstate="print"/>
                    <a:srcRect b="7416"/>
                    <a:stretch/>
                  </pic:blipFill>
                  <pic:spPr bwMode="auto">
                    <a:xfrm>
                      <a:off x="0" y="0"/>
                      <a:ext cx="5943600" cy="3065929"/>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C.4</w:t>
      </w:r>
      <w:r w:rsidR="00926014">
        <w:rPr>
          <w:rFonts w:ascii="Times New Roman" w:hAnsi="Times New Roman" w:cs="Times New Roman"/>
          <w:b/>
          <w:sz w:val="20"/>
          <w:szCs w:val="20"/>
        </w:rPr>
        <w:t xml:space="preserve">5: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Fe mixed ANOVA</w:t>
      </w:r>
    </w:p>
    <w:p w14:paraId="7B7FBB02" w14:textId="77777777" w:rsidR="00290B6B" w:rsidRDefault="00290B6B" w:rsidP="00926014">
      <w:pPr>
        <w:jc w:val="center"/>
        <w:rPr>
          <w:rFonts w:ascii="Times New Roman" w:hAnsi="Times New Roman" w:cs="Times New Roman"/>
          <w:b/>
          <w:sz w:val="20"/>
          <w:szCs w:val="20"/>
        </w:rPr>
      </w:pPr>
    </w:p>
    <w:p w14:paraId="49667420" w14:textId="336F3B73" w:rsidR="00926014" w:rsidRDefault="00290B6B" w:rsidP="00926014">
      <w:pPr>
        <w:jc w:val="center"/>
        <w:rPr>
          <w:rFonts w:ascii="Times New Roman" w:hAnsi="Times New Roman" w:cs="Times New Roman"/>
          <w:b/>
          <w:sz w:val="20"/>
          <w:szCs w:val="20"/>
        </w:rPr>
      </w:pPr>
      <w:r>
        <w:rPr>
          <w:noProof/>
          <w:lang w:eastAsia="en-US"/>
        </w:rPr>
        <w:drawing>
          <wp:inline distT="0" distB="0" distL="0" distR="0" wp14:anchorId="7197310B" wp14:editId="66D09824">
            <wp:extent cx="5943600" cy="3306445"/>
            <wp:effectExtent l="0" t="0" r="0" b="8255"/>
            <wp:docPr id="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117" cstate="print"/>
                    <a:srcRect/>
                    <a:stretch>
                      <a:fillRect/>
                    </a:stretch>
                  </pic:blipFill>
                  <pic:spPr bwMode="auto">
                    <a:xfrm>
                      <a:off x="0" y="0"/>
                      <a:ext cx="5943600" cy="3306445"/>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C.4</w:t>
      </w:r>
      <w:r w:rsidR="00926014">
        <w:rPr>
          <w:rFonts w:ascii="Times New Roman" w:hAnsi="Times New Roman" w:cs="Times New Roman"/>
          <w:b/>
          <w:sz w:val="20"/>
          <w:szCs w:val="20"/>
        </w:rPr>
        <w:t xml:space="preserve">6: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Fe mixed ANOVA</w:t>
      </w:r>
    </w:p>
    <w:p w14:paraId="7A81CE7B" w14:textId="70038ADD" w:rsidR="00926014" w:rsidRDefault="00290B6B" w:rsidP="00926014">
      <w:pPr>
        <w:jc w:val="center"/>
        <w:rPr>
          <w:rFonts w:ascii="Times New Roman" w:hAnsi="Times New Roman" w:cs="Times New Roman"/>
          <w:b/>
          <w:sz w:val="20"/>
          <w:szCs w:val="20"/>
        </w:rPr>
      </w:pPr>
      <w:r>
        <w:rPr>
          <w:noProof/>
          <w:lang w:eastAsia="en-US"/>
        </w:rPr>
        <w:lastRenderedPageBreak/>
        <w:drawing>
          <wp:inline distT="0" distB="0" distL="0" distR="0" wp14:anchorId="0E61A489" wp14:editId="2BB669CE">
            <wp:extent cx="5943600" cy="3053976"/>
            <wp:effectExtent l="0" t="0" r="0" b="0"/>
            <wp:docPr id="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18" cstate="print"/>
                    <a:srcRect b="7778"/>
                    <a:stretch/>
                  </pic:blipFill>
                  <pic:spPr bwMode="auto">
                    <a:xfrm>
                      <a:off x="0" y="0"/>
                      <a:ext cx="5943600" cy="3053976"/>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C.4</w:t>
      </w:r>
      <w:r w:rsidR="00926014">
        <w:rPr>
          <w:rFonts w:ascii="Times New Roman" w:hAnsi="Times New Roman" w:cs="Times New Roman"/>
          <w:b/>
          <w:sz w:val="20"/>
          <w:szCs w:val="20"/>
        </w:rPr>
        <w:t xml:space="preserve">7: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K mixed ANOVA</w:t>
      </w:r>
    </w:p>
    <w:p w14:paraId="6E363E19" w14:textId="77777777" w:rsidR="00290B6B" w:rsidRDefault="00290B6B" w:rsidP="00926014">
      <w:pPr>
        <w:jc w:val="center"/>
        <w:rPr>
          <w:rFonts w:ascii="Times New Roman" w:hAnsi="Times New Roman" w:cs="Times New Roman"/>
          <w:b/>
          <w:sz w:val="20"/>
          <w:szCs w:val="20"/>
        </w:rPr>
      </w:pPr>
    </w:p>
    <w:p w14:paraId="60DB433C" w14:textId="57939D73" w:rsidR="00926014" w:rsidRDefault="00290B6B" w:rsidP="00926014">
      <w:pPr>
        <w:jc w:val="center"/>
        <w:rPr>
          <w:rFonts w:ascii="Times New Roman" w:hAnsi="Times New Roman" w:cs="Times New Roman"/>
          <w:b/>
          <w:sz w:val="20"/>
          <w:szCs w:val="20"/>
        </w:rPr>
      </w:pPr>
      <w:r>
        <w:rPr>
          <w:noProof/>
          <w:lang w:eastAsia="en-US"/>
        </w:rPr>
        <w:drawing>
          <wp:inline distT="0" distB="0" distL="0" distR="0" wp14:anchorId="2CCB57FF" wp14:editId="11124969">
            <wp:extent cx="5943600" cy="3306445"/>
            <wp:effectExtent l="0" t="0" r="0" b="8255"/>
            <wp:docPr id="1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119" cstate="print"/>
                    <a:srcRect/>
                    <a:stretch>
                      <a:fillRect/>
                    </a:stretch>
                  </pic:blipFill>
                  <pic:spPr bwMode="auto">
                    <a:xfrm>
                      <a:off x="0" y="0"/>
                      <a:ext cx="5943600" cy="3306445"/>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C.4</w:t>
      </w:r>
      <w:r w:rsidR="00926014">
        <w:rPr>
          <w:rFonts w:ascii="Times New Roman" w:hAnsi="Times New Roman" w:cs="Times New Roman"/>
          <w:b/>
          <w:sz w:val="20"/>
          <w:szCs w:val="20"/>
        </w:rPr>
        <w:t xml:space="preserve">8: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K mixed ANOVA</w:t>
      </w:r>
    </w:p>
    <w:p w14:paraId="56AF4D0E" w14:textId="510D1662" w:rsidR="00926014" w:rsidRDefault="00290B6B" w:rsidP="00926014">
      <w:pPr>
        <w:jc w:val="center"/>
        <w:rPr>
          <w:rFonts w:ascii="Times New Roman" w:hAnsi="Times New Roman" w:cs="Times New Roman"/>
          <w:b/>
          <w:sz w:val="20"/>
          <w:szCs w:val="20"/>
        </w:rPr>
      </w:pPr>
      <w:r>
        <w:rPr>
          <w:noProof/>
          <w:lang w:eastAsia="en-US"/>
        </w:rPr>
        <w:lastRenderedPageBreak/>
        <w:drawing>
          <wp:inline distT="0" distB="0" distL="0" distR="0" wp14:anchorId="526DABCA" wp14:editId="1DAC0E2A">
            <wp:extent cx="5943600" cy="3065929"/>
            <wp:effectExtent l="0" t="0" r="0" b="1270"/>
            <wp:docPr id="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20" cstate="print"/>
                    <a:srcRect b="7310"/>
                    <a:stretch/>
                  </pic:blipFill>
                  <pic:spPr bwMode="auto">
                    <a:xfrm>
                      <a:off x="0" y="0"/>
                      <a:ext cx="5943600" cy="3065929"/>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C.4</w:t>
      </w:r>
      <w:r w:rsidR="00926014">
        <w:rPr>
          <w:rFonts w:ascii="Times New Roman" w:hAnsi="Times New Roman" w:cs="Times New Roman"/>
          <w:b/>
          <w:sz w:val="20"/>
          <w:szCs w:val="20"/>
        </w:rPr>
        <w:t xml:space="preserve">9: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Mg mixed ANOVA</w:t>
      </w:r>
    </w:p>
    <w:p w14:paraId="31F94762" w14:textId="77777777" w:rsidR="00290B6B" w:rsidRDefault="00290B6B" w:rsidP="00926014">
      <w:pPr>
        <w:jc w:val="center"/>
        <w:rPr>
          <w:rFonts w:ascii="Times New Roman" w:hAnsi="Times New Roman" w:cs="Times New Roman"/>
          <w:b/>
          <w:sz w:val="20"/>
          <w:szCs w:val="20"/>
        </w:rPr>
      </w:pPr>
    </w:p>
    <w:p w14:paraId="1E2C0062" w14:textId="422C5DE3" w:rsidR="00926014" w:rsidRDefault="00290B6B" w:rsidP="00926014">
      <w:pPr>
        <w:jc w:val="center"/>
        <w:rPr>
          <w:rFonts w:ascii="Times New Roman" w:hAnsi="Times New Roman" w:cs="Times New Roman"/>
          <w:b/>
          <w:sz w:val="20"/>
          <w:szCs w:val="20"/>
        </w:rPr>
      </w:pPr>
      <w:r>
        <w:rPr>
          <w:noProof/>
          <w:lang w:eastAsia="en-US"/>
        </w:rPr>
        <w:drawing>
          <wp:inline distT="0" distB="0" distL="0" distR="0" wp14:anchorId="410523B4" wp14:editId="20AD1226">
            <wp:extent cx="5943600" cy="3307715"/>
            <wp:effectExtent l="0" t="0" r="0" b="6985"/>
            <wp:docPr id="1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121" cstate="print"/>
                    <a:srcRect/>
                    <a:stretch>
                      <a:fillRect/>
                    </a:stretch>
                  </pic:blipFill>
                  <pic:spPr bwMode="auto">
                    <a:xfrm>
                      <a:off x="0" y="0"/>
                      <a:ext cx="5943600" cy="3307715"/>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C.5</w:t>
      </w:r>
      <w:r w:rsidR="00926014">
        <w:rPr>
          <w:rFonts w:ascii="Times New Roman" w:hAnsi="Times New Roman" w:cs="Times New Roman"/>
          <w:b/>
          <w:sz w:val="20"/>
          <w:szCs w:val="20"/>
        </w:rPr>
        <w:t xml:space="preserve">0: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Mg mixed ANOVA</w:t>
      </w:r>
    </w:p>
    <w:p w14:paraId="19177177" w14:textId="05AB8E61" w:rsidR="00926014" w:rsidRDefault="00290B6B" w:rsidP="00926014">
      <w:pPr>
        <w:jc w:val="center"/>
        <w:rPr>
          <w:rFonts w:ascii="Times New Roman" w:hAnsi="Times New Roman" w:cs="Times New Roman"/>
          <w:b/>
          <w:sz w:val="20"/>
          <w:szCs w:val="20"/>
        </w:rPr>
      </w:pPr>
      <w:r>
        <w:rPr>
          <w:noProof/>
          <w:lang w:eastAsia="en-US"/>
        </w:rPr>
        <w:lastRenderedPageBreak/>
        <w:drawing>
          <wp:inline distT="0" distB="0" distL="0" distR="0" wp14:anchorId="531D9E11" wp14:editId="0E97075E">
            <wp:extent cx="5943600" cy="3059953"/>
            <wp:effectExtent l="0" t="0" r="0" b="7620"/>
            <wp:docPr id="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22" cstate="print"/>
                    <a:srcRect b="7968"/>
                    <a:stretch/>
                  </pic:blipFill>
                  <pic:spPr bwMode="auto">
                    <a:xfrm>
                      <a:off x="0" y="0"/>
                      <a:ext cx="5943600" cy="3059953"/>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C.5</w:t>
      </w:r>
      <w:r w:rsidR="00926014">
        <w:rPr>
          <w:rFonts w:ascii="Times New Roman" w:hAnsi="Times New Roman" w:cs="Times New Roman"/>
          <w:b/>
          <w:sz w:val="20"/>
          <w:szCs w:val="20"/>
        </w:rPr>
        <w:t xml:space="preserve">1: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w:t>
      </w:r>
      <w:proofErr w:type="spellStart"/>
      <w:r w:rsidR="00926014">
        <w:rPr>
          <w:rFonts w:ascii="Times New Roman" w:hAnsi="Times New Roman" w:cs="Times New Roman"/>
          <w:b/>
          <w:sz w:val="20"/>
          <w:szCs w:val="20"/>
        </w:rPr>
        <w:t>Mn</w:t>
      </w:r>
      <w:proofErr w:type="spellEnd"/>
      <w:r w:rsidR="00926014">
        <w:rPr>
          <w:rFonts w:ascii="Times New Roman" w:hAnsi="Times New Roman" w:cs="Times New Roman"/>
          <w:b/>
          <w:sz w:val="20"/>
          <w:szCs w:val="20"/>
        </w:rPr>
        <w:t xml:space="preserve"> mixed ANOVA</w:t>
      </w:r>
    </w:p>
    <w:p w14:paraId="43344FA5" w14:textId="77777777" w:rsidR="00290B6B" w:rsidRDefault="00290B6B" w:rsidP="00926014">
      <w:pPr>
        <w:jc w:val="center"/>
        <w:rPr>
          <w:rFonts w:ascii="Times New Roman" w:hAnsi="Times New Roman" w:cs="Times New Roman"/>
          <w:b/>
          <w:sz w:val="20"/>
          <w:szCs w:val="20"/>
        </w:rPr>
      </w:pPr>
    </w:p>
    <w:p w14:paraId="3368AF1C" w14:textId="0AC89BD0" w:rsidR="00926014" w:rsidRDefault="00290B6B" w:rsidP="00926014">
      <w:pPr>
        <w:jc w:val="center"/>
        <w:rPr>
          <w:rFonts w:ascii="Times New Roman" w:hAnsi="Times New Roman" w:cs="Times New Roman"/>
          <w:b/>
          <w:sz w:val="20"/>
          <w:szCs w:val="20"/>
        </w:rPr>
      </w:pPr>
      <w:r>
        <w:rPr>
          <w:noProof/>
          <w:lang w:eastAsia="en-US"/>
        </w:rPr>
        <w:drawing>
          <wp:inline distT="0" distB="0" distL="0" distR="0" wp14:anchorId="7FDFFCF0" wp14:editId="5A2F66DB">
            <wp:extent cx="5943600" cy="3324860"/>
            <wp:effectExtent l="0" t="0" r="0" b="8890"/>
            <wp:docPr id="1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123" cstate="print"/>
                    <a:srcRect/>
                    <a:stretch>
                      <a:fillRect/>
                    </a:stretch>
                  </pic:blipFill>
                  <pic:spPr bwMode="auto">
                    <a:xfrm>
                      <a:off x="0" y="0"/>
                      <a:ext cx="5943600" cy="3324860"/>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C.5</w:t>
      </w:r>
      <w:r w:rsidR="00926014">
        <w:rPr>
          <w:rFonts w:ascii="Times New Roman" w:hAnsi="Times New Roman" w:cs="Times New Roman"/>
          <w:b/>
          <w:sz w:val="20"/>
          <w:szCs w:val="20"/>
        </w:rPr>
        <w:t xml:space="preserve">2: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w:t>
      </w:r>
      <w:proofErr w:type="spellStart"/>
      <w:r w:rsidR="00926014">
        <w:rPr>
          <w:rFonts w:ascii="Times New Roman" w:hAnsi="Times New Roman" w:cs="Times New Roman"/>
          <w:b/>
          <w:sz w:val="20"/>
          <w:szCs w:val="20"/>
        </w:rPr>
        <w:t>Mn</w:t>
      </w:r>
      <w:proofErr w:type="spellEnd"/>
      <w:r w:rsidR="00926014">
        <w:rPr>
          <w:rFonts w:ascii="Times New Roman" w:hAnsi="Times New Roman" w:cs="Times New Roman"/>
          <w:b/>
          <w:sz w:val="20"/>
          <w:szCs w:val="20"/>
        </w:rPr>
        <w:t xml:space="preserve"> mixed ANOVA</w:t>
      </w:r>
    </w:p>
    <w:p w14:paraId="08C2ED38" w14:textId="35DAB25B" w:rsidR="00926014" w:rsidRDefault="00290B6B" w:rsidP="00926014">
      <w:pPr>
        <w:jc w:val="center"/>
        <w:rPr>
          <w:rFonts w:ascii="Times New Roman" w:hAnsi="Times New Roman" w:cs="Times New Roman"/>
          <w:b/>
          <w:sz w:val="20"/>
          <w:szCs w:val="20"/>
        </w:rPr>
      </w:pPr>
      <w:r>
        <w:rPr>
          <w:noProof/>
          <w:lang w:eastAsia="en-US"/>
        </w:rPr>
        <w:lastRenderedPageBreak/>
        <w:drawing>
          <wp:inline distT="0" distB="0" distL="0" distR="0" wp14:anchorId="045F8D43" wp14:editId="772081E8">
            <wp:extent cx="5943600" cy="3053976"/>
            <wp:effectExtent l="0" t="0" r="0" b="0"/>
            <wp:docPr id="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24" cstate="print"/>
                    <a:srcRect b="7954"/>
                    <a:stretch/>
                  </pic:blipFill>
                  <pic:spPr bwMode="auto">
                    <a:xfrm>
                      <a:off x="0" y="0"/>
                      <a:ext cx="5943600" cy="3053976"/>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C.5</w:t>
      </w:r>
      <w:r w:rsidR="00926014">
        <w:rPr>
          <w:rFonts w:ascii="Times New Roman" w:hAnsi="Times New Roman" w:cs="Times New Roman"/>
          <w:b/>
          <w:sz w:val="20"/>
          <w:szCs w:val="20"/>
        </w:rPr>
        <w:t xml:space="preserve">3: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Na mixed ANOVA</w:t>
      </w:r>
    </w:p>
    <w:p w14:paraId="48E04D00" w14:textId="77777777" w:rsidR="00290B6B" w:rsidRDefault="00290B6B" w:rsidP="00926014">
      <w:pPr>
        <w:jc w:val="center"/>
        <w:rPr>
          <w:rFonts w:ascii="Times New Roman" w:hAnsi="Times New Roman" w:cs="Times New Roman"/>
          <w:b/>
          <w:sz w:val="20"/>
          <w:szCs w:val="20"/>
        </w:rPr>
      </w:pPr>
    </w:p>
    <w:p w14:paraId="0FD24933" w14:textId="6BF4B2A4" w:rsidR="00926014" w:rsidRDefault="00290B6B" w:rsidP="00926014">
      <w:pPr>
        <w:jc w:val="center"/>
        <w:rPr>
          <w:rFonts w:ascii="Times New Roman" w:hAnsi="Times New Roman" w:cs="Times New Roman"/>
          <w:b/>
          <w:sz w:val="20"/>
          <w:szCs w:val="20"/>
        </w:rPr>
      </w:pPr>
      <w:r>
        <w:rPr>
          <w:noProof/>
          <w:lang w:eastAsia="en-US"/>
        </w:rPr>
        <w:drawing>
          <wp:inline distT="0" distB="0" distL="0" distR="0" wp14:anchorId="6D5F894D" wp14:editId="199006AE">
            <wp:extent cx="5943600" cy="3317875"/>
            <wp:effectExtent l="0" t="0" r="0" b="0"/>
            <wp:docPr id="1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125" cstate="print"/>
                    <a:srcRect/>
                    <a:stretch>
                      <a:fillRect/>
                    </a:stretch>
                  </pic:blipFill>
                  <pic:spPr bwMode="auto">
                    <a:xfrm>
                      <a:off x="0" y="0"/>
                      <a:ext cx="5943600" cy="3317875"/>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C.5</w:t>
      </w:r>
      <w:r w:rsidR="00926014">
        <w:rPr>
          <w:rFonts w:ascii="Times New Roman" w:hAnsi="Times New Roman" w:cs="Times New Roman"/>
          <w:b/>
          <w:sz w:val="20"/>
          <w:szCs w:val="20"/>
        </w:rPr>
        <w:t xml:space="preserve">4: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Na mixed ANOVA</w:t>
      </w:r>
    </w:p>
    <w:p w14:paraId="52128695" w14:textId="42CE432E" w:rsidR="00926014" w:rsidRDefault="00290B6B" w:rsidP="00926014">
      <w:pPr>
        <w:jc w:val="center"/>
        <w:rPr>
          <w:rFonts w:ascii="Times New Roman" w:hAnsi="Times New Roman" w:cs="Times New Roman"/>
          <w:b/>
          <w:sz w:val="20"/>
          <w:szCs w:val="20"/>
        </w:rPr>
      </w:pPr>
      <w:r>
        <w:rPr>
          <w:noProof/>
          <w:lang w:eastAsia="en-US"/>
        </w:rPr>
        <w:lastRenderedPageBreak/>
        <w:drawing>
          <wp:inline distT="0" distB="0" distL="0" distR="0" wp14:anchorId="55C31529" wp14:editId="240AB275">
            <wp:extent cx="5943600" cy="3095812"/>
            <wp:effectExtent l="0" t="0" r="0" b="9525"/>
            <wp:docPr id="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26" cstate="print"/>
                    <a:srcRect b="6478"/>
                    <a:stretch/>
                  </pic:blipFill>
                  <pic:spPr bwMode="auto">
                    <a:xfrm>
                      <a:off x="0" y="0"/>
                      <a:ext cx="5943600" cy="3095812"/>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C.5</w:t>
      </w:r>
      <w:r w:rsidR="00926014">
        <w:rPr>
          <w:rFonts w:ascii="Times New Roman" w:hAnsi="Times New Roman" w:cs="Times New Roman"/>
          <w:b/>
          <w:sz w:val="20"/>
          <w:szCs w:val="20"/>
        </w:rPr>
        <w:t xml:space="preserve">5: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Ni mixed ANOVA</w:t>
      </w:r>
    </w:p>
    <w:p w14:paraId="5FF6CD98" w14:textId="77777777" w:rsidR="00290B6B" w:rsidRDefault="00290B6B" w:rsidP="00926014">
      <w:pPr>
        <w:jc w:val="center"/>
        <w:rPr>
          <w:rFonts w:ascii="Times New Roman" w:hAnsi="Times New Roman" w:cs="Times New Roman"/>
          <w:b/>
          <w:sz w:val="20"/>
          <w:szCs w:val="20"/>
        </w:rPr>
      </w:pPr>
    </w:p>
    <w:p w14:paraId="2BC1F1EC" w14:textId="1980E1AA" w:rsidR="00926014" w:rsidRDefault="00290B6B" w:rsidP="00926014">
      <w:pPr>
        <w:jc w:val="center"/>
        <w:rPr>
          <w:rFonts w:ascii="Times New Roman" w:hAnsi="Times New Roman" w:cs="Times New Roman"/>
          <w:b/>
          <w:sz w:val="20"/>
          <w:szCs w:val="20"/>
        </w:rPr>
      </w:pPr>
      <w:r>
        <w:rPr>
          <w:noProof/>
          <w:lang w:eastAsia="en-US"/>
        </w:rPr>
        <w:drawing>
          <wp:inline distT="0" distB="0" distL="0" distR="0" wp14:anchorId="1646CF28" wp14:editId="34D421DB">
            <wp:extent cx="5943600" cy="3310255"/>
            <wp:effectExtent l="0" t="0" r="0" b="4445"/>
            <wp:docPr id="1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127" cstate="print"/>
                    <a:srcRect/>
                    <a:stretch>
                      <a:fillRect/>
                    </a:stretch>
                  </pic:blipFill>
                  <pic:spPr bwMode="auto">
                    <a:xfrm>
                      <a:off x="0" y="0"/>
                      <a:ext cx="5943600" cy="3310255"/>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C.5</w:t>
      </w:r>
      <w:r w:rsidR="00926014">
        <w:rPr>
          <w:rFonts w:ascii="Times New Roman" w:hAnsi="Times New Roman" w:cs="Times New Roman"/>
          <w:b/>
          <w:sz w:val="20"/>
          <w:szCs w:val="20"/>
        </w:rPr>
        <w:t xml:space="preserve">6: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Ni mixed ANOVA</w:t>
      </w:r>
    </w:p>
    <w:p w14:paraId="4A6AC4DF" w14:textId="2D09DBD1" w:rsidR="00926014" w:rsidRDefault="001C759A" w:rsidP="00926014">
      <w:pPr>
        <w:jc w:val="center"/>
        <w:rPr>
          <w:rFonts w:ascii="Times New Roman" w:hAnsi="Times New Roman" w:cs="Times New Roman"/>
          <w:b/>
          <w:sz w:val="20"/>
          <w:szCs w:val="20"/>
        </w:rPr>
      </w:pPr>
      <w:r>
        <w:rPr>
          <w:noProof/>
          <w:lang w:eastAsia="en-US"/>
        </w:rPr>
        <w:lastRenderedPageBreak/>
        <w:drawing>
          <wp:inline distT="0" distB="0" distL="0" distR="0" wp14:anchorId="1D7327CC" wp14:editId="0A20C274">
            <wp:extent cx="5943600" cy="3048000"/>
            <wp:effectExtent l="0" t="0" r="0" b="0"/>
            <wp:docPr id="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128" cstate="print"/>
                    <a:srcRect b="7958"/>
                    <a:stretch/>
                  </pic:blipFill>
                  <pic:spPr bwMode="auto">
                    <a:xfrm>
                      <a:off x="0" y="0"/>
                      <a:ext cx="5943600" cy="3048000"/>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C.5</w:t>
      </w:r>
      <w:r w:rsidR="00926014">
        <w:rPr>
          <w:rFonts w:ascii="Times New Roman" w:hAnsi="Times New Roman" w:cs="Times New Roman"/>
          <w:b/>
          <w:sz w:val="20"/>
          <w:szCs w:val="20"/>
        </w:rPr>
        <w:t xml:space="preserve">7: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w:t>
      </w:r>
      <w:proofErr w:type="spellStart"/>
      <w:r w:rsidR="00926014">
        <w:rPr>
          <w:rFonts w:ascii="Times New Roman" w:hAnsi="Times New Roman" w:cs="Times New Roman"/>
          <w:b/>
          <w:sz w:val="20"/>
          <w:szCs w:val="20"/>
        </w:rPr>
        <w:t>Pb</w:t>
      </w:r>
      <w:proofErr w:type="spellEnd"/>
      <w:r w:rsidR="00926014">
        <w:rPr>
          <w:rFonts w:ascii="Times New Roman" w:hAnsi="Times New Roman" w:cs="Times New Roman"/>
          <w:b/>
          <w:sz w:val="20"/>
          <w:szCs w:val="20"/>
        </w:rPr>
        <w:t xml:space="preserve"> mixed ANOVA</w:t>
      </w:r>
    </w:p>
    <w:p w14:paraId="1A3A1CD5" w14:textId="77777777" w:rsidR="00290B6B" w:rsidRDefault="00290B6B" w:rsidP="00926014">
      <w:pPr>
        <w:jc w:val="center"/>
        <w:rPr>
          <w:rFonts w:ascii="Times New Roman" w:hAnsi="Times New Roman" w:cs="Times New Roman"/>
          <w:b/>
          <w:sz w:val="20"/>
          <w:szCs w:val="20"/>
        </w:rPr>
      </w:pPr>
    </w:p>
    <w:p w14:paraId="7D0F8C8E" w14:textId="0E9CACF1" w:rsidR="00926014" w:rsidRDefault="001C759A" w:rsidP="00926014">
      <w:pPr>
        <w:jc w:val="center"/>
        <w:rPr>
          <w:rFonts w:ascii="Times New Roman" w:hAnsi="Times New Roman" w:cs="Times New Roman"/>
          <w:b/>
          <w:sz w:val="20"/>
          <w:szCs w:val="20"/>
        </w:rPr>
      </w:pPr>
      <w:r>
        <w:rPr>
          <w:noProof/>
          <w:lang w:eastAsia="en-US"/>
        </w:rPr>
        <w:drawing>
          <wp:inline distT="0" distB="0" distL="0" distR="0" wp14:anchorId="24FC9F0F" wp14:editId="05FAEEE4">
            <wp:extent cx="5943600" cy="3311525"/>
            <wp:effectExtent l="0" t="0" r="0" b="3175"/>
            <wp:docPr id="1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noChangeArrowheads="1"/>
                    </pic:cNvPicPr>
                  </pic:nvPicPr>
                  <pic:blipFill>
                    <a:blip r:embed="rId129" cstate="print"/>
                    <a:srcRect/>
                    <a:stretch>
                      <a:fillRect/>
                    </a:stretch>
                  </pic:blipFill>
                  <pic:spPr bwMode="auto">
                    <a:xfrm>
                      <a:off x="0" y="0"/>
                      <a:ext cx="5943600" cy="3311525"/>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C.5</w:t>
      </w:r>
      <w:r w:rsidR="00926014">
        <w:rPr>
          <w:rFonts w:ascii="Times New Roman" w:hAnsi="Times New Roman" w:cs="Times New Roman"/>
          <w:b/>
          <w:sz w:val="20"/>
          <w:szCs w:val="20"/>
        </w:rPr>
        <w:t xml:space="preserve">8: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w:t>
      </w:r>
      <w:proofErr w:type="spellStart"/>
      <w:r w:rsidR="00926014">
        <w:rPr>
          <w:rFonts w:ascii="Times New Roman" w:hAnsi="Times New Roman" w:cs="Times New Roman"/>
          <w:b/>
          <w:sz w:val="20"/>
          <w:szCs w:val="20"/>
        </w:rPr>
        <w:t>Pb</w:t>
      </w:r>
      <w:proofErr w:type="spellEnd"/>
      <w:r w:rsidR="00926014">
        <w:rPr>
          <w:rFonts w:ascii="Times New Roman" w:hAnsi="Times New Roman" w:cs="Times New Roman"/>
          <w:b/>
          <w:sz w:val="20"/>
          <w:szCs w:val="20"/>
        </w:rPr>
        <w:t xml:space="preserve"> mixed ANOVA</w:t>
      </w:r>
    </w:p>
    <w:p w14:paraId="589012DA" w14:textId="31F4610B" w:rsidR="00926014" w:rsidRDefault="00290B6B" w:rsidP="00926014">
      <w:pPr>
        <w:jc w:val="center"/>
        <w:rPr>
          <w:rFonts w:ascii="Times New Roman" w:hAnsi="Times New Roman" w:cs="Times New Roman"/>
          <w:b/>
          <w:sz w:val="20"/>
          <w:szCs w:val="20"/>
        </w:rPr>
      </w:pPr>
      <w:r>
        <w:rPr>
          <w:noProof/>
          <w:lang w:eastAsia="en-US"/>
        </w:rPr>
        <w:lastRenderedPageBreak/>
        <w:drawing>
          <wp:inline distT="0" distB="0" distL="0" distR="0" wp14:anchorId="6879123E" wp14:editId="62AC410C">
            <wp:extent cx="5943600" cy="3095812"/>
            <wp:effectExtent l="0" t="0" r="0" b="9525"/>
            <wp:docPr id="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30" cstate="print"/>
                    <a:srcRect b="6692"/>
                    <a:stretch/>
                  </pic:blipFill>
                  <pic:spPr bwMode="auto">
                    <a:xfrm>
                      <a:off x="0" y="0"/>
                      <a:ext cx="5943600" cy="3095812"/>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C.5</w:t>
      </w:r>
      <w:r w:rsidR="00926014">
        <w:rPr>
          <w:rFonts w:ascii="Times New Roman" w:hAnsi="Times New Roman" w:cs="Times New Roman"/>
          <w:b/>
          <w:sz w:val="20"/>
          <w:szCs w:val="20"/>
        </w:rPr>
        <w:t xml:space="preserve">9: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S mixed ANOVA</w:t>
      </w:r>
    </w:p>
    <w:p w14:paraId="4270DE56" w14:textId="77777777" w:rsidR="00290B6B" w:rsidRDefault="00290B6B" w:rsidP="00926014">
      <w:pPr>
        <w:jc w:val="center"/>
        <w:rPr>
          <w:rFonts w:ascii="Times New Roman" w:hAnsi="Times New Roman" w:cs="Times New Roman"/>
          <w:b/>
          <w:sz w:val="20"/>
          <w:szCs w:val="20"/>
        </w:rPr>
      </w:pPr>
    </w:p>
    <w:p w14:paraId="2A302B5C" w14:textId="1AA86554" w:rsidR="00926014" w:rsidRDefault="00290B6B" w:rsidP="00926014">
      <w:pPr>
        <w:jc w:val="center"/>
        <w:rPr>
          <w:rFonts w:ascii="Times New Roman" w:hAnsi="Times New Roman" w:cs="Times New Roman"/>
          <w:b/>
          <w:sz w:val="20"/>
          <w:szCs w:val="20"/>
        </w:rPr>
      </w:pPr>
      <w:r>
        <w:rPr>
          <w:noProof/>
          <w:lang w:eastAsia="en-US"/>
        </w:rPr>
        <w:drawing>
          <wp:inline distT="0" distB="0" distL="0" distR="0" wp14:anchorId="6E097416" wp14:editId="66632A91">
            <wp:extent cx="5943600" cy="3306445"/>
            <wp:effectExtent l="0" t="0" r="0" b="8255"/>
            <wp:docPr id="1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131" cstate="print"/>
                    <a:srcRect/>
                    <a:stretch>
                      <a:fillRect/>
                    </a:stretch>
                  </pic:blipFill>
                  <pic:spPr bwMode="auto">
                    <a:xfrm>
                      <a:off x="0" y="0"/>
                      <a:ext cx="5943600" cy="3306445"/>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C.6</w:t>
      </w:r>
      <w:r w:rsidR="00926014">
        <w:rPr>
          <w:rFonts w:ascii="Times New Roman" w:hAnsi="Times New Roman" w:cs="Times New Roman"/>
          <w:b/>
          <w:sz w:val="20"/>
          <w:szCs w:val="20"/>
        </w:rPr>
        <w:t xml:space="preserve">0: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S mixed ANOVA</w:t>
      </w:r>
    </w:p>
    <w:p w14:paraId="14FC2D0F" w14:textId="53818B98" w:rsidR="00926014" w:rsidRDefault="00290B6B" w:rsidP="00926014">
      <w:pPr>
        <w:jc w:val="center"/>
        <w:rPr>
          <w:rFonts w:ascii="Times New Roman" w:hAnsi="Times New Roman" w:cs="Times New Roman"/>
          <w:b/>
          <w:sz w:val="20"/>
          <w:szCs w:val="20"/>
        </w:rPr>
      </w:pPr>
      <w:r>
        <w:rPr>
          <w:noProof/>
          <w:lang w:eastAsia="en-US"/>
        </w:rPr>
        <w:lastRenderedPageBreak/>
        <w:drawing>
          <wp:inline distT="0" distB="0" distL="0" distR="0" wp14:anchorId="197D6EFC" wp14:editId="2709626A">
            <wp:extent cx="5943457" cy="3071906"/>
            <wp:effectExtent l="0" t="0" r="635" b="0"/>
            <wp:docPr id="1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32" cstate="print"/>
                    <a:srcRect b="7127"/>
                    <a:stretch/>
                  </pic:blipFill>
                  <pic:spPr bwMode="auto">
                    <a:xfrm>
                      <a:off x="0" y="0"/>
                      <a:ext cx="5943600" cy="3071980"/>
                    </a:xfrm>
                    <a:prstGeom prst="rect">
                      <a:avLst/>
                    </a:prstGeom>
                    <a:noFill/>
                    <a:ln>
                      <a:noFill/>
                    </a:ln>
                    <a:effectLst/>
                    <a:extLst>
                      <a:ext uri="{53640926-AAD7-44D8-BBD7-CCE9431645EC}">
                        <a14:shadowObscured xmlns:a14="http://schemas.microsoft.com/office/drawing/2010/main"/>
                      </a:ext>
                    </a:ex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C.6</w:t>
      </w:r>
      <w:r w:rsidR="00926014">
        <w:rPr>
          <w:rFonts w:ascii="Times New Roman" w:hAnsi="Times New Roman" w:cs="Times New Roman"/>
          <w:b/>
          <w:sz w:val="20"/>
          <w:szCs w:val="20"/>
        </w:rPr>
        <w:t xml:space="preserve">1: Histogram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Zn mixed ANOVA</w:t>
      </w:r>
    </w:p>
    <w:p w14:paraId="7F0E639A" w14:textId="77777777" w:rsidR="00290B6B" w:rsidRDefault="00290B6B" w:rsidP="00926014">
      <w:pPr>
        <w:jc w:val="center"/>
        <w:rPr>
          <w:rFonts w:ascii="Times New Roman" w:hAnsi="Times New Roman" w:cs="Times New Roman"/>
          <w:b/>
          <w:sz w:val="20"/>
          <w:szCs w:val="20"/>
        </w:rPr>
      </w:pPr>
    </w:p>
    <w:p w14:paraId="29595A9D" w14:textId="2CF351D3" w:rsidR="00926014" w:rsidRDefault="00290B6B" w:rsidP="00926014">
      <w:pPr>
        <w:jc w:val="center"/>
        <w:rPr>
          <w:rFonts w:ascii="Times New Roman" w:hAnsi="Times New Roman" w:cs="Times New Roman"/>
          <w:b/>
          <w:sz w:val="20"/>
          <w:szCs w:val="20"/>
        </w:rPr>
      </w:pPr>
      <w:r>
        <w:rPr>
          <w:noProof/>
          <w:lang w:eastAsia="en-US"/>
        </w:rPr>
        <w:drawing>
          <wp:inline distT="0" distB="0" distL="0" distR="0" wp14:anchorId="0C51079A" wp14:editId="3107059C">
            <wp:extent cx="5943600" cy="3307715"/>
            <wp:effectExtent l="0" t="0" r="0" b="6985"/>
            <wp:docPr id="10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133" cstate="print"/>
                    <a:srcRect/>
                    <a:stretch>
                      <a:fillRect/>
                    </a:stretch>
                  </pic:blipFill>
                  <pic:spPr bwMode="auto">
                    <a:xfrm>
                      <a:off x="0" y="0"/>
                      <a:ext cx="5943600" cy="3307715"/>
                    </a:xfrm>
                    <a:prstGeom prst="rect">
                      <a:avLst/>
                    </a:prstGeom>
                    <a:noFill/>
                    <a:ln w="1">
                      <a:noFill/>
                      <a:miter lim="800000"/>
                      <a:headEnd/>
                      <a:tailEnd type="none" w="med" len="med"/>
                    </a:ln>
                    <a:effectLst/>
                  </pic:spPr>
                </pic:pic>
              </a:graphicData>
            </a:graphic>
          </wp:inline>
        </w:drawing>
      </w:r>
      <w:r w:rsidR="00926014">
        <w:rPr>
          <w:rFonts w:ascii="Times New Roman" w:hAnsi="Times New Roman" w:cs="Times New Roman"/>
          <w:b/>
          <w:sz w:val="20"/>
          <w:szCs w:val="20"/>
        </w:rPr>
        <w:t xml:space="preserve">Figure </w:t>
      </w:r>
      <w:r w:rsidR="00933477">
        <w:rPr>
          <w:rFonts w:ascii="Times New Roman" w:hAnsi="Times New Roman" w:cs="Times New Roman"/>
          <w:b/>
          <w:sz w:val="20"/>
          <w:szCs w:val="20"/>
        </w:rPr>
        <w:t>C.6</w:t>
      </w:r>
      <w:r w:rsidR="00926014">
        <w:rPr>
          <w:rFonts w:ascii="Times New Roman" w:hAnsi="Times New Roman" w:cs="Times New Roman"/>
          <w:b/>
          <w:sz w:val="20"/>
          <w:szCs w:val="20"/>
        </w:rPr>
        <w:t xml:space="preserve">2: Q-Q plot of </w:t>
      </w:r>
      <w:proofErr w:type="spellStart"/>
      <w:r w:rsidR="00926014">
        <w:rPr>
          <w:rFonts w:ascii="Times New Roman" w:hAnsi="Times New Roman" w:cs="Times New Roman"/>
          <w:b/>
          <w:sz w:val="20"/>
          <w:szCs w:val="20"/>
        </w:rPr>
        <w:t>Studentized</w:t>
      </w:r>
      <w:proofErr w:type="spellEnd"/>
      <w:r w:rsidR="00926014">
        <w:rPr>
          <w:rFonts w:ascii="Times New Roman" w:hAnsi="Times New Roman" w:cs="Times New Roman"/>
          <w:b/>
          <w:sz w:val="20"/>
          <w:szCs w:val="20"/>
        </w:rPr>
        <w:t xml:space="preserve"> residuals from Bermuda grass Zn mixed ANOVA</w:t>
      </w:r>
    </w:p>
    <w:p w14:paraId="7EC60690" w14:textId="77777777" w:rsidR="00926014" w:rsidRDefault="00926014" w:rsidP="00926014">
      <w:pPr>
        <w:rPr>
          <w:rFonts w:ascii="Times New Roman" w:hAnsi="Times New Roman" w:cs="Times New Roman"/>
          <w:b/>
          <w:sz w:val="20"/>
          <w:szCs w:val="20"/>
        </w:rPr>
      </w:pPr>
    </w:p>
    <w:p w14:paraId="71D62F31" w14:textId="77777777" w:rsidR="00926014" w:rsidRDefault="00926014" w:rsidP="00926014">
      <w:pPr>
        <w:rPr>
          <w:rFonts w:ascii="Times New Roman" w:hAnsi="Times New Roman" w:cs="Times New Roman"/>
          <w:b/>
          <w:sz w:val="20"/>
          <w:szCs w:val="20"/>
        </w:rPr>
      </w:pPr>
    </w:p>
    <w:p w14:paraId="1386B7F9" w14:textId="77777777" w:rsidR="00926014" w:rsidRDefault="00926014" w:rsidP="00926014">
      <w:pPr>
        <w:rPr>
          <w:rFonts w:ascii="Times New Roman" w:hAnsi="Times New Roman" w:cs="Times New Roman"/>
          <w:b/>
          <w:sz w:val="20"/>
          <w:szCs w:val="20"/>
        </w:rPr>
      </w:pPr>
    </w:p>
    <w:p w14:paraId="19F20465" w14:textId="77777777" w:rsidR="00926014" w:rsidRDefault="00926014" w:rsidP="00926014">
      <w:pPr>
        <w:rPr>
          <w:rFonts w:ascii="Times New Roman" w:hAnsi="Times New Roman" w:cs="Times New Roman"/>
          <w:b/>
          <w:sz w:val="20"/>
          <w:szCs w:val="20"/>
        </w:rPr>
      </w:pPr>
    </w:p>
    <w:p w14:paraId="326F8146" w14:textId="77777777" w:rsidR="00926014" w:rsidRPr="00F07DEB" w:rsidRDefault="00926014" w:rsidP="00CE3D29">
      <w:pPr>
        <w:rPr>
          <w:rFonts w:ascii="Times New Roman" w:hAnsi="Times New Roman" w:cs="Times New Roman"/>
          <w:b/>
          <w:sz w:val="20"/>
          <w:szCs w:val="20"/>
        </w:rPr>
      </w:pPr>
    </w:p>
    <w:p w14:paraId="1A7C3D91" w14:textId="1109428B" w:rsidR="00F35D8F" w:rsidRPr="00F07DEB" w:rsidRDefault="002E56C1" w:rsidP="00437290">
      <w:pPr>
        <w:rPr>
          <w:rFonts w:ascii="Times New Roman" w:hAnsi="Times New Roman" w:cs="Times New Roman"/>
          <w:sz w:val="20"/>
          <w:szCs w:val="20"/>
        </w:rPr>
      </w:pPr>
      <w:r w:rsidRPr="002E56C1">
        <w:rPr>
          <w:rFonts w:ascii="Times New Roman" w:hAnsi="Times New Roman" w:cs="Times New Roman"/>
          <w:noProof/>
          <w:sz w:val="20"/>
          <w:szCs w:val="20"/>
          <w:lang w:eastAsia="en-US"/>
        </w:rPr>
        <w:drawing>
          <wp:inline distT="0" distB="0" distL="0" distR="0" wp14:anchorId="6A7D0AFD" wp14:editId="71CFA99C">
            <wp:extent cx="5943600" cy="2971800"/>
            <wp:effectExtent l="0" t="0" r="0" b="0"/>
            <wp:docPr id="25" name="Picture 25" descr="C:\Users\harper3663\Documents\School\_CREW\Irrigation Project\R\Plots\Plant Metals\Corrected\Plant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arper3663\Documents\School\_CREW\Irrigation Project\R\Plots\Plant Metals\Corrected\PlantK1.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21774F13" w14:textId="0D96E532" w:rsidR="00437290" w:rsidRPr="00F07DEB" w:rsidRDefault="00290B6B" w:rsidP="00437290">
      <w:pPr>
        <w:jc w:val="center"/>
        <w:rPr>
          <w:rFonts w:ascii="Times New Roman" w:hAnsi="Times New Roman" w:cs="Times New Roman"/>
          <w:b/>
          <w:sz w:val="20"/>
          <w:szCs w:val="20"/>
        </w:rPr>
      </w:pP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63: </w:t>
      </w:r>
      <w:r w:rsidR="00437290" w:rsidRPr="00F07DEB">
        <w:rPr>
          <w:rFonts w:ascii="Times New Roman" w:hAnsi="Times New Roman" w:cs="Times New Roman"/>
          <w:b/>
          <w:sz w:val="20"/>
          <w:szCs w:val="20"/>
        </w:rPr>
        <w:t>Box plots of K concentrations in each plant and structure in mg/kg</w:t>
      </w:r>
    </w:p>
    <w:p w14:paraId="0574374E" w14:textId="77777777" w:rsidR="00437290" w:rsidRPr="00F07DEB" w:rsidRDefault="00437290" w:rsidP="00437290">
      <w:pPr>
        <w:rPr>
          <w:rFonts w:ascii="Times New Roman" w:hAnsi="Times New Roman" w:cs="Times New Roman"/>
          <w:sz w:val="20"/>
          <w:szCs w:val="20"/>
        </w:rPr>
      </w:pPr>
    </w:p>
    <w:p w14:paraId="567A687A" w14:textId="77777777" w:rsidR="00437290" w:rsidRPr="00F07DEB" w:rsidRDefault="00437290" w:rsidP="00437290">
      <w:pPr>
        <w:rPr>
          <w:rFonts w:ascii="Times New Roman" w:hAnsi="Times New Roman" w:cs="Times New Roman"/>
          <w:sz w:val="20"/>
          <w:szCs w:val="20"/>
        </w:rPr>
      </w:pPr>
    </w:p>
    <w:p w14:paraId="009A8861" w14:textId="2B4A9B73" w:rsidR="00437290" w:rsidRPr="00F07DEB" w:rsidRDefault="002E56C1" w:rsidP="00437290">
      <w:pPr>
        <w:rPr>
          <w:rFonts w:ascii="Times New Roman" w:hAnsi="Times New Roman" w:cs="Times New Roman"/>
          <w:sz w:val="20"/>
          <w:szCs w:val="20"/>
        </w:rPr>
      </w:pPr>
      <w:r w:rsidRPr="002E56C1">
        <w:rPr>
          <w:rFonts w:ascii="Times New Roman" w:hAnsi="Times New Roman" w:cs="Times New Roman"/>
          <w:noProof/>
          <w:sz w:val="20"/>
          <w:szCs w:val="20"/>
          <w:lang w:eastAsia="en-US"/>
        </w:rPr>
        <w:drawing>
          <wp:inline distT="0" distB="0" distL="0" distR="0" wp14:anchorId="504B1173" wp14:editId="2F1E9C2C">
            <wp:extent cx="5943600" cy="2971800"/>
            <wp:effectExtent l="0" t="0" r="0" b="0"/>
            <wp:docPr id="42" name="Picture 42" descr="C:\Users\harper3663\Documents\School\_CREW\Irrigation Project\R\Plots\Plant Metals\Corrected\PlantM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harper3663\Documents\School\_CREW\Irrigation Project\R\Plots\Plant Metals\Corrected\PlantMn1.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2AADD40B" w14:textId="70E364F6" w:rsidR="00437290" w:rsidRPr="00CE3D29" w:rsidRDefault="00290B6B" w:rsidP="00CE3D29">
      <w:pPr>
        <w:jc w:val="center"/>
        <w:rPr>
          <w:rFonts w:ascii="Times New Roman" w:hAnsi="Times New Roman" w:cs="Times New Roman"/>
          <w:b/>
          <w:sz w:val="20"/>
          <w:szCs w:val="20"/>
        </w:rPr>
      </w:pPr>
      <w:r>
        <w:rPr>
          <w:rFonts w:ascii="Times New Roman" w:hAnsi="Times New Roman" w:cs="Times New Roman"/>
          <w:b/>
          <w:sz w:val="20"/>
          <w:szCs w:val="20"/>
        </w:rPr>
        <w:t>Figure C</w:t>
      </w:r>
      <w:r w:rsidR="00933477">
        <w:rPr>
          <w:rFonts w:ascii="Times New Roman" w:hAnsi="Times New Roman" w:cs="Times New Roman"/>
          <w:b/>
          <w:sz w:val="20"/>
          <w:szCs w:val="20"/>
        </w:rPr>
        <w:t>.</w:t>
      </w:r>
      <w:r>
        <w:rPr>
          <w:rFonts w:ascii="Times New Roman" w:hAnsi="Times New Roman" w:cs="Times New Roman"/>
          <w:b/>
          <w:sz w:val="20"/>
          <w:szCs w:val="20"/>
        </w:rPr>
        <w:t xml:space="preserve">64: </w:t>
      </w:r>
      <w:r w:rsidR="00437290" w:rsidRPr="00F07DEB">
        <w:rPr>
          <w:rFonts w:ascii="Times New Roman" w:hAnsi="Times New Roman" w:cs="Times New Roman"/>
          <w:b/>
          <w:sz w:val="20"/>
          <w:szCs w:val="20"/>
        </w:rPr>
        <w:t xml:space="preserve">Box plots of </w:t>
      </w:r>
      <w:proofErr w:type="spellStart"/>
      <w:r w:rsidR="00437290" w:rsidRPr="00F07DEB">
        <w:rPr>
          <w:rFonts w:ascii="Times New Roman" w:hAnsi="Times New Roman" w:cs="Times New Roman"/>
          <w:b/>
          <w:sz w:val="20"/>
          <w:szCs w:val="20"/>
        </w:rPr>
        <w:t>Mn</w:t>
      </w:r>
      <w:proofErr w:type="spellEnd"/>
      <w:r w:rsidR="00437290" w:rsidRPr="00F07DEB">
        <w:rPr>
          <w:rFonts w:ascii="Times New Roman" w:hAnsi="Times New Roman" w:cs="Times New Roman"/>
          <w:b/>
          <w:sz w:val="20"/>
          <w:szCs w:val="20"/>
        </w:rPr>
        <w:t xml:space="preserve"> concentrations in each plant and structure in mg/kg</w:t>
      </w:r>
    </w:p>
    <w:p w14:paraId="036CD29B" w14:textId="00D849B2" w:rsidR="00437290" w:rsidRDefault="001E1298" w:rsidP="001E1298">
      <w:pPr>
        <w:rPr>
          <w:rFonts w:ascii="Times New Roman" w:hAnsi="Times New Roman" w:cs="Times New Roman"/>
          <w:sz w:val="20"/>
          <w:szCs w:val="20"/>
        </w:rPr>
      </w:pPr>
      <w:r>
        <w:rPr>
          <w:rFonts w:ascii="Times New Roman" w:hAnsi="Times New Roman" w:cs="Times New Roman"/>
          <w:sz w:val="20"/>
          <w:szCs w:val="20"/>
        </w:rPr>
        <w:br w:type="page"/>
      </w:r>
    </w:p>
    <w:p w14:paraId="313B94B8" w14:textId="3499123E" w:rsidR="00B643F2" w:rsidRPr="00B643F2" w:rsidRDefault="00B643F2" w:rsidP="00B643F2">
      <w:pPr>
        <w:spacing w:line="240" w:lineRule="auto"/>
        <w:rPr>
          <w:rFonts w:ascii="Times New Roman" w:eastAsia="Times New Roman" w:hAnsi="Times New Roman" w:cs="Times New Roman"/>
          <w:color w:val="000000"/>
          <w:sz w:val="20"/>
          <w:szCs w:val="20"/>
          <w:lang w:eastAsia="en-US"/>
        </w:rPr>
      </w:pPr>
      <w:r>
        <w:rPr>
          <w:rFonts w:ascii="Times New Roman" w:hAnsi="Times New Roman" w:cs="Times New Roman"/>
          <w:sz w:val="20"/>
          <w:szCs w:val="20"/>
        </w:rPr>
        <w:lastRenderedPageBreak/>
        <w:t>In the following tables, s</w:t>
      </w:r>
      <w:r w:rsidRPr="00F07DEB">
        <w:rPr>
          <w:rFonts w:ascii="Times New Roman" w:hAnsi="Times New Roman" w:cs="Times New Roman"/>
          <w:sz w:val="20"/>
          <w:szCs w:val="20"/>
        </w:rPr>
        <w:t xml:space="preserve">pecies whose data were log-transformed for mixed ANOVA are indicated with an asterisk. When the interaction effect was not significant, the results of </w:t>
      </w:r>
      <w:proofErr w:type="spellStart"/>
      <w:r w:rsidRPr="00F07DEB">
        <w:rPr>
          <w:rFonts w:ascii="Times New Roman" w:hAnsi="Times New Roman" w:cs="Times New Roman"/>
          <w:sz w:val="20"/>
          <w:szCs w:val="20"/>
        </w:rPr>
        <w:t>Sidak</w:t>
      </w:r>
      <w:proofErr w:type="spellEnd"/>
      <w:r w:rsidRPr="00F07DEB">
        <w:rPr>
          <w:rFonts w:ascii="Times New Roman" w:hAnsi="Times New Roman" w:cs="Times New Roman"/>
          <w:sz w:val="20"/>
          <w:szCs w:val="20"/>
        </w:rPr>
        <w:t xml:space="preserve">-corrected pairwise comparisons of main effects are indicated by a single value in the </w:t>
      </w:r>
      <w:r w:rsidRPr="00F07DEB">
        <w:rPr>
          <w:rFonts w:ascii="Times New Roman" w:hAnsi="Times New Roman" w:cs="Times New Roman"/>
          <w:i/>
          <w:sz w:val="20"/>
          <w:szCs w:val="20"/>
        </w:rPr>
        <w:t>p</w:t>
      </w:r>
      <w:r w:rsidRPr="00F07DEB">
        <w:rPr>
          <w:rFonts w:ascii="Times New Roman" w:hAnsi="Times New Roman" w:cs="Times New Roman"/>
          <w:sz w:val="20"/>
          <w:szCs w:val="20"/>
        </w:rPr>
        <w:t xml:space="preserve"> column (irrigation treatment main effect) and symbols (e.g., </w:t>
      </w:r>
      <w:r w:rsidRPr="00F07DEB">
        <w:rPr>
          <w:rFonts w:ascii="Times New Roman" w:eastAsia="Times New Roman" w:hAnsi="Times New Roman" w:cs="Times New Roman"/>
          <w:color w:val="000000"/>
          <w:sz w:val="20"/>
          <w:szCs w:val="20"/>
          <w:lang w:eastAsia="en-US"/>
        </w:rPr>
        <w:t xml:space="preserve">†‡) next to structure names (plant structure main effect). Plant structures that share a symbol were not significantly different </w:t>
      </w:r>
      <w:r w:rsidR="007B463F">
        <w:rPr>
          <w:rFonts w:ascii="Times New Roman" w:eastAsia="Times New Roman" w:hAnsi="Times New Roman" w:cs="Times New Roman"/>
          <w:color w:val="000000"/>
          <w:sz w:val="20"/>
          <w:szCs w:val="20"/>
          <w:lang w:eastAsia="en-US"/>
        </w:rPr>
        <w:t>(</w:t>
      </w:r>
      <w:r w:rsidR="007B463F" w:rsidRPr="00B75A03">
        <w:rPr>
          <w:rFonts w:ascii="Times New Roman" w:eastAsia="Times New Roman" w:hAnsi="Times New Roman" w:cs="Times New Roman"/>
          <w:i/>
          <w:color w:val="000000"/>
          <w:sz w:val="20"/>
          <w:szCs w:val="20"/>
          <w:lang w:eastAsia="en-US"/>
        </w:rPr>
        <w:t>p</w:t>
      </w:r>
      <w:r w:rsidR="007B463F">
        <w:rPr>
          <w:rFonts w:ascii="Times New Roman" w:eastAsia="Times New Roman" w:hAnsi="Times New Roman" w:cs="Times New Roman"/>
          <w:color w:val="000000"/>
          <w:sz w:val="20"/>
          <w:szCs w:val="20"/>
          <w:lang w:eastAsia="en-US"/>
        </w:rPr>
        <w:t xml:space="preserve"> ≤</w:t>
      </w:r>
      <w:r w:rsidRPr="00F07DEB">
        <w:rPr>
          <w:rFonts w:ascii="Times New Roman" w:eastAsia="Times New Roman" w:hAnsi="Times New Roman" w:cs="Times New Roman"/>
          <w:color w:val="000000"/>
          <w:sz w:val="20"/>
          <w:szCs w:val="20"/>
          <w:lang w:eastAsia="en-US"/>
        </w:rPr>
        <w:t xml:space="preserve"> 0.05). When the interaction effect was significant for a </w:t>
      </w:r>
      <w:r>
        <w:rPr>
          <w:rFonts w:ascii="Times New Roman" w:eastAsia="Times New Roman" w:hAnsi="Times New Roman" w:cs="Times New Roman"/>
          <w:color w:val="000000"/>
          <w:sz w:val="20"/>
          <w:szCs w:val="20"/>
          <w:lang w:eastAsia="en-US"/>
        </w:rPr>
        <w:t>species</w:t>
      </w:r>
      <w:r w:rsidRPr="00F07DEB">
        <w:rPr>
          <w:rFonts w:ascii="Times New Roman" w:eastAsia="Times New Roman" w:hAnsi="Times New Roman" w:cs="Times New Roman"/>
          <w:color w:val="000000"/>
          <w:sz w:val="20"/>
          <w:szCs w:val="20"/>
          <w:lang w:eastAsia="en-US"/>
        </w:rPr>
        <w:t xml:space="preserve">, the results of </w:t>
      </w:r>
      <w:proofErr w:type="spellStart"/>
      <w:r w:rsidRPr="00F07DEB">
        <w:rPr>
          <w:rFonts w:ascii="Times New Roman" w:eastAsia="Times New Roman" w:hAnsi="Times New Roman" w:cs="Times New Roman"/>
          <w:color w:val="000000"/>
          <w:sz w:val="20"/>
          <w:szCs w:val="20"/>
          <w:lang w:eastAsia="en-US"/>
        </w:rPr>
        <w:t>Sidak</w:t>
      </w:r>
      <w:proofErr w:type="spellEnd"/>
      <w:r w:rsidRPr="00F07DEB">
        <w:rPr>
          <w:rFonts w:ascii="Times New Roman" w:eastAsia="Times New Roman" w:hAnsi="Times New Roman" w:cs="Times New Roman"/>
          <w:color w:val="000000"/>
          <w:sz w:val="20"/>
          <w:szCs w:val="20"/>
          <w:lang w:eastAsia="en-US"/>
        </w:rPr>
        <w:t>-corrected pairwise comparisons of simple main effects are indicated by a value in every row of the</w:t>
      </w:r>
      <w:r w:rsidRPr="00F07DEB">
        <w:rPr>
          <w:rFonts w:ascii="Times New Roman" w:eastAsia="Times New Roman" w:hAnsi="Times New Roman" w:cs="Times New Roman"/>
          <w:i/>
          <w:color w:val="000000"/>
          <w:sz w:val="20"/>
          <w:szCs w:val="20"/>
          <w:lang w:eastAsia="en-US"/>
        </w:rPr>
        <w:t xml:space="preserve"> p</w:t>
      </w:r>
      <w:r w:rsidRPr="00F07DEB">
        <w:rPr>
          <w:rFonts w:ascii="Times New Roman" w:eastAsia="Times New Roman" w:hAnsi="Times New Roman" w:cs="Times New Roman"/>
          <w:color w:val="000000"/>
          <w:sz w:val="20"/>
          <w:szCs w:val="20"/>
          <w:lang w:eastAsia="en-US"/>
        </w:rPr>
        <w:t xml:space="preserve"> column for the </w:t>
      </w:r>
      <w:r>
        <w:rPr>
          <w:rFonts w:ascii="Times New Roman" w:eastAsia="Times New Roman" w:hAnsi="Times New Roman" w:cs="Times New Roman"/>
          <w:color w:val="000000"/>
          <w:sz w:val="20"/>
          <w:szCs w:val="20"/>
          <w:lang w:eastAsia="en-US"/>
        </w:rPr>
        <w:t>species</w:t>
      </w:r>
      <w:r w:rsidRPr="00F07DEB">
        <w:rPr>
          <w:rFonts w:ascii="Times New Roman" w:eastAsia="Times New Roman" w:hAnsi="Times New Roman" w:cs="Times New Roman"/>
          <w:color w:val="000000"/>
          <w:sz w:val="20"/>
          <w:szCs w:val="20"/>
          <w:lang w:eastAsia="en-US"/>
        </w:rPr>
        <w:t xml:space="preserve"> (irrigation treatment simple main effect) and letters (e</w:t>
      </w:r>
      <w:r w:rsidR="00B323D9">
        <w:rPr>
          <w:rFonts w:ascii="Times New Roman" w:eastAsia="Times New Roman" w:hAnsi="Times New Roman" w:cs="Times New Roman"/>
          <w:color w:val="000000"/>
          <w:sz w:val="20"/>
          <w:szCs w:val="20"/>
          <w:lang w:eastAsia="en-US"/>
        </w:rPr>
        <w:t>.</w:t>
      </w:r>
      <w:r w:rsidRPr="00F07DEB">
        <w:rPr>
          <w:rFonts w:ascii="Times New Roman" w:eastAsia="Times New Roman" w:hAnsi="Times New Roman" w:cs="Times New Roman"/>
          <w:color w:val="000000"/>
          <w:sz w:val="20"/>
          <w:szCs w:val="20"/>
          <w:lang w:eastAsia="en-US"/>
        </w:rPr>
        <w:t xml:space="preserve">g., ab) next to mean concentrations. Structure concentrations from the same </w:t>
      </w:r>
      <w:r>
        <w:rPr>
          <w:rFonts w:ascii="Times New Roman" w:eastAsia="Times New Roman" w:hAnsi="Times New Roman" w:cs="Times New Roman"/>
          <w:color w:val="000000"/>
          <w:sz w:val="20"/>
          <w:szCs w:val="20"/>
          <w:lang w:eastAsia="en-US"/>
        </w:rPr>
        <w:t>species</w:t>
      </w:r>
      <w:r w:rsidRPr="00F07DEB">
        <w:rPr>
          <w:rFonts w:ascii="Times New Roman" w:eastAsia="Times New Roman" w:hAnsi="Times New Roman" w:cs="Times New Roman"/>
          <w:color w:val="000000"/>
          <w:sz w:val="20"/>
          <w:szCs w:val="20"/>
          <w:lang w:eastAsia="en-US"/>
        </w:rPr>
        <w:t xml:space="preserve"> and irrigation treatment that share a letter were not significantly different (plant structure simple main effect, alpha = 0.05).</w:t>
      </w:r>
    </w:p>
    <w:tbl>
      <w:tblPr>
        <w:tblW w:w="8431" w:type="dxa"/>
        <w:tblLook w:val="04A0" w:firstRow="1" w:lastRow="0" w:firstColumn="1" w:lastColumn="0" w:noHBand="0" w:noVBand="1"/>
      </w:tblPr>
      <w:tblGrid>
        <w:gridCol w:w="1926"/>
        <w:gridCol w:w="1251"/>
        <w:gridCol w:w="866"/>
        <w:gridCol w:w="1128"/>
        <w:gridCol w:w="1160"/>
        <w:gridCol w:w="1060"/>
        <w:gridCol w:w="1040"/>
      </w:tblGrid>
      <w:tr w:rsidR="00933477" w:rsidRPr="00F07DEB" w14:paraId="4D2D7FB5" w14:textId="77777777" w:rsidTr="00E01717">
        <w:trPr>
          <w:trHeight w:val="266"/>
        </w:trPr>
        <w:tc>
          <w:tcPr>
            <w:tcW w:w="8431" w:type="dxa"/>
            <w:gridSpan w:val="7"/>
            <w:tcBorders>
              <w:top w:val="nil"/>
              <w:left w:val="nil"/>
              <w:bottom w:val="single" w:sz="8" w:space="0" w:color="auto"/>
              <w:right w:val="nil"/>
            </w:tcBorders>
            <w:shd w:val="clear" w:color="auto" w:fill="auto"/>
            <w:noWrap/>
            <w:vAlign w:val="bottom"/>
            <w:hideMark/>
          </w:tcPr>
          <w:p w14:paraId="06C155A0" w14:textId="7FEA4B88" w:rsidR="00933477" w:rsidRPr="00933477" w:rsidRDefault="00933477" w:rsidP="00933477">
            <w:pPr>
              <w:spacing w:after="0" w:line="240" w:lineRule="auto"/>
              <w:jc w:val="center"/>
              <w:rPr>
                <w:rFonts w:ascii="Times New Roman" w:eastAsia="Times New Roman" w:hAnsi="Times New Roman" w:cs="Times New Roman"/>
                <w:b/>
                <w:color w:val="000000"/>
                <w:sz w:val="20"/>
                <w:szCs w:val="20"/>
                <w:lang w:eastAsia="en-US"/>
              </w:rPr>
            </w:pPr>
            <w:r>
              <w:rPr>
                <w:rFonts w:ascii="Times New Roman" w:eastAsia="Times New Roman" w:hAnsi="Times New Roman" w:cs="Times New Roman"/>
                <w:b/>
                <w:color w:val="000000"/>
                <w:sz w:val="20"/>
                <w:szCs w:val="20"/>
                <w:lang w:eastAsia="en-US"/>
              </w:rPr>
              <w:t>Table</w:t>
            </w:r>
            <w:r w:rsidRPr="00933477">
              <w:rPr>
                <w:rFonts w:ascii="Times New Roman" w:eastAsia="Times New Roman" w:hAnsi="Times New Roman" w:cs="Times New Roman"/>
                <w:b/>
                <w:color w:val="000000"/>
                <w:sz w:val="20"/>
                <w:szCs w:val="20"/>
                <w:lang w:eastAsia="en-US"/>
              </w:rPr>
              <w:t xml:space="preserve"> C</w:t>
            </w:r>
            <w:r>
              <w:rPr>
                <w:rFonts w:ascii="Times New Roman" w:eastAsia="Times New Roman" w:hAnsi="Times New Roman" w:cs="Times New Roman"/>
                <w:b/>
                <w:color w:val="000000"/>
                <w:sz w:val="20"/>
                <w:szCs w:val="20"/>
                <w:lang w:eastAsia="en-US"/>
              </w:rPr>
              <w:t>.</w:t>
            </w:r>
            <w:r w:rsidR="00337893">
              <w:rPr>
                <w:rFonts w:ascii="Times New Roman" w:eastAsia="Times New Roman" w:hAnsi="Times New Roman" w:cs="Times New Roman"/>
                <w:b/>
                <w:color w:val="000000"/>
                <w:sz w:val="20"/>
                <w:szCs w:val="20"/>
                <w:lang w:eastAsia="en-US"/>
              </w:rPr>
              <w:t>1</w:t>
            </w:r>
            <w:r w:rsidRPr="00933477">
              <w:rPr>
                <w:rFonts w:ascii="Times New Roman" w:eastAsia="Times New Roman" w:hAnsi="Times New Roman" w:cs="Times New Roman"/>
                <w:b/>
                <w:color w:val="000000"/>
                <w:sz w:val="20"/>
                <w:szCs w:val="20"/>
                <w:lang w:eastAsia="en-US"/>
              </w:rPr>
              <w:t>: Fe concentrations in plant biomass in mg/kg</w:t>
            </w:r>
          </w:p>
          <w:p w14:paraId="42F50780" w14:textId="66452C4C" w:rsidR="00933477" w:rsidRPr="00F07DEB" w:rsidRDefault="00933477"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r>
      <w:tr w:rsidR="00437290" w:rsidRPr="00F07DEB" w14:paraId="6C3AC70F" w14:textId="77777777" w:rsidTr="00437290">
        <w:trPr>
          <w:trHeight w:val="258"/>
        </w:trPr>
        <w:tc>
          <w:tcPr>
            <w:tcW w:w="1926" w:type="dxa"/>
            <w:tcBorders>
              <w:top w:val="nil"/>
              <w:left w:val="nil"/>
              <w:bottom w:val="nil"/>
              <w:right w:val="nil"/>
            </w:tcBorders>
            <w:shd w:val="clear" w:color="auto" w:fill="auto"/>
            <w:noWrap/>
            <w:vAlign w:val="bottom"/>
            <w:hideMark/>
          </w:tcPr>
          <w:p w14:paraId="6589242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4405" w:type="dxa"/>
            <w:gridSpan w:val="4"/>
            <w:tcBorders>
              <w:top w:val="nil"/>
              <w:left w:val="nil"/>
              <w:bottom w:val="nil"/>
              <w:right w:val="nil"/>
            </w:tcBorders>
            <w:shd w:val="clear" w:color="auto" w:fill="auto"/>
            <w:noWrap/>
            <w:vAlign w:val="bottom"/>
            <w:hideMark/>
          </w:tcPr>
          <w:p w14:paraId="593D17D4"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Treatment</w:t>
            </w:r>
          </w:p>
        </w:tc>
        <w:tc>
          <w:tcPr>
            <w:tcW w:w="1060" w:type="dxa"/>
            <w:tcBorders>
              <w:top w:val="nil"/>
              <w:left w:val="nil"/>
              <w:bottom w:val="nil"/>
              <w:right w:val="nil"/>
            </w:tcBorders>
            <w:shd w:val="clear" w:color="auto" w:fill="auto"/>
            <w:noWrap/>
            <w:vAlign w:val="bottom"/>
            <w:hideMark/>
          </w:tcPr>
          <w:p w14:paraId="17C7FF2D"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p>
        </w:tc>
        <w:tc>
          <w:tcPr>
            <w:tcW w:w="1040" w:type="dxa"/>
            <w:tcBorders>
              <w:top w:val="nil"/>
              <w:left w:val="nil"/>
              <w:bottom w:val="nil"/>
              <w:right w:val="nil"/>
            </w:tcBorders>
            <w:shd w:val="clear" w:color="auto" w:fill="auto"/>
            <w:noWrap/>
            <w:vAlign w:val="bottom"/>
            <w:hideMark/>
          </w:tcPr>
          <w:p w14:paraId="6E952F0C"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4827422B" w14:textId="77777777" w:rsidTr="00437290">
        <w:trPr>
          <w:trHeight w:val="266"/>
        </w:trPr>
        <w:tc>
          <w:tcPr>
            <w:tcW w:w="1926" w:type="dxa"/>
            <w:tcBorders>
              <w:top w:val="nil"/>
              <w:left w:val="nil"/>
              <w:bottom w:val="nil"/>
              <w:right w:val="nil"/>
            </w:tcBorders>
            <w:shd w:val="clear" w:color="auto" w:fill="auto"/>
            <w:noWrap/>
            <w:vAlign w:val="bottom"/>
            <w:hideMark/>
          </w:tcPr>
          <w:p w14:paraId="25F37347"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2117" w:type="dxa"/>
            <w:gridSpan w:val="2"/>
            <w:tcBorders>
              <w:top w:val="nil"/>
              <w:left w:val="nil"/>
              <w:bottom w:val="single" w:sz="8" w:space="0" w:color="auto"/>
              <w:right w:val="nil"/>
            </w:tcBorders>
            <w:shd w:val="clear" w:color="auto" w:fill="auto"/>
            <w:noWrap/>
            <w:vAlign w:val="bottom"/>
            <w:hideMark/>
          </w:tcPr>
          <w:p w14:paraId="079A22C5"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Groundwater</w:t>
            </w:r>
          </w:p>
        </w:tc>
        <w:tc>
          <w:tcPr>
            <w:tcW w:w="2288" w:type="dxa"/>
            <w:gridSpan w:val="2"/>
            <w:tcBorders>
              <w:top w:val="nil"/>
              <w:left w:val="nil"/>
              <w:bottom w:val="single" w:sz="8" w:space="0" w:color="auto"/>
              <w:right w:val="nil"/>
            </w:tcBorders>
            <w:shd w:val="clear" w:color="auto" w:fill="auto"/>
            <w:noWrap/>
            <w:vAlign w:val="bottom"/>
            <w:hideMark/>
          </w:tcPr>
          <w:p w14:paraId="3F3486FB"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Mine water</w:t>
            </w:r>
          </w:p>
        </w:tc>
        <w:tc>
          <w:tcPr>
            <w:tcW w:w="1060" w:type="dxa"/>
            <w:tcBorders>
              <w:top w:val="nil"/>
              <w:left w:val="nil"/>
              <w:bottom w:val="nil"/>
              <w:right w:val="nil"/>
            </w:tcBorders>
            <w:shd w:val="clear" w:color="auto" w:fill="auto"/>
            <w:noWrap/>
            <w:vAlign w:val="bottom"/>
            <w:hideMark/>
          </w:tcPr>
          <w:p w14:paraId="5D2B137D"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p>
        </w:tc>
        <w:tc>
          <w:tcPr>
            <w:tcW w:w="1040" w:type="dxa"/>
            <w:vMerge w:val="restart"/>
            <w:tcBorders>
              <w:top w:val="nil"/>
              <w:left w:val="nil"/>
              <w:bottom w:val="single" w:sz="8" w:space="0" w:color="000000"/>
              <w:right w:val="nil"/>
            </w:tcBorders>
            <w:shd w:val="clear" w:color="auto" w:fill="auto"/>
            <w:vAlign w:val="bottom"/>
            <w:hideMark/>
          </w:tcPr>
          <w:p w14:paraId="5897871D" w14:textId="20951135" w:rsidR="00437290" w:rsidRPr="00F07DEB" w:rsidRDefault="0006673C"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r>
      <w:tr w:rsidR="00437290" w:rsidRPr="00F07DEB" w14:paraId="781AD0DB"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2522554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Structure</w:t>
            </w:r>
          </w:p>
        </w:tc>
        <w:tc>
          <w:tcPr>
            <w:tcW w:w="1251" w:type="dxa"/>
            <w:tcBorders>
              <w:top w:val="nil"/>
              <w:left w:val="nil"/>
              <w:bottom w:val="single" w:sz="8" w:space="0" w:color="auto"/>
              <w:right w:val="nil"/>
            </w:tcBorders>
            <w:shd w:val="clear" w:color="auto" w:fill="auto"/>
            <w:noWrap/>
            <w:vAlign w:val="bottom"/>
            <w:hideMark/>
          </w:tcPr>
          <w:p w14:paraId="312E1641"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866" w:type="dxa"/>
            <w:tcBorders>
              <w:top w:val="nil"/>
              <w:left w:val="nil"/>
              <w:bottom w:val="single" w:sz="8" w:space="0" w:color="auto"/>
              <w:right w:val="nil"/>
            </w:tcBorders>
            <w:shd w:val="clear" w:color="auto" w:fill="auto"/>
            <w:noWrap/>
            <w:vAlign w:val="bottom"/>
            <w:hideMark/>
          </w:tcPr>
          <w:p w14:paraId="50187B74"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1128" w:type="dxa"/>
            <w:tcBorders>
              <w:top w:val="nil"/>
              <w:left w:val="nil"/>
              <w:bottom w:val="single" w:sz="8" w:space="0" w:color="auto"/>
              <w:right w:val="nil"/>
            </w:tcBorders>
            <w:shd w:val="clear" w:color="auto" w:fill="auto"/>
            <w:noWrap/>
            <w:vAlign w:val="bottom"/>
            <w:hideMark/>
          </w:tcPr>
          <w:p w14:paraId="5644E1B0"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1160" w:type="dxa"/>
            <w:tcBorders>
              <w:top w:val="nil"/>
              <w:left w:val="nil"/>
              <w:bottom w:val="single" w:sz="8" w:space="0" w:color="auto"/>
              <w:right w:val="nil"/>
            </w:tcBorders>
            <w:shd w:val="clear" w:color="auto" w:fill="auto"/>
            <w:noWrap/>
            <w:vAlign w:val="bottom"/>
            <w:hideMark/>
          </w:tcPr>
          <w:p w14:paraId="2B9300E5"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1060" w:type="dxa"/>
            <w:tcBorders>
              <w:top w:val="nil"/>
              <w:left w:val="nil"/>
              <w:bottom w:val="single" w:sz="8" w:space="0" w:color="auto"/>
              <w:right w:val="nil"/>
            </w:tcBorders>
            <w:shd w:val="clear" w:color="auto" w:fill="auto"/>
            <w:noWrap/>
            <w:vAlign w:val="bottom"/>
            <w:hideMark/>
          </w:tcPr>
          <w:p w14:paraId="41961082" w14:textId="77777777" w:rsidR="00437290" w:rsidRPr="00F07DEB" w:rsidRDefault="00437290" w:rsidP="00437290">
            <w:pPr>
              <w:spacing w:after="0" w:line="240" w:lineRule="auto"/>
              <w:jc w:val="center"/>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040" w:type="dxa"/>
            <w:vMerge/>
            <w:tcBorders>
              <w:top w:val="nil"/>
              <w:left w:val="nil"/>
              <w:bottom w:val="single" w:sz="8" w:space="0" w:color="000000"/>
              <w:right w:val="nil"/>
            </w:tcBorders>
            <w:vAlign w:val="center"/>
            <w:hideMark/>
          </w:tcPr>
          <w:p w14:paraId="3504115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53FBF540" w14:textId="77777777" w:rsidTr="00437290">
        <w:trPr>
          <w:trHeight w:val="258"/>
        </w:trPr>
        <w:tc>
          <w:tcPr>
            <w:tcW w:w="1926" w:type="dxa"/>
            <w:tcBorders>
              <w:top w:val="nil"/>
              <w:left w:val="nil"/>
              <w:bottom w:val="nil"/>
              <w:right w:val="nil"/>
            </w:tcBorders>
            <w:shd w:val="clear" w:color="auto" w:fill="auto"/>
            <w:noWrap/>
            <w:vAlign w:val="bottom"/>
            <w:hideMark/>
          </w:tcPr>
          <w:p w14:paraId="37CB6AF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Corn *</w:t>
            </w:r>
          </w:p>
        </w:tc>
        <w:tc>
          <w:tcPr>
            <w:tcW w:w="1251" w:type="dxa"/>
            <w:tcBorders>
              <w:top w:val="nil"/>
              <w:left w:val="nil"/>
              <w:bottom w:val="nil"/>
              <w:right w:val="nil"/>
            </w:tcBorders>
            <w:shd w:val="clear" w:color="auto" w:fill="auto"/>
            <w:noWrap/>
            <w:vAlign w:val="bottom"/>
            <w:hideMark/>
          </w:tcPr>
          <w:p w14:paraId="11D3D7C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0708E647"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7B76D92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1974AEB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2C5E7EC4"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4031DD1A"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72BE91AF" w14:textId="77777777" w:rsidTr="00437290">
        <w:trPr>
          <w:trHeight w:val="258"/>
        </w:trPr>
        <w:tc>
          <w:tcPr>
            <w:tcW w:w="1926" w:type="dxa"/>
            <w:tcBorders>
              <w:top w:val="nil"/>
              <w:left w:val="nil"/>
              <w:bottom w:val="nil"/>
              <w:right w:val="nil"/>
            </w:tcBorders>
            <w:shd w:val="clear" w:color="auto" w:fill="auto"/>
            <w:noWrap/>
            <w:vAlign w:val="bottom"/>
            <w:hideMark/>
          </w:tcPr>
          <w:p w14:paraId="03FC8B0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w:t>
            </w:r>
          </w:p>
        </w:tc>
        <w:tc>
          <w:tcPr>
            <w:tcW w:w="1251" w:type="dxa"/>
            <w:tcBorders>
              <w:top w:val="nil"/>
              <w:left w:val="nil"/>
              <w:bottom w:val="nil"/>
              <w:right w:val="nil"/>
            </w:tcBorders>
            <w:shd w:val="clear" w:color="auto" w:fill="auto"/>
            <w:noWrap/>
            <w:vAlign w:val="bottom"/>
            <w:hideMark/>
          </w:tcPr>
          <w:p w14:paraId="0A6EE2F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82.38</w:t>
            </w:r>
          </w:p>
        </w:tc>
        <w:tc>
          <w:tcPr>
            <w:tcW w:w="866" w:type="dxa"/>
            <w:tcBorders>
              <w:top w:val="nil"/>
              <w:left w:val="nil"/>
              <w:bottom w:val="nil"/>
              <w:right w:val="nil"/>
            </w:tcBorders>
            <w:shd w:val="clear" w:color="auto" w:fill="auto"/>
            <w:noWrap/>
            <w:vAlign w:val="bottom"/>
            <w:hideMark/>
          </w:tcPr>
          <w:p w14:paraId="5B05D98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14.60</w:t>
            </w:r>
          </w:p>
        </w:tc>
        <w:tc>
          <w:tcPr>
            <w:tcW w:w="1128" w:type="dxa"/>
            <w:tcBorders>
              <w:top w:val="nil"/>
              <w:left w:val="nil"/>
              <w:bottom w:val="nil"/>
              <w:right w:val="nil"/>
            </w:tcBorders>
            <w:shd w:val="clear" w:color="auto" w:fill="auto"/>
            <w:noWrap/>
            <w:vAlign w:val="bottom"/>
            <w:hideMark/>
          </w:tcPr>
          <w:p w14:paraId="0A76C19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116.31</w:t>
            </w:r>
          </w:p>
        </w:tc>
        <w:tc>
          <w:tcPr>
            <w:tcW w:w="1160" w:type="dxa"/>
            <w:tcBorders>
              <w:top w:val="nil"/>
              <w:left w:val="nil"/>
              <w:bottom w:val="nil"/>
              <w:right w:val="nil"/>
            </w:tcBorders>
            <w:shd w:val="clear" w:color="auto" w:fill="auto"/>
            <w:noWrap/>
            <w:vAlign w:val="bottom"/>
            <w:hideMark/>
          </w:tcPr>
          <w:p w14:paraId="08ECDA5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48.47</w:t>
            </w:r>
          </w:p>
        </w:tc>
        <w:tc>
          <w:tcPr>
            <w:tcW w:w="1060" w:type="dxa"/>
            <w:vMerge w:val="restart"/>
            <w:tcBorders>
              <w:top w:val="nil"/>
              <w:left w:val="nil"/>
              <w:bottom w:val="single" w:sz="8" w:space="0" w:color="000000"/>
              <w:right w:val="nil"/>
            </w:tcBorders>
            <w:shd w:val="clear" w:color="auto" w:fill="auto"/>
            <w:noWrap/>
            <w:vAlign w:val="center"/>
            <w:hideMark/>
          </w:tcPr>
          <w:p w14:paraId="0181802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0.085</w:t>
            </w:r>
          </w:p>
        </w:tc>
        <w:tc>
          <w:tcPr>
            <w:tcW w:w="1040" w:type="dxa"/>
            <w:vMerge w:val="restart"/>
            <w:tcBorders>
              <w:top w:val="nil"/>
              <w:left w:val="nil"/>
              <w:bottom w:val="single" w:sz="8" w:space="0" w:color="000000"/>
              <w:right w:val="nil"/>
            </w:tcBorders>
            <w:shd w:val="clear" w:color="auto" w:fill="auto"/>
            <w:noWrap/>
            <w:vAlign w:val="center"/>
            <w:hideMark/>
          </w:tcPr>
          <w:p w14:paraId="601DCFE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0.267</w:t>
            </w:r>
          </w:p>
        </w:tc>
      </w:tr>
      <w:tr w:rsidR="00437290" w:rsidRPr="00F07DEB" w14:paraId="20B27EBB" w14:textId="77777777" w:rsidTr="00437290">
        <w:trPr>
          <w:trHeight w:val="258"/>
        </w:trPr>
        <w:tc>
          <w:tcPr>
            <w:tcW w:w="1926" w:type="dxa"/>
            <w:tcBorders>
              <w:top w:val="nil"/>
              <w:left w:val="nil"/>
              <w:bottom w:val="nil"/>
              <w:right w:val="nil"/>
            </w:tcBorders>
            <w:shd w:val="clear" w:color="auto" w:fill="auto"/>
            <w:noWrap/>
            <w:vAlign w:val="bottom"/>
            <w:hideMark/>
          </w:tcPr>
          <w:p w14:paraId="13E7E308" w14:textId="11C1D268"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w:t>
            </w:r>
            <w:r w:rsidR="001405F5">
              <w:rPr>
                <w:rFonts w:ascii="Times New Roman" w:eastAsia="Times New Roman" w:hAnsi="Times New Roman" w:cs="Times New Roman"/>
                <w:color w:val="000000"/>
                <w:sz w:val="20"/>
                <w:szCs w:val="20"/>
                <w:lang w:eastAsia="en-US"/>
              </w:rPr>
              <w:t>Husk</w:t>
            </w:r>
            <w:r w:rsidRPr="00F07DEB">
              <w:rPr>
                <w:rFonts w:ascii="Times New Roman" w:eastAsia="Times New Roman" w:hAnsi="Times New Roman" w:cs="Times New Roman"/>
                <w:color w:val="000000"/>
                <w:sz w:val="20"/>
                <w:szCs w:val="20"/>
                <w:lang w:eastAsia="en-US"/>
              </w:rPr>
              <w:t xml:space="preserve"> †</w:t>
            </w:r>
          </w:p>
        </w:tc>
        <w:tc>
          <w:tcPr>
            <w:tcW w:w="1251" w:type="dxa"/>
            <w:tcBorders>
              <w:top w:val="nil"/>
              <w:left w:val="nil"/>
              <w:bottom w:val="nil"/>
              <w:right w:val="nil"/>
            </w:tcBorders>
            <w:shd w:val="clear" w:color="auto" w:fill="auto"/>
            <w:noWrap/>
            <w:vAlign w:val="bottom"/>
            <w:hideMark/>
          </w:tcPr>
          <w:p w14:paraId="41FD788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42.78</w:t>
            </w:r>
          </w:p>
        </w:tc>
        <w:tc>
          <w:tcPr>
            <w:tcW w:w="866" w:type="dxa"/>
            <w:tcBorders>
              <w:top w:val="nil"/>
              <w:left w:val="nil"/>
              <w:bottom w:val="nil"/>
              <w:right w:val="nil"/>
            </w:tcBorders>
            <w:shd w:val="clear" w:color="auto" w:fill="auto"/>
            <w:noWrap/>
            <w:vAlign w:val="bottom"/>
            <w:hideMark/>
          </w:tcPr>
          <w:p w14:paraId="3404DB7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11.04</w:t>
            </w:r>
          </w:p>
        </w:tc>
        <w:tc>
          <w:tcPr>
            <w:tcW w:w="1128" w:type="dxa"/>
            <w:tcBorders>
              <w:top w:val="nil"/>
              <w:left w:val="nil"/>
              <w:bottom w:val="nil"/>
              <w:right w:val="nil"/>
            </w:tcBorders>
            <w:shd w:val="clear" w:color="auto" w:fill="auto"/>
            <w:noWrap/>
            <w:vAlign w:val="bottom"/>
            <w:hideMark/>
          </w:tcPr>
          <w:p w14:paraId="3963F53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46.82</w:t>
            </w:r>
          </w:p>
        </w:tc>
        <w:tc>
          <w:tcPr>
            <w:tcW w:w="1160" w:type="dxa"/>
            <w:tcBorders>
              <w:top w:val="nil"/>
              <w:left w:val="nil"/>
              <w:bottom w:val="nil"/>
              <w:right w:val="nil"/>
            </w:tcBorders>
            <w:shd w:val="clear" w:color="auto" w:fill="auto"/>
            <w:noWrap/>
            <w:vAlign w:val="bottom"/>
            <w:hideMark/>
          </w:tcPr>
          <w:p w14:paraId="4AC407E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15.33</w:t>
            </w:r>
          </w:p>
        </w:tc>
        <w:tc>
          <w:tcPr>
            <w:tcW w:w="1060" w:type="dxa"/>
            <w:vMerge/>
            <w:tcBorders>
              <w:top w:val="nil"/>
              <w:left w:val="nil"/>
              <w:bottom w:val="single" w:sz="8" w:space="0" w:color="000000"/>
              <w:right w:val="nil"/>
            </w:tcBorders>
            <w:vAlign w:val="center"/>
            <w:hideMark/>
          </w:tcPr>
          <w:p w14:paraId="5D70854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40B5FCD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61D15561" w14:textId="77777777" w:rsidTr="00437290">
        <w:trPr>
          <w:trHeight w:val="258"/>
        </w:trPr>
        <w:tc>
          <w:tcPr>
            <w:tcW w:w="1926" w:type="dxa"/>
            <w:tcBorders>
              <w:top w:val="nil"/>
              <w:left w:val="nil"/>
              <w:bottom w:val="nil"/>
              <w:right w:val="nil"/>
            </w:tcBorders>
            <w:shd w:val="clear" w:color="auto" w:fill="auto"/>
            <w:noWrap/>
            <w:vAlign w:val="bottom"/>
            <w:hideMark/>
          </w:tcPr>
          <w:p w14:paraId="7AB49A9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 †</w:t>
            </w:r>
          </w:p>
        </w:tc>
        <w:tc>
          <w:tcPr>
            <w:tcW w:w="1251" w:type="dxa"/>
            <w:tcBorders>
              <w:top w:val="nil"/>
              <w:left w:val="nil"/>
              <w:bottom w:val="nil"/>
              <w:right w:val="nil"/>
            </w:tcBorders>
            <w:shd w:val="clear" w:color="auto" w:fill="auto"/>
            <w:noWrap/>
            <w:vAlign w:val="bottom"/>
            <w:hideMark/>
          </w:tcPr>
          <w:p w14:paraId="7D9C21D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49.36</w:t>
            </w:r>
          </w:p>
        </w:tc>
        <w:tc>
          <w:tcPr>
            <w:tcW w:w="866" w:type="dxa"/>
            <w:tcBorders>
              <w:top w:val="nil"/>
              <w:left w:val="nil"/>
              <w:bottom w:val="nil"/>
              <w:right w:val="nil"/>
            </w:tcBorders>
            <w:shd w:val="clear" w:color="auto" w:fill="auto"/>
            <w:noWrap/>
            <w:vAlign w:val="bottom"/>
            <w:hideMark/>
          </w:tcPr>
          <w:p w14:paraId="69CC41B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7.10</w:t>
            </w:r>
          </w:p>
        </w:tc>
        <w:tc>
          <w:tcPr>
            <w:tcW w:w="1128" w:type="dxa"/>
            <w:tcBorders>
              <w:top w:val="nil"/>
              <w:left w:val="nil"/>
              <w:bottom w:val="nil"/>
              <w:right w:val="nil"/>
            </w:tcBorders>
            <w:shd w:val="clear" w:color="auto" w:fill="auto"/>
            <w:noWrap/>
            <w:vAlign w:val="bottom"/>
            <w:hideMark/>
          </w:tcPr>
          <w:p w14:paraId="5C015A3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44.70</w:t>
            </w:r>
          </w:p>
        </w:tc>
        <w:tc>
          <w:tcPr>
            <w:tcW w:w="1160" w:type="dxa"/>
            <w:tcBorders>
              <w:top w:val="nil"/>
              <w:left w:val="nil"/>
              <w:bottom w:val="nil"/>
              <w:right w:val="nil"/>
            </w:tcBorders>
            <w:shd w:val="clear" w:color="auto" w:fill="auto"/>
            <w:noWrap/>
            <w:vAlign w:val="bottom"/>
            <w:hideMark/>
          </w:tcPr>
          <w:p w14:paraId="3AEE3F2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9.06</w:t>
            </w:r>
          </w:p>
        </w:tc>
        <w:tc>
          <w:tcPr>
            <w:tcW w:w="1060" w:type="dxa"/>
            <w:vMerge/>
            <w:tcBorders>
              <w:top w:val="nil"/>
              <w:left w:val="nil"/>
              <w:bottom w:val="single" w:sz="8" w:space="0" w:color="000000"/>
              <w:right w:val="nil"/>
            </w:tcBorders>
            <w:vAlign w:val="center"/>
            <w:hideMark/>
          </w:tcPr>
          <w:p w14:paraId="60F89E5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3CDF692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5A55BE70" w14:textId="77777777" w:rsidTr="00437290">
        <w:trPr>
          <w:trHeight w:val="258"/>
        </w:trPr>
        <w:tc>
          <w:tcPr>
            <w:tcW w:w="1926" w:type="dxa"/>
            <w:tcBorders>
              <w:top w:val="nil"/>
              <w:left w:val="nil"/>
              <w:bottom w:val="nil"/>
              <w:right w:val="nil"/>
            </w:tcBorders>
            <w:shd w:val="clear" w:color="auto" w:fill="auto"/>
            <w:noWrap/>
            <w:vAlign w:val="bottom"/>
            <w:hideMark/>
          </w:tcPr>
          <w:p w14:paraId="36C5592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Cob †</w:t>
            </w:r>
          </w:p>
        </w:tc>
        <w:tc>
          <w:tcPr>
            <w:tcW w:w="1251" w:type="dxa"/>
            <w:tcBorders>
              <w:top w:val="nil"/>
              <w:left w:val="nil"/>
              <w:bottom w:val="nil"/>
              <w:right w:val="nil"/>
            </w:tcBorders>
            <w:shd w:val="clear" w:color="auto" w:fill="auto"/>
            <w:noWrap/>
            <w:vAlign w:val="bottom"/>
            <w:hideMark/>
          </w:tcPr>
          <w:p w14:paraId="4BF9409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53.25</w:t>
            </w:r>
          </w:p>
        </w:tc>
        <w:tc>
          <w:tcPr>
            <w:tcW w:w="866" w:type="dxa"/>
            <w:tcBorders>
              <w:top w:val="nil"/>
              <w:left w:val="nil"/>
              <w:bottom w:val="nil"/>
              <w:right w:val="nil"/>
            </w:tcBorders>
            <w:shd w:val="clear" w:color="auto" w:fill="auto"/>
            <w:noWrap/>
            <w:vAlign w:val="bottom"/>
            <w:hideMark/>
          </w:tcPr>
          <w:p w14:paraId="342FFFD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17.46</w:t>
            </w:r>
          </w:p>
        </w:tc>
        <w:tc>
          <w:tcPr>
            <w:tcW w:w="1128" w:type="dxa"/>
            <w:tcBorders>
              <w:top w:val="nil"/>
              <w:left w:val="nil"/>
              <w:bottom w:val="nil"/>
              <w:right w:val="nil"/>
            </w:tcBorders>
            <w:shd w:val="clear" w:color="auto" w:fill="auto"/>
            <w:noWrap/>
            <w:vAlign w:val="bottom"/>
            <w:hideMark/>
          </w:tcPr>
          <w:p w14:paraId="307738F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45.20</w:t>
            </w:r>
          </w:p>
        </w:tc>
        <w:tc>
          <w:tcPr>
            <w:tcW w:w="1160" w:type="dxa"/>
            <w:tcBorders>
              <w:top w:val="nil"/>
              <w:left w:val="nil"/>
              <w:bottom w:val="nil"/>
              <w:right w:val="nil"/>
            </w:tcBorders>
            <w:shd w:val="clear" w:color="auto" w:fill="auto"/>
            <w:noWrap/>
            <w:vAlign w:val="bottom"/>
            <w:hideMark/>
          </w:tcPr>
          <w:p w14:paraId="68D155B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11.17</w:t>
            </w:r>
          </w:p>
        </w:tc>
        <w:tc>
          <w:tcPr>
            <w:tcW w:w="1060" w:type="dxa"/>
            <w:vMerge/>
            <w:tcBorders>
              <w:top w:val="nil"/>
              <w:left w:val="nil"/>
              <w:bottom w:val="single" w:sz="8" w:space="0" w:color="000000"/>
              <w:right w:val="nil"/>
            </w:tcBorders>
            <w:vAlign w:val="center"/>
            <w:hideMark/>
          </w:tcPr>
          <w:p w14:paraId="41D21C3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3491D99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2428DAF3" w14:textId="77777777" w:rsidTr="00437290">
        <w:trPr>
          <w:trHeight w:val="258"/>
        </w:trPr>
        <w:tc>
          <w:tcPr>
            <w:tcW w:w="1926" w:type="dxa"/>
            <w:tcBorders>
              <w:top w:val="nil"/>
              <w:left w:val="nil"/>
              <w:bottom w:val="nil"/>
              <w:right w:val="nil"/>
            </w:tcBorders>
            <w:shd w:val="clear" w:color="auto" w:fill="auto"/>
            <w:noWrap/>
            <w:vAlign w:val="bottom"/>
            <w:hideMark/>
          </w:tcPr>
          <w:p w14:paraId="2677B23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 †</w:t>
            </w:r>
          </w:p>
        </w:tc>
        <w:tc>
          <w:tcPr>
            <w:tcW w:w="1251" w:type="dxa"/>
            <w:tcBorders>
              <w:top w:val="nil"/>
              <w:left w:val="nil"/>
              <w:bottom w:val="nil"/>
              <w:right w:val="nil"/>
            </w:tcBorders>
            <w:shd w:val="clear" w:color="auto" w:fill="auto"/>
            <w:noWrap/>
            <w:vAlign w:val="bottom"/>
            <w:hideMark/>
          </w:tcPr>
          <w:p w14:paraId="58FBE40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22.23</w:t>
            </w:r>
          </w:p>
        </w:tc>
        <w:tc>
          <w:tcPr>
            <w:tcW w:w="866" w:type="dxa"/>
            <w:tcBorders>
              <w:top w:val="nil"/>
              <w:left w:val="nil"/>
              <w:bottom w:val="nil"/>
              <w:right w:val="nil"/>
            </w:tcBorders>
            <w:shd w:val="clear" w:color="auto" w:fill="auto"/>
            <w:noWrap/>
            <w:vAlign w:val="bottom"/>
            <w:hideMark/>
          </w:tcPr>
          <w:p w14:paraId="5267E5C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4.55</w:t>
            </w:r>
          </w:p>
        </w:tc>
        <w:tc>
          <w:tcPr>
            <w:tcW w:w="1128" w:type="dxa"/>
            <w:tcBorders>
              <w:top w:val="nil"/>
              <w:left w:val="nil"/>
              <w:bottom w:val="nil"/>
              <w:right w:val="nil"/>
            </w:tcBorders>
            <w:shd w:val="clear" w:color="auto" w:fill="auto"/>
            <w:noWrap/>
            <w:vAlign w:val="bottom"/>
            <w:hideMark/>
          </w:tcPr>
          <w:p w14:paraId="76E6686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43.87</w:t>
            </w:r>
          </w:p>
        </w:tc>
        <w:tc>
          <w:tcPr>
            <w:tcW w:w="1160" w:type="dxa"/>
            <w:tcBorders>
              <w:top w:val="nil"/>
              <w:left w:val="nil"/>
              <w:bottom w:val="nil"/>
              <w:right w:val="nil"/>
            </w:tcBorders>
            <w:shd w:val="clear" w:color="auto" w:fill="auto"/>
            <w:noWrap/>
            <w:vAlign w:val="bottom"/>
            <w:hideMark/>
          </w:tcPr>
          <w:p w14:paraId="003FBC8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49.80</w:t>
            </w:r>
          </w:p>
        </w:tc>
        <w:tc>
          <w:tcPr>
            <w:tcW w:w="1060" w:type="dxa"/>
            <w:vMerge/>
            <w:tcBorders>
              <w:top w:val="nil"/>
              <w:left w:val="nil"/>
              <w:bottom w:val="single" w:sz="8" w:space="0" w:color="000000"/>
              <w:right w:val="nil"/>
            </w:tcBorders>
            <w:vAlign w:val="center"/>
            <w:hideMark/>
          </w:tcPr>
          <w:p w14:paraId="282FD4E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4E08015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20E21DFC"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4E645C6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1251" w:type="dxa"/>
            <w:tcBorders>
              <w:top w:val="nil"/>
              <w:left w:val="nil"/>
              <w:bottom w:val="single" w:sz="8" w:space="0" w:color="auto"/>
              <w:right w:val="nil"/>
            </w:tcBorders>
            <w:shd w:val="clear" w:color="auto" w:fill="auto"/>
            <w:noWrap/>
            <w:vAlign w:val="bottom"/>
            <w:hideMark/>
          </w:tcPr>
          <w:p w14:paraId="7B3A3AE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300.35</w:t>
            </w:r>
          </w:p>
        </w:tc>
        <w:tc>
          <w:tcPr>
            <w:tcW w:w="866" w:type="dxa"/>
            <w:tcBorders>
              <w:top w:val="nil"/>
              <w:left w:val="nil"/>
              <w:bottom w:val="single" w:sz="8" w:space="0" w:color="auto"/>
              <w:right w:val="nil"/>
            </w:tcBorders>
            <w:shd w:val="clear" w:color="auto" w:fill="auto"/>
            <w:noWrap/>
            <w:vAlign w:val="bottom"/>
            <w:hideMark/>
          </w:tcPr>
          <w:p w14:paraId="03F38FE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132.21</w:t>
            </w:r>
          </w:p>
        </w:tc>
        <w:tc>
          <w:tcPr>
            <w:tcW w:w="1128" w:type="dxa"/>
            <w:tcBorders>
              <w:top w:val="nil"/>
              <w:left w:val="nil"/>
              <w:bottom w:val="single" w:sz="8" w:space="0" w:color="auto"/>
              <w:right w:val="nil"/>
            </w:tcBorders>
            <w:shd w:val="clear" w:color="auto" w:fill="auto"/>
            <w:noWrap/>
            <w:vAlign w:val="bottom"/>
            <w:hideMark/>
          </w:tcPr>
          <w:p w14:paraId="31E584C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528.48</w:t>
            </w:r>
          </w:p>
        </w:tc>
        <w:tc>
          <w:tcPr>
            <w:tcW w:w="1160" w:type="dxa"/>
            <w:tcBorders>
              <w:top w:val="nil"/>
              <w:left w:val="nil"/>
              <w:bottom w:val="single" w:sz="8" w:space="0" w:color="auto"/>
              <w:right w:val="nil"/>
            </w:tcBorders>
            <w:shd w:val="clear" w:color="auto" w:fill="auto"/>
            <w:noWrap/>
            <w:vAlign w:val="bottom"/>
            <w:hideMark/>
          </w:tcPr>
          <w:p w14:paraId="4D23FF5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223.15</w:t>
            </w:r>
          </w:p>
        </w:tc>
        <w:tc>
          <w:tcPr>
            <w:tcW w:w="1060" w:type="dxa"/>
            <w:vMerge/>
            <w:tcBorders>
              <w:top w:val="nil"/>
              <w:left w:val="nil"/>
              <w:bottom w:val="single" w:sz="8" w:space="0" w:color="000000"/>
              <w:right w:val="nil"/>
            </w:tcBorders>
            <w:vAlign w:val="center"/>
            <w:hideMark/>
          </w:tcPr>
          <w:p w14:paraId="790885A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56FC1C9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0431D884" w14:textId="77777777" w:rsidTr="00437290">
        <w:trPr>
          <w:trHeight w:val="258"/>
        </w:trPr>
        <w:tc>
          <w:tcPr>
            <w:tcW w:w="1926" w:type="dxa"/>
            <w:tcBorders>
              <w:top w:val="nil"/>
              <w:left w:val="nil"/>
              <w:bottom w:val="nil"/>
              <w:right w:val="nil"/>
            </w:tcBorders>
            <w:shd w:val="clear" w:color="auto" w:fill="auto"/>
            <w:noWrap/>
            <w:vAlign w:val="bottom"/>
            <w:hideMark/>
          </w:tcPr>
          <w:p w14:paraId="1DA4FE7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Sorghum</w:t>
            </w:r>
          </w:p>
        </w:tc>
        <w:tc>
          <w:tcPr>
            <w:tcW w:w="1251" w:type="dxa"/>
            <w:tcBorders>
              <w:top w:val="nil"/>
              <w:left w:val="nil"/>
              <w:bottom w:val="nil"/>
              <w:right w:val="nil"/>
            </w:tcBorders>
            <w:shd w:val="clear" w:color="auto" w:fill="auto"/>
            <w:noWrap/>
            <w:vAlign w:val="bottom"/>
            <w:hideMark/>
          </w:tcPr>
          <w:p w14:paraId="5DC25A9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04194FE3"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5A1A577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3F9A12D9"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14D1E587"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535F2596"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54022F56" w14:textId="77777777" w:rsidTr="00437290">
        <w:trPr>
          <w:trHeight w:val="258"/>
        </w:trPr>
        <w:tc>
          <w:tcPr>
            <w:tcW w:w="1926" w:type="dxa"/>
            <w:tcBorders>
              <w:top w:val="nil"/>
              <w:left w:val="nil"/>
              <w:bottom w:val="nil"/>
              <w:right w:val="nil"/>
            </w:tcBorders>
            <w:shd w:val="clear" w:color="auto" w:fill="auto"/>
            <w:noWrap/>
            <w:vAlign w:val="bottom"/>
            <w:hideMark/>
          </w:tcPr>
          <w:p w14:paraId="074BFE7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w:t>
            </w:r>
          </w:p>
        </w:tc>
        <w:tc>
          <w:tcPr>
            <w:tcW w:w="1251" w:type="dxa"/>
            <w:tcBorders>
              <w:top w:val="nil"/>
              <w:left w:val="nil"/>
              <w:bottom w:val="nil"/>
              <w:right w:val="nil"/>
            </w:tcBorders>
            <w:shd w:val="clear" w:color="auto" w:fill="auto"/>
            <w:noWrap/>
            <w:vAlign w:val="bottom"/>
            <w:hideMark/>
          </w:tcPr>
          <w:p w14:paraId="096D21A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206.93</w:t>
            </w:r>
          </w:p>
        </w:tc>
        <w:tc>
          <w:tcPr>
            <w:tcW w:w="866" w:type="dxa"/>
            <w:tcBorders>
              <w:top w:val="nil"/>
              <w:left w:val="nil"/>
              <w:bottom w:val="nil"/>
              <w:right w:val="nil"/>
            </w:tcBorders>
            <w:shd w:val="clear" w:color="auto" w:fill="auto"/>
            <w:noWrap/>
            <w:vAlign w:val="bottom"/>
            <w:hideMark/>
          </w:tcPr>
          <w:p w14:paraId="3AAFB22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33.45</w:t>
            </w:r>
          </w:p>
        </w:tc>
        <w:tc>
          <w:tcPr>
            <w:tcW w:w="1128" w:type="dxa"/>
            <w:tcBorders>
              <w:top w:val="nil"/>
              <w:left w:val="nil"/>
              <w:bottom w:val="nil"/>
              <w:right w:val="nil"/>
            </w:tcBorders>
            <w:shd w:val="clear" w:color="auto" w:fill="auto"/>
            <w:noWrap/>
            <w:vAlign w:val="bottom"/>
            <w:hideMark/>
          </w:tcPr>
          <w:p w14:paraId="0152FA8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121.36</w:t>
            </w:r>
          </w:p>
        </w:tc>
        <w:tc>
          <w:tcPr>
            <w:tcW w:w="1160" w:type="dxa"/>
            <w:tcBorders>
              <w:top w:val="nil"/>
              <w:left w:val="nil"/>
              <w:bottom w:val="nil"/>
              <w:right w:val="nil"/>
            </w:tcBorders>
            <w:shd w:val="clear" w:color="auto" w:fill="auto"/>
            <w:noWrap/>
            <w:vAlign w:val="bottom"/>
            <w:hideMark/>
          </w:tcPr>
          <w:p w14:paraId="6762F8B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22.32</w:t>
            </w:r>
          </w:p>
        </w:tc>
        <w:tc>
          <w:tcPr>
            <w:tcW w:w="1060" w:type="dxa"/>
            <w:vMerge w:val="restart"/>
            <w:tcBorders>
              <w:top w:val="nil"/>
              <w:left w:val="nil"/>
              <w:bottom w:val="single" w:sz="8" w:space="0" w:color="000000"/>
              <w:right w:val="nil"/>
            </w:tcBorders>
            <w:shd w:val="clear" w:color="auto" w:fill="auto"/>
            <w:noWrap/>
            <w:vAlign w:val="center"/>
            <w:hideMark/>
          </w:tcPr>
          <w:p w14:paraId="5AED851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0.408</w:t>
            </w:r>
          </w:p>
        </w:tc>
        <w:tc>
          <w:tcPr>
            <w:tcW w:w="1040" w:type="dxa"/>
            <w:vMerge w:val="restart"/>
            <w:tcBorders>
              <w:top w:val="nil"/>
              <w:left w:val="nil"/>
              <w:bottom w:val="single" w:sz="8" w:space="0" w:color="000000"/>
              <w:right w:val="nil"/>
            </w:tcBorders>
            <w:shd w:val="clear" w:color="auto" w:fill="auto"/>
            <w:noWrap/>
            <w:vAlign w:val="center"/>
            <w:hideMark/>
          </w:tcPr>
          <w:p w14:paraId="6517902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0.069</w:t>
            </w:r>
          </w:p>
        </w:tc>
      </w:tr>
      <w:tr w:rsidR="00437290" w:rsidRPr="00F07DEB" w14:paraId="10AD0880" w14:textId="77777777" w:rsidTr="00437290">
        <w:trPr>
          <w:trHeight w:val="258"/>
        </w:trPr>
        <w:tc>
          <w:tcPr>
            <w:tcW w:w="1926" w:type="dxa"/>
            <w:tcBorders>
              <w:top w:val="nil"/>
              <w:left w:val="nil"/>
              <w:bottom w:val="nil"/>
              <w:right w:val="nil"/>
            </w:tcBorders>
            <w:shd w:val="clear" w:color="auto" w:fill="auto"/>
            <w:noWrap/>
            <w:vAlign w:val="bottom"/>
            <w:hideMark/>
          </w:tcPr>
          <w:p w14:paraId="72DEEA2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 †</w:t>
            </w:r>
          </w:p>
        </w:tc>
        <w:tc>
          <w:tcPr>
            <w:tcW w:w="1251" w:type="dxa"/>
            <w:tcBorders>
              <w:top w:val="nil"/>
              <w:left w:val="nil"/>
              <w:bottom w:val="nil"/>
              <w:right w:val="nil"/>
            </w:tcBorders>
            <w:shd w:val="clear" w:color="auto" w:fill="auto"/>
            <w:noWrap/>
            <w:vAlign w:val="bottom"/>
            <w:hideMark/>
          </w:tcPr>
          <w:p w14:paraId="6CC9DA4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54.78</w:t>
            </w:r>
          </w:p>
        </w:tc>
        <w:tc>
          <w:tcPr>
            <w:tcW w:w="866" w:type="dxa"/>
            <w:tcBorders>
              <w:top w:val="nil"/>
              <w:left w:val="nil"/>
              <w:bottom w:val="nil"/>
              <w:right w:val="nil"/>
            </w:tcBorders>
            <w:shd w:val="clear" w:color="auto" w:fill="auto"/>
            <w:noWrap/>
            <w:vAlign w:val="bottom"/>
            <w:hideMark/>
          </w:tcPr>
          <w:p w14:paraId="16C8607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6.37</w:t>
            </w:r>
          </w:p>
        </w:tc>
        <w:tc>
          <w:tcPr>
            <w:tcW w:w="1128" w:type="dxa"/>
            <w:tcBorders>
              <w:top w:val="nil"/>
              <w:left w:val="nil"/>
              <w:bottom w:val="nil"/>
              <w:right w:val="nil"/>
            </w:tcBorders>
            <w:shd w:val="clear" w:color="auto" w:fill="auto"/>
            <w:noWrap/>
            <w:vAlign w:val="bottom"/>
            <w:hideMark/>
          </w:tcPr>
          <w:p w14:paraId="20297A6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64.78</w:t>
            </w:r>
          </w:p>
        </w:tc>
        <w:tc>
          <w:tcPr>
            <w:tcW w:w="1160" w:type="dxa"/>
            <w:tcBorders>
              <w:top w:val="nil"/>
              <w:left w:val="nil"/>
              <w:bottom w:val="nil"/>
              <w:right w:val="nil"/>
            </w:tcBorders>
            <w:shd w:val="clear" w:color="auto" w:fill="auto"/>
            <w:noWrap/>
            <w:vAlign w:val="bottom"/>
            <w:hideMark/>
          </w:tcPr>
          <w:p w14:paraId="72491AE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33.24</w:t>
            </w:r>
          </w:p>
        </w:tc>
        <w:tc>
          <w:tcPr>
            <w:tcW w:w="1060" w:type="dxa"/>
            <w:vMerge/>
            <w:tcBorders>
              <w:top w:val="nil"/>
              <w:left w:val="nil"/>
              <w:bottom w:val="single" w:sz="8" w:space="0" w:color="000000"/>
              <w:right w:val="nil"/>
            </w:tcBorders>
            <w:vAlign w:val="center"/>
            <w:hideMark/>
          </w:tcPr>
          <w:p w14:paraId="799A022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24529F1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03B50A6D" w14:textId="77777777" w:rsidTr="00437290">
        <w:trPr>
          <w:trHeight w:val="258"/>
        </w:trPr>
        <w:tc>
          <w:tcPr>
            <w:tcW w:w="1926" w:type="dxa"/>
            <w:tcBorders>
              <w:top w:val="nil"/>
              <w:left w:val="nil"/>
              <w:bottom w:val="nil"/>
              <w:right w:val="nil"/>
            </w:tcBorders>
            <w:shd w:val="clear" w:color="auto" w:fill="auto"/>
            <w:noWrap/>
            <w:vAlign w:val="bottom"/>
            <w:hideMark/>
          </w:tcPr>
          <w:p w14:paraId="592BC84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 †</w:t>
            </w:r>
          </w:p>
        </w:tc>
        <w:tc>
          <w:tcPr>
            <w:tcW w:w="1251" w:type="dxa"/>
            <w:tcBorders>
              <w:top w:val="nil"/>
              <w:left w:val="nil"/>
              <w:bottom w:val="nil"/>
              <w:right w:val="nil"/>
            </w:tcBorders>
            <w:shd w:val="clear" w:color="auto" w:fill="auto"/>
            <w:noWrap/>
            <w:vAlign w:val="bottom"/>
            <w:hideMark/>
          </w:tcPr>
          <w:p w14:paraId="7FAE307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74.61</w:t>
            </w:r>
          </w:p>
        </w:tc>
        <w:tc>
          <w:tcPr>
            <w:tcW w:w="866" w:type="dxa"/>
            <w:tcBorders>
              <w:top w:val="nil"/>
              <w:left w:val="nil"/>
              <w:bottom w:val="nil"/>
              <w:right w:val="nil"/>
            </w:tcBorders>
            <w:shd w:val="clear" w:color="auto" w:fill="auto"/>
            <w:noWrap/>
            <w:vAlign w:val="bottom"/>
            <w:hideMark/>
          </w:tcPr>
          <w:p w14:paraId="588630A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15.95</w:t>
            </w:r>
          </w:p>
        </w:tc>
        <w:tc>
          <w:tcPr>
            <w:tcW w:w="1128" w:type="dxa"/>
            <w:tcBorders>
              <w:top w:val="nil"/>
              <w:left w:val="nil"/>
              <w:bottom w:val="nil"/>
              <w:right w:val="nil"/>
            </w:tcBorders>
            <w:shd w:val="clear" w:color="auto" w:fill="auto"/>
            <w:noWrap/>
            <w:vAlign w:val="bottom"/>
            <w:hideMark/>
          </w:tcPr>
          <w:p w14:paraId="2F0648F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44.05</w:t>
            </w:r>
          </w:p>
        </w:tc>
        <w:tc>
          <w:tcPr>
            <w:tcW w:w="1160" w:type="dxa"/>
            <w:tcBorders>
              <w:top w:val="nil"/>
              <w:left w:val="nil"/>
              <w:bottom w:val="nil"/>
              <w:right w:val="nil"/>
            </w:tcBorders>
            <w:shd w:val="clear" w:color="auto" w:fill="auto"/>
            <w:noWrap/>
            <w:vAlign w:val="bottom"/>
            <w:hideMark/>
          </w:tcPr>
          <w:p w14:paraId="1F2A300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5.11</w:t>
            </w:r>
          </w:p>
        </w:tc>
        <w:tc>
          <w:tcPr>
            <w:tcW w:w="1060" w:type="dxa"/>
            <w:vMerge/>
            <w:tcBorders>
              <w:top w:val="nil"/>
              <w:left w:val="nil"/>
              <w:bottom w:val="single" w:sz="8" w:space="0" w:color="000000"/>
              <w:right w:val="nil"/>
            </w:tcBorders>
            <w:vAlign w:val="center"/>
            <w:hideMark/>
          </w:tcPr>
          <w:p w14:paraId="30825A6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13D23E8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38DF3258"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535D9B1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1251" w:type="dxa"/>
            <w:tcBorders>
              <w:top w:val="nil"/>
              <w:left w:val="nil"/>
              <w:bottom w:val="single" w:sz="8" w:space="0" w:color="auto"/>
              <w:right w:val="nil"/>
            </w:tcBorders>
            <w:shd w:val="clear" w:color="auto" w:fill="auto"/>
            <w:noWrap/>
            <w:vAlign w:val="bottom"/>
            <w:hideMark/>
          </w:tcPr>
          <w:p w14:paraId="4914851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614.17</w:t>
            </w:r>
          </w:p>
        </w:tc>
        <w:tc>
          <w:tcPr>
            <w:tcW w:w="866" w:type="dxa"/>
            <w:tcBorders>
              <w:top w:val="nil"/>
              <w:left w:val="nil"/>
              <w:bottom w:val="single" w:sz="8" w:space="0" w:color="auto"/>
              <w:right w:val="nil"/>
            </w:tcBorders>
            <w:shd w:val="clear" w:color="auto" w:fill="auto"/>
            <w:noWrap/>
            <w:vAlign w:val="bottom"/>
            <w:hideMark/>
          </w:tcPr>
          <w:p w14:paraId="3343CB1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163.79</w:t>
            </w:r>
          </w:p>
        </w:tc>
        <w:tc>
          <w:tcPr>
            <w:tcW w:w="1128" w:type="dxa"/>
            <w:tcBorders>
              <w:top w:val="nil"/>
              <w:left w:val="nil"/>
              <w:bottom w:val="single" w:sz="8" w:space="0" w:color="auto"/>
              <w:right w:val="nil"/>
            </w:tcBorders>
            <w:shd w:val="clear" w:color="auto" w:fill="auto"/>
            <w:noWrap/>
            <w:vAlign w:val="bottom"/>
            <w:hideMark/>
          </w:tcPr>
          <w:p w14:paraId="4AD2AFC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619.67</w:t>
            </w:r>
          </w:p>
        </w:tc>
        <w:tc>
          <w:tcPr>
            <w:tcW w:w="1160" w:type="dxa"/>
            <w:tcBorders>
              <w:top w:val="nil"/>
              <w:left w:val="nil"/>
              <w:bottom w:val="single" w:sz="8" w:space="0" w:color="auto"/>
              <w:right w:val="nil"/>
            </w:tcBorders>
            <w:shd w:val="clear" w:color="auto" w:fill="auto"/>
            <w:noWrap/>
            <w:vAlign w:val="bottom"/>
            <w:hideMark/>
          </w:tcPr>
          <w:p w14:paraId="0FAE6C9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210.91</w:t>
            </w:r>
          </w:p>
        </w:tc>
        <w:tc>
          <w:tcPr>
            <w:tcW w:w="1060" w:type="dxa"/>
            <w:vMerge/>
            <w:tcBorders>
              <w:top w:val="nil"/>
              <w:left w:val="nil"/>
              <w:bottom w:val="single" w:sz="8" w:space="0" w:color="000000"/>
              <w:right w:val="nil"/>
            </w:tcBorders>
            <w:vAlign w:val="center"/>
            <w:hideMark/>
          </w:tcPr>
          <w:p w14:paraId="31899E8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07934C3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2FD7E55B" w14:textId="77777777" w:rsidTr="00437290">
        <w:trPr>
          <w:trHeight w:val="258"/>
        </w:trPr>
        <w:tc>
          <w:tcPr>
            <w:tcW w:w="1926" w:type="dxa"/>
            <w:tcBorders>
              <w:top w:val="nil"/>
              <w:left w:val="nil"/>
              <w:bottom w:val="nil"/>
              <w:right w:val="nil"/>
            </w:tcBorders>
            <w:shd w:val="clear" w:color="auto" w:fill="auto"/>
            <w:noWrap/>
            <w:vAlign w:val="bottom"/>
            <w:hideMark/>
          </w:tcPr>
          <w:p w14:paraId="659B306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Bermuda grass</w:t>
            </w:r>
          </w:p>
        </w:tc>
        <w:tc>
          <w:tcPr>
            <w:tcW w:w="1251" w:type="dxa"/>
            <w:tcBorders>
              <w:top w:val="nil"/>
              <w:left w:val="nil"/>
              <w:bottom w:val="nil"/>
              <w:right w:val="nil"/>
            </w:tcBorders>
            <w:shd w:val="clear" w:color="auto" w:fill="auto"/>
            <w:noWrap/>
            <w:vAlign w:val="bottom"/>
            <w:hideMark/>
          </w:tcPr>
          <w:p w14:paraId="0D9E03B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02007053"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65E1DD84"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24FC0818"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73CF43DA"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716AF8CE"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2B39262B" w14:textId="77777777" w:rsidTr="00437290">
        <w:trPr>
          <w:trHeight w:val="258"/>
        </w:trPr>
        <w:tc>
          <w:tcPr>
            <w:tcW w:w="1926" w:type="dxa"/>
            <w:tcBorders>
              <w:top w:val="nil"/>
              <w:left w:val="nil"/>
              <w:bottom w:val="nil"/>
              <w:right w:val="nil"/>
            </w:tcBorders>
            <w:shd w:val="clear" w:color="auto" w:fill="auto"/>
            <w:noWrap/>
            <w:vAlign w:val="bottom"/>
            <w:hideMark/>
          </w:tcPr>
          <w:p w14:paraId="0886AAE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Grass1 </w:t>
            </w:r>
          </w:p>
        </w:tc>
        <w:tc>
          <w:tcPr>
            <w:tcW w:w="1251" w:type="dxa"/>
            <w:tcBorders>
              <w:top w:val="nil"/>
              <w:left w:val="nil"/>
              <w:bottom w:val="nil"/>
              <w:right w:val="nil"/>
            </w:tcBorders>
            <w:shd w:val="clear" w:color="auto" w:fill="auto"/>
            <w:noWrap/>
            <w:vAlign w:val="bottom"/>
            <w:hideMark/>
          </w:tcPr>
          <w:p w14:paraId="3157276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148.76</w:t>
            </w:r>
          </w:p>
        </w:tc>
        <w:tc>
          <w:tcPr>
            <w:tcW w:w="866" w:type="dxa"/>
            <w:tcBorders>
              <w:top w:val="nil"/>
              <w:left w:val="nil"/>
              <w:bottom w:val="nil"/>
              <w:right w:val="nil"/>
            </w:tcBorders>
            <w:shd w:val="clear" w:color="auto" w:fill="auto"/>
            <w:noWrap/>
            <w:vAlign w:val="bottom"/>
            <w:hideMark/>
          </w:tcPr>
          <w:p w14:paraId="778F58D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78.11</w:t>
            </w:r>
          </w:p>
        </w:tc>
        <w:tc>
          <w:tcPr>
            <w:tcW w:w="1128" w:type="dxa"/>
            <w:tcBorders>
              <w:top w:val="nil"/>
              <w:left w:val="nil"/>
              <w:bottom w:val="nil"/>
              <w:right w:val="nil"/>
            </w:tcBorders>
            <w:shd w:val="clear" w:color="auto" w:fill="auto"/>
            <w:noWrap/>
            <w:vAlign w:val="bottom"/>
            <w:hideMark/>
          </w:tcPr>
          <w:p w14:paraId="514FC8F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101.44</w:t>
            </w:r>
          </w:p>
        </w:tc>
        <w:tc>
          <w:tcPr>
            <w:tcW w:w="1160" w:type="dxa"/>
            <w:tcBorders>
              <w:top w:val="nil"/>
              <w:left w:val="nil"/>
              <w:bottom w:val="nil"/>
              <w:right w:val="nil"/>
            </w:tcBorders>
            <w:shd w:val="clear" w:color="auto" w:fill="auto"/>
            <w:noWrap/>
            <w:vAlign w:val="bottom"/>
            <w:hideMark/>
          </w:tcPr>
          <w:p w14:paraId="7CDE2AB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11.19</w:t>
            </w:r>
          </w:p>
        </w:tc>
        <w:tc>
          <w:tcPr>
            <w:tcW w:w="1060" w:type="dxa"/>
            <w:vMerge w:val="restart"/>
            <w:tcBorders>
              <w:top w:val="nil"/>
              <w:left w:val="nil"/>
              <w:bottom w:val="single" w:sz="8" w:space="0" w:color="000000"/>
              <w:right w:val="nil"/>
            </w:tcBorders>
            <w:shd w:val="clear" w:color="auto" w:fill="auto"/>
            <w:noWrap/>
            <w:vAlign w:val="center"/>
            <w:hideMark/>
          </w:tcPr>
          <w:p w14:paraId="721966A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0.059</w:t>
            </w:r>
          </w:p>
        </w:tc>
        <w:tc>
          <w:tcPr>
            <w:tcW w:w="1040" w:type="dxa"/>
            <w:vMerge w:val="restart"/>
            <w:tcBorders>
              <w:top w:val="nil"/>
              <w:left w:val="nil"/>
              <w:bottom w:val="single" w:sz="8" w:space="0" w:color="000000"/>
              <w:right w:val="nil"/>
            </w:tcBorders>
            <w:shd w:val="clear" w:color="auto" w:fill="auto"/>
            <w:noWrap/>
            <w:vAlign w:val="center"/>
            <w:hideMark/>
          </w:tcPr>
          <w:p w14:paraId="5384DDA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0.311</w:t>
            </w:r>
          </w:p>
        </w:tc>
      </w:tr>
      <w:tr w:rsidR="00437290" w:rsidRPr="00F07DEB" w14:paraId="6FC7211C" w14:textId="77777777" w:rsidTr="00437290">
        <w:trPr>
          <w:trHeight w:val="258"/>
        </w:trPr>
        <w:tc>
          <w:tcPr>
            <w:tcW w:w="1926" w:type="dxa"/>
            <w:tcBorders>
              <w:top w:val="nil"/>
              <w:left w:val="nil"/>
              <w:bottom w:val="nil"/>
              <w:right w:val="nil"/>
            </w:tcBorders>
            <w:shd w:val="clear" w:color="auto" w:fill="auto"/>
            <w:noWrap/>
            <w:vAlign w:val="bottom"/>
            <w:hideMark/>
          </w:tcPr>
          <w:p w14:paraId="4A79FDD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Grass2</w:t>
            </w:r>
          </w:p>
        </w:tc>
        <w:tc>
          <w:tcPr>
            <w:tcW w:w="1251" w:type="dxa"/>
            <w:tcBorders>
              <w:top w:val="nil"/>
              <w:left w:val="nil"/>
              <w:bottom w:val="nil"/>
              <w:right w:val="nil"/>
            </w:tcBorders>
            <w:shd w:val="clear" w:color="auto" w:fill="auto"/>
            <w:noWrap/>
            <w:vAlign w:val="bottom"/>
            <w:hideMark/>
          </w:tcPr>
          <w:p w14:paraId="450AE54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409.49</w:t>
            </w:r>
          </w:p>
        </w:tc>
        <w:tc>
          <w:tcPr>
            <w:tcW w:w="866" w:type="dxa"/>
            <w:tcBorders>
              <w:top w:val="nil"/>
              <w:left w:val="nil"/>
              <w:bottom w:val="nil"/>
              <w:right w:val="nil"/>
            </w:tcBorders>
            <w:shd w:val="clear" w:color="auto" w:fill="auto"/>
            <w:noWrap/>
            <w:vAlign w:val="bottom"/>
            <w:hideMark/>
          </w:tcPr>
          <w:p w14:paraId="4E0A06D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137.65</w:t>
            </w:r>
          </w:p>
        </w:tc>
        <w:tc>
          <w:tcPr>
            <w:tcW w:w="1128" w:type="dxa"/>
            <w:tcBorders>
              <w:top w:val="nil"/>
              <w:left w:val="nil"/>
              <w:bottom w:val="nil"/>
              <w:right w:val="nil"/>
            </w:tcBorders>
            <w:shd w:val="clear" w:color="auto" w:fill="auto"/>
            <w:noWrap/>
            <w:vAlign w:val="bottom"/>
            <w:hideMark/>
          </w:tcPr>
          <w:p w14:paraId="71B6501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130.61</w:t>
            </w:r>
          </w:p>
        </w:tc>
        <w:tc>
          <w:tcPr>
            <w:tcW w:w="1160" w:type="dxa"/>
            <w:tcBorders>
              <w:top w:val="nil"/>
              <w:left w:val="nil"/>
              <w:bottom w:val="nil"/>
              <w:right w:val="nil"/>
            </w:tcBorders>
            <w:shd w:val="clear" w:color="auto" w:fill="auto"/>
            <w:noWrap/>
            <w:vAlign w:val="bottom"/>
            <w:hideMark/>
          </w:tcPr>
          <w:p w14:paraId="7A2B22D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42.06</w:t>
            </w:r>
          </w:p>
        </w:tc>
        <w:tc>
          <w:tcPr>
            <w:tcW w:w="1060" w:type="dxa"/>
            <w:vMerge/>
            <w:tcBorders>
              <w:top w:val="nil"/>
              <w:left w:val="nil"/>
              <w:bottom w:val="single" w:sz="8" w:space="0" w:color="000000"/>
              <w:right w:val="nil"/>
            </w:tcBorders>
            <w:vAlign w:val="center"/>
            <w:hideMark/>
          </w:tcPr>
          <w:p w14:paraId="63E5BEE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7FDA2B9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31F3155B"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454E26A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1251" w:type="dxa"/>
            <w:tcBorders>
              <w:top w:val="nil"/>
              <w:left w:val="nil"/>
              <w:bottom w:val="single" w:sz="8" w:space="0" w:color="auto"/>
              <w:right w:val="nil"/>
            </w:tcBorders>
            <w:shd w:val="clear" w:color="auto" w:fill="auto"/>
            <w:noWrap/>
            <w:vAlign w:val="bottom"/>
            <w:hideMark/>
          </w:tcPr>
          <w:p w14:paraId="622ED69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795.24</w:t>
            </w:r>
          </w:p>
        </w:tc>
        <w:tc>
          <w:tcPr>
            <w:tcW w:w="866" w:type="dxa"/>
            <w:tcBorders>
              <w:top w:val="nil"/>
              <w:left w:val="nil"/>
              <w:bottom w:val="single" w:sz="8" w:space="0" w:color="auto"/>
              <w:right w:val="nil"/>
            </w:tcBorders>
            <w:shd w:val="clear" w:color="auto" w:fill="auto"/>
            <w:noWrap/>
            <w:vAlign w:val="bottom"/>
            <w:hideMark/>
          </w:tcPr>
          <w:p w14:paraId="39EC83C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466.54</w:t>
            </w:r>
          </w:p>
        </w:tc>
        <w:tc>
          <w:tcPr>
            <w:tcW w:w="1128" w:type="dxa"/>
            <w:tcBorders>
              <w:top w:val="nil"/>
              <w:left w:val="nil"/>
              <w:bottom w:val="single" w:sz="8" w:space="0" w:color="auto"/>
              <w:right w:val="nil"/>
            </w:tcBorders>
            <w:shd w:val="clear" w:color="auto" w:fill="auto"/>
            <w:noWrap/>
            <w:vAlign w:val="bottom"/>
            <w:hideMark/>
          </w:tcPr>
          <w:p w14:paraId="41893AD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717.71</w:t>
            </w:r>
          </w:p>
        </w:tc>
        <w:tc>
          <w:tcPr>
            <w:tcW w:w="1160" w:type="dxa"/>
            <w:tcBorders>
              <w:top w:val="nil"/>
              <w:left w:val="nil"/>
              <w:bottom w:val="single" w:sz="8" w:space="0" w:color="auto"/>
              <w:right w:val="nil"/>
            </w:tcBorders>
            <w:shd w:val="clear" w:color="auto" w:fill="auto"/>
            <w:noWrap/>
            <w:vAlign w:val="bottom"/>
            <w:hideMark/>
          </w:tcPr>
          <w:p w14:paraId="48A3557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169.53</w:t>
            </w:r>
          </w:p>
        </w:tc>
        <w:tc>
          <w:tcPr>
            <w:tcW w:w="1060" w:type="dxa"/>
            <w:vMerge/>
            <w:tcBorders>
              <w:top w:val="nil"/>
              <w:left w:val="nil"/>
              <w:bottom w:val="single" w:sz="8" w:space="0" w:color="000000"/>
              <w:right w:val="nil"/>
            </w:tcBorders>
            <w:vAlign w:val="center"/>
            <w:hideMark/>
          </w:tcPr>
          <w:p w14:paraId="3D12D71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16D2D99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1AD9F1FD" w14:textId="77777777" w:rsidTr="00437290">
        <w:trPr>
          <w:trHeight w:val="258"/>
        </w:trPr>
        <w:tc>
          <w:tcPr>
            <w:tcW w:w="1926" w:type="dxa"/>
            <w:tcBorders>
              <w:top w:val="nil"/>
              <w:left w:val="nil"/>
              <w:bottom w:val="nil"/>
              <w:right w:val="nil"/>
            </w:tcBorders>
            <w:shd w:val="clear" w:color="auto" w:fill="auto"/>
            <w:noWrap/>
            <w:vAlign w:val="bottom"/>
            <w:hideMark/>
          </w:tcPr>
          <w:p w14:paraId="55871C2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251" w:type="dxa"/>
            <w:tcBorders>
              <w:top w:val="nil"/>
              <w:left w:val="nil"/>
              <w:bottom w:val="nil"/>
              <w:right w:val="nil"/>
            </w:tcBorders>
            <w:shd w:val="clear" w:color="auto" w:fill="auto"/>
            <w:noWrap/>
            <w:vAlign w:val="bottom"/>
            <w:hideMark/>
          </w:tcPr>
          <w:p w14:paraId="3B50B534"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866" w:type="dxa"/>
            <w:tcBorders>
              <w:top w:val="nil"/>
              <w:left w:val="nil"/>
              <w:bottom w:val="nil"/>
              <w:right w:val="nil"/>
            </w:tcBorders>
            <w:shd w:val="clear" w:color="auto" w:fill="auto"/>
            <w:noWrap/>
            <w:vAlign w:val="bottom"/>
            <w:hideMark/>
          </w:tcPr>
          <w:p w14:paraId="224450FA"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31E34C6E"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77F7E7FB"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7C8B881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0FF0903B"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438782B1" w14:textId="77777777" w:rsidTr="00437290">
        <w:trPr>
          <w:trHeight w:val="258"/>
        </w:trPr>
        <w:tc>
          <w:tcPr>
            <w:tcW w:w="1926" w:type="dxa"/>
            <w:tcBorders>
              <w:top w:val="nil"/>
              <w:left w:val="nil"/>
              <w:bottom w:val="nil"/>
              <w:right w:val="nil"/>
            </w:tcBorders>
            <w:shd w:val="clear" w:color="auto" w:fill="auto"/>
            <w:noWrap/>
            <w:vAlign w:val="bottom"/>
            <w:hideMark/>
          </w:tcPr>
          <w:p w14:paraId="048FECC9" w14:textId="77777777" w:rsidR="00437290" w:rsidRDefault="00437290" w:rsidP="00437290">
            <w:pPr>
              <w:spacing w:after="0" w:line="240" w:lineRule="auto"/>
              <w:rPr>
                <w:rFonts w:ascii="Times New Roman" w:eastAsia="Times New Roman" w:hAnsi="Times New Roman" w:cs="Times New Roman"/>
                <w:sz w:val="20"/>
                <w:szCs w:val="20"/>
                <w:lang w:eastAsia="en-US"/>
              </w:rPr>
            </w:pPr>
          </w:p>
          <w:p w14:paraId="3459A2F8"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6DCDD1CB"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0BF64073"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01133E3E"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5A47886B"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05495E0C"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6AA9A3E2"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090117C8"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09F9FEBE"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56AE8382"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7FF7ECD0"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6544D88D"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1D349621"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057041F7"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3E9F4944"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7FCA99CE"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1A7B6774"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0B3C8B1C" w14:textId="77777777" w:rsidR="00B643F2" w:rsidRDefault="00B643F2" w:rsidP="00437290">
            <w:pPr>
              <w:spacing w:after="0" w:line="240" w:lineRule="auto"/>
              <w:rPr>
                <w:rFonts w:ascii="Times New Roman" w:eastAsia="Times New Roman" w:hAnsi="Times New Roman" w:cs="Times New Roman"/>
                <w:sz w:val="20"/>
                <w:szCs w:val="20"/>
                <w:lang w:eastAsia="en-US"/>
              </w:rPr>
            </w:pPr>
          </w:p>
          <w:p w14:paraId="3625467C" w14:textId="77777777" w:rsidR="001E1298" w:rsidRPr="00F07DEB" w:rsidRDefault="001E1298" w:rsidP="00437290">
            <w:pPr>
              <w:spacing w:after="0" w:line="240" w:lineRule="auto"/>
              <w:rPr>
                <w:rFonts w:ascii="Times New Roman" w:eastAsia="Times New Roman" w:hAnsi="Times New Roman" w:cs="Times New Roman"/>
                <w:sz w:val="20"/>
                <w:szCs w:val="20"/>
                <w:lang w:eastAsia="en-US"/>
              </w:rPr>
            </w:pPr>
          </w:p>
        </w:tc>
        <w:tc>
          <w:tcPr>
            <w:tcW w:w="1251" w:type="dxa"/>
            <w:tcBorders>
              <w:top w:val="nil"/>
              <w:left w:val="nil"/>
              <w:bottom w:val="nil"/>
              <w:right w:val="nil"/>
            </w:tcBorders>
            <w:shd w:val="clear" w:color="auto" w:fill="auto"/>
            <w:noWrap/>
            <w:vAlign w:val="bottom"/>
            <w:hideMark/>
          </w:tcPr>
          <w:p w14:paraId="4F0DD924"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866" w:type="dxa"/>
            <w:tcBorders>
              <w:top w:val="nil"/>
              <w:left w:val="nil"/>
              <w:bottom w:val="nil"/>
              <w:right w:val="nil"/>
            </w:tcBorders>
            <w:shd w:val="clear" w:color="auto" w:fill="auto"/>
            <w:noWrap/>
            <w:vAlign w:val="bottom"/>
            <w:hideMark/>
          </w:tcPr>
          <w:p w14:paraId="6150089A"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5666E392"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443539E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48FAE892"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5CB915D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933477" w:rsidRPr="00F07DEB" w14:paraId="7AA2074B" w14:textId="77777777" w:rsidTr="00E01717">
        <w:trPr>
          <w:trHeight w:val="266"/>
        </w:trPr>
        <w:tc>
          <w:tcPr>
            <w:tcW w:w="8431" w:type="dxa"/>
            <w:gridSpan w:val="7"/>
            <w:tcBorders>
              <w:top w:val="nil"/>
              <w:left w:val="nil"/>
              <w:bottom w:val="single" w:sz="8" w:space="0" w:color="auto"/>
              <w:right w:val="nil"/>
            </w:tcBorders>
            <w:shd w:val="clear" w:color="auto" w:fill="auto"/>
            <w:noWrap/>
            <w:vAlign w:val="bottom"/>
            <w:hideMark/>
          </w:tcPr>
          <w:p w14:paraId="6017C2C1" w14:textId="5A60A94D" w:rsidR="00933477" w:rsidRPr="00933477" w:rsidRDefault="00933477" w:rsidP="00933477">
            <w:pPr>
              <w:spacing w:after="0" w:line="240" w:lineRule="auto"/>
              <w:jc w:val="center"/>
              <w:rPr>
                <w:rFonts w:ascii="Times New Roman" w:eastAsia="Times New Roman" w:hAnsi="Times New Roman" w:cs="Times New Roman"/>
                <w:b/>
                <w:color w:val="000000"/>
                <w:sz w:val="20"/>
                <w:szCs w:val="20"/>
                <w:lang w:eastAsia="en-US"/>
              </w:rPr>
            </w:pPr>
            <w:r>
              <w:rPr>
                <w:rFonts w:ascii="Times New Roman" w:eastAsia="Times New Roman" w:hAnsi="Times New Roman" w:cs="Times New Roman"/>
                <w:b/>
                <w:color w:val="000000"/>
                <w:sz w:val="20"/>
                <w:szCs w:val="20"/>
                <w:lang w:eastAsia="en-US"/>
              </w:rPr>
              <w:lastRenderedPageBreak/>
              <w:t>Table</w:t>
            </w:r>
            <w:r w:rsidRPr="00933477">
              <w:rPr>
                <w:rFonts w:ascii="Times New Roman" w:eastAsia="Times New Roman" w:hAnsi="Times New Roman" w:cs="Times New Roman"/>
                <w:b/>
                <w:color w:val="000000"/>
                <w:sz w:val="20"/>
                <w:szCs w:val="20"/>
                <w:lang w:eastAsia="en-US"/>
              </w:rPr>
              <w:t xml:space="preserve"> C</w:t>
            </w:r>
            <w:r>
              <w:rPr>
                <w:rFonts w:ascii="Times New Roman" w:eastAsia="Times New Roman" w:hAnsi="Times New Roman" w:cs="Times New Roman"/>
                <w:b/>
                <w:color w:val="000000"/>
                <w:sz w:val="20"/>
                <w:szCs w:val="20"/>
                <w:lang w:eastAsia="en-US"/>
              </w:rPr>
              <w:t>.</w:t>
            </w:r>
            <w:r w:rsidR="00337893">
              <w:rPr>
                <w:rFonts w:ascii="Times New Roman" w:eastAsia="Times New Roman" w:hAnsi="Times New Roman" w:cs="Times New Roman"/>
                <w:b/>
                <w:color w:val="000000"/>
                <w:sz w:val="20"/>
                <w:szCs w:val="20"/>
                <w:lang w:eastAsia="en-US"/>
              </w:rPr>
              <w:t>2</w:t>
            </w:r>
            <w:r w:rsidRPr="00933477">
              <w:rPr>
                <w:rFonts w:ascii="Times New Roman" w:eastAsia="Times New Roman" w:hAnsi="Times New Roman" w:cs="Times New Roman"/>
                <w:b/>
                <w:color w:val="000000"/>
                <w:sz w:val="20"/>
                <w:szCs w:val="20"/>
                <w:lang w:eastAsia="en-US"/>
              </w:rPr>
              <w:t>: K concentrations in plant biomass in mg/kg</w:t>
            </w:r>
          </w:p>
          <w:p w14:paraId="35BEFAA3" w14:textId="13E5A6B9" w:rsidR="00933477" w:rsidRPr="00F07DEB" w:rsidRDefault="00933477"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r>
      <w:tr w:rsidR="00437290" w:rsidRPr="00F07DEB" w14:paraId="01F7CE59" w14:textId="77777777" w:rsidTr="00437290">
        <w:trPr>
          <w:trHeight w:val="258"/>
        </w:trPr>
        <w:tc>
          <w:tcPr>
            <w:tcW w:w="1926" w:type="dxa"/>
            <w:tcBorders>
              <w:top w:val="nil"/>
              <w:left w:val="nil"/>
              <w:bottom w:val="nil"/>
              <w:right w:val="nil"/>
            </w:tcBorders>
            <w:shd w:val="clear" w:color="auto" w:fill="auto"/>
            <w:noWrap/>
            <w:vAlign w:val="bottom"/>
            <w:hideMark/>
          </w:tcPr>
          <w:p w14:paraId="34FEBE6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4405" w:type="dxa"/>
            <w:gridSpan w:val="4"/>
            <w:tcBorders>
              <w:top w:val="nil"/>
              <w:left w:val="nil"/>
              <w:bottom w:val="nil"/>
              <w:right w:val="nil"/>
            </w:tcBorders>
            <w:shd w:val="clear" w:color="auto" w:fill="auto"/>
            <w:noWrap/>
            <w:vAlign w:val="bottom"/>
            <w:hideMark/>
          </w:tcPr>
          <w:p w14:paraId="2BDB86DB"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Treatment</w:t>
            </w:r>
          </w:p>
        </w:tc>
        <w:tc>
          <w:tcPr>
            <w:tcW w:w="1060" w:type="dxa"/>
            <w:tcBorders>
              <w:top w:val="nil"/>
              <w:left w:val="nil"/>
              <w:bottom w:val="nil"/>
              <w:right w:val="nil"/>
            </w:tcBorders>
            <w:shd w:val="clear" w:color="auto" w:fill="auto"/>
            <w:noWrap/>
            <w:vAlign w:val="bottom"/>
            <w:hideMark/>
          </w:tcPr>
          <w:p w14:paraId="1FD148B1"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p>
        </w:tc>
        <w:tc>
          <w:tcPr>
            <w:tcW w:w="1040" w:type="dxa"/>
            <w:tcBorders>
              <w:top w:val="nil"/>
              <w:left w:val="nil"/>
              <w:bottom w:val="nil"/>
              <w:right w:val="nil"/>
            </w:tcBorders>
            <w:shd w:val="clear" w:color="auto" w:fill="auto"/>
            <w:noWrap/>
            <w:vAlign w:val="bottom"/>
            <w:hideMark/>
          </w:tcPr>
          <w:p w14:paraId="3ADE6C9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1ABCE2B1" w14:textId="77777777" w:rsidTr="00437290">
        <w:trPr>
          <w:trHeight w:val="266"/>
        </w:trPr>
        <w:tc>
          <w:tcPr>
            <w:tcW w:w="1926" w:type="dxa"/>
            <w:tcBorders>
              <w:top w:val="nil"/>
              <w:left w:val="nil"/>
              <w:bottom w:val="nil"/>
              <w:right w:val="nil"/>
            </w:tcBorders>
            <w:shd w:val="clear" w:color="auto" w:fill="auto"/>
            <w:noWrap/>
            <w:vAlign w:val="bottom"/>
            <w:hideMark/>
          </w:tcPr>
          <w:p w14:paraId="1AB3CD6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2117" w:type="dxa"/>
            <w:gridSpan w:val="2"/>
            <w:tcBorders>
              <w:top w:val="nil"/>
              <w:left w:val="nil"/>
              <w:bottom w:val="single" w:sz="8" w:space="0" w:color="auto"/>
              <w:right w:val="nil"/>
            </w:tcBorders>
            <w:shd w:val="clear" w:color="auto" w:fill="auto"/>
            <w:noWrap/>
            <w:vAlign w:val="bottom"/>
            <w:hideMark/>
          </w:tcPr>
          <w:p w14:paraId="7EDAB9AF"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Groundwater</w:t>
            </w:r>
          </w:p>
        </w:tc>
        <w:tc>
          <w:tcPr>
            <w:tcW w:w="2288" w:type="dxa"/>
            <w:gridSpan w:val="2"/>
            <w:tcBorders>
              <w:top w:val="nil"/>
              <w:left w:val="nil"/>
              <w:bottom w:val="single" w:sz="8" w:space="0" w:color="auto"/>
              <w:right w:val="nil"/>
            </w:tcBorders>
            <w:shd w:val="clear" w:color="auto" w:fill="auto"/>
            <w:noWrap/>
            <w:vAlign w:val="bottom"/>
            <w:hideMark/>
          </w:tcPr>
          <w:p w14:paraId="28126F4E"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Mine water</w:t>
            </w:r>
          </w:p>
        </w:tc>
        <w:tc>
          <w:tcPr>
            <w:tcW w:w="1060" w:type="dxa"/>
            <w:tcBorders>
              <w:top w:val="nil"/>
              <w:left w:val="nil"/>
              <w:bottom w:val="nil"/>
              <w:right w:val="nil"/>
            </w:tcBorders>
            <w:shd w:val="clear" w:color="auto" w:fill="auto"/>
            <w:noWrap/>
            <w:vAlign w:val="bottom"/>
            <w:hideMark/>
          </w:tcPr>
          <w:p w14:paraId="6644B935"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p>
        </w:tc>
        <w:tc>
          <w:tcPr>
            <w:tcW w:w="1040" w:type="dxa"/>
            <w:vMerge w:val="restart"/>
            <w:tcBorders>
              <w:top w:val="nil"/>
              <w:left w:val="nil"/>
              <w:bottom w:val="single" w:sz="8" w:space="0" w:color="000000"/>
              <w:right w:val="nil"/>
            </w:tcBorders>
            <w:shd w:val="clear" w:color="auto" w:fill="auto"/>
            <w:vAlign w:val="bottom"/>
            <w:hideMark/>
          </w:tcPr>
          <w:p w14:paraId="75821718" w14:textId="53B1A371" w:rsidR="00437290" w:rsidRPr="00F07DEB" w:rsidRDefault="0006673C"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r>
      <w:tr w:rsidR="00437290" w:rsidRPr="00F07DEB" w14:paraId="75548344"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5B51543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Structure</w:t>
            </w:r>
          </w:p>
        </w:tc>
        <w:tc>
          <w:tcPr>
            <w:tcW w:w="1251" w:type="dxa"/>
            <w:tcBorders>
              <w:top w:val="nil"/>
              <w:left w:val="nil"/>
              <w:bottom w:val="single" w:sz="8" w:space="0" w:color="auto"/>
              <w:right w:val="nil"/>
            </w:tcBorders>
            <w:shd w:val="clear" w:color="auto" w:fill="auto"/>
            <w:noWrap/>
            <w:vAlign w:val="bottom"/>
            <w:hideMark/>
          </w:tcPr>
          <w:p w14:paraId="5A190A30"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866" w:type="dxa"/>
            <w:tcBorders>
              <w:top w:val="nil"/>
              <w:left w:val="nil"/>
              <w:bottom w:val="single" w:sz="8" w:space="0" w:color="auto"/>
              <w:right w:val="nil"/>
            </w:tcBorders>
            <w:shd w:val="clear" w:color="auto" w:fill="auto"/>
            <w:noWrap/>
            <w:vAlign w:val="bottom"/>
            <w:hideMark/>
          </w:tcPr>
          <w:p w14:paraId="0DA8BA78"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1128" w:type="dxa"/>
            <w:tcBorders>
              <w:top w:val="nil"/>
              <w:left w:val="nil"/>
              <w:bottom w:val="single" w:sz="8" w:space="0" w:color="auto"/>
              <w:right w:val="nil"/>
            </w:tcBorders>
            <w:shd w:val="clear" w:color="auto" w:fill="auto"/>
            <w:noWrap/>
            <w:vAlign w:val="bottom"/>
            <w:hideMark/>
          </w:tcPr>
          <w:p w14:paraId="1D0637B5"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1160" w:type="dxa"/>
            <w:tcBorders>
              <w:top w:val="nil"/>
              <w:left w:val="nil"/>
              <w:bottom w:val="single" w:sz="8" w:space="0" w:color="auto"/>
              <w:right w:val="nil"/>
            </w:tcBorders>
            <w:shd w:val="clear" w:color="auto" w:fill="auto"/>
            <w:noWrap/>
            <w:vAlign w:val="bottom"/>
            <w:hideMark/>
          </w:tcPr>
          <w:p w14:paraId="1293D161"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1060" w:type="dxa"/>
            <w:tcBorders>
              <w:top w:val="nil"/>
              <w:left w:val="nil"/>
              <w:bottom w:val="single" w:sz="8" w:space="0" w:color="auto"/>
              <w:right w:val="nil"/>
            </w:tcBorders>
            <w:shd w:val="clear" w:color="auto" w:fill="auto"/>
            <w:noWrap/>
            <w:vAlign w:val="bottom"/>
            <w:hideMark/>
          </w:tcPr>
          <w:p w14:paraId="4BD439AC" w14:textId="77777777" w:rsidR="00437290" w:rsidRPr="00F07DEB" w:rsidRDefault="00437290" w:rsidP="00437290">
            <w:pPr>
              <w:spacing w:after="0" w:line="240" w:lineRule="auto"/>
              <w:jc w:val="center"/>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040" w:type="dxa"/>
            <w:vMerge/>
            <w:tcBorders>
              <w:top w:val="nil"/>
              <w:left w:val="nil"/>
              <w:bottom w:val="single" w:sz="8" w:space="0" w:color="000000"/>
              <w:right w:val="nil"/>
            </w:tcBorders>
            <w:vAlign w:val="center"/>
            <w:hideMark/>
          </w:tcPr>
          <w:p w14:paraId="27B5679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0C033A90" w14:textId="77777777" w:rsidTr="00437290">
        <w:trPr>
          <w:trHeight w:val="258"/>
        </w:trPr>
        <w:tc>
          <w:tcPr>
            <w:tcW w:w="1926" w:type="dxa"/>
            <w:tcBorders>
              <w:top w:val="nil"/>
              <w:left w:val="nil"/>
              <w:bottom w:val="nil"/>
              <w:right w:val="nil"/>
            </w:tcBorders>
            <w:shd w:val="clear" w:color="auto" w:fill="auto"/>
            <w:noWrap/>
            <w:vAlign w:val="bottom"/>
            <w:hideMark/>
          </w:tcPr>
          <w:p w14:paraId="463CBF5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Corn</w:t>
            </w:r>
          </w:p>
        </w:tc>
        <w:tc>
          <w:tcPr>
            <w:tcW w:w="1251" w:type="dxa"/>
            <w:tcBorders>
              <w:top w:val="nil"/>
              <w:left w:val="nil"/>
              <w:bottom w:val="nil"/>
              <w:right w:val="nil"/>
            </w:tcBorders>
            <w:shd w:val="clear" w:color="auto" w:fill="auto"/>
            <w:noWrap/>
            <w:vAlign w:val="bottom"/>
            <w:hideMark/>
          </w:tcPr>
          <w:p w14:paraId="23862FC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6DE3825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4C0D15E8"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2D0E435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173952B2"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0D262918"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4C199F7C" w14:textId="77777777" w:rsidTr="00437290">
        <w:trPr>
          <w:trHeight w:val="258"/>
        </w:trPr>
        <w:tc>
          <w:tcPr>
            <w:tcW w:w="1926" w:type="dxa"/>
            <w:tcBorders>
              <w:top w:val="nil"/>
              <w:left w:val="nil"/>
              <w:bottom w:val="nil"/>
              <w:right w:val="nil"/>
            </w:tcBorders>
            <w:shd w:val="clear" w:color="auto" w:fill="auto"/>
            <w:noWrap/>
            <w:vAlign w:val="bottom"/>
            <w:hideMark/>
          </w:tcPr>
          <w:p w14:paraId="72EA6CA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 †</w:t>
            </w:r>
          </w:p>
        </w:tc>
        <w:tc>
          <w:tcPr>
            <w:tcW w:w="1251" w:type="dxa"/>
            <w:tcBorders>
              <w:top w:val="nil"/>
              <w:left w:val="nil"/>
              <w:bottom w:val="nil"/>
              <w:right w:val="nil"/>
            </w:tcBorders>
            <w:shd w:val="clear" w:color="auto" w:fill="auto"/>
            <w:noWrap/>
            <w:vAlign w:val="bottom"/>
            <w:hideMark/>
          </w:tcPr>
          <w:p w14:paraId="2657CB7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19352.31</w:t>
            </w:r>
          </w:p>
        </w:tc>
        <w:tc>
          <w:tcPr>
            <w:tcW w:w="866" w:type="dxa"/>
            <w:tcBorders>
              <w:top w:val="nil"/>
              <w:left w:val="nil"/>
              <w:bottom w:val="nil"/>
              <w:right w:val="nil"/>
            </w:tcBorders>
            <w:shd w:val="clear" w:color="auto" w:fill="auto"/>
            <w:noWrap/>
            <w:vAlign w:val="bottom"/>
            <w:hideMark/>
          </w:tcPr>
          <w:p w14:paraId="11256B1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1473.11</w:t>
            </w:r>
          </w:p>
        </w:tc>
        <w:tc>
          <w:tcPr>
            <w:tcW w:w="1128" w:type="dxa"/>
            <w:tcBorders>
              <w:top w:val="nil"/>
              <w:left w:val="nil"/>
              <w:bottom w:val="nil"/>
              <w:right w:val="nil"/>
            </w:tcBorders>
            <w:shd w:val="clear" w:color="auto" w:fill="auto"/>
            <w:noWrap/>
            <w:vAlign w:val="bottom"/>
            <w:hideMark/>
          </w:tcPr>
          <w:p w14:paraId="63897F6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16242.90</w:t>
            </w:r>
          </w:p>
        </w:tc>
        <w:tc>
          <w:tcPr>
            <w:tcW w:w="1160" w:type="dxa"/>
            <w:tcBorders>
              <w:top w:val="nil"/>
              <w:left w:val="nil"/>
              <w:bottom w:val="nil"/>
              <w:right w:val="nil"/>
            </w:tcBorders>
            <w:shd w:val="clear" w:color="auto" w:fill="auto"/>
            <w:noWrap/>
            <w:vAlign w:val="bottom"/>
            <w:hideMark/>
          </w:tcPr>
          <w:p w14:paraId="2CE8B76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2172.85</w:t>
            </w:r>
          </w:p>
        </w:tc>
        <w:tc>
          <w:tcPr>
            <w:tcW w:w="1060" w:type="dxa"/>
            <w:vMerge w:val="restart"/>
            <w:tcBorders>
              <w:top w:val="nil"/>
              <w:left w:val="nil"/>
              <w:bottom w:val="single" w:sz="8" w:space="0" w:color="000000"/>
              <w:right w:val="nil"/>
            </w:tcBorders>
            <w:shd w:val="clear" w:color="auto" w:fill="auto"/>
            <w:noWrap/>
            <w:vAlign w:val="center"/>
            <w:hideMark/>
          </w:tcPr>
          <w:p w14:paraId="76CFE9D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0.404</w:t>
            </w:r>
          </w:p>
        </w:tc>
        <w:tc>
          <w:tcPr>
            <w:tcW w:w="1040" w:type="dxa"/>
            <w:vMerge w:val="restart"/>
            <w:tcBorders>
              <w:top w:val="nil"/>
              <w:left w:val="nil"/>
              <w:bottom w:val="single" w:sz="8" w:space="0" w:color="000000"/>
              <w:right w:val="nil"/>
            </w:tcBorders>
            <w:shd w:val="clear" w:color="auto" w:fill="auto"/>
            <w:noWrap/>
            <w:vAlign w:val="center"/>
            <w:hideMark/>
          </w:tcPr>
          <w:p w14:paraId="214AC2A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0.070</w:t>
            </w:r>
          </w:p>
        </w:tc>
      </w:tr>
      <w:tr w:rsidR="00437290" w:rsidRPr="00F07DEB" w14:paraId="23FF92E6" w14:textId="77777777" w:rsidTr="00437290">
        <w:trPr>
          <w:trHeight w:val="258"/>
        </w:trPr>
        <w:tc>
          <w:tcPr>
            <w:tcW w:w="1926" w:type="dxa"/>
            <w:tcBorders>
              <w:top w:val="nil"/>
              <w:left w:val="nil"/>
              <w:bottom w:val="nil"/>
              <w:right w:val="nil"/>
            </w:tcBorders>
            <w:shd w:val="clear" w:color="auto" w:fill="auto"/>
            <w:noWrap/>
            <w:vAlign w:val="bottom"/>
            <w:hideMark/>
          </w:tcPr>
          <w:p w14:paraId="0E0841B3" w14:textId="60D800B6"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w:t>
            </w:r>
            <w:r w:rsidR="001405F5">
              <w:rPr>
                <w:rFonts w:ascii="Times New Roman" w:eastAsia="Times New Roman" w:hAnsi="Times New Roman" w:cs="Times New Roman"/>
                <w:color w:val="000000"/>
                <w:sz w:val="20"/>
                <w:szCs w:val="20"/>
                <w:lang w:eastAsia="en-US"/>
              </w:rPr>
              <w:t>Husk</w:t>
            </w:r>
            <w:r w:rsidRPr="00F07DEB">
              <w:rPr>
                <w:rFonts w:ascii="Times New Roman" w:eastAsia="Times New Roman" w:hAnsi="Times New Roman" w:cs="Times New Roman"/>
                <w:color w:val="000000"/>
                <w:sz w:val="20"/>
                <w:szCs w:val="20"/>
                <w:lang w:eastAsia="en-US"/>
              </w:rPr>
              <w:t xml:space="preserve"> ‡</w:t>
            </w:r>
          </w:p>
        </w:tc>
        <w:tc>
          <w:tcPr>
            <w:tcW w:w="1251" w:type="dxa"/>
            <w:tcBorders>
              <w:top w:val="nil"/>
              <w:left w:val="nil"/>
              <w:bottom w:val="nil"/>
              <w:right w:val="nil"/>
            </w:tcBorders>
            <w:shd w:val="clear" w:color="auto" w:fill="auto"/>
            <w:noWrap/>
            <w:vAlign w:val="bottom"/>
            <w:hideMark/>
          </w:tcPr>
          <w:p w14:paraId="6DCD27D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10152.47</w:t>
            </w:r>
          </w:p>
        </w:tc>
        <w:tc>
          <w:tcPr>
            <w:tcW w:w="866" w:type="dxa"/>
            <w:tcBorders>
              <w:top w:val="nil"/>
              <w:left w:val="nil"/>
              <w:bottom w:val="nil"/>
              <w:right w:val="nil"/>
            </w:tcBorders>
            <w:shd w:val="clear" w:color="auto" w:fill="auto"/>
            <w:noWrap/>
            <w:vAlign w:val="bottom"/>
            <w:hideMark/>
          </w:tcPr>
          <w:p w14:paraId="727E960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1192.67</w:t>
            </w:r>
          </w:p>
        </w:tc>
        <w:tc>
          <w:tcPr>
            <w:tcW w:w="1128" w:type="dxa"/>
            <w:tcBorders>
              <w:top w:val="nil"/>
              <w:left w:val="nil"/>
              <w:bottom w:val="nil"/>
              <w:right w:val="nil"/>
            </w:tcBorders>
            <w:shd w:val="clear" w:color="auto" w:fill="auto"/>
            <w:noWrap/>
            <w:vAlign w:val="bottom"/>
            <w:hideMark/>
          </w:tcPr>
          <w:p w14:paraId="7D4EA7D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11248.56</w:t>
            </w:r>
          </w:p>
        </w:tc>
        <w:tc>
          <w:tcPr>
            <w:tcW w:w="1160" w:type="dxa"/>
            <w:tcBorders>
              <w:top w:val="nil"/>
              <w:left w:val="nil"/>
              <w:bottom w:val="nil"/>
              <w:right w:val="nil"/>
            </w:tcBorders>
            <w:shd w:val="clear" w:color="auto" w:fill="auto"/>
            <w:noWrap/>
            <w:vAlign w:val="bottom"/>
            <w:hideMark/>
          </w:tcPr>
          <w:p w14:paraId="4D88E0F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5743.75</w:t>
            </w:r>
          </w:p>
        </w:tc>
        <w:tc>
          <w:tcPr>
            <w:tcW w:w="1060" w:type="dxa"/>
            <w:vMerge/>
            <w:tcBorders>
              <w:top w:val="nil"/>
              <w:left w:val="nil"/>
              <w:bottom w:val="single" w:sz="8" w:space="0" w:color="000000"/>
              <w:right w:val="nil"/>
            </w:tcBorders>
            <w:vAlign w:val="center"/>
            <w:hideMark/>
          </w:tcPr>
          <w:p w14:paraId="172ADD5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627B01C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37F6B5D6" w14:textId="77777777" w:rsidTr="00437290">
        <w:trPr>
          <w:trHeight w:val="258"/>
        </w:trPr>
        <w:tc>
          <w:tcPr>
            <w:tcW w:w="1926" w:type="dxa"/>
            <w:tcBorders>
              <w:top w:val="nil"/>
              <w:left w:val="nil"/>
              <w:bottom w:val="nil"/>
              <w:right w:val="nil"/>
            </w:tcBorders>
            <w:shd w:val="clear" w:color="auto" w:fill="auto"/>
            <w:noWrap/>
            <w:vAlign w:val="bottom"/>
            <w:hideMark/>
          </w:tcPr>
          <w:p w14:paraId="1EB33B1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 ‡◊</w:t>
            </w:r>
          </w:p>
        </w:tc>
        <w:tc>
          <w:tcPr>
            <w:tcW w:w="1251" w:type="dxa"/>
            <w:tcBorders>
              <w:top w:val="nil"/>
              <w:left w:val="nil"/>
              <w:bottom w:val="nil"/>
              <w:right w:val="nil"/>
            </w:tcBorders>
            <w:shd w:val="clear" w:color="auto" w:fill="auto"/>
            <w:noWrap/>
            <w:vAlign w:val="bottom"/>
            <w:hideMark/>
          </w:tcPr>
          <w:p w14:paraId="5CEF1B1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14320.44</w:t>
            </w:r>
          </w:p>
        </w:tc>
        <w:tc>
          <w:tcPr>
            <w:tcW w:w="866" w:type="dxa"/>
            <w:tcBorders>
              <w:top w:val="nil"/>
              <w:left w:val="nil"/>
              <w:bottom w:val="nil"/>
              <w:right w:val="nil"/>
            </w:tcBorders>
            <w:shd w:val="clear" w:color="auto" w:fill="auto"/>
            <w:noWrap/>
            <w:vAlign w:val="bottom"/>
            <w:hideMark/>
          </w:tcPr>
          <w:p w14:paraId="5BEF994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3906.76</w:t>
            </w:r>
          </w:p>
        </w:tc>
        <w:tc>
          <w:tcPr>
            <w:tcW w:w="1128" w:type="dxa"/>
            <w:tcBorders>
              <w:top w:val="nil"/>
              <w:left w:val="nil"/>
              <w:bottom w:val="nil"/>
              <w:right w:val="nil"/>
            </w:tcBorders>
            <w:shd w:val="clear" w:color="auto" w:fill="auto"/>
            <w:noWrap/>
            <w:vAlign w:val="bottom"/>
            <w:hideMark/>
          </w:tcPr>
          <w:p w14:paraId="11D8E52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10504.52</w:t>
            </w:r>
          </w:p>
        </w:tc>
        <w:tc>
          <w:tcPr>
            <w:tcW w:w="1160" w:type="dxa"/>
            <w:tcBorders>
              <w:top w:val="nil"/>
              <w:left w:val="nil"/>
              <w:bottom w:val="nil"/>
              <w:right w:val="nil"/>
            </w:tcBorders>
            <w:shd w:val="clear" w:color="auto" w:fill="auto"/>
            <w:noWrap/>
            <w:vAlign w:val="bottom"/>
            <w:hideMark/>
          </w:tcPr>
          <w:p w14:paraId="48DCF71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4463.47</w:t>
            </w:r>
          </w:p>
        </w:tc>
        <w:tc>
          <w:tcPr>
            <w:tcW w:w="1060" w:type="dxa"/>
            <w:vMerge/>
            <w:tcBorders>
              <w:top w:val="nil"/>
              <w:left w:val="nil"/>
              <w:bottom w:val="single" w:sz="8" w:space="0" w:color="000000"/>
              <w:right w:val="nil"/>
            </w:tcBorders>
            <w:vAlign w:val="center"/>
            <w:hideMark/>
          </w:tcPr>
          <w:p w14:paraId="600118D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2522828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7FAC6EEC" w14:textId="77777777" w:rsidTr="00437290">
        <w:trPr>
          <w:trHeight w:val="258"/>
        </w:trPr>
        <w:tc>
          <w:tcPr>
            <w:tcW w:w="1926" w:type="dxa"/>
            <w:tcBorders>
              <w:top w:val="nil"/>
              <w:left w:val="nil"/>
              <w:bottom w:val="nil"/>
              <w:right w:val="nil"/>
            </w:tcBorders>
            <w:shd w:val="clear" w:color="auto" w:fill="auto"/>
            <w:noWrap/>
            <w:vAlign w:val="bottom"/>
            <w:hideMark/>
          </w:tcPr>
          <w:p w14:paraId="0EAA941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Cob ‡◊</w:t>
            </w:r>
          </w:p>
        </w:tc>
        <w:tc>
          <w:tcPr>
            <w:tcW w:w="1251" w:type="dxa"/>
            <w:tcBorders>
              <w:top w:val="nil"/>
              <w:left w:val="nil"/>
              <w:bottom w:val="nil"/>
              <w:right w:val="nil"/>
            </w:tcBorders>
            <w:shd w:val="clear" w:color="auto" w:fill="auto"/>
            <w:noWrap/>
            <w:vAlign w:val="bottom"/>
            <w:hideMark/>
          </w:tcPr>
          <w:p w14:paraId="40FFAC1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12861.12</w:t>
            </w:r>
          </w:p>
        </w:tc>
        <w:tc>
          <w:tcPr>
            <w:tcW w:w="866" w:type="dxa"/>
            <w:tcBorders>
              <w:top w:val="nil"/>
              <w:left w:val="nil"/>
              <w:bottom w:val="nil"/>
              <w:right w:val="nil"/>
            </w:tcBorders>
            <w:shd w:val="clear" w:color="auto" w:fill="auto"/>
            <w:noWrap/>
            <w:vAlign w:val="bottom"/>
            <w:hideMark/>
          </w:tcPr>
          <w:p w14:paraId="2B79CC9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4586.64</w:t>
            </w:r>
          </w:p>
        </w:tc>
        <w:tc>
          <w:tcPr>
            <w:tcW w:w="1128" w:type="dxa"/>
            <w:tcBorders>
              <w:top w:val="nil"/>
              <w:left w:val="nil"/>
              <w:bottom w:val="nil"/>
              <w:right w:val="nil"/>
            </w:tcBorders>
            <w:shd w:val="clear" w:color="auto" w:fill="auto"/>
            <w:noWrap/>
            <w:vAlign w:val="bottom"/>
            <w:hideMark/>
          </w:tcPr>
          <w:p w14:paraId="7AAB903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11848.64</w:t>
            </w:r>
          </w:p>
        </w:tc>
        <w:tc>
          <w:tcPr>
            <w:tcW w:w="1160" w:type="dxa"/>
            <w:tcBorders>
              <w:top w:val="nil"/>
              <w:left w:val="nil"/>
              <w:bottom w:val="nil"/>
              <w:right w:val="nil"/>
            </w:tcBorders>
            <w:shd w:val="clear" w:color="auto" w:fill="auto"/>
            <w:noWrap/>
            <w:vAlign w:val="bottom"/>
            <w:hideMark/>
          </w:tcPr>
          <w:p w14:paraId="22C80DA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1655.59</w:t>
            </w:r>
          </w:p>
        </w:tc>
        <w:tc>
          <w:tcPr>
            <w:tcW w:w="1060" w:type="dxa"/>
            <w:vMerge/>
            <w:tcBorders>
              <w:top w:val="nil"/>
              <w:left w:val="nil"/>
              <w:bottom w:val="single" w:sz="8" w:space="0" w:color="000000"/>
              <w:right w:val="nil"/>
            </w:tcBorders>
            <w:vAlign w:val="center"/>
            <w:hideMark/>
          </w:tcPr>
          <w:p w14:paraId="6FC1B08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749E804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4D59A2B4" w14:textId="77777777" w:rsidTr="00437290">
        <w:trPr>
          <w:trHeight w:val="258"/>
        </w:trPr>
        <w:tc>
          <w:tcPr>
            <w:tcW w:w="1926" w:type="dxa"/>
            <w:tcBorders>
              <w:top w:val="nil"/>
              <w:left w:val="nil"/>
              <w:bottom w:val="nil"/>
              <w:right w:val="nil"/>
            </w:tcBorders>
            <w:shd w:val="clear" w:color="auto" w:fill="auto"/>
            <w:noWrap/>
            <w:vAlign w:val="bottom"/>
            <w:hideMark/>
          </w:tcPr>
          <w:p w14:paraId="15283E1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 †◊</w:t>
            </w:r>
          </w:p>
        </w:tc>
        <w:tc>
          <w:tcPr>
            <w:tcW w:w="1251" w:type="dxa"/>
            <w:tcBorders>
              <w:top w:val="nil"/>
              <w:left w:val="nil"/>
              <w:bottom w:val="nil"/>
              <w:right w:val="nil"/>
            </w:tcBorders>
            <w:shd w:val="clear" w:color="auto" w:fill="auto"/>
            <w:noWrap/>
            <w:vAlign w:val="bottom"/>
            <w:hideMark/>
          </w:tcPr>
          <w:p w14:paraId="43E195B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15730.20</w:t>
            </w:r>
          </w:p>
        </w:tc>
        <w:tc>
          <w:tcPr>
            <w:tcW w:w="866" w:type="dxa"/>
            <w:tcBorders>
              <w:top w:val="nil"/>
              <w:left w:val="nil"/>
              <w:bottom w:val="nil"/>
              <w:right w:val="nil"/>
            </w:tcBorders>
            <w:shd w:val="clear" w:color="auto" w:fill="auto"/>
            <w:noWrap/>
            <w:vAlign w:val="bottom"/>
            <w:hideMark/>
          </w:tcPr>
          <w:p w14:paraId="4038BC1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1695.36</w:t>
            </w:r>
          </w:p>
        </w:tc>
        <w:tc>
          <w:tcPr>
            <w:tcW w:w="1128" w:type="dxa"/>
            <w:tcBorders>
              <w:top w:val="nil"/>
              <w:left w:val="nil"/>
              <w:bottom w:val="nil"/>
              <w:right w:val="nil"/>
            </w:tcBorders>
            <w:shd w:val="clear" w:color="auto" w:fill="auto"/>
            <w:noWrap/>
            <w:vAlign w:val="bottom"/>
            <w:hideMark/>
          </w:tcPr>
          <w:p w14:paraId="5B954DF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15858.99</w:t>
            </w:r>
          </w:p>
        </w:tc>
        <w:tc>
          <w:tcPr>
            <w:tcW w:w="1160" w:type="dxa"/>
            <w:tcBorders>
              <w:top w:val="nil"/>
              <w:left w:val="nil"/>
              <w:bottom w:val="nil"/>
              <w:right w:val="nil"/>
            </w:tcBorders>
            <w:shd w:val="clear" w:color="auto" w:fill="auto"/>
            <w:noWrap/>
            <w:vAlign w:val="bottom"/>
            <w:hideMark/>
          </w:tcPr>
          <w:p w14:paraId="09DD0E1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3578.84</w:t>
            </w:r>
          </w:p>
        </w:tc>
        <w:tc>
          <w:tcPr>
            <w:tcW w:w="1060" w:type="dxa"/>
            <w:vMerge/>
            <w:tcBorders>
              <w:top w:val="nil"/>
              <w:left w:val="nil"/>
              <w:bottom w:val="single" w:sz="8" w:space="0" w:color="000000"/>
              <w:right w:val="nil"/>
            </w:tcBorders>
            <w:vAlign w:val="center"/>
            <w:hideMark/>
          </w:tcPr>
          <w:p w14:paraId="007270E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4161507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7D03CC10"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02C3A9C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 ‡◊</w:t>
            </w:r>
          </w:p>
        </w:tc>
        <w:tc>
          <w:tcPr>
            <w:tcW w:w="1251" w:type="dxa"/>
            <w:tcBorders>
              <w:top w:val="nil"/>
              <w:left w:val="nil"/>
              <w:bottom w:val="single" w:sz="8" w:space="0" w:color="auto"/>
              <w:right w:val="nil"/>
            </w:tcBorders>
            <w:shd w:val="clear" w:color="auto" w:fill="auto"/>
            <w:noWrap/>
            <w:vAlign w:val="bottom"/>
            <w:hideMark/>
          </w:tcPr>
          <w:p w14:paraId="2755480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11117.29</w:t>
            </w:r>
          </w:p>
        </w:tc>
        <w:tc>
          <w:tcPr>
            <w:tcW w:w="866" w:type="dxa"/>
            <w:tcBorders>
              <w:top w:val="nil"/>
              <w:left w:val="nil"/>
              <w:bottom w:val="single" w:sz="8" w:space="0" w:color="auto"/>
              <w:right w:val="nil"/>
            </w:tcBorders>
            <w:shd w:val="clear" w:color="auto" w:fill="auto"/>
            <w:noWrap/>
            <w:vAlign w:val="bottom"/>
            <w:hideMark/>
          </w:tcPr>
          <w:p w14:paraId="0DBA183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1431.64</w:t>
            </w:r>
          </w:p>
        </w:tc>
        <w:tc>
          <w:tcPr>
            <w:tcW w:w="1128" w:type="dxa"/>
            <w:tcBorders>
              <w:top w:val="nil"/>
              <w:left w:val="nil"/>
              <w:bottom w:val="single" w:sz="8" w:space="0" w:color="auto"/>
              <w:right w:val="nil"/>
            </w:tcBorders>
            <w:shd w:val="clear" w:color="auto" w:fill="auto"/>
            <w:noWrap/>
            <w:vAlign w:val="bottom"/>
            <w:hideMark/>
          </w:tcPr>
          <w:p w14:paraId="3740636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13108.81</w:t>
            </w:r>
          </w:p>
        </w:tc>
        <w:tc>
          <w:tcPr>
            <w:tcW w:w="1160" w:type="dxa"/>
            <w:tcBorders>
              <w:top w:val="nil"/>
              <w:left w:val="nil"/>
              <w:bottom w:val="single" w:sz="8" w:space="0" w:color="auto"/>
              <w:right w:val="nil"/>
            </w:tcBorders>
            <w:shd w:val="clear" w:color="auto" w:fill="auto"/>
            <w:noWrap/>
            <w:vAlign w:val="bottom"/>
            <w:hideMark/>
          </w:tcPr>
          <w:p w14:paraId="3C333E3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1672.69</w:t>
            </w:r>
          </w:p>
        </w:tc>
        <w:tc>
          <w:tcPr>
            <w:tcW w:w="1060" w:type="dxa"/>
            <w:vMerge/>
            <w:tcBorders>
              <w:top w:val="nil"/>
              <w:left w:val="nil"/>
              <w:bottom w:val="single" w:sz="8" w:space="0" w:color="000000"/>
              <w:right w:val="nil"/>
            </w:tcBorders>
            <w:vAlign w:val="center"/>
            <w:hideMark/>
          </w:tcPr>
          <w:p w14:paraId="14E59F5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481F8A2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248FA31D" w14:textId="77777777" w:rsidTr="00437290">
        <w:trPr>
          <w:trHeight w:val="258"/>
        </w:trPr>
        <w:tc>
          <w:tcPr>
            <w:tcW w:w="1926" w:type="dxa"/>
            <w:tcBorders>
              <w:top w:val="nil"/>
              <w:left w:val="nil"/>
              <w:bottom w:val="nil"/>
              <w:right w:val="nil"/>
            </w:tcBorders>
            <w:shd w:val="clear" w:color="auto" w:fill="auto"/>
            <w:noWrap/>
            <w:vAlign w:val="bottom"/>
            <w:hideMark/>
          </w:tcPr>
          <w:p w14:paraId="15B8701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Sorghum</w:t>
            </w:r>
          </w:p>
        </w:tc>
        <w:tc>
          <w:tcPr>
            <w:tcW w:w="1251" w:type="dxa"/>
            <w:tcBorders>
              <w:top w:val="nil"/>
              <w:left w:val="nil"/>
              <w:bottom w:val="nil"/>
              <w:right w:val="nil"/>
            </w:tcBorders>
            <w:shd w:val="clear" w:color="auto" w:fill="auto"/>
            <w:noWrap/>
            <w:vAlign w:val="bottom"/>
            <w:hideMark/>
          </w:tcPr>
          <w:p w14:paraId="5FB1A40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3CEEBA2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2D680538"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0A9CFEC7"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43E6CC12"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082F95BA"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367E41D0" w14:textId="77777777" w:rsidTr="00437290">
        <w:trPr>
          <w:trHeight w:val="258"/>
        </w:trPr>
        <w:tc>
          <w:tcPr>
            <w:tcW w:w="1926" w:type="dxa"/>
            <w:tcBorders>
              <w:top w:val="nil"/>
              <w:left w:val="nil"/>
              <w:bottom w:val="nil"/>
              <w:right w:val="nil"/>
            </w:tcBorders>
            <w:shd w:val="clear" w:color="auto" w:fill="auto"/>
            <w:noWrap/>
            <w:vAlign w:val="bottom"/>
            <w:hideMark/>
          </w:tcPr>
          <w:p w14:paraId="35715F4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 †</w:t>
            </w:r>
          </w:p>
        </w:tc>
        <w:tc>
          <w:tcPr>
            <w:tcW w:w="1251" w:type="dxa"/>
            <w:tcBorders>
              <w:top w:val="nil"/>
              <w:left w:val="nil"/>
              <w:bottom w:val="nil"/>
              <w:right w:val="nil"/>
            </w:tcBorders>
            <w:shd w:val="clear" w:color="auto" w:fill="auto"/>
            <w:noWrap/>
            <w:vAlign w:val="bottom"/>
            <w:hideMark/>
          </w:tcPr>
          <w:p w14:paraId="59604B0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17961.62</w:t>
            </w:r>
          </w:p>
        </w:tc>
        <w:tc>
          <w:tcPr>
            <w:tcW w:w="866" w:type="dxa"/>
            <w:tcBorders>
              <w:top w:val="nil"/>
              <w:left w:val="nil"/>
              <w:bottom w:val="nil"/>
              <w:right w:val="nil"/>
            </w:tcBorders>
            <w:shd w:val="clear" w:color="auto" w:fill="auto"/>
            <w:noWrap/>
            <w:vAlign w:val="bottom"/>
            <w:hideMark/>
          </w:tcPr>
          <w:p w14:paraId="5E2A520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3576.56</w:t>
            </w:r>
          </w:p>
        </w:tc>
        <w:tc>
          <w:tcPr>
            <w:tcW w:w="1128" w:type="dxa"/>
            <w:tcBorders>
              <w:top w:val="nil"/>
              <w:left w:val="nil"/>
              <w:bottom w:val="nil"/>
              <w:right w:val="nil"/>
            </w:tcBorders>
            <w:shd w:val="clear" w:color="auto" w:fill="auto"/>
            <w:noWrap/>
            <w:vAlign w:val="bottom"/>
            <w:hideMark/>
          </w:tcPr>
          <w:p w14:paraId="1898FF1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18742.76</w:t>
            </w:r>
          </w:p>
        </w:tc>
        <w:tc>
          <w:tcPr>
            <w:tcW w:w="1160" w:type="dxa"/>
            <w:tcBorders>
              <w:top w:val="nil"/>
              <w:left w:val="nil"/>
              <w:bottom w:val="nil"/>
              <w:right w:val="nil"/>
            </w:tcBorders>
            <w:shd w:val="clear" w:color="auto" w:fill="auto"/>
            <w:noWrap/>
            <w:vAlign w:val="bottom"/>
            <w:hideMark/>
          </w:tcPr>
          <w:p w14:paraId="407F634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2723.20</w:t>
            </w:r>
          </w:p>
        </w:tc>
        <w:tc>
          <w:tcPr>
            <w:tcW w:w="1060" w:type="dxa"/>
            <w:vMerge w:val="restart"/>
            <w:tcBorders>
              <w:top w:val="nil"/>
              <w:left w:val="nil"/>
              <w:bottom w:val="single" w:sz="8" w:space="0" w:color="000000"/>
              <w:right w:val="nil"/>
            </w:tcBorders>
            <w:shd w:val="clear" w:color="auto" w:fill="auto"/>
            <w:noWrap/>
            <w:vAlign w:val="center"/>
            <w:hideMark/>
          </w:tcPr>
          <w:p w14:paraId="720FBA8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0.535</w:t>
            </w:r>
          </w:p>
        </w:tc>
        <w:tc>
          <w:tcPr>
            <w:tcW w:w="1040" w:type="dxa"/>
            <w:vMerge w:val="restart"/>
            <w:tcBorders>
              <w:top w:val="nil"/>
              <w:left w:val="nil"/>
              <w:bottom w:val="single" w:sz="8" w:space="0" w:color="000000"/>
              <w:right w:val="nil"/>
            </w:tcBorders>
            <w:shd w:val="clear" w:color="auto" w:fill="auto"/>
            <w:noWrap/>
            <w:vAlign w:val="center"/>
            <w:hideMark/>
          </w:tcPr>
          <w:p w14:paraId="6072FDC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0.040</w:t>
            </w:r>
          </w:p>
        </w:tc>
      </w:tr>
      <w:tr w:rsidR="00437290" w:rsidRPr="00F07DEB" w14:paraId="28135FD3" w14:textId="77777777" w:rsidTr="00437290">
        <w:trPr>
          <w:trHeight w:val="258"/>
        </w:trPr>
        <w:tc>
          <w:tcPr>
            <w:tcW w:w="1926" w:type="dxa"/>
            <w:tcBorders>
              <w:top w:val="nil"/>
              <w:left w:val="nil"/>
              <w:bottom w:val="nil"/>
              <w:right w:val="nil"/>
            </w:tcBorders>
            <w:shd w:val="clear" w:color="auto" w:fill="auto"/>
            <w:noWrap/>
            <w:vAlign w:val="bottom"/>
            <w:hideMark/>
          </w:tcPr>
          <w:p w14:paraId="24AF9AD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 </w:t>
            </w:r>
          </w:p>
        </w:tc>
        <w:tc>
          <w:tcPr>
            <w:tcW w:w="1251" w:type="dxa"/>
            <w:tcBorders>
              <w:top w:val="nil"/>
              <w:left w:val="nil"/>
              <w:bottom w:val="nil"/>
              <w:right w:val="nil"/>
            </w:tcBorders>
            <w:shd w:val="clear" w:color="auto" w:fill="auto"/>
            <w:noWrap/>
            <w:vAlign w:val="bottom"/>
            <w:hideMark/>
          </w:tcPr>
          <w:p w14:paraId="7FD3C82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6007.14</w:t>
            </w:r>
          </w:p>
        </w:tc>
        <w:tc>
          <w:tcPr>
            <w:tcW w:w="866" w:type="dxa"/>
            <w:tcBorders>
              <w:top w:val="nil"/>
              <w:left w:val="nil"/>
              <w:bottom w:val="nil"/>
              <w:right w:val="nil"/>
            </w:tcBorders>
            <w:shd w:val="clear" w:color="auto" w:fill="auto"/>
            <w:noWrap/>
            <w:vAlign w:val="bottom"/>
            <w:hideMark/>
          </w:tcPr>
          <w:p w14:paraId="7AB253C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1297.33</w:t>
            </w:r>
          </w:p>
        </w:tc>
        <w:tc>
          <w:tcPr>
            <w:tcW w:w="1128" w:type="dxa"/>
            <w:tcBorders>
              <w:top w:val="nil"/>
              <w:left w:val="nil"/>
              <w:bottom w:val="nil"/>
              <w:right w:val="nil"/>
            </w:tcBorders>
            <w:shd w:val="clear" w:color="auto" w:fill="auto"/>
            <w:noWrap/>
            <w:vAlign w:val="bottom"/>
            <w:hideMark/>
          </w:tcPr>
          <w:p w14:paraId="26453B2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5044.59</w:t>
            </w:r>
          </w:p>
        </w:tc>
        <w:tc>
          <w:tcPr>
            <w:tcW w:w="1160" w:type="dxa"/>
            <w:tcBorders>
              <w:top w:val="nil"/>
              <w:left w:val="nil"/>
              <w:bottom w:val="nil"/>
              <w:right w:val="nil"/>
            </w:tcBorders>
            <w:shd w:val="clear" w:color="auto" w:fill="auto"/>
            <w:noWrap/>
            <w:vAlign w:val="bottom"/>
            <w:hideMark/>
          </w:tcPr>
          <w:p w14:paraId="48FA5D9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257.51</w:t>
            </w:r>
          </w:p>
        </w:tc>
        <w:tc>
          <w:tcPr>
            <w:tcW w:w="1060" w:type="dxa"/>
            <w:vMerge/>
            <w:tcBorders>
              <w:top w:val="nil"/>
              <w:left w:val="nil"/>
              <w:bottom w:val="single" w:sz="8" w:space="0" w:color="000000"/>
              <w:right w:val="nil"/>
            </w:tcBorders>
            <w:vAlign w:val="center"/>
            <w:hideMark/>
          </w:tcPr>
          <w:p w14:paraId="47E56CA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47872E9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199B9D19" w14:textId="77777777" w:rsidTr="00437290">
        <w:trPr>
          <w:trHeight w:val="258"/>
        </w:trPr>
        <w:tc>
          <w:tcPr>
            <w:tcW w:w="1926" w:type="dxa"/>
            <w:tcBorders>
              <w:top w:val="nil"/>
              <w:left w:val="nil"/>
              <w:bottom w:val="nil"/>
              <w:right w:val="nil"/>
            </w:tcBorders>
            <w:shd w:val="clear" w:color="auto" w:fill="auto"/>
            <w:noWrap/>
            <w:vAlign w:val="bottom"/>
            <w:hideMark/>
          </w:tcPr>
          <w:p w14:paraId="0A4FFCF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 †</w:t>
            </w:r>
          </w:p>
        </w:tc>
        <w:tc>
          <w:tcPr>
            <w:tcW w:w="1251" w:type="dxa"/>
            <w:tcBorders>
              <w:top w:val="nil"/>
              <w:left w:val="nil"/>
              <w:bottom w:val="nil"/>
              <w:right w:val="nil"/>
            </w:tcBorders>
            <w:shd w:val="clear" w:color="auto" w:fill="auto"/>
            <w:noWrap/>
            <w:vAlign w:val="bottom"/>
            <w:hideMark/>
          </w:tcPr>
          <w:p w14:paraId="39A95FD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15947.98</w:t>
            </w:r>
          </w:p>
        </w:tc>
        <w:tc>
          <w:tcPr>
            <w:tcW w:w="866" w:type="dxa"/>
            <w:tcBorders>
              <w:top w:val="nil"/>
              <w:left w:val="nil"/>
              <w:bottom w:val="nil"/>
              <w:right w:val="nil"/>
            </w:tcBorders>
            <w:shd w:val="clear" w:color="auto" w:fill="auto"/>
            <w:noWrap/>
            <w:vAlign w:val="bottom"/>
            <w:hideMark/>
          </w:tcPr>
          <w:p w14:paraId="31CF4E9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1824.50</w:t>
            </w:r>
          </w:p>
        </w:tc>
        <w:tc>
          <w:tcPr>
            <w:tcW w:w="1128" w:type="dxa"/>
            <w:tcBorders>
              <w:top w:val="nil"/>
              <w:left w:val="nil"/>
              <w:bottom w:val="nil"/>
              <w:right w:val="nil"/>
            </w:tcBorders>
            <w:shd w:val="clear" w:color="auto" w:fill="auto"/>
            <w:noWrap/>
            <w:vAlign w:val="bottom"/>
            <w:hideMark/>
          </w:tcPr>
          <w:p w14:paraId="7907D91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16473.13</w:t>
            </w:r>
          </w:p>
        </w:tc>
        <w:tc>
          <w:tcPr>
            <w:tcW w:w="1160" w:type="dxa"/>
            <w:tcBorders>
              <w:top w:val="nil"/>
              <w:left w:val="nil"/>
              <w:bottom w:val="nil"/>
              <w:right w:val="nil"/>
            </w:tcBorders>
            <w:shd w:val="clear" w:color="auto" w:fill="auto"/>
            <w:noWrap/>
            <w:vAlign w:val="bottom"/>
            <w:hideMark/>
          </w:tcPr>
          <w:p w14:paraId="3D2125F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3591.40</w:t>
            </w:r>
          </w:p>
        </w:tc>
        <w:tc>
          <w:tcPr>
            <w:tcW w:w="1060" w:type="dxa"/>
            <w:vMerge/>
            <w:tcBorders>
              <w:top w:val="nil"/>
              <w:left w:val="nil"/>
              <w:bottom w:val="single" w:sz="8" w:space="0" w:color="000000"/>
              <w:right w:val="nil"/>
            </w:tcBorders>
            <w:vAlign w:val="center"/>
            <w:hideMark/>
          </w:tcPr>
          <w:p w14:paraId="3BB98AD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5810DA8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4B43E076"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01E682D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1251" w:type="dxa"/>
            <w:tcBorders>
              <w:top w:val="nil"/>
              <w:left w:val="nil"/>
              <w:bottom w:val="single" w:sz="8" w:space="0" w:color="auto"/>
              <w:right w:val="nil"/>
            </w:tcBorders>
            <w:shd w:val="clear" w:color="auto" w:fill="auto"/>
            <w:noWrap/>
            <w:vAlign w:val="bottom"/>
            <w:hideMark/>
          </w:tcPr>
          <w:p w14:paraId="0335C21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9649.56</w:t>
            </w:r>
          </w:p>
        </w:tc>
        <w:tc>
          <w:tcPr>
            <w:tcW w:w="866" w:type="dxa"/>
            <w:tcBorders>
              <w:top w:val="nil"/>
              <w:left w:val="nil"/>
              <w:bottom w:val="single" w:sz="8" w:space="0" w:color="auto"/>
              <w:right w:val="nil"/>
            </w:tcBorders>
            <w:shd w:val="clear" w:color="auto" w:fill="auto"/>
            <w:noWrap/>
            <w:vAlign w:val="bottom"/>
            <w:hideMark/>
          </w:tcPr>
          <w:p w14:paraId="4063428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1459.55</w:t>
            </w:r>
          </w:p>
        </w:tc>
        <w:tc>
          <w:tcPr>
            <w:tcW w:w="1128" w:type="dxa"/>
            <w:tcBorders>
              <w:top w:val="nil"/>
              <w:left w:val="nil"/>
              <w:bottom w:val="single" w:sz="8" w:space="0" w:color="auto"/>
              <w:right w:val="nil"/>
            </w:tcBorders>
            <w:shd w:val="clear" w:color="auto" w:fill="auto"/>
            <w:noWrap/>
            <w:vAlign w:val="bottom"/>
            <w:hideMark/>
          </w:tcPr>
          <w:p w14:paraId="3AFCD80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7555.08</w:t>
            </w:r>
          </w:p>
        </w:tc>
        <w:tc>
          <w:tcPr>
            <w:tcW w:w="1160" w:type="dxa"/>
            <w:tcBorders>
              <w:top w:val="nil"/>
              <w:left w:val="nil"/>
              <w:bottom w:val="single" w:sz="8" w:space="0" w:color="auto"/>
              <w:right w:val="nil"/>
            </w:tcBorders>
            <w:shd w:val="clear" w:color="auto" w:fill="auto"/>
            <w:noWrap/>
            <w:vAlign w:val="bottom"/>
            <w:hideMark/>
          </w:tcPr>
          <w:p w14:paraId="10F99C8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996.14</w:t>
            </w:r>
          </w:p>
        </w:tc>
        <w:tc>
          <w:tcPr>
            <w:tcW w:w="1060" w:type="dxa"/>
            <w:vMerge/>
            <w:tcBorders>
              <w:top w:val="nil"/>
              <w:left w:val="nil"/>
              <w:bottom w:val="single" w:sz="8" w:space="0" w:color="000000"/>
              <w:right w:val="nil"/>
            </w:tcBorders>
            <w:vAlign w:val="center"/>
            <w:hideMark/>
          </w:tcPr>
          <w:p w14:paraId="52F6C22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5F834D9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4B87D6A3" w14:textId="77777777" w:rsidTr="00437290">
        <w:trPr>
          <w:trHeight w:val="258"/>
        </w:trPr>
        <w:tc>
          <w:tcPr>
            <w:tcW w:w="1926" w:type="dxa"/>
            <w:tcBorders>
              <w:top w:val="nil"/>
              <w:left w:val="nil"/>
              <w:bottom w:val="nil"/>
              <w:right w:val="nil"/>
            </w:tcBorders>
            <w:shd w:val="clear" w:color="auto" w:fill="auto"/>
            <w:noWrap/>
            <w:vAlign w:val="bottom"/>
            <w:hideMark/>
          </w:tcPr>
          <w:p w14:paraId="0606E37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Bermuda grass</w:t>
            </w:r>
          </w:p>
        </w:tc>
        <w:tc>
          <w:tcPr>
            <w:tcW w:w="1251" w:type="dxa"/>
            <w:tcBorders>
              <w:top w:val="nil"/>
              <w:left w:val="nil"/>
              <w:bottom w:val="nil"/>
              <w:right w:val="nil"/>
            </w:tcBorders>
            <w:shd w:val="clear" w:color="auto" w:fill="auto"/>
            <w:noWrap/>
            <w:vAlign w:val="bottom"/>
            <w:hideMark/>
          </w:tcPr>
          <w:p w14:paraId="5151027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2BD8EFA4"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3C6E40F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6CBE39A3"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58B6051E"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59EF471C"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1D647237" w14:textId="77777777" w:rsidTr="00437290">
        <w:trPr>
          <w:trHeight w:val="258"/>
        </w:trPr>
        <w:tc>
          <w:tcPr>
            <w:tcW w:w="1926" w:type="dxa"/>
            <w:tcBorders>
              <w:top w:val="nil"/>
              <w:left w:val="nil"/>
              <w:bottom w:val="nil"/>
              <w:right w:val="nil"/>
            </w:tcBorders>
            <w:shd w:val="clear" w:color="auto" w:fill="auto"/>
            <w:noWrap/>
            <w:vAlign w:val="bottom"/>
            <w:hideMark/>
          </w:tcPr>
          <w:p w14:paraId="3542006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Grass1 </w:t>
            </w:r>
          </w:p>
        </w:tc>
        <w:tc>
          <w:tcPr>
            <w:tcW w:w="1251" w:type="dxa"/>
            <w:tcBorders>
              <w:top w:val="nil"/>
              <w:left w:val="nil"/>
              <w:bottom w:val="nil"/>
              <w:right w:val="nil"/>
            </w:tcBorders>
            <w:shd w:val="clear" w:color="auto" w:fill="auto"/>
            <w:noWrap/>
            <w:vAlign w:val="bottom"/>
            <w:hideMark/>
          </w:tcPr>
          <w:p w14:paraId="401683C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31975.23</w:t>
            </w:r>
          </w:p>
        </w:tc>
        <w:tc>
          <w:tcPr>
            <w:tcW w:w="866" w:type="dxa"/>
            <w:tcBorders>
              <w:top w:val="nil"/>
              <w:left w:val="nil"/>
              <w:bottom w:val="nil"/>
              <w:right w:val="nil"/>
            </w:tcBorders>
            <w:shd w:val="clear" w:color="auto" w:fill="auto"/>
            <w:noWrap/>
            <w:vAlign w:val="bottom"/>
            <w:hideMark/>
          </w:tcPr>
          <w:p w14:paraId="3ACA35A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3769.27</w:t>
            </w:r>
          </w:p>
        </w:tc>
        <w:tc>
          <w:tcPr>
            <w:tcW w:w="1128" w:type="dxa"/>
            <w:tcBorders>
              <w:top w:val="nil"/>
              <w:left w:val="nil"/>
              <w:bottom w:val="nil"/>
              <w:right w:val="nil"/>
            </w:tcBorders>
            <w:shd w:val="clear" w:color="auto" w:fill="auto"/>
            <w:noWrap/>
            <w:vAlign w:val="bottom"/>
            <w:hideMark/>
          </w:tcPr>
          <w:p w14:paraId="7A78D84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32646.59</w:t>
            </w:r>
          </w:p>
        </w:tc>
        <w:tc>
          <w:tcPr>
            <w:tcW w:w="1160" w:type="dxa"/>
            <w:tcBorders>
              <w:top w:val="nil"/>
              <w:left w:val="nil"/>
              <w:bottom w:val="nil"/>
              <w:right w:val="nil"/>
            </w:tcBorders>
            <w:shd w:val="clear" w:color="auto" w:fill="auto"/>
            <w:noWrap/>
            <w:vAlign w:val="bottom"/>
            <w:hideMark/>
          </w:tcPr>
          <w:p w14:paraId="090EE84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2309.09</w:t>
            </w:r>
          </w:p>
        </w:tc>
        <w:tc>
          <w:tcPr>
            <w:tcW w:w="1060" w:type="dxa"/>
            <w:vMerge w:val="restart"/>
            <w:tcBorders>
              <w:top w:val="nil"/>
              <w:left w:val="nil"/>
              <w:bottom w:val="single" w:sz="8" w:space="0" w:color="000000"/>
              <w:right w:val="nil"/>
            </w:tcBorders>
            <w:shd w:val="clear" w:color="auto" w:fill="auto"/>
            <w:noWrap/>
            <w:vAlign w:val="center"/>
            <w:hideMark/>
          </w:tcPr>
          <w:p w14:paraId="1BF0B6D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0.974</w:t>
            </w:r>
          </w:p>
        </w:tc>
        <w:tc>
          <w:tcPr>
            <w:tcW w:w="1040" w:type="dxa"/>
            <w:vMerge w:val="restart"/>
            <w:tcBorders>
              <w:top w:val="nil"/>
              <w:left w:val="nil"/>
              <w:bottom w:val="single" w:sz="8" w:space="0" w:color="000000"/>
              <w:right w:val="nil"/>
            </w:tcBorders>
            <w:shd w:val="clear" w:color="auto" w:fill="auto"/>
            <w:noWrap/>
            <w:vAlign w:val="center"/>
            <w:hideMark/>
          </w:tcPr>
          <w:p w14:paraId="7CA33CE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&lt; 0.001</w:t>
            </w:r>
          </w:p>
        </w:tc>
      </w:tr>
      <w:tr w:rsidR="00437290" w:rsidRPr="00F07DEB" w14:paraId="5BC34902" w14:textId="77777777" w:rsidTr="00437290">
        <w:trPr>
          <w:trHeight w:val="258"/>
        </w:trPr>
        <w:tc>
          <w:tcPr>
            <w:tcW w:w="1926" w:type="dxa"/>
            <w:tcBorders>
              <w:top w:val="nil"/>
              <w:left w:val="nil"/>
              <w:bottom w:val="nil"/>
              <w:right w:val="nil"/>
            </w:tcBorders>
            <w:shd w:val="clear" w:color="auto" w:fill="auto"/>
            <w:noWrap/>
            <w:vAlign w:val="bottom"/>
            <w:hideMark/>
          </w:tcPr>
          <w:p w14:paraId="317E6B0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Grass2</w:t>
            </w:r>
          </w:p>
        </w:tc>
        <w:tc>
          <w:tcPr>
            <w:tcW w:w="1251" w:type="dxa"/>
            <w:tcBorders>
              <w:top w:val="nil"/>
              <w:left w:val="nil"/>
              <w:bottom w:val="nil"/>
              <w:right w:val="nil"/>
            </w:tcBorders>
            <w:shd w:val="clear" w:color="auto" w:fill="auto"/>
            <w:noWrap/>
            <w:vAlign w:val="bottom"/>
            <w:hideMark/>
          </w:tcPr>
          <w:p w14:paraId="59DD4E4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14333.74</w:t>
            </w:r>
          </w:p>
        </w:tc>
        <w:tc>
          <w:tcPr>
            <w:tcW w:w="866" w:type="dxa"/>
            <w:tcBorders>
              <w:top w:val="nil"/>
              <w:left w:val="nil"/>
              <w:bottom w:val="nil"/>
              <w:right w:val="nil"/>
            </w:tcBorders>
            <w:shd w:val="clear" w:color="auto" w:fill="auto"/>
            <w:noWrap/>
            <w:vAlign w:val="bottom"/>
            <w:hideMark/>
          </w:tcPr>
          <w:p w14:paraId="1A10C5F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2816.22</w:t>
            </w:r>
          </w:p>
        </w:tc>
        <w:tc>
          <w:tcPr>
            <w:tcW w:w="1128" w:type="dxa"/>
            <w:tcBorders>
              <w:top w:val="nil"/>
              <w:left w:val="nil"/>
              <w:bottom w:val="nil"/>
              <w:right w:val="nil"/>
            </w:tcBorders>
            <w:shd w:val="clear" w:color="auto" w:fill="auto"/>
            <w:noWrap/>
            <w:vAlign w:val="bottom"/>
            <w:hideMark/>
          </w:tcPr>
          <w:p w14:paraId="1088971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14574.96</w:t>
            </w:r>
          </w:p>
        </w:tc>
        <w:tc>
          <w:tcPr>
            <w:tcW w:w="1160" w:type="dxa"/>
            <w:tcBorders>
              <w:top w:val="nil"/>
              <w:left w:val="nil"/>
              <w:bottom w:val="nil"/>
              <w:right w:val="nil"/>
            </w:tcBorders>
            <w:shd w:val="clear" w:color="auto" w:fill="auto"/>
            <w:noWrap/>
            <w:vAlign w:val="bottom"/>
            <w:hideMark/>
          </w:tcPr>
          <w:p w14:paraId="631808F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895.61</w:t>
            </w:r>
          </w:p>
        </w:tc>
        <w:tc>
          <w:tcPr>
            <w:tcW w:w="1060" w:type="dxa"/>
            <w:vMerge/>
            <w:tcBorders>
              <w:top w:val="nil"/>
              <w:left w:val="nil"/>
              <w:bottom w:val="single" w:sz="8" w:space="0" w:color="000000"/>
              <w:right w:val="nil"/>
            </w:tcBorders>
            <w:vAlign w:val="center"/>
            <w:hideMark/>
          </w:tcPr>
          <w:p w14:paraId="2C1CE8D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6C1E26C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20EF316D"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6DD4B6F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1251" w:type="dxa"/>
            <w:tcBorders>
              <w:top w:val="nil"/>
              <w:left w:val="nil"/>
              <w:bottom w:val="single" w:sz="8" w:space="0" w:color="auto"/>
              <w:right w:val="nil"/>
            </w:tcBorders>
            <w:shd w:val="clear" w:color="auto" w:fill="auto"/>
            <w:noWrap/>
            <w:vAlign w:val="bottom"/>
            <w:hideMark/>
          </w:tcPr>
          <w:p w14:paraId="147B97B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8421.88</w:t>
            </w:r>
          </w:p>
        </w:tc>
        <w:tc>
          <w:tcPr>
            <w:tcW w:w="866" w:type="dxa"/>
            <w:tcBorders>
              <w:top w:val="nil"/>
              <w:left w:val="nil"/>
              <w:bottom w:val="single" w:sz="8" w:space="0" w:color="auto"/>
              <w:right w:val="nil"/>
            </w:tcBorders>
            <w:shd w:val="clear" w:color="auto" w:fill="auto"/>
            <w:noWrap/>
            <w:vAlign w:val="bottom"/>
            <w:hideMark/>
          </w:tcPr>
          <w:p w14:paraId="64772E4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1914.16</w:t>
            </w:r>
          </w:p>
        </w:tc>
        <w:tc>
          <w:tcPr>
            <w:tcW w:w="1128" w:type="dxa"/>
            <w:tcBorders>
              <w:top w:val="nil"/>
              <w:left w:val="nil"/>
              <w:bottom w:val="single" w:sz="8" w:space="0" w:color="auto"/>
              <w:right w:val="nil"/>
            </w:tcBorders>
            <w:shd w:val="clear" w:color="auto" w:fill="auto"/>
            <w:noWrap/>
            <w:vAlign w:val="bottom"/>
            <w:hideMark/>
          </w:tcPr>
          <w:p w14:paraId="4B363BF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7407.24</w:t>
            </w:r>
          </w:p>
        </w:tc>
        <w:tc>
          <w:tcPr>
            <w:tcW w:w="1160" w:type="dxa"/>
            <w:tcBorders>
              <w:top w:val="nil"/>
              <w:left w:val="nil"/>
              <w:bottom w:val="single" w:sz="8" w:space="0" w:color="auto"/>
              <w:right w:val="nil"/>
            </w:tcBorders>
            <w:shd w:val="clear" w:color="auto" w:fill="auto"/>
            <w:noWrap/>
            <w:vAlign w:val="bottom"/>
            <w:hideMark/>
          </w:tcPr>
          <w:p w14:paraId="7AA86AF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835.95</w:t>
            </w:r>
          </w:p>
        </w:tc>
        <w:tc>
          <w:tcPr>
            <w:tcW w:w="1060" w:type="dxa"/>
            <w:vMerge/>
            <w:tcBorders>
              <w:top w:val="nil"/>
              <w:left w:val="nil"/>
              <w:bottom w:val="single" w:sz="8" w:space="0" w:color="000000"/>
              <w:right w:val="nil"/>
            </w:tcBorders>
            <w:vAlign w:val="center"/>
            <w:hideMark/>
          </w:tcPr>
          <w:p w14:paraId="2A1BA06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00E65FA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4B8D1235" w14:textId="77777777" w:rsidTr="00437290">
        <w:trPr>
          <w:trHeight w:val="258"/>
        </w:trPr>
        <w:tc>
          <w:tcPr>
            <w:tcW w:w="1926" w:type="dxa"/>
            <w:tcBorders>
              <w:top w:val="nil"/>
              <w:left w:val="nil"/>
              <w:bottom w:val="nil"/>
              <w:right w:val="nil"/>
            </w:tcBorders>
            <w:shd w:val="clear" w:color="auto" w:fill="auto"/>
            <w:noWrap/>
            <w:vAlign w:val="bottom"/>
            <w:hideMark/>
          </w:tcPr>
          <w:p w14:paraId="1347F43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251" w:type="dxa"/>
            <w:tcBorders>
              <w:top w:val="nil"/>
              <w:left w:val="nil"/>
              <w:bottom w:val="nil"/>
              <w:right w:val="nil"/>
            </w:tcBorders>
            <w:shd w:val="clear" w:color="auto" w:fill="auto"/>
            <w:noWrap/>
            <w:vAlign w:val="bottom"/>
            <w:hideMark/>
          </w:tcPr>
          <w:p w14:paraId="4A700016"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866" w:type="dxa"/>
            <w:tcBorders>
              <w:top w:val="nil"/>
              <w:left w:val="nil"/>
              <w:bottom w:val="nil"/>
              <w:right w:val="nil"/>
            </w:tcBorders>
            <w:shd w:val="clear" w:color="auto" w:fill="auto"/>
            <w:noWrap/>
            <w:vAlign w:val="bottom"/>
            <w:hideMark/>
          </w:tcPr>
          <w:p w14:paraId="45C02CF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788AB1BC"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7BD1729A"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2D26812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3935446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463DA683" w14:textId="77777777" w:rsidTr="00437290">
        <w:trPr>
          <w:trHeight w:val="258"/>
        </w:trPr>
        <w:tc>
          <w:tcPr>
            <w:tcW w:w="1926" w:type="dxa"/>
            <w:tcBorders>
              <w:top w:val="nil"/>
              <w:left w:val="nil"/>
              <w:bottom w:val="nil"/>
              <w:right w:val="nil"/>
            </w:tcBorders>
            <w:shd w:val="clear" w:color="auto" w:fill="auto"/>
            <w:noWrap/>
            <w:vAlign w:val="bottom"/>
            <w:hideMark/>
          </w:tcPr>
          <w:p w14:paraId="7E005457"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251" w:type="dxa"/>
            <w:tcBorders>
              <w:top w:val="nil"/>
              <w:left w:val="nil"/>
              <w:bottom w:val="nil"/>
              <w:right w:val="nil"/>
            </w:tcBorders>
            <w:shd w:val="clear" w:color="auto" w:fill="auto"/>
            <w:noWrap/>
            <w:vAlign w:val="bottom"/>
            <w:hideMark/>
          </w:tcPr>
          <w:p w14:paraId="6DB08CAE"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866" w:type="dxa"/>
            <w:tcBorders>
              <w:top w:val="nil"/>
              <w:left w:val="nil"/>
              <w:bottom w:val="nil"/>
              <w:right w:val="nil"/>
            </w:tcBorders>
            <w:shd w:val="clear" w:color="auto" w:fill="auto"/>
            <w:noWrap/>
            <w:vAlign w:val="bottom"/>
            <w:hideMark/>
          </w:tcPr>
          <w:p w14:paraId="2911F1D0"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3076831E"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4D90E579"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4AC0290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48F3A63F"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6B7B2778" w14:textId="77777777" w:rsidTr="00437290">
        <w:trPr>
          <w:trHeight w:val="258"/>
        </w:trPr>
        <w:tc>
          <w:tcPr>
            <w:tcW w:w="1926" w:type="dxa"/>
            <w:tcBorders>
              <w:top w:val="nil"/>
              <w:left w:val="nil"/>
              <w:bottom w:val="nil"/>
              <w:right w:val="nil"/>
            </w:tcBorders>
            <w:shd w:val="clear" w:color="auto" w:fill="auto"/>
            <w:noWrap/>
            <w:vAlign w:val="bottom"/>
            <w:hideMark/>
          </w:tcPr>
          <w:p w14:paraId="52B07C16"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251" w:type="dxa"/>
            <w:tcBorders>
              <w:top w:val="nil"/>
              <w:left w:val="nil"/>
              <w:bottom w:val="nil"/>
              <w:right w:val="nil"/>
            </w:tcBorders>
            <w:shd w:val="clear" w:color="auto" w:fill="auto"/>
            <w:noWrap/>
            <w:vAlign w:val="bottom"/>
            <w:hideMark/>
          </w:tcPr>
          <w:p w14:paraId="579549CF"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866" w:type="dxa"/>
            <w:tcBorders>
              <w:top w:val="nil"/>
              <w:left w:val="nil"/>
              <w:bottom w:val="nil"/>
              <w:right w:val="nil"/>
            </w:tcBorders>
            <w:shd w:val="clear" w:color="auto" w:fill="auto"/>
            <w:noWrap/>
            <w:vAlign w:val="bottom"/>
            <w:hideMark/>
          </w:tcPr>
          <w:p w14:paraId="153D60AB"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6EB24B1F"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48F8DDA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0E5BE6A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76AD254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933477" w:rsidRPr="00F07DEB" w14:paraId="78E69CFE" w14:textId="77777777" w:rsidTr="00E01717">
        <w:trPr>
          <w:trHeight w:val="266"/>
        </w:trPr>
        <w:tc>
          <w:tcPr>
            <w:tcW w:w="8431" w:type="dxa"/>
            <w:gridSpan w:val="7"/>
            <w:tcBorders>
              <w:top w:val="nil"/>
              <w:left w:val="nil"/>
              <w:bottom w:val="single" w:sz="8" w:space="0" w:color="auto"/>
              <w:right w:val="nil"/>
            </w:tcBorders>
            <w:shd w:val="clear" w:color="auto" w:fill="auto"/>
            <w:noWrap/>
            <w:vAlign w:val="bottom"/>
            <w:hideMark/>
          </w:tcPr>
          <w:p w14:paraId="6AF83725" w14:textId="494BC36B" w:rsidR="00933477" w:rsidRPr="00933477" w:rsidRDefault="00933477" w:rsidP="00933477">
            <w:pPr>
              <w:spacing w:after="0" w:line="240" w:lineRule="auto"/>
              <w:jc w:val="center"/>
              <w:rPr>
                <w:rFonts w:ascii="Times New Roman" w:eastAsia="Times New Roman" w:hAnsi="Times New Roman" w:cs="Times New Roman"/>
                <w:b/>
                <w:color w:val="000000"/>
                <w:sz w:val="20"/>
                <w:szCs w:val="20"/>
                <w:lang w:eastAsia="en-US"/>
              </w:rPr>
            </w:pPr>
            <w:r>
              <w:rPr>
                <w:rFonts w:ascii="Times New Roman" w:eastAsia="Times New Roman" w:hAnsi="Times New Roman" w:cs="Times New Roman"/>
                <w:b/>
                <w:color w:val="000000"/>
                <w:sz w:val="20"/>
                <w:szCs w:val="20"/>
                <w:lang w:eastAsia="en-US"/>
              </w:rPr>
              <w:t>Table</w:t>
            </w:r>
            <w:r w:rsidRPr="00933477">
              <w:rPr>
                <w:rFonts w:ascii="Times New Roman" w:eastAsia="Times New Roman" w:hAnsi="Times New Roman" w:cs="Times New Roman"/>
                <w:b/>
                <w:color w:val="000000"/>
                <w:sz w:val="20"/>
                <w:szCs w:val="20"/>
                <w:lang w:eastAsia="en-US"/>
              </w:rPr>
              <w:t xml:space="preserve"> C</w:t>
            </w:r>
            <w:r>
              <w:rPr>
                <w:rFonts w:ascii="Times New Roman" w:eastAsia="Times New Roman" w:hAnsi="Times New Roman" w:cs="Times New Roman"/>
                <w:b/>
                <w:color w:val="000000"/>
                <w:sz w:val="20"/>
                <w:szCs w:val="20"/>
                <w:lang w:eastAsia="en-US"/>
              </w:rPr>
              <w:t>.</w:t>
            </w:r>
            <w:r w:rsidR="00337893">
              <w:rPr>
                <w:rFonts w:ascii="Times New Roman" w:eastAsia="Times New Roman" w:hAnsi="Times New Roman" w:cs="Times New Roman"/>
                <w:b/>
                <w:color w:val="000000"/>
                <w:sz w:val="20"/>
                <w:szCs w:val="20"/>
                <w:lang w:eastAsia="en-US"/>
              </w:rPr>
              <w:t>3</w:t>
            </w:r>
            <w:r w:rsidRPr="00933477">
              <w:rPr>
                <w:rFonts w:ascii="Times New Roman" w:eastAsia="Times New Roman" w:hAnsi="Times New Roman" w:cs="Times New Roman"/>
                <w:b/>
                <w:color w:val="000000"/>
                <w:sz w:val="20"/>
                <w:szCs w:val="20"/>
                <w:lang w:eastAsia="en-US"/>
              </w:rPr>
              <w:t xml:space="preserve">: </w:t>
            </w:r>
            <w:proofErr w:type="spellStart"/>
            <w:r w:rsidRPr="00933477">
              <w:rPr>
                <w:rFonts w:ascii="Times New Roman" w:eastAsia="Times New Roman" w:hAnsi="Times New Roman" w:cs="Times New Roman"/>
                <w:b/>
                <w:color w:val="000000"/>
                <w:sz w:val="20"/>
                <w:szCs w:val="20"/>
                <w:lang w:eastAsia="en-US"/>
              </w:rPr>
              <w:t>Mn</w:t>
            </w:r>
            <w:proofErr w:type="spellEnd"/>
            <w:r w:rsidRPr="00933477">
              <w:rPr>
                <w:rFonts w:ascii="Times New Roman" w:eastAsia="Times New Roman" w:hAnsi="Times New Roman" w:cs="Times New Roman"/>
                <w:b/>
                <w:color w:val="000000"/>
                <w:sz w:val="20"/>
                <w:szCs w:val="20"/>
                <w:lang w:eastAsia="en-US"/>
              </w:rPr>
              <w:t xml:space="preserve"> concentrations in plant biomass in mg/kg</w:t>
            </w:r>
          </w:p>
          <w:p w14:paraId="325EC635" w14:textId="12D40609" w:rsidR="00933477" w:rsidRPr="00F07DEB" w:rsidRDefault="00933477"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r>
      <w:tr w:rsidR="00437290" w:rsidRPr="00F07DEB" w14:paraId="16B33E84" w14:textId="77777777" w:rsidTr="00437290">
        <w:trPr>
          <w:trHeight w:val="258"/>
        </w:trPr>
        <w:tc>
          <w:tcPr>
            <w:tcW w:w="1926" w:type="dxa"/>
            <w:tcBorders>
              <w:top w:val="nil"/>
              <w:left w:val="nil"/>
              <w:bottom w:val="nil"/>
              <w:right w:val="nil"/>
            </w:tcBorders>
            <w:shd w:val="clear" w:color="auto" w:fill="auto"/>
            <w:noWrap/>
            <w:vAlign w:val="bottom"/>
            <w:hideMark/>
          </w:tcPr>
          <w:p w14:paraId="4221AFE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4405" w:type="dxa"/>
            <w:gridSpan w:val="4"/>
            <w:tcBorders>
              <w:top w:val="nil"/>
              <w:left w:val="nil"/>
              <w:bottom w:val="nil"/>
              <w:right w:val="nil"/>
            </w:tcBorders>
            <w:shd w:val="clear" w:color="auto" w:fill="auto"/>
            <w:noWrap/>
            <w:vAlign w:val="bottom"/>
            <w:hideMark/>
          </w:tcPr>
          <w:p w14:paraId="21657BCC"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Treatment</w:t>
            </w:r>
          </w:p>
        </w:tc>
        <w:tc>
          <w:tcPr>
            <w:tcW w:w="1060" w:type="dxa"/>
            <w:tcBorders>
              <w:top w:val="nil"/>
              <w:left w:val="nil"/>
              <w:bottom w:val="nil"/>
              <w:right w:val="nil"/>
            </w:tcBorders>
            <w:shd w:val="clear" w:color="auto" w:fill="auto"/>
            <w:noWrap/>
            <w:vAlign w:val="bottom"/>
            <w:hideMark/>
          </w:tcPr>
          <w:p w14:paraId="4D4AFCE7"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p>
        </w:tc>
        <w:tc>
          <w:tcPr>
            <w:tcW w:w="1040" w:type="dxa"/>
            <w:tcBorders>
              <w:top w:val="nil"/>
              <w:left w:val="nil"/>
              <w:bottom w:val="nil"/>
              <w:right w:val="nil"/>
            </w:tcBorders>
            <w:shd w:val="clear" w:color="auto" w:fill="auto"/>
            <w:noWrap/>
            <w:vAlign w:val="bottom"/>
            <w:hideMark/>
          </w:tcPr>
          <w:p w14:paraId="50D501CF"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11936ABA" w14:textId="77777777" w:rsidTr="00437290">
        <w:trPr>
          <w:trHeight w:val="266"/>
        </w:trPr>
        <w:tc>
          <w:tcPr>
            <w:tcW w:w="1926" w:type="dxa"/>
            <w:tcBorders>
              <w:top w:val="nil"/>
              <w:left w:val="nil"/>
              <w:bottom w:val="nil"/>
              <w:right w:val="nil"/>
            </w:tcBorders>
            <w:shd w:val="clear" w:color="auto" w:fill="auto"/>
            <w:noWrap/>
            <w:vAlign w:val="bottom"/>
            <w:hideMark/>
          </w:tcPr>
          <w:p w14:paraId="7571F909"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2117" w:type="dxa"/>
            <w:gridSpan w:val="2"/>
            <w:tcBorders>
              <w:top w:val="nil"/>
              <w:left w:val="nil"/>
              <w:bottom w:val="single" w:sz="8" w:space="0" w:color="auto"/>
              <w:right w:val="nil"/>
            </w:tcBorders>
            <w:shd w:val="clear" w:color="auto" w:fill="auto"/>
            <w:noWrap/>
            <w:vAlign w:val="bottom"/>
            <w:hideMark/>
          </w:tcPr>
          <w:p w14:paraId="306BB91E"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Groundwater</w:t>
            </w:r>
          </w:p>
        </w:tc>
        <w:tc>
          <w:tcPr>
            <w:tcW w:w="2288" w:type="dxa"/>
            <w:gridSpan w:val="2"/>
            <w:tcBorders>
              <w:top w:val="nil"/>
              <w:left w:val="nil"/>
              <w:bottom w:val="single" w:sz="8" w:space="0" w:color="auto"/>
              <w:right w:val="nil"/>
            </w:tcBorders>
            <w:shd w:val="clear" w:color="auto" w:fill="auto"/>
            <w:noWrap/>
            <w:vAlign w:val="bottom"/>
            <w:hideMark/>
          </w:tcPr>
          <w:p w14:paraId="2FA98EA3"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Mine water</w:t>
            </w:r>
          </w:p>
        </w:tc>
        <w:tc>
          <w:tcPr>
            <w:tcW w:w="1060" w:type="dxa"/>
            <w:tcBorders>
              <w:top w:val="nil"/>
              <w:left w:val="nil"/>
              <w:bottom w:val="nil"/>
              <w:right w:val="nil"/>
            </w:tcBorders>
            <w:shd w:val="clear" w:color="auto" w:fill="auto"/>
            <w:noWrap/>
            <w:vAlign w:val="bottom"/>
            <w:hideMark/>
          </w:tcPr>
          <w:p w14:paraId="16D1DBC8"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p>
        </w:tc>
        <w:tc>
          <w:tcPr>
            <w:tcW w:w="1040" w:type="dxa"/>
            <w:vMerge w:val="restart"/>
            <w:tcBorders>
              <w:top w:val="nil"/>
              <w:left w:val="nil"/>
              <w:bottom w:val="single" w:sz="8" w:space="0" w:color="000000"/>
              <w:right w:val="nil"/>
            </w:tcBorders>
            <w:shd w:val="clear" w:color="auto" w:fill="auto"/>
            <w:vAlign w:val="bottom"/>
            <w:hideMark/>
          </w:tcPr>
          <w:p w14:paraId="0BE955F6" w14:textId="59A03E13" w:rsidR="00437290" w:rsidRPr="00F07DEB" w:rsidRDefault="0006673C"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r>
      <w:tr w:rsidR="00437290" w:rsidRPr="00F07DEB" w14:paraId="1572567A"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5F72296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Structure</w:t>
            </w:r>
          </w:p>
        </w:tc>
        <w:tc>
          <w:tcPr>
            <w:tcW w:w="1251" w:type="dxa"/>
            <w:tcBorders>
              <w:top w:val="nil"/>
              <w:left w:val="nil"/>
              <w:bottom w:val="single" w:sz="8" w:space="0" w:color="auto"/>
              <w:right w:val="nil"/>
            </w:tcBorders>
            <w:shd w:val="clear" w:color="auto" w:fill="auto"/>
            <w:noWrap/>
            <w:vAlign w:val="bottom"/>
            <w:hideMark/>
          </w:tcPr>
          <w:p w14:paraId="39AC1BDB"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866" w:type="dxa"/>
            <w:tcBorders>
              <w:top w:val="nil"/>
              <w:left w:val="nil"/>
              <w:bottom w:val="single" w:sz="8" w:space="0" w:color="auto"/>
              <w:right w:val="nil"/>
            </w:tcBorders>
            <w:shd w:val="clear" w:color="auto" w:fill="auto"/>
            <w:noWrap/>
            <w:vAlign w:val="bottom"/>
            <w:hideMark/>
          </w:tcPr>
          <w:p w14:paraId="1AB5718F"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1128" w:type="dxa"/>
            <w:tcBorders>
              <w:top w:val="nil"/>
              <w:left w:val="nil"/>
              <w:bottom w:val="single" w:sz="8" w:space="0" w:color="auto"/>
              <w:right w:val="nil"/>
            </w:tcBorders>
            <w:shd w:val="clear" w:color="auto" w:fill="auto"/>
            <w:noWrap/>
            <w:vAlign w:val="bottom"/>
            <w:hideMark/>
          </w:tcPr>
          <w:p w14:paraId="3DD23BFD"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1160" w:type="dxa"/>
            <w:tcBorders>
              <w:top w:val="nil"/>
              <w:left w:val="nil"/>
              <w:bottom w:val="single" w:sz="8" w:space="0" w:color="auto"/>
              <w:right w:val="nil"/>
            </w:tcBorders>
            <w:shd w:val="clear" w:color="auto" w:fill="auto"/>
            <w:noWrap/>
            <w:vAlign w:val="bottom"/>
            <w:hideMark/>
          </w:tcPr>
          <w:p w14:paraId="455425DD"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1060" w:type="dxa"/>
            <w:tcBorders>
              <w:top w:val="nil"/>
              <w:left w:val="nil"/>
              <w:bottom w:val="single" w:sz="8" w:space="0" w:color="auto"/>
              <w:right w:val="nil"/>
            </w:tcBorders>
            <w:shd w:val="clear" w:color="auto" w:fill="auto"/>
            <w:noWrap/>
            <w:vAlign w:val="bottom"/>
            <w:hideMark/>
          </w:tcPr>
          <w:p w14:paraId="483D57AA" w14:textId="77777777" w:rsidR="00437290" w:rsidRPr="00F07DEB" w:rsidRDefault="00437290" w:rsidP="00437290">
            <w:pPr>
              <w:spacing w:after="0" w:line="240" w:lineRule="auto"/>
              <w:jc w:val="center"/>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040" w:type="dxa"/>
            <w:vMerge/>
            <w:tcBorders>
              <w:top w:val="nil"/>
              <w:left w:val="nil"/>
              <w:bottom w:val="single" w:sz="8" w:space="0" w:color="000000"/>
              <w:right w:val="nil"/>
            </w:tcBorders>
            <w:vAlign w:val="center"/>
            <w:hideMark/>
          </w:tcPr>
          <w:p w14:paraId="7459006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6C819DE6" w14:textId="77777777" w:rsidTr="00437290">
        <w:trPr>
          <w:trHeight w:val="258"/>
        </w:trPr>
        <w:tc>
          <w:tcPr>
            <w:tcW w:w="1926" w:type="dxa"/>
            <w:tcBorders>
              <w:top w:val="nil"/>
              <w:left w:val="nil"/>
              <w:bottom w:val="nil"/>
              <w:right w:val="nil"/>
            </w:tcBorders>
            <w:shd w:val="clear" w:color="auto" w:fill="auto"/>
            <w:noWrap/>
            <w:vAlign w:val="bottom"/>
            <w:hideMark/>
          </w:tcPr>
          <w:p w14:paraId="5E6C49F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Corn</w:t>
            </w:r>
          </w:p>
        </w:tc>
        <w:tc>
          <w:tcPr>
            <w:tcW w:w="1251" w:type="dxa"/>
            <w:tcBorders>
              <w:top w:val="nil"/>
              <w:left w:val="nil"/>
              <w:bottom w:val="nil"/>
              <w:right w:val="nil"/>
            </w:tcBorders>
            <w:shd w:val="clear" w:color="auto" w:fill="auto"/>
            <w:noWrap/>
            <w:vAlign w:val="bottom"/>
            <w:hideMark/>
          </w:tcPr>
          <w:p w14:paraId="7B5EFCD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0616E26F"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36F9687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192929D2"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5B36248B"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4724DEBC"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150E00DA" w14:textId="77777777" w:rsidTr="00437290">
        <w:trPr>
          <w:trHeight w:val="258"/>
        </w:trPr>
        <w:tc>
          <w:tcPr>
            <w:tcW w:w="1926" w:type="dxa"/>
            <w:tcBorders>
              <w:top w:val="nil"/>
              <w:left w:val="nil"/>
              <w:bottom w:val="nil"/>
              <w:right w:val="nil"/>
            </w:tcBorders>
            <w:shd w:val="clear" w:color="auto" w:fill="auto"/>
            <w:noWrap/>
            <w:vAlign w:val="bottom"/>
            <w:hideMark/>
          </w:tcPr>
          <w:p w14:paraId="439364F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 †</w:t>
            </w:r>
          </w:p>
        </w:tc>
        <w:tc>
          <w:tcPr>
            <w:tcW w:w="1251" w:type="dxa"/>
            <w:tcBorders>
              <w:top w:val="nil"/>
              <w:left w:val="nil"/>
              <w:bottom w:val="nil"/>
              <w:right w:val="nil"/>
            </w:tcBorders>
            <w:shd w:val="clear" w:color="auto" w:fill="auto"/>
            <w:noWrap/>
            <w:vAlign w:val="bottom"/>
            <w:hideMark/>
          </w:tcPr>
          <w:p w14:paraId="0894F42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36.62</w:t>
            </w:r>
          </w:p>
        </w:tc>
        <w:tc>
          <w:tcPr>
            <w:tcW w:w="866" w:type="dxa"/>
            <w:tcBorders>
              <w:top w:val="nil"/>
              <w:left w:val="nil"/>
              <w:bottom w:val="nil"/>
              <w:right w:val="nil"/>
            </w:tcBorders>
            <w:shd w:val="clear" w:color="auto" w:fill="auto"/>
            <w:noWrap/>
            <w:vAlign w:val="bottom"/>
            <w:hideMark/>
          </w:tcPr>
          <w:p w14:paraId="556669C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11.41</w:t>
            </w:r>
          </w:p>
        </w:tc>
        <w:tc>
          <w:tcPr>
            <w:tcW w:w="1128" w:type="dxa"/>
            <w:tcBorders>
              <w:top w:val="nil"/>
              <w:left w:val="nil"/>
              <w:bottom w:val="nil"/>
              <w:right w:val="nil"/>
            </w:tcBorders>
            <w:shd w:val="clear" w:color="auto" w:fill="auto"/>
            <w:noWrap/>
            <w:vAlign w:val="bottom"/>
            <w:hideMark/>
          </w:tcPr>
          <w:p w14:paraId="54F4142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28.11</w:t>
            </w:r>
          </w:p>
        </w:tc>
        <w:tc>
          <w:tcPr>
            <w:tcW w:w="1160" w:type="dxa"/>
            <w:tcBorders>
              <w:top w:val="nil"/>
              <w:left w:val="nil"/>
              <w:bottom w:val="nil"/>
              <w:right w:val="nil"/>
            </w:tcBorders>
            <w:shd w:val="clear" w:color="auto" w:fill="auto"/>
            <w:noWrap/>
            <w:vAlign w:val="bottom"/>
            <w:hideMark/>
          </w:tcPr>
          <w:p w14:paraId="32B65D2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10.61</w:t>
            </w:r>
          </w:p>
        </w:tc>
        <w:tc>
          <w:tcPr>
            <w:tcW w:w="1060" w:type="dxa"/>
            <w:vMerge w:val="restart"/>
            <w:tcBorders>
              <w:top w:val="nil"/>
              <w:left w:val="nil"/>
              <w:bottom w:val="single" w:sz="8" w:space="0" w:color="000000"/>
              <w:right w:val="nil"/>
            </w:tcBorders>
            <w:shd w:val="clear" w:color="auto" w:fill="auto"/>
            <w:noWrap/>
            <w:vAlign w:val="center"/>
            <w:hideMark/>
          </w:tcPr>
          <w:p w14:paraId="1921AA5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0.361</w:t>
            </w:r>
          </w:p>
        </w:tc>
        <w:tc>
          <w:tcPr>
            <w:tcW w:w="1040" w:type="dxa"/>
            <w:vMerge w:val="restart"/>
            <w:tcBorders>
              <w:top w:val="nil"/>
              <w:left w:val="nil"/>
              <w:bottom w:val="single" w:sz="8" w:space="0" w:color="000000"/>
              <w:right w:val="nil"/>
            </w:tcBorders>
            <w:shd w:val="clear" w:color="auto" w:fill="auto"/>
            <w:noWrap/>
            <w:vAlign w:val="center"/>
            <w:hideMark/>
          </w:tcPr>
          <w:p w14:paraId="3B8FC1E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0.084</w:t>
            </w:r>
          </w:p>
        </w:tc>
      </w:tr>
      <w:tr w:rsidR="00437290" w:rsidRPr="00F07DEB" w14:paraId="52D80D84" w14:textId="77777777" w:rsidTr="00437290">
        <w:trPr>
          <w:trHeight w:val="258"/>
        </w:trPr>
        <w:tc>
          <w:tcPr>
            <w:tcW w:w="1926" w:type="dxa"/>
            <w:tcBorders>
              <w:top w:val="nil"/>
              <w:left w:val="nil"/>
              <w:bottom w:val="nil"/>
              <w:right w:val="nil"/>
            </w:tcBorders>
            <w:shd w:val="clear" w:color="auto" w:fill="auto"/>
            <w:noWrap/>
            <w:vAlign w:val="bottom"/>
            <w:hideMark/>
          </w:tcPr>
          <w:p w14:paraId="55436770" w14:textId="737A57AF"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w:t>
            </w:r>
            <w:r w:rsidR="001405F5">
              <w:rPr>
                <w:rFonts w:ascii="Times New Roman" w:eastAsia="Times New Roman" w:hAnsi="Times New Roman" w:cs="Times New Roman"/>
                <w:color w:val="000000"/>
                <w:sz w:val="20"/>
                <w:szCs w:val="20"/>
                <w:lang w:eastAsia="en-US"/>
              </w:rPr>
              <w:t>Husk</w:t>
            </w:r>
            <w:r w:rsidRPr="00F07DEB">
              <w:rPr>
                <w:rFonts w:ascii="Times New Roman" w:eastAsia="Times New Roman" w:hAnsi="Times New Roman" w:cs="Times New Roman"/>
                <w:color w:val="000000"/>
                <w:sz w:val="20"/>
                <w:szCs w:val="20"/>
                <w:lang w:eastAsia="en-US"/>
              </w:rPr>
              <w:t xml:space="preserve"> ‡</w:t>
            </w:r>
          </w:p>
        </w:tc>
        <w:tc>
          <w:tcPr>
            <w:tcW w:w="1251" w:type="dxa"/>
            <w:tcBorders>
              <w:top w:val="nil"/>
              <w:left w:val="nil"/>
              <w:bottom w:val="nil"/>
              <w:right w:val="nil"/>
            </w:tcBorders>
            <w:shd w:val="clear" w:color="auto" w:fill="auto"/>
            <w:noWrap/>
            <w:vAlign w:val="bottom"/>
            <w:hideMark/>
          </w:tcPr>
          <w:p w14:paraId="15E40F0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15.26</w:t>
            </w:r>
          </w:p>
        </w:tc>
        <w:tc>
          <w:tcPr>
            <w:tcW w:w="866" w:type="dxa"/>
            <w:tcBorders>
              <w:top w:val="nil"/>
              <w:left w:val="nil"/>
              <w:bottom w:val="nil"/>
              <w:right w:val="nil"/>
            </w:tcBorders>
            <w:shd w:val="clear" w:color="auto" w:fill="auto"/>
            <w:noWrap/>
            <w:vAlign w:val="bottom"/>
            <w:hideMark/>
          </w:tcPr>
          <w:p w14:paraId="6921432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7.52</w:t>
            </w:r>
          </w:p>
        </w:tc>
        <w:tc>
          <w:tcPr>
            <w:tcW w:w="1128" w:type="dxa"/>
            <w:tcBorders>
              <w:top w:val="nil"/>
              <w:left w:val="nil"/>
              <w:bottom w:val="nil"/>
              <w:right w:val="nil"/>
            </w:tcBorders>
            <w:shd w:val="clear" w:color="auto" w:fill="auto"/>
            <w:noWrap/>
            <w:vAlign w:val="bottom"/>
            <w:hideMark/>
          </w:tcPr>
          <w:p w14:paraId="3C191CA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13.64</w:t>
            </w:r>
          </w:p>
        </w:tc>
        <w:tc>
          <w:tcPr>
            <w:tcW w:w="1160" w:type="dxa"/>
            <w:tcBorders>
              <w:top w:val="nil"/>
              <w:left w:val="nil"/>
              <w:bottom w:val="nil"/>
              <w:right w:val="nil"/>
            </w:tcBorders>
            <w:shd w:val="clear" w:color="auto" w:fill="auto"/>
            <w:noWrap/>
            <w:vAlign w:val="bottom"/>
            <w:hideMark/>
          </w:tcPr>
          <w:p w14:paraId="2A6E3B4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6.52</w:t>
            </w:r>
          </w:p>
        </w:tc>
        <w:tc>
          <w:tcPr>
            <w:tcW w:w="1060" w:type="dxa"/>
            <w:vMerge/>
            <w:tcBorders>
              <w:top w:val="nil"/>
              <w:left w:val="nil"/>
              <w:bottom w:val="single" w:sz="8" w:space="0" w:color="000000"/>
              <w:right w:val="nil"/>
            </w:tcBorders>
            <w:vAlign w:val="center"/>
            <w:hideMark/>
          </w:tcPr>
          <w:p w14:paraId="61E57E4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3C2AD91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4C420339" w14:textId="77777777" w:rsidTr="00437290">
        <w:trPr>
          <w:trHeight w:val="258"/>
        </w:trPr>
        <w:tc>
          <w:tcPr>
            <w:tcW w:w="1926" w:type="dxa"/>
            <w:tcBorders>
              <w:top w:val="nil"/>
              <w:left w:val="nil"/>
              <w:bottom w:val="nil"/>
              <w:right w:val="nil"/>
            </w:tcBorders>
            <w:shd w:val="clear" w:color="auto" w:fill="auto"/>
            <w:noWrap/>
            <w:vAlign w:val="bottom"/>
            <w:hideMark/>
          </w:tcPr>
          <w:p w14:paraId="458B74F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 †‡</w:t>
            </w:r>
          </w:p>
        </w:tc>
        <w:tc>
          <w:tcPr>
            <w:tcW w:w="1251" w:type="dxa"/>
            <w:tcBorders>
              <w:top w:val="nil"/>
              <w:left w:val="nil"/>
              <w:bottom w:val="nil"/>
              <w:right w:val="nil"/>
            </w:tcBorders>
            <w:shd w:val="clear" w:color="auto" w:fill="auto"/>
            <w:noWrap/>
            <w:vAlign w:val="bottom"/>
            <w:hideMark/>
          </w:tcPr>
          <w:p w14:paraId="1212224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26.05</w:t>
            </w:r>
          </w:p>
        </w:tc>
        <w:tc>
          <w:tcPr>
            <w:tcW w:w="866" w:type="dxa"/>
            <w:tcBorders>
              <w:top w:val="nil"/>
              <w:left w:val="nil"/>
              <w:bottom w:val="nil"/>
              <w:right w:val="nil"/>
            </w:tcBorders>
            <w:shd w:val="clear" w:color="auto" w:fill="auto"/>
            <w:noWrap/>
            <w:vAlign w:val="bottom"/>
            <w:hideMark/>
          </w:tcPr>
          <w:p w14:paraId="5CBA111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15.78</w:t>
            </w:r>
          </w:p>
        </w:tc>
        <w:tc>
          <w:tcPr>
            <w:tcW w:w="1128" w:type="dxa"/>
            <w:tcBorders>
              <w:top w:val="nil"/>
              <w:left w:val="nil"/>
              <w:bottom w:val="nil"/>
              <w:right w:val="nil"/>
            </w:tcBorders>
            <w:shd w:val="clear" w:color="auto" w:fill="auto"/>
            <w:noWrap/>
            <w:vAlign w:val="bottom"/>
            <w:hideMark/>
          </w:tcPr>
          <w:p w14:paraId="692EF05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15.49</w:t>
            </w:r>
          </w:p>
        </w:tc>
        <w:tc>
          <w:tcPr>
            <w:tcW w:w="1160" w:type="dxa"/>
            <w:tcBorders>
              <w:top w:val="nil"/>
              <w:left w:val="nil"/>
              <w:bottom w:val="nil"/>
              <w:right w:val="nil"/>
            </w:tcBorders>
            <w:shd w:val="clear" w:color="auto" w:fill="auto"/>
            <w:noWrap/>
            <w:vAlign w:val="bottom"/>
            <w:hideMark/>
          </w:tcPr>
          <w:p w14:paraId="48C6B73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5.23</w:t>
            </w:r>
          </w:p>
        </w:tc>
        <w:tc>
          <w:tcPr>
            <w:tcW w:w="1060" w:type="dxa"/>
            <w:vMerge/>
            <w:tcBorders>
              <w:top w:val="nil"/>
              <w:left w:val="nil"/>
              <w:bottom w:val="single" w:sz="8" w:space="0" w:color="000000"/>
              <w:right w:val="nil"/>
            </w:tcBorders>
            <w:vAlign w:val="center"/>
            <w:hideMark/>
          </w:tcPr>
          <w:p w14:paraId="0A6F4D4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6AF4CBF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0F01B791" w14:textId="77777777" w:rsidTr="00437290">
        <w:trPr>
          <w:trHeight w:val="258"/>
        </w:trPr>
        <w:tc>
          <w:tcPr>
            <w:tcW w:w="1926" w:type="dxa"/>
            <w:tcBorders>
              <w:top w:val="nil"/>
              <w:left w:val="nil"/>
              <w:bottom w:val="nil"/>
              <w:right w:val="nil"/>
            </w:tcBorders>
            <w:shd w:val="clear" w:color="auto" w:fill="auto"/>
            <w:noWrap/>
            <w:vAlign w:val="bottom"/>
            <w:hideMark/>
          </w:tcPr>
          <w:p w14:paraId="1B826D9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Cob ‡</w:t>
            </w:r>
          </w:p>
        </w:tc>
        <w:tc>
          <w:tcPr>
            <w:tcW w:w="1251" w:type="dxa"/>
            <w:tcBorders>
              <w:top w:val="nil"/>
              <w:left w:val="nil"/>
              <w:bottom w:val="nil"/>
              <w:right w:val="nil"/>
            </w:tcBorders>
            <w:shd w:val="clear" w:color="auto" w:fill="auto"/>
            <w:noWrap/>
            <w:vAlign w:val="bottom"/>
            <w:hideMark/>
          </w:tcPr>
          <w:p w14:paraId="75B3D39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15.08</w:t>
            </w:r>
          </w:p>
        </w:tc>
        <w:tc>
          <w:tcPr>
            <w:tcW w:w="866" w:type="dxa"/>
            <w:tcBorders>
              <w:top w:val="nil"/>
              <w:left w:val="nil"/>
              <w:bottom w:val="nil"/>
              <w:right w:val="nil"/>
            </w:tcBorders>
            <w:shd w:val="clear" w:color="auto" w:fill="auto"/>
            <w:noWrap/>
            <w:vAlign w:val="bottom"/>
            <w:hideMark/>
          </w:tcPr>
          <w:p w14:paraId="0EC8FA2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7.70</w:t>
            </w:r>
          </w:p>
        </w:tc>
        <w:tc>
          <w:tcPr>
            <w:tcW w:w="1128" w:type="dxa"/>
            <w:tcBorders>
              <w:top w:val="nil"/>
              <w:left w:val="nil"/>
              <w:bottom w:val="nil"/>
              <w:right w:val="nil"/>
            </w:tcBorders>
            <w:shd w:val="clear" w:color="auto" w:fill="auto"/>
            <w:noWrap/>
            <w:vAlign w:val="bottom"/>
            <w:hideMark/>
          </w:tcPr>
          <w:p w14:paraId="4F30BFB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10.73</w:t>
            </w:r>
          </w:p>
        </w:tc>
        <w:tc>
          <w:tcPr>
            <w:tcW w:w="1160" w:type="dxa"/>
            <w:tcBorders>
              <w:top w:val="nil"/>
              <w:left w:val="nil"/>
              <w:bottom w:val="nil"/>
              <w:right w:val="nil"/>
            </w:tcBorders>
            <w:shd w:val="clear" w:color="auto" w:fill="auto"/>
            <w:noWrap/>
            <w:vAlign w:val="bottom"/>
            <w:hideMark/>
          </w:tcPr>
          <w:p w14:paraId="1C36E53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1.63</w:t>
            </w:r>
          </w:p>
        </w:tc>
        <w:tc>
          <w:tcPr>
            <w:tcW w:w="1060" w:type="dxa"/>
            <w:vMerge/>
            <w:tcBorders>
              <w:top w:val="nil"/>
              <w:left w:val="nil"/>
              <w:bottom w:val="single" w:sz="8" w:space="0" w:color="000000"/>
              <w:right w:val="nil"/>
            </w:tcBorders>
            <w:vAlign w:val="center"/>
            <w:hideMark/>
          </w:tcPr>
          <w:p w14:paraId="0104F2E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35E78C6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28E21426" w14:textId="77777777" w:rsidTr="00437290">
        <w:trPr>
          <w:trHeight w:val="258"/>
        </w:trPr>
        <w:tc>
          <w:tcPr>
            <w:tcW w:w="1926" w:type="dxa"/>
            <w:tcBorders>
              <w:top w:val="nil"/>
              <w:left w:val="nil"/>
              <w:bottom w:val="nil"/>
              <w:right w:val="nil"/>
            </w:tcBorders>
            <w:shd w:val="clear" w:color="auto" w:fill="auto"/>
            <w:noWrap/>
            <w:vAlign w:val="bottom"/>
            <w:hideMark/>
          </w:tcPr>
          <w:p w14:paraId="4FEBEF7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 ‡</w:t>
            </w:r>
          </w:p>
        </w:tc>
        <w:tc>
          <w:tcPr>
            <w:tcW w:w="1251" w:type="dxa"/>
            <w:tcBorders>
              <w:top w:val="nil"/>
              <w:left w:val="nil"/>
              <w:bottom w:val="nil"/>
              <w:right w:val="nil"/>
            </w:tcBorders>
            <w:shd w:val="clear" w:color="auto" w:fill="auto"/>
            <w:noWrap/>
            <w:vAlign w:val="bottom"/>
            <w:hideMark/>
          </w:tcPr>
          <w:p w14:paraId="294DC3F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7.67</w:t>
            </w:r>
          </w:p>
        </w:tc>
        <w:tc>
          <w:tcPr>
            <w:tcW w:w="866" w:type="dxa"/>
            <w:tcBorders>
              <w:top w:val="nil"/>
              <w:left w:val="nil"/>
              <w:bottom w:val="nil"/>
              <w:right w:val="nil"/>
            </w:tcBorders>
            <w:shd w:val="clear" w:color="auto" w:fill="auto"/>
            <w:noWrap/>
            <w:vAlign w:val="bottom"/>
            <w:hideMark/>
          </w:tcPr>
          <w:p w14:paraId="2764265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2.71</w:t>
            </w:r>
          </w:p>
        </w:tc>
        <w:tc>
          <w:tcPr>
            <w:tcW w:w="1128" w:type="dxa"/>
            <w:tcBorders>
              <w:top w:val="nil"/>
              <w:left w:val="nil"/>
              <w:bottom w:val="nil"/>
              <w:right w:val="nil"/>
            </w:tcBorders>
            <w:shd w:val="clear" w:color="auto" w:fill="auto"/>
            <w:noWrap/>
            <w:vAlign w:val="bottom"/>
            <w:hideMark/>
          </w:tcPr>
          <w:p w14:paraId="481E926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9.87</w:t>
            </w:r>
          </w:p>
        </w:tc>
        <w:tc>
          <w:tcPr>
            <w:tcW w:w="1160" w:type="dxa"/>
            <w:tcBorders>
              <w:top w:val="nil"/>
              <w:left w:val="nil"/>
              <w:bottom w:val="nil"/>
              <w:right w:val="nil"/>
            </w:tcBorders>
            <w:shd w:val="clear" w:color="auto" w:fill="auto"/>
            <w:noWrap/>
            <w:vAlign w:val="bottom"/>
            <w:hideMark/>
          </w:tcPr>
          <w:p w14:paraId="57E3038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5.48</w:t>
            </w:r>
          </w:p>
        </w:tc>
        <w:tc>
          <w:tcPr>
            <w:tcW w:w="1060" w:type="dxa"/>
            <w:vMerge/>
            <w:tcBorders>
              <w:top w:val="nil"/>
              <w:left w:val="nil"/>
              <w:bottom w:val="single" w:sz="8" w:space="0" w:color="000000"/>
              <w:right w:val="nil"/>
            </w:tcBorders>
            <w:vAlign w:val="center"/>
            <w:hideMark/>
          </w:tcPr>
          <w:p w14:paraId="3B0B664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3F5E8A0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02961236"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042BB4F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 †</w:t>
            </w:r>
          </w:p>
        </w:tc>
        <w:tc>
          <w:tcPr>
            <w:tcW w:w="1251" w:type="dxa"/>
            <w:tcBorders>
              <w:top w:val="nil"/>
              <w:left w:val="nil"/>
              <w:bottom w:val="single" w:sz="8" w:space="0" w:color="auto"/>
              <w:right w:val="nil"/>
            </w:tcBorders>
            <w:shd w:val="clear" w:color="auto" w:fill="auto"/>
            <w:noWrap/>
            <w:vAlign w:val="bottom"/>
            <w:hideMark/>
          </w:tcPr>
          <w:p w14:paraId="1BCA6CA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23.36</w:t>
            </w:r>
          </w:p>
        </w:tc>
        <w:tc>
          <w:tcPr>
            <w:tcW w:w="866" w:type="dxa"/>
            <w:tcBorders>
              <w:top w:val="nil"/>
              <w:left w:val="nil"/>
              <w:bottom w:val="single" w:sz="8" w:space="0" w:color="auto"/>
              <w:right w:val="nil"/>
            </w:tcBorders>
            <w:shd w:val="clear" w:color="auto" w:fill="auto"/>
            <w:noWrap/>
            <w:vAlign w:val="bottom"/>
            <w:hideMark/>
          </w:tcPr>
          <w:p w14:paraId="3FB7255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9.46</w:t>
            </w:r>
          </w:p>
        </w:tc>
        <w:tc>
          <w:tcPr>
            <w:tcW w:w="1128" w:type="dxa"/>
            <w:tcBorders>
              <w:top w:val="nil"/>
              <w:left w:val="nil"/>
              <w:bottom w:val="single" w:sz="8" w:space="0" w:color="auto"/>
              <w:right w:val="nil"/>
            </w:tcBorders>
            <w:shd w:val="clear" w:color="auto" w:fill="auto"/>
            <w:noWrap/>
            <w:vAlign w:val="bottom"/>
            <w:hideMark/>
          </w:tcPr>
          <w:p w14:paraId="7020A9A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27.48</w:t>
            </w:r>
          </w:p>
        </w:tc>
        <w:tc>
          <w:tcPr>
            <w:tcW w:w="1160" w:type="dxa"/>
            <w:tcBorders>
              <w:top w:val="nil"/>
              <w:left w:val="nil"/>
              <w:bottom w:val="single" w:sz="8" w:space="0" w:color="auto"/>
              <w:right w:val="nil"/>
            </w:tcBorders>
            <w:shd w:val="clear" w:color="auto" w:fill="auto"/>
            <w:noWrap/>
            <w:vAlign w:val="bottom"/>
            <w:hideMark/>
          </w:tcPr>
          <w:p w14:paraId="3018B80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9.52</w:t>
            </w:r>
          </w:p>
        </w:tc>
        <w:tc>
          <w:tcPr>
            <w:tcW w:w="1060" w:type="dxa"/>
            <w:vMerge/>
            <w:tcBorders>
              <w:top w:val="nil"/>
              <w:left w:val="nil"/>
              <w:bottom w:val="single" w:sz="8" w:space="0" w:color="000000"/>
              <w:right w:val="nil"/>
            </w:tcBorders>
            <w:vAlign w:val="center"/>
            <w:hideMark/>
          </w:tcPr>
          <w:p w14:paraId="3F59522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60B1083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771C436B" w14:textId="77777777" w:rsidTr="00437290">
        <w:trPr>
          <w:trHeight w:val="258"/>
        </w:trPr>
        <w:tc>
          <w:tcPr>
            <w:tcW w:w="1926" w:type="dxa"/>
            <w:tcBorders>
              <w:top w:val="nil"/>
              <w:left w:val="nil"/>
              <w:bottom w:val="nil"/>
              <w:right w:val="nil"/>
            </w:tcBorders>
            <w:shd w:val="clear" w:color="auto" w:fill="auto"/>
            <w:noWrap/>
            <w:vAlign w:val="bottom"/>
            <w:hideMark/>
          </w:tcPr>
          <w:p w14:paraId="5245535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Sorghum *</w:t>
            </w:r>
          </w:p>
        </w:tc>
        <w:tc>
          <w:tcPr>
            <w:tcW w:w="1251" w:type="dxa"/>
            <w:tcBorders>
              <w:top w:val="nil"/>
              <w:left w:val="nil"/>
              <w:bottom w:val="nil"/>
              <w:right w:val="nil"/>
            </w:tcBorders>
            <w:shd w:val="clear" w:color="auto" w:fill="auto"/>
            <w:noWrap/>
            <w:vAlign w:val="bottom"/>
            <w:hideMark/>
          </w:tcPr>
          <w:p w14:paraId="489C2E5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2AABA83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1661E8B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4529123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53AD87A0"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4338DA52"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5DFC15F5" w14:textId="77777777" w:rsidTr="00437290">
        <w:trPr>
          <w:trHeight w:val="258"/>
        </w:trPr>
        <w:tc>
          <w:tcPr>
            <w:tcW w:w="1926" w:type="dxa"/>
            <w:tcBorders>
              <w:top w:val="nil"/>
              <w:left w:val="nil"/>
              <w:bottom w:val="nil"/>
              <w:right w:val="nil"/>
            </w:tcBorders>
            <w:shd w:val="clear" w:color="auto" w:fill="auto"/>
            <w:noWrap/>
            <w:vAlign w:val="bottom"/>
            <w:hideMark/>
          </w:tcPr>
          <w:p w14:paraId="1253529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w:t>
            </w:r>
          </w:p>
        </w:tc>
        <w:tc>
          <w:tcPr>
            <w:tcW w:w="1251" w:type="dxa"/>
            <w:tcBorders>
              <w:top w:val="nil"/>
              <w:left w:val="nil"/>
              <w:bottom w:val="nil"/>
              <w:right w:val="nil"/>
            </w:tcBorders>
            <w:shd w:val="clear" w:color="auto" w:fill="auto"/>
            <w:noWrap/>
            <w:vAlign w:val="bottom"/>
            <w:hideMark/>
          </w:tcPr>
          <w:p w14:paraId="219421E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26.00</w:t>
            </w:r>
          </w:p>
        </w:tc>
        <w:tc>
          <w:tcPr>
            <w:tcW w:w="866" w:type="dxa"/>
            <w:tcBorders>
              <w:top w:val="nil"/>
              <w:left w:val="nil"/>
              <w:bottom w:val="nil"/>
              <w:right w:val="nil"/>
            </w:tcBorders>
            <w:shd w:val="clear" w:color="auto" w:fill="auto"/>
            <w:noWrap/>
            <w:vAlign w:val="bottom"/>
            <w:hideMark/>
          </w:tcPr>
          <w:p w14:paraId="4AE66E5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14.73</w:t>
            </w:r>
          </w:p>
        </w:tc>
        <w:tc>
          <w:tcPr>
            <w:tcW w:w="1128" w:type="dxa"/>
            <w:tcBorders>
              <w:top w:val="nil"/>
              <w:left w:val="nil"/>
              <w:bottom w:val="nil"/>
              <w:right w:val="nil"/>
            </w:tcBorders>
            <w:shd w:val="clear" w:color="auto" w:fill="auto"/>
            <w:noWrap/>
            <w:vAlign w:val="bottom"/>
            <w:hideMark/>
          </w:tcPr>
          <w:p w14:paraId="0523F95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15.74</w:t>
            </w:r>
          </w:p>
        </w:tc>
        <w:tc>
          <w:tcPr>
            <w:tcW w:w="1160" w:type="dxa"/>
            <w:tcBorders>
              <w:top w:val="nil"/>
              <w:left w:val="nil"/>
              <w:bottom w:val="nil"/>
              <w:right w:val="nil"/>
            </w:tcBorders>
            <w:shd w:val="clear" w:color="auto" w:fill="auto"/>
            <w:noWrap/>
            <w:vAlign w:val="bottom"/>
            <w:hideMark/>
          </w:tcPr>
          <w:p w14:paraId="502244F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4.36</w:t>
            </w:r>
          </w:p>
        </w:tc>
        <w:tc>
          <w:tcPr>
            <w:tcW w:w="1060" w:type="dxa"/>
            <w:vMerge w:val="restart"/>
            <w:tcBorders>
              <w:top w:val="nil"/>
              <w:left w:val="nil"/>
              <w:bottom w:val="single" w:sz="8" w:space="0" w:color="000000"/>
              <w:right w:val="nil"/>
            </w:tcBorders>
            <w:shd w:val="clear" w:color="auto" w:fill="auto"/>
            <w:noWrap/>
            <w:vAlign w:val="center"/>
            <w:hideMark/>
          </w:tcPr>
          <w:p w14:paraId="4DBDA6C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0.112</w:t>
            </w:r>
          </w:p>
        </w:tc>
        <w:tc>
          <w:tcPr>
            <w:tcW w:w="1040" w:type="dxa"/>
            <w:vMerge w:val="restart"/>
            <w:tcBorders>
              <w:top w:val="nil"/>
              <w:left w:val="nil"/>
              <w:bottom w:val="single" w:sz="8" w:space="0" w:color="000000"/>
              <w:right w:val="nil"/>
            </w:tcBorders>
            <w:shd w:val="clear" w:color="auto" w:fill="auto"/>
            <w:noWrap/>
            <w:vAlign w:val="center"/>
            <w:hideMark/>
          </w:tcPr>
          <w:p w14:paraId="7FB5013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0.233</w:t>
            </w:r>
          </w:p>
        </w:tc>
      </w:tr>
      <w:tr w:rsidR="00437290" w:rsidRPr="00F07DEB" w14:paraId="6DAE649B" w14:textId="77777777" w:rsidTr="00437290">
        <w:trPr>
          <w:trHeight w:val="258"/>
        </w:trPr>
        <w:tc>
          <w:tcPr>
            <w:tcW w:w="1926" w:type="dxa"/>
            <w:tcBorders>
              <w:top w:val="nil"/>
              <w:left w:val="nil"/>
              <w:bottom w:val="nil"/>
              <w:right w:val="nil"/>
            </w:tcBorders>
            <w:shd w:val="clear" w:color="auto" w:fill="auto"/>
            <w:noWrap/>
            <w:vAlign w:val="bottom"/>
            <w:hideMark/>
          </w:tcPr>
          <w:p w14:paraId="2AE351C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 †</w:t>
            </w:r>
          </w:p>
        </w:tc>
        <w:tc>
          <w:tcPr>
            <w:tcW w:w="1251" w:type="dxa"/>
            <w:tcBorders>
              <w:top w:val="nil"/>
              <w:left w:val="nil"/>
              <w:bottom w:val="nil"/>
              <w:right w:val="nil"/>
            </w:tcBorders>
            <w:shd w:val="clear" w:color="auto" w:fill="auto"/>
            <w:noWrap/>
            <w:vAlign w:val="bottom"/>
            <w:hideMark/>
          </w:tcPr>
          <w:p w14:paraId="6DC4860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37.13</w:t>
            </w:r>
          </w:p>
        </w:tc>
        <w:tc>
          <w:tcPr>
            <w:tcW w:w="866" w:type="dxa"/>
            <w:tcBorders>
              <w:top w:val="nil"/>
              <w:left w:val="nil"/>
              <w:bottom w:val="nil"/>
              <w:right w:val="nil"/>
            </w:tcBorders>
            <w:shd w:val="clear" w:color="auto" w:fill="auto"/>
            <w:noWrap/>
            <w:vAlign w:val="bottom"/>
            <w:hideMark/>
          </w:tcPr>
          <w:p w14:paraId="27575CE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15.37</w:t>
            </w:r>
          </w:p>
        </w:tc>
        <w:tc>
          <w:tcPr>
            <w:tcW w:w="1128" w:type="dxa"/>
            <w:tcBorders>
              <w:top w:val="nil"/>
              <w:left w:val="nil"/>
              <w:bottom w:val="nil"/>
              <w:right w:val="nil"/>
            </w:tcBorders>
            <w:shd w:val="clear" w:color="auto" w:fill="auto"/>
            <w:noWrap/>
            <w:vAlign w:val="bottom"/>
            <w:hideMark/>
          </w:tcPr>
          <w:p w14:paraId="5D936B4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25.39</w:t>
            </w:r>
          </w:p>
        </w:tc>
        <w:tc>
          <w:tcPr>
            <w:tcW w:w="1160" w:type="dxa"/>
            <w:tcBorders>
              <w:top w:val="nil"/>
              <w:left w:val="nil"/>
              <w:bottom w:val="nil"/>
              <w:right w:val="nil"/>
            </w:tcBorders>
            <w:shd w:val="clear" w:color="auto" w:fill="auto"/>
            <w:noWrap/>
            <w:vAlign w:val="bottom"/>
            <w:hideMark/>
          </w:tcPr>
          <w:p w14:paraId="7B872B1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2.22</w:t>
            </w:r>
          </w:p>
        </w:tc>
        <w:tc>
          <w:tcPr>
            <w:tcW w:w="1060" w:type="dxa"/>
            <w:vMerge/>
            <w:tcBorders>
              <w:top w:val="nil"/>
              <w:left w:val="nil"/>
              <w:bottom w:val="single" w:sz="8" w:space="0" w:color="000000"/>
              <w:right w:val="nil"/>
            </w:tcBorders>
            <w:vAlign w:val="center"/>
            <w:hideMark/>
          </w:tcPr>
          <w:p w14:paraId="0B8D7A0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4D8E786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3B9D72AE" w14:textId="77777777" w:rsidTr="00437290">
        <w:trPr>
          <w:trHeight w:val="258"/>
        </w:trPr>
        <w:tc>
          <w:tcPr>
            <w:tcW w:w="1926" w:type="dxa"/>
            <w:tcBorders>
              <w:top w:val="nil"/>
              <w:left w:val="nil"/>
              <w:bottom w:val="nil"/>
              <w:right w:val="nil"/>
            </w:tcBorders>
            <w:shd w:val="clear" w:color="auto" w:fill="auto"/>
            <w:noWrap/>
            <w:vAlign w:val="bottom"/>
            <w:hideMark/>
          </w:tcPr>
          <w:p w14:paraId="56566FF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w:t>
            </w:r>
          </w:p>
        </w:tc>
        <w:tc>
          <w:tcPr>
            <w:tcW w:w="1251" w:type="dxa"/>
            <w:tcBorders>
              <w:top w:val="nil"/>
              <w:left w:val="nil"/>
              <w:bottom w:val="nil"/>
              <w:right w:val="nil"/>
            </w:tcBorders>
            <w:shd w:val="clear" w:color="auto" w:fill="auto"/>
            <w:noWrap/>
            <w:vAlign w:val="bottom"/>
            <w:hideMark/>
          </w:tcPr>
          <w:p w14:paraId="4D113E1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13.54</w:t>
            </w:r>
          </w:p>
        </w:tc>
        <w:tc>
          <w:tcPr>
            <w:tcW w:w="866" w:type="dxa"/>
            <w:tcBorders>
              <w:top w:val="nil"/>
              <w:left w:val="nil"/>
              <w:bottom w:val="nil"/>
              <w:right w:val="nil"/>
            </w:tcBorders>
            <w:shd w:val="clear" w:color="auto" w:fill="auto"/>
            <w:noWrap/>
            <w:vAlign w:val="bottom"/>
            <w:hideMark/>
          </w:tcPr>
          <w:p w14:paraId="2988453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6.74</w:t>
            </w:r>
          </w:p>
        </w:tc>
        <w:tc>
          <w:tcPr>
            <w:tcW w:w="1128" w:type="dxa"/>
            <w:tcBorders>
              <w:top w:val="nil"/>
              <w:left w:val="nil"/>
              <w:bottom w:val="nil"/>
              <w:right w:val="nil"/>
            </w:tcBorders>
            <w:shd w:val="clear" w:color="auto" w:fill="auto"/>
            <w:noWrap/>
            <w:vAlign w:val="bottom"/>
            <w:hideMark/>
          </w:tcPr>
          <w:p w14:paraId="6BD3F35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8.71</w:t>
            </w:r>
          </w:p>
        </w:tc>
        <w:tc>
          <w:tcPr>
            <w:tcW w:w="1160" w:type="dxa"/>
            <w:tcBorders>
              <w:top w:val="nil"/>
              <w:left w:val="nil"/>
              <w:bottom w:val="nil"/>
              <w:right w:val="nil"/>
            </w:tcBorders>
            <w:shd w:val="clear" w:color="auto" w:fill="auto"/>
            <w:noWrap/>
            <w:vAlign w:val="bottom"/>
            <w:hideMark/>
          </w:tcPr>
          <w:p w14:paraId="3D2A6E4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2.64</w:t>
            </w:r>
          </w:p>
        </w:tc>
        <w:tc>
          <w:tcPr>
            <w:tcW w:w="1060" w:type="dxa"/>
            <w:vMerge/>
            <w:tcBorders>
              <w:top w:val="nil"/>
              <w:left w:val="nil"/>
              <w:bottom w:val="single" w:sz="8" w:space="0" w:color="000000"/>
              <w:right w:val="nil"/>
            </w:tcBorders>
            <w:vAlign w:val="center"/>
            <w:hideMark/>
          </w:tcPr>
          <w:p w14:paraId="1FD64DD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7B7466E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1F8FE6DA"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22455C4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 †</w:t>
            </w:r>
          </w:p>
        </w:tc>
        <w:tc>
          <w:tcPr>
            <w:tcW w:w="1251" w:type="dxa"/>
            <w:tcBorders>
              <w:top w:val="nil"/>
              <w:left w:val="nil"/>
              <w:bottom w:val="single" w:sz="8" w:space="0" w:color="auto"/>
              <w:right w:val="nil"/>
            </w:tcBorders>
            <w:shd w:val="clear" w:color="auto" w:fill="auto"/>
            <w:noWrap/>
            <w:vAlign w:val="bottom"/>
            <w:hideMark/>
          </w:tcPr>
          <w:p w14:paraId="59F2965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34.18</w:t>
            </w:r>
          </w:p>
        </w:tc>
        <w:tc>
          <w:tcPr>
            <w:tcW w:w="866" w:type="dxa"/>
            <w:tcBorders>
              <w:top w:val="nil"/>
              <w:left w:val="nil"/>
              <w:bottom w:val="single" w:sz="8" w:space="0" w:color="auto"/>
              <w:right w:val="nil"/>
            </w:tcBorders>
            <w:shd w:val="clear" w:color="auto" w:fill="auto"/>
            <w:noWrap/>
            <w:vAlign w:val="bottom"/>
            <w:hideMark/>
          </w:tcPr>
          <w:p w14:paraId="4A7E736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4.19</w:t>
            </w:r>
          </w:p>
        </w:tc>
        <w:tc>
          <w:tcPr>
            <w:tcW w:w="1128" w:type="dxa"/>
            <w:tcBorders>
              <w:top w:val="nil"/>
              <w:left w:val="nil"/>
              <w:bottom w:val="single" w:sz="8" w:space="0" w:color="auto"/>
              <w:right w:val="nil"/>
            </w:tcBorders>
            <w:shd w:val="clear" w:color="auto" w:fill="auto"/>
            <w:noWrap/>
            <w:vAlign w:val="bottom"/>
            <w:hideMark/>
          </w:tcPr>
          <w:p w14:paraId="701F050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30.19</w:t>
            </w:r>
          </w:p>
        </w:tc>
        <w:tc>
          <w:tcPr>
            <w:tcW w:w="1160" w:type="dxa"/>
            <w:tcBorders>
              <w:top w:val="nil"/>
              <w:left w:val="nil"/>
              <w:bottom w:val="single" w:sz="8" w:space="0" w:color="auto"/>
              <w:right w:val="nil"/>
            </w:tcBorders>
            <w:shd w:val="clear" w:color="auto" w:fill="auto"/>
            <w:noWrap/>
            <w:vAlign w:val="bottom"/>
            <w:hideMark/>
          </w:tcPr>
          <w:p w14:paraId="71117F2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5.45</w:t>
            </w:r>
          </w:p>
        </w:tc>
        <w:tc>
          <w:tcPr>
            <w:tcW w:w="1060" w:type="dxa"/>
            <w:vMerge/>
            <w:tcBorders>
              <w:top w:val="nil"/>
              <w:left w:val="nil"/>
              <w:bottom w:val="single" w:sz="8" w:space="0" w:color="000000"/>
              <w:right w:val="nil"/>
            </w:tcBorders>
            <w:vAlign w:val="center"/>
            <w:hideMark/>
          </w:tcPr>
          <w:p w14:paraId="4747639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18C3834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0E767DA6" w14:textId="77777777" w:rsidTr="00437290">
        <w:trPr>
          <w:trHeight w:val="258"/>
        </w:trPr>
        <w:tc>
          <w:tcPr>
            <w:tcW w:w="1926" w:type="dxa"/>
            <w:tcBorders>
              <w:top w:val="nil"/>
              <w:left w:val="nil"/>
              <w:bottom w:val="nil"/>
              <w:right w:val="nil"/>
            </w:tcBorders>
            <w:shd w:val="clear" w:color="auto" w:fill="auto"/>
            <w:noWrap/>
            <w:vAlign w:val="bottom"/>
            <w:hideMark/>
          </w:tcPr>
          <w:p w14:paraId="6E980B8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Bermuda grass</w:t>
            </w:r>
          </w:p>
        </w:tc>
        <w:tc>
          <w:tcPr>
            <w:tcW w:w="1251" w:type="dxa"/>
            <w:tcBorders>
              <w:top w:val="nil"/>
              <w:left w:val="nil"/>
              <w:bottom w:val="nil"/>
              <w:right w:val="nil"/>
            </w:tcBorders>
            <w:shd w:val="clear" w:color="auto" w:fill="auto"/>
            <w:noWrap/>
            <w:vAlign w:val="bottom"/>
            <w:hideMark/>
          </w:tcPr>
          <w:p w14:paraId="59FF9ED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3E7EC706"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20A60E3E"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1D7D2AEE"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65E4AE19"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10F7D36C"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22A26A70" w14:textId="77777777" w:rsidTr="00437290">
        <w:trPr>
          <w:trHeight w:val="258"/>
        </w:trPr>
        <w:tc>
          <w:tcPr>
            <w:tcW w:w="1926" w:type="dxa"/>
            <w:tcBorders>
              <w:top w:val="nil"/>
              <w:left w:val="nil"/>
              <w:bottom w:val="nil"/>
              <w:right w:val="nil"/>
            </w:tcBorders>
            <w:shd w:val="clear" w:color="auto" w:fill="auto"/>
            <w:noWrap/>
            <w:vAlign w:val="bottom"/>
            <w:hideMark/>
          </w:tcPr>
          <w:p w14:paraId="72BF119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Grass1 †</w:t>
            </w:r>
          </w:p>
        </w:tc>
        <w:tc>
          <w:tcPr>
            <w:tcW w:w="1251" w:type="dxa"/>
            <w:tcBorders>
              <w:top w:val="nil"/>
              <w:left w:val="nil"/>
              <w:bottom w:val="nil"/>
              <w:right w:val="nil"/>
            </w:tcBorders>
            <w:shd w:val="clear" w:color="auto" w:fill="auto"/>
            <w:noWrap/>
            <w:vAlign w:val="bottom"/>
            <w:hideMark/>
          </w:tcPr>
          <w:p w14:paraId="2713726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49.06</w:t>
            </w:r>
          </w:p>
        </w:tc>
        <w:tc>
          <w:tcPr>
            <w:tcW w:w="866" w:type="dxa"/>
            <w:tcBorders>
              <w:top w:val="nil"/>
              <w:left w:val="nil"/>
              <w:bottom w:val="nil"/>
              <w:right w:val="nil"/>
            </w:tcBorders>
            <w:shd w:val="clear" w:color="auto" w:fill="auto"/>
            <w:noWrap/>
            <w:vAlign w:val="bottom"/>
            <w:hideMark/>
          </w:tcPr>
          <w:p w14:paraId="3017AB8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25.14</w:t>
            </w:r>
          </w:p>
        </w:tc>
        <w:tc>
          <w:tcPr>
            <w:tcW w:w="1128" w:type="dxa"/>
            <w:tcBorders>
              <w:top w:val="nil"/>
              <w:left w:val="nil"/>
              <w:bottom w:val="nil"/>
              <w:right w:val="nil"/>
            </w:tcBorders>
            <w:shd w:val="clear" w:color="auto" w:fill="auto"/>
            <w:noWrap/>
            <w:vAlign w:val="bottom"/>
            <w:hideMark/>
          </w:tcPr>
          <w:p w14:paraId="171B83E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76.84</w:t>
            </w:r>
          </w:p>
        </w:tc>
        <w:tc>
          <w:tcPr>
            <w:tcW w:w="1160" w:type="dxa"/>
            <w:tcBorders>
              <w:top w:val="nil"/>
              <w:left w:val="nil"/>
              <w:bottom w:val="nil"/>
              <w:right w:val="nil"/>
            </w:tcBorders>
            <w:shd w:val="clear" w:color="auto" w:fill="auto"/>
            <w:noWrap/>
            <w:vAlign w:val="bottom"/>
            <w:hideMark/>
          </w:tcPr>
          <w:p w14:paraId="159F069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19.52</w:t>
            </w:r>
          </w:p>
        </w:tc>
        <w:tc>
          <w:tcPr>
            <w:tcW w:w="1060" w:type="dxa"/>
            <w:vMerge w:val="restart"/>
            <w:tcBorders>
              <w:top w:val="nil"/>
              <w:left w:val="nil"/>
              <w:bottom w:val="single" w:sz="8" w:space="0" w:color="000000"/>
              <w:right w:val="nil"/>
            </w:tcBorders>
            <w:shd w:val="clear" w:color="auto" w:fill="auto"/>
            <w:noWrap/>
            <w:vAlign w:val="center"/>
            <w:hideMark/>
          </w:tcPr>
          <w:p w14:paraId="10CB822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0.059</w:t>
            </w:r>
          </w:p>
        </w:tc>
        <w:tc>
          <w:tcPr>
            <w:tcW w:w="1040" w:type="dxa"/>
            <w:vMerge w:val="restart"/>
            <w:tcBorders>
              <w:top w:val="nil"/>
              <w:left w:val="nil"/>
              <w:bottom w:val="single" w:sz="8" w:space="0" w:color="000000"/>
              <w:right w:val="nil"/>
            </w:tcBorders>
            <w:shd w:val="clear" w:color="auto" w:fill="auto"/>
            <w:noWrap/>
            <w:vAlign w:val="center"/>
            <w:hideMark/>
          </w:tcPr>
          <w:p w14:paraId="6A4CE2B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0.311</w:t>
            </w:r>
          </w:p>
        </w:tc>
      </w:tr>
      <w:tr w:rsidR="00437290" w:rsidRPr="00F07DEB" w14:paraId="7AEDB6B3" w14:textId="77777777" w:rsidTr="00437290">
        <w:trPr>
          <w:trHeight w:val="258"/>
        </w:trPr>
        <w:tc>
          <w:tcPr>
            <w:tcW w:w="1926" w:type="dxa"/>
            <w:tcBorders>
              <w:top w:val="nil"/>
              <w:left w:val="nil"/>
              <w:bottom w:val="nil"/>
              <w:right w:val="nil"/>
            </w:tcBorders>
            <w:shd w:val="clear" w:color="auto" w:fill="auto"/>
            <w:noWrap/>
            <w:vAlign w:val="bottom"/>
            <w:hideMark/>
          </w:tcPr>
          <w:p w14:paraId="4BDA0A0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Grass2 †</w:t>
            </w:r>
          </w:p>
        </w:tc>
        <w:tc>
          <w:tcPr>
            <w:tcW w:w="1251" w:type="dxa"/>
            <w:tcBorders>
              <w:top w:val="nil"/>
              <w:left w:val="nil"/>
              <w:bottom w:val="nil"/>
              <w:right w:val="nil"/>
            </w:tcBorders>
            <w:shd w:val="clear" w:color="auto" w:fill="auto"/>
            <w:noWrap/>
            <w:vAlign w:val="bottom"/>
            <w:hideMark/>
          </w:tcPr>
          <w:p w14:paraId="06BE8E8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44.18</w:t>
            </w:r>
          </w:p>
        </w:tc>
        <w:tc>
          <w:tcPr>
            <w:tcW w:w="866" w:type="dxa"/>
            <w:tcBorders>
              <w:top w:val="nil"/>
              <w:left w:val="nil"/>
              <w:bottom w:val="nil"/>
              <w:right w:val="nil"/>
            </w:tcBorders>
            <w:shd w:val="clear" w:color="auto" w:fill="auto"/>
            <w:noWrap/>
            <w:vAlign w:val="bottom"/>
            <w:hideMark/>
          </w:tcPr>
          <w:p w14:paraId="576D789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22.93</w:t>
            </w:r>
          </w:p>
        </w:tc>
        <w:tc>
          <w:tcPr>
            <w:tcW w:w="1128" w:type="dxa"/>
            <w:tcBorders>
              <w:top w:val="nil"/>
              <w:left w:val="nil"/>
              <w:bottom w:val="nil"/>
              <w:right w:val="nil"/>
            </w:tcBorders>
            <w:shd w:val="clear" w:color="auto" w:fill="auto"/>
            <w:noWrap/>
            <w:vAlign w:val="bottom"/>
            <w:hideMark/>
          </w:tcPr>
          <w:p w14:paraId="1DB7827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73.63</w:t>
            </w:r>
          </w:p>
        </w:tc>
        <w:tc>
          <w:tcPr>
            <w:tcW w:w="1160" w:type="dxa"/>
            <w:tcBorders>
              <w:top w:val="nil"/>
              <w:left w:val="nil"/>
              <w:bottom w:val="nil"/>
              <w:right w:val="nil"/>
            </w:tcBorders>
            <w:shd w:val="clear" w:color="auto" w:fill="auto"/>
            <w:noWrap/>
            <w:vAlign w:val="bottom"/>
            <w:hideMark/>
          </w:tcPr>
          <w:p w14:paraId="2414A14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26.75</w:t>
            </w:r>
          </w:p>
        </w:tc>
        <w:tc>
          <w:tcPr>
            <w:tcW w:w="1060" w:type="dxa"/>
            <w:vMerge/>
            <w:tcBorders>
              <w:top w:val="nil"/>
              <w:left w:val="nil"/>
              <w:bottom w:val="single" w:sz="8" w:space="0" w:color="000000"/>
              <w:right w:val="nil"/>
            </w:tcBorders>
            <w:vAlign w:val="center"/>
            <w:hideMark/>
          </w:tcPr>
          <w:p w14:paraId="467C651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2D3F92C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25AEAB2A"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0C86E0E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 †</w:t>
            </w:r>
          </w:p>
        </w:tc>
        <w:tc>
          <w:tcPr>
            <w:tcW w:w="1251" w:type="dxa"/>
            <w:tcBorders>
              <w:top w:val="nil"/>
              <w:left w:val="nil"/>
              <w:bottom w:val="single" w:sz="8" w:space="0" w:color="auto"/>
              <w:right w:val="nil"/>
            </w:tcBorders>
            <w:shd w:val="clear" w:color="auto" w:fill="auto"/>
            <w:noWrap/>
            <w:vAlign w:val="bottom"/>
            <w:hideMark/>
          </w:tcPr>
          <w:p w14:paraId="2D6E926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49.70</w:t>
            </w:r>
          </w:p>
        </w:tc>
        <w:tc>
          <w:tcPr>
            <w:tcW w:w="866" w:type="dxa"/>
            <w:tcBorders>
              <w:top w:val="nil"/>
              <w:left w:val="nil"/>
              <w:bottom w:val="single" w:sz="8" w:space="0" w:color="auto"/>
              <w:right w:val="nil"/>
            </w:tcBorders>
            <w:shd w:val="clear" w:color="auto" w:fill="auto"/>
            <w:noWrap/>
            <w:vAlign w:val="bottom"/>
            <w:hideMark/>
          </w:tcPr>
          <w:p w14:paraId="05F236E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19.93</w:t>
            </w:r>
          </w:p>
        </w:tc>
        <w:tc>
          <w:tcPr>
            <w:tcW w:w="1128" w:type="dxa"/>
            <w:tcBorders>
              <w:top w:val="nil"/>
              <w:left w:val="nil"/>
              <w:bottom w:val="single" w:sz="8" w:space="0" w:color="auto"/>
              <w:right w:val="nil"/>
            </w:tcBorders>
            <w:shd w:val="clear" w:color="auto" w:fill="auto"/>
            <w:noWrap/>
            <w:vAlign w:val="bottom"/>
            <w:hideMark/>
          </w:tcPr>
          <w:p w14:paraId="3831277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63.01</w:t>
            </w:r>
          </w:p>
        </w:tc>
        <w:tc>
          <w:tcPr>
            <w:tcW w:w="1160" w:type="dxa"/>
            <w:tcBorders>
              <w:top w:val="nil"/>
              <w:left w:val="nil"/>
              <w:bottom w:val="single" w:sz="8" w:space="0" w:color="auto"/>
              <w:right w:val="nil"/>
            </w:tcBorders>
            <w:shd w:val="clear" w:color="auto" w:fill="auto"/>
            <w:noWrap/>
            <w:vAlign w:val="bottom"/>
            <w:hideMark/>
          </w:tcPr>
          <w:p w14:paraId="50C2E6A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12.07</w:t>
            </w:r>
          </w:p>
        </w:tc>
        <w:tc>
          <w:tcPr>
            <w:tcW w:w="1060" w:type="dxa"/>
            <w:vMerge/>
            <w:tcBorders>
              <w:top w:val="nil"/>
              <w:left w:val="nil"/>
              <w:bottom w:val="single" w:sz="8" w:space="0" w:color="000000"/>
              <w:right w:val="nil"/>
            </w:tcBorders>
            <w:vAlign w:val="center"/>
            <w:hideMark/>
          </w:tcPr>
          <w:p w14:paraId="60167A6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5962283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2BDA4626" w14:textId="77777777" w:rsidTr="00437290">
        <w:trPr>
          <w:trHeight w:val="258"/>
        </w:trPr>
        <w:tc>
          <w:tcPr>
            <w:tcW w:w="1926" w:type="dxa"/>
            <w:tcBorders>
              <w:top w:val="nil"/>
              <w:left w:val="nil"/>
              <w:bottom w:val="nil"/>
              <w:right w:val="nil"/>
            </w:tcBorders>
            <w:shd w:val="clear" w:color="auto" w:fill="auto"/>
            <w:noWrap/>
            <w:vAlign w:val="bottom"/>
            <w:hideMark/>
          </w:tcPr>
          <w:p w14:paraId="38E93F8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251" w:type="dxa"/>
            <w:tcBorders>
              <w:top w:val="nil"/>
              <w:left w:val="nil"/>
              <w:bottom w:val="nil"/>
              <w:right w:val="nil"/>
            </w:tcBorders>
            <w:shd w:val="clear" w:color="auto" w:fill="auto"/>
            <w:noWrap/>
            <w:vAlign w:val="bottom"/>
            <w:hideMark/>
          </w:tcPr>
          <w:p w14:paraId="6736ECA4"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866" w:type="dxa"/>
            <w:tcBorders>
              <w:top w:val="nil"/>
              <w:left w:val="nil"/>
              <w:bottom w:val="nil"/>
              <w:right w:val="nil"/>
            </w:tcBorders>
            <w:shd w:val="clear" w:color="auto" w:fill="auto"/>
            <w:noWrap/>
            <w:vAlign w:val="bottom"/>
            <w:hideMark/>
          </w:tcPr>
          <w:p w14:paraId="41213E2C"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335AFBB9"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4477A499"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3CF26ADB"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3AFA3544"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3F4DE78C" w14:textId="77777777" w:rsidTr="00437290">
        <w:trPr>
          <w:trHeight w:val="258"/>
        </w:trPr>
        <w:tc>
          <w:tcPr>
            <w:tcW w:w="1926" w:type="dxa"/>
            <w:tcBorders>
              <w:top w:val="nil"/>
              <w:left w:val="nil"/>
              <w:bottom w:val="nil"/>
              <w:right w:val="nil"/>
            </w:tcBorders>
            <w:shd w:val="clear" w:color="auto" w:fill="auto"/>
            <w:noWrap/>
            <w:vAlign w:val="bottom"/>
            <w:hideMark/>
          </w:tcPr>
          <w:p w14:paraId="6FC1EE7A"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251" w:type="dxa"/>
            <w:tcBorders>
              <w:top w:val="nil"/>
              <w:left w:val="nil"/>
              <w:bottom w:val="nil"/>
              <w:right w:val="nil"/>
            </w:tcBorders>
            <w:shd w:val="clear" w:color="auto" w:fill="auto"/>
            <w:noWrap/>
            <w:vAlign w:val="bottom"/>
            <w:hideMark/>
          </w:tcPr>
          <w:p w14:paraId="7DE6B3E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866" w:type="dxa"/>
            <w:tcBorders>
              <w:top w:val="nil"/>
              <w:left w:val="nil"/>
              <w:bottom w:val="nil"/>
              <w:right w:val="nil"/>
            </w:tcBorders>
            <w:shd w:val="clear" w:color="auto" w:fill="auto"/>
            <w:noWrap/>
            <w:vAlign w:val="bottom"/>
            <w:hideMark/>
          </w:tcPr>
          <w:p w14:paraId="168FBECB"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2397358F"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7AEE712F"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287907CB"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462CC9FE"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4281500C" w14:textId="77777777" w:rsidTr="00437290">
        <w:trPr>
          <w:trHeight w:val="258"/>
        </w:trPr>
        <w:tc>
          <w:tcPr>
            <w:tcW w:w="1926" w:type="dxa"/>
            <w:tcBorders>
              <w:top w:val="nil"/>
              <w:left w:val="nil"/>
              <w:bottom w:val="nil"/>
              <w:right w:val="nil"/>
            </w:tcBorders>
            <w:shd w:val="clear" w:color="auto" w:fill="auto"/>
            <w:noWrap/>
            <w:vAlign w:val="bottom"/>
            <w:hideMark/>
          </w:tcPr>
          <w:p w14:paraId="36E0705F"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251" w:type="dxa"/>
            <w:tcBorders>
              <w:top w:val="nil"/>
              <w:left w:val="nil"/>
              <w:bottom w:val="nil"/>
              <w:right w:val="nil"/>
            </w:tcBorders>
            <w:shd w:val="clear" w:color="auto" w:fill="auto"/>
            <w:noWrap/>
            <w:vAlign w:val="bottom"/>
            <w:hideMark/>
          </w:tcPr>
          <w:p w14:paraId="5B43ABA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866" w:type="dxa"/>
            <w:tcBorders>
              <w:top w:val="nil"/>
              <w:left w:val="nil"/>
              <w:bottom w:val="nil"/>
              <w:right w:val="nil"/>
            </w:tcBorders>
            <w:shd w:val="clear" w:color="auto" w:fill="auto"/>
            <w:noWrap/>
            <w:vAlign w:val="bottom"/>
            <w:hideMark/>
          </w:tcPr>
          <w:p w14:paraId="4E1DEA68"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6CB67A76"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2F84E32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180BF4D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1DBBA3A2"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933477" w:rsidRPr="00F07DEB" w14:paraId="43FA72BE" w14:textId="77777777" w:rsidTr="00E01717">
        <w:trPr>
          <w:trHeight w:val="266"/>
        </w:trPr>
        <w:tc>
          <w:tcPr>
            <w:tcW w:w="8431" w:type="dxa"/>
            <w:gridSpan w:val="7"/>
            <w:tcBorders>
              <w:top w:val="nil"/>
              <w:left w:val="nil"/>
              <w:bottom w:val="single" w:sz="8" w:space="0" w:color="auto"/>
              <w:right w:val="nil"/>
            </w:tcBorders>
            <w:shd w:val="clear" w:color="auto" w:fill="auto"/>
            <w:noWrap/>
            <w:vAlign w:val="bottom"/>
            <w:hideMark/>
          </w:tcPr>
          <w:p w14:paraId="4310991A" w14:textId="7A94AE8B" w:rsidR="00933477" w:rsidRPr="00933477" w:rsidRDefault="00933477" w:rsidP="00933477">
            <w:pPr>
              <w:spacing w:after="0" w:line="240" w:lineRule="auto"/>
              <w:jc w:val="center"/>
              <w:rPr>
                <w:rFonts w:ascii="Times New Roman" w:eastAsia="Times New Roman" w:hAnsi="Times New Roman" w:cs="Times New Roman"/>
                <w:b/>
                <w:color w:val="000000"/>
                <w:sz w:val="20"/>
                <w:szCs w:val="20"/>
                <w:lang w:eastAsia="en-US"/>
              </w:rPr>
            </w:pPr>
            <w:r>
              <w:rPr>
                <w:rFonts w:ascii="Times New Roman" w:eastAsia="Times New Roman" w:hAnsi="Times New Roman" w:cs="Times New Roman"/>
                <w:b/>
                <w:color w:val="000000"/>
                <w:sz w:val="20"/>
                <w:szCs w:val="20"/>
                <w:lang w:eastAsia="en-US"/>
              </w:rPr>
              <w:t>Table</w:t>
            </w:r>
            <w:r w:rsidRPr="00933477">
              <w:rPr>
                <w:rFonts w:ascii="Times New Roman" w:eastAsia="Times New Roman" w:hAnsi="Times New Roman" w:cs="Times New Roman"/>
                <w:b/>
                <w:color w:val="000000"/>
                <w:sz w:val="20"/>
                <w:szCs w:val="20"/>
                <w:lang w:eastAsia="en-US"/>
              </w:rPr>
              <w:t xml:space="preserve"> C</w:t>
            </w:r>
            <w:r>
              <w:rPr>
                <w:rFonts w:ascii="Times New Roman" w:eastAsia="Times New Roman" w:hAnsi="Times New Roman" w:cs="Times New Roman"/>
                <w:b/>
                <w:color w:val="000000"/>
                <w:sz w:val="20"/>
                <w:szCs w:val="20"/>
                <w:lang w:eastAsia="en-US"/>
              </w:rPr>
              <w:t>.</w:t>
            </w:r>
            <w:r w:rsidR="00337893">
              <w:rPr>
                <w:rFonts w:ascii="Times New Roman" w:eastAsia="Times New Roman" w:hAnsi="Times New Roman" w:cs="Times New Roman"/>
                <w:b/>
                <w:color w:val="000000"/>
                <w:sz w:val="20"/>
                <w:szCs w:val="20"/>
                <w:lang w:eastAsia="en-US"/>
              </w:rPr>
              <w:t>4</w:t>
            </w:r>
            <w:r w:rsidRPr="00933477">
              <w:rPr>
                <w:rFonts w:ascii="Times New Roman" w:eastAsia="Times New Roman" w:hAnsi="Times New Roman" w:cs="Times New Roman"/>
                <w:b/>
                <w:color w:val="000000"/>
                <w:sz w:val="20"/>
                <w:szCs w:val="20"/>
                <w:lang w:eastAsia="en-US"/>
              </w:rPr>
              <w:t>: Ni concentrations in plant biomass in mg/kg</w:t>
            </w:r>
          </w:p>
          <w:p w14:paraId="0C58C140" w14:textId="42DE8B2A" w:rsidR="00933477" w:rsidRPr="00F07DEB" w:rsidRDefault="00933477"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w:t>
            </w:r>
          </w:p>
        </w:tc>
      </w:tr>
      <w:tr w:rsidR="00437290" w:rsidRPr="00F07DEB" w14:paraId="7D81DF50" w14:textId="77777777" w:rsidTr="00437290">
        <w:trPr>
          <w:trHeight w:val="258"/>
        </w:trPr>
        <w:tc>
          <w:tcPr>
            <w:tcW w:w="1926" w:type="dxa"/>
            <w:tcBorders>
              <w:top w:val="nil"/>
              <w:left w:val="nil"/>
              <w:bottom w:val="nil"/>
              <w:right w:val="nil"/>
            </w:tcBorders>
            <w:shd w:val="clear" w:color="auto" w:fill="auto"/>
            <w:noWrap/>
            <w:vAlign w:val="bottom"/>
            <w:hideMark/>
          </w:tcPr>
          <w:p w14:paraId="7A10A93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4405" w:type="dxa"/>
            <w:gridSpan w:val="4"/>
            <w:tcBorders>
              <w:top w:val="nil"/>
              <w:left w:val="nil"/>
              <w:bottom w:val="nil"/>
              <w:right w:val="nil"/>
            </w:tcBorders>
            <w:shd w:val="clear" w:color="auto" w:fill="auto"/>
            <w:noWrap/>
            <w:vAlign w:val="bottom"/>
            <w:hideMark/>
          </w:tcPr>
          <w:p w14:paraId="6C391DD7"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Treatment</w:t>
            </w:r>
          </w:p>
        </w:tc>
        <w:tc>
          <w:tcPr>
            <w:tcW w:w="1060" w:type="dxa"/>
            <w:tcBorders>
              <w:top w:val="nil"/>
              <w:left w:val="nil"/>
              <w:bottom w:val="nil"/>
              <w:right w:val="nil"/>
            </w:tcBorders>
            <w:shd w:val="clear" w:color="auto" w:fill="auto"/>
            <w:noWrap/>
            <w:vAlign w:val="bottom"/>
            <w:hideMark/>
          </w:tcPr>
          <w:p w14:paraId="663AA00A"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p>
        </w:tc>
        <w:tc>
          <w:tcPr>
            <w:tcW w:w="1040" w:type="dxa"/>
            <w:tcBorders>
              <w:top w:val="nil"/>
              <w:left w:val="nil"/>
              <w:bottom w:val="nil"/>
              <w:right w:val="nil"/>
            </w:tcBorders>
            <w:shd w:val="clear" w:color="auto" w:fill="auto"/>
            <w:noWrap/>
            <w:vAlign w:val="bottom"/>
            <w:hideMark/>
          </w:tcPr>
          <w:p w14:paraId="721A7ED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248414F1" w14:textId="77777777" w:rsidTr="00437290">
        <w:trPr>
          <w:trHeight w:val="266"/>
        </w:trPr>
        <w:tc>
          <w:tcPr>
            <w:tcW w:w="1926" w:type="dxa"/>
            <w:tcBorders>
              <w:top w:val="nil"/>
              <w:left w:val="nil"/>
              <w:bottom w:val="nil"/>
              <w:right w:val="nil"/>
            </w:tcBorders>
            <w:shd w:val="clear" w:color="auto" w:fill="auto"/>
            <w:noWrap/>
            <w:vAlign w:val="bottom"/>
            <w:hideMark/>
          </w:tcPr>
          <w:p w14:paraId="7A610A27"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2117" w:type="dxa"/>
            <w:gridSpan w:val="2"/>
            <w:tcBorders>
              <w:top w:val="nil"/>
              <w:left w:val="nil"/>
              <w:bottom w:val="single" w:sz="8" w:space="0" w:color="auto"/>
              <w:right w:val="nil"/>
            </w:tcBorders>
            <w:shd w:val="clear" w:color="auto" w:fill="auto"/>
            <w:noWrap/>
            <w:vAlign w:val="bottom"/>
            <w:hideMark/>
          </w:tcPr>
          <w:p w14:paraId="77CF7160"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Groundwater</w:t>
            </w:r>
          </w:p>
        </w:tc>
        <w:tc>
          <w:tcPr>
            <w:tcW w:w="2288" w:type="dxa"/>
            <w:gridSpan w:val="2"/>
            <w:tcBorders>
              <w:top w:val="nil"/>
              <w:left w:val="nil"/>
              <w:bottom w:val="single" w:sz="8" w:space="0" w:color="auto"/>
              <w:right w:val="nil"/>
            </w:tcBorders>
            <w:shd w:val="clear" w:color="auto" w:fill="auto"/>
            <w:noWrap/>
            <w:vAlign w:val="bottom"/>
            <w:hideMark/>
          </w:tcPr>
          <w:p w14:paraId="6C3D6FC6"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Mine water</w:t>
            </w:r>
          </w:p>
        </w:tc>
        <w:tc>
          <w:tcPr>
            <w:tcW w:w="1060" w:type="dxa"/>
            <w:tcBorders>
              <w:top w:val="nil"/>
              <w:left w:val="nil"/>
              <w:bottom w:val="nil"/>
              <w:right w:val="nil"/>
            </w:tcBorders>
            <w:shd w:val="clear" w:color="auto" w:fill="auto"/>
            <w:noWrap/>
            <w:vAlign w:val="bottom"/>
            <w:hideMark/>
          </w:tcPr>
          <w:p w14:paraId="0BF60189"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p>
        </w:tc>
        <w:tc>
          <w:tcPr>
            <w:tcW w:w="1040" w:type="dxa"/>
            <w:vMerge w:val="restart"/>
            <w:tcBorders>
              <w:top w:val="nil"/>
              <w:left w:val="nil"/>
              <w:bottom w:val="single" w:sz="8" w:space="0" w:color="000000"/>
              <w:right w:val="nil"/>
            </w:tcBorders>
            <w:shd w:val="clear" w:color="auto" w:fill="auto"/>
            <w:vAlign w:val="bottom"/>
            <w:hideMark/>
          </w:tcPr>
          <w:p w14:paraId="77A588F5" w14:textId="3782CD49" w:rsidR="00437290" w:rsidRPr="00F07DEB" w:rsidRDefault="0006673C"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r>
      <w:tr w:rsidR="00437290" w:rsidRPr="00F07DEB" w14:paraId="4119021D"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7A2437C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Structure</w:t>
            </w:r>
          </w:p>
        </w:tc>
        <w:tc>
          <w:tcPr>
            <w:tcW w:w="1251" w:type="dxa"/>
            <w:tcBorders>
              <w:top w:val="nil"/>
              <w:left w:val="nil"/>
              <w:bottom w:val="single" w:sz="8" w:space="0" w:color="auto"/>
              <w:right w:val="nil"/>
            </w:tcBorders>
            <w:shd w:val="clear" w:color="auto" w:fill="auto"/>
            <w:noWrap/>
            <w:vAlign w:val="bottom"/>
            <w:hideMark/>
          </w:tcPr>
          <w:p w14:paraId="5A7D4335"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866" w:type="dxa"/>
            <w:tcBorders>
              <w:top w:val="nil"/>
              <w:left w:val="nil"/>
              <w:bottom w:val="single" w:sz="8" w:space="0" w:color="auto"/>
              <w:right w:val="nil"/>
            </w:tcBorders>
            <w:shd w:val="clear" w:color="auto" w:fill="auto"/>
            <w:noWrap/>
            <w:vAlign w:val="bottom"/>
            <w:hideMark/>
          </w:tcPr>
          <w:p w14:paraId="128827CA"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1128" w:type="dxa"/>
            <w:tcBorders>
              <w:top w:val="nil"/>
              <w:left w:val="nil"/>
              <w:bottom w:val="single" w:sz="8" w:space="0" w:color="auto"/>
              <w:right w:val="nil"/>
            </w:tcBorders>
            <w:shd w:val="clear" w:color="auto" w:fill="auto"/>
            <w:noWrap/>
            <w:vAlign w:val="bottom"/>
            <w:hideMark/>
          </w:tcPr>
          <w:p w14:paraId="0C6B3A91"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1160" w:type="dxa"/>
            <w:tcBorders>
              <w:top w:val="nil"/>
              <w:left w:val="nil"/>
              <w:bottom w:val="single" w:sz="8" w:space="0" w:color="auto"/>
              <w:right w:val="nil"/>
            </w:tcBorders>
            <w:shd w:val="clear" w:color="auto" w:fill="auto"/>
            <w:noWrap/>
            <w:vAlign w:val="bottom"/>
            <w:hideMark/>
          </w:tcPr>
          <w:p w14:paraId="08B27969"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1060" w:type="dxa"/>
            <w:tcBorders>
              <w:top w:val="nil"/>
              <w:left w:val="nil"/>
              <w:bottom w:val="single" w:sz="8" w:space="0" w:color="auto"/>
              <w:right w:val="nil"/>
            </w:tcBorders>
            <w:shd w:val="clear" w:color="auto" w:fill="auto"/>
            <w:noWrap/>
            <w:vAlign w:val="bottom"/>
            <w:hideMark/>
          </w:tcPr>
          <w:p w14:paraId="41E8757B" w14:textId="77777777" w:rsidR="00437290" w:rsidRPr="00F07DEB" w:rsidRDefault="00437290" w:rsidP="00437290">
            <w:pPr>
              <w:spacing w:after="0" w:line="240" w:lineRule="auto"/>
              <w:jc w:val="center"/>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040" w:type="dxa"/>
            <w:vMerge/>
            <w:tcBorders>
              <w:top w:val="nil"/>
              <w:left w:val="nil"/>
              <w:bottom w:val="single" w:sz="8" w:space="0" w:color="000000"/>
              <w:right w:val="nil"/>
            </w:tcBorders>
            <w:vAlign w:val="center"/>
            <w:hideMark/>
          </w:tcPr>
          <w:p w14:paraId="0DEFBC5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5E9957D6" w14:textId="77777777" w:rsidTr="00437290">
        <w:trPr>
          <w:trHeight w:val="258"/>
        </w:trPr>
        <w:tc>
          <w:tcPr>
            <w:tcW w:w="1926" w:type="dxa"/>
            <w:tcBorders>
              <w:top w:val="nil"/>
              <w:left w:val="nil"/>
              <w:bottom w:val="nil"/>
              <w:right w:val="nil"/>
            </w:tcBorders>
            <w:shd w:val="clear" w:color="auto" w:fill="auto"/>
            <w:noWrap/>
            <w:vAlign w:val="bottom"/>
            <w:hideMark/>
          </w:tcPr>
          <w:p w14:paraId="7772E85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Corn *</w:t>
            </w:r>
          </w:p>
        </w:tc>
        <w:tc>
          <w:tcPr>
            <w:tcW w:w="1251" w:type="dxa"/>
            <w:tcBorders>
              <w:top w:val="nil"/>
              <w:left w:val="nil"/>
              <w:bottom w:val="nil"/>
              <w:right w:val="nil"/>
            </w:tcBorders>
            <w:shd w:val="clear" w:color="auto" w:fill="auto"/>
            <w:noWrap/>
            <w:vAlign w:val="bottom"/>
            <w:hideMark/>
          </w:tcPr>
          <w:p w14:paraId="0E47B78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7058AE27"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151DEE87"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38547B4C"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1C0AECA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6A26690F"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4A717A06" w14:textId="77777777" w:rsidTr="00437290">
        <w:trPr>
          <w:trHeight w:val="258"/>
        </w:trPr>
        <w:tc>
          <w:tcPr>
            <w:tcW w:w="1926" w:type="dxa"/>
            <w:tcBorders>
              <w:top w:val="nil"/>
              <w:left w:val="nil"/>
              <w:bottom w:val="nil"/>
              <w:right w:val="nil"/>
            </w:tcBorders>
            <w:shd w:val="clear" w:color="auto" w:fill="auto"/>
            <w:noWrap/>
            <w:vAlign w:val="bottom"/>
            <w:hideMark/>
          </w:tcPr>
          <w:p w14:paraId="3BCBA27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 †‡</w:t>
            </w:r>
          </w:p>
        </w:tc>
        <w:tc>
          <w:tcPr>
            <w:tcW w:w="1251" w:type="dxa"/>
            <w:tcBorders>
              <w:top w:val="nil"/>
              <w:left w:val="nil"/>
              <w:bottom w:val="nil"/>
              <w:right w:val="nil"/>
            </w:tcBorders>
            <w:shd w:val="clear" w:color="auto" w:fill="auto"/>
            <w:noWrap/>
            <w:vAlign w:val="bottom"/>
            <w:hideMark/>
          </w:tcPr>
          <w:p w14:paraId="0E2423B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1.465</w:t>
            </w:r>
          </w:p>
        </w:tc>
        <w:tc>
          <w:tcPr>
            <w:tcW w:w="866" w:type="dxa"/>
            <w:tcBorders>
              <w:top w:val="nil"/>
              <w:left w:val="nil"/>
              <w:bottom w:val="nil"/>
              <w:right w:val="nil"/>
            </w:tcBorders>
            <w:shd w:val="clear" w:color="auto" w:fill="auto"/>
            <w:noWrap/>
            <w:vAlign w:val="bottom"/>
            <w:hideMark/>
          </w:tcPr>
          <w:p w14:paraId="1B7A183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1.643</w:t>
            </w:r>
          </w:p>
        </w:tc>
        <w:tc>
          <w:tcPr>
            <w:tcW w:w="1128" w:type="dxa"/>
            <w:tcBorders>
              <w:top w:val="nil"/>
              <w:left w:val="nil"/>
              <w:bottom w:val="nil"/>
              <w:right w:val="nil"/>
            </w:tcBorders>
            <w:shd w:val="clear" w:color="auto" w:fill="auto"/>
            <w:noWrap/>
            <w:vAlign w:val="bottom"/>
            <w:hideMark/>
          </w:tcPr>
          <w:p w14:paraId="35FECFF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1.219</w:t>
            </w:r>
          </w:p>
        </w:tc>
        <w:tc>
          <w:tcPr>
            <w:tcW w:w="1160" w:type="dxa"/>
            <w:tcBorders>
              <w:top w:val="nil"/>
              <w:left w:val="nil"/>
              <w:bottom w:val="nil"/>
              <w:right w:val="nil"/>
            </w:tcBorders>
            <w:shd w:val="clear" w:color="auto" w:fill="auto"/>
            <w:noWrap/>
            <w:vAlign w:val="bottom"/>
            <w:hideMark/>
          </w:tcPr>
          <w:p w14:paraId="0B7C169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1.070</w:t>
            </w:r>
          </w:p>
        </w:tc>
        <w:tc>
          <w:tcPr>
            <w:tcW w:w="1060" w:type="dxa"/>
            <w:vMerge w:val="restart"/>
            <w:tcBorders>
              <w:top w:val="nil"/>
              <w:left w:val="nil"/>
              <w:bottom w:val="single" w:sz="8" w:space="0" w:color="000000"/>
              <w:right w:val="nil"/>
            </w:tcBorders>
            <w:shd w:val="clear" w:color="auto" w:fill="auto"/>
            <w:noWrap/>
            <w:vAlign w:val="center"/>
            <w:hideMark/>
          </w:tcPr>
          <w:p w14:paraId="327C322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0.716</w:t>
            </w:r>
          </w:p>
        </w:tc>
        <w:tc>
          <w:tcPr>
            <w:tcW w:w="1040" w:type="dxa"/>
            <w:vMerge w:val="restart"/>
            <w:tcBorders>
              <w:top w:val="nil"/>
              <w:left w:val="nil"/>
              <w:bottom w:val="single" w:sz="8" w:space="0" w:color="000000"/>
              <w:right w:val="nil"/>
            </w:tcBorders>
            <w:shd w:val="clear" w:color="auto" w:fill="auto"/>
            <w:noWrap/>
            <w:vAlign w:val="center"/>
            <w:hideMark/>
          </w:tcPr>
          <w:p w14:paraId="619C764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0.014</w:t>
            </w:r>
          </w:p>
        </w:tc>
      </w:tr>
      <w:tr w:rsidR="00437290" w:rsidRPr="00F07DEB" w14:paraId="415B78BA" w14:textId="77777777" w:rsidTr="00437290">
        <w:trPr>
          <w:trHeight w:val="258"/>
        </w:trPr>
        <w:tc>
          <w:tcPr>
            <w:tcW w:w="1926" w:type="dxa"/>
            <w:tcBorders>
              <w:top w:val="nil"/>
              <w:left w:val="nil"/>
              <w:bottom w:val="nil"/>
              <w:right w:val="nil"/>
            </w:tcBorders>
            <w:shd w:val="clear" w:color="auto" w:fill="auto"/>
            <w:noWrap/>
            <w:vAlign w:val="bottom"/>
            <w:hideMark/>
          </w:tcPr>
          <w:p w14:paraId="7E630CEC" w14:textId="300A34F9"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w:t>
            </w:r>
            <w:r w:rsidR="001405F5">
              <w:rPr>
                <w:rFonts w:ascii="Times New Roman" w:eastAsia="Times New Roman" w:hAnsi="Times New Roman" w:cs="Times New Roman"/>
                <w:color w:val="000000"/>
                <w:sz w:val="20"/>
                <w:szCs w:val="20"/>
                <w:lang w:eastAsia="en-US"/>
              </w:rPr>
              <w:t>Husk</w:t>
            </w:r>
            <w:r w:rsidRPr="00F07DEB">
              <w:rPr>
                <w:rFonts w:ascii="Times New Roman" w:eastAsia="Times New Roman" w:hAnsi="Times New Roman" w:cs="Times New Roman"/>
                <w:color w:val="000000"/>
                <w:sz w:val="20"/>
                <w:szCs w:val="20"/>
                <w:lang w:eastAsia="en-US"/>
              </w:rPr>
              <w:t xml:space="preserve"> †‡</w:t>
            </w:r>
          </w:p>
        </w:tc>
        <w:tc>
          <w:tcPr>
            <w:tcW w:w="1251" w:type="dxa"/>
            <w:tcBorders>
              <w:top w:val="nil"/>
              <w:left w:val="nil"/>
              <w:bottom w:val="nil"/>
              <w:right w:val="nil"/>
            </w:tcBorders>
            <w:shd w:val="clear" w:color="auto" w:fill="auto"/>
            <w:noWrap/>
            <w:vAlign w:val="bottom"/>
            <w:hideMark/>
          </w:tcPr>
          <w:p w14:paraId="38F3A44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0.866</w:t>
            </w:r>
          </w:p>
        </w:tc>
        <w:tc>
          <w:tcPr>
            <w:tcW w:w="866" w:type="dxa"/>
            <w:tcBorders>
              <w:top w:val="nil"/>
              <w:left w:val="nil"/>
              <w:bottom w:val="nil"/>
              <w:right w:val="nil"/>
            </w:tcBorders>
            <w:shd w:val="clear" w:color="auto" w:fill="auto"/>
            <w:noWrap/>
            <w:vAlign w:val="bottom"/>
            <w:hideMark/>
          </w:tcPr>
          <w:p w14:paraId="75F2436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0.416</w:t>
            </w:r>
          </w:p>
        </w:tc>
        <w:tc>
          <w:tcPr>
            <w:tcW w:w="1128" w:type="dxa"/>
            <w:tcBorders>
              <w:top w:val="nil"/>
              <w:left w:val="nil"/>
              <w:bottom w:val="nil"/>
              <w:right w:val="nil"/>
            </w:tcBorders>
            <w:shd w:val="clear" w:color="auto" w:fill="auto"/>
            <w:noWrap/>
            <w:vAlign w:val="bottom"/>
            <w:hideMark/>
          </w:tcPr>
          <w:p w14:paraId="6A0FEFA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1.811</w:t>
            </w:r>
          </w:p>
        </w:tc>
        <w:tc>
          <w:tcPr>
            <w:tcW w:w="1160" w:type="dxa"/>
            <w:tcBorders>
              <w:top w:val="nil"/>
              <w:left w:val="nil"/>
              <w:bottom w:val="nil"/>
              <w:right w:val="nil"/>
            </w:tcBorders>
            <w:shd w:val="clear" w:color="auto" w:fill="auto"/>
            <w:noWrap/>
            <w:vAlign w:val="bottom"/>
            <w:hideMark/>
          </w:tcPr>
          <w:p w14:paraId="0069A6A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0.763</w:t>
            </w:r>
          </w:p>
        </w:tc>
        <w:tc>
          <w:tcPr>
            <w:tcW w:w="1060" w:type="dxa"/>
            <w:vMerge/>
            <w:tcBorders>
              <w:top w:val="nil"/>
              <w:left w:val="nil"/>
              <w:bottom w:val="single" w:sz="8" w:space="0" w:color="000000"/>
              <w:right w:val="nil"/>
            </w:tcBorders>
            <w:vAlign w:val="center"/>
            <w:hideMark/>
          </w:tcPr>
          <w:p w14:paraId="7029EA2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130852C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29D22A75" w14:textId="77777777" w:rsidTr="00437290">
        <w:trPr>
          <w:trHeight w:val="258"/>
        </w:trPr>
        <w:tc>
          <w:tcPr>
            <w:tcW w:w="1926" w:type="dxa"/>
            <w:tcBorders>
              <w:top w:val="nil"/>
              <w:left w:val="nil"/>
              <w:bottom w:val="nil"/>
              <w:right w:val="nil"/>
            </w:tcBorders>
            <w:shd w:val="clear" w:color="auto" w:fill="auto"/>
            <w:noWrap/>
            <w:vAlign w:val="bottom"/>
            <w:hideMark/>
          </w:tcPr>
          <w:p w14:paraId="6D333D6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 †‡</w:t>
            </w:r>
          </w:p>
        </w:tc>
        <w:tc>
          <w:tcPr>
            <w:tcW w:w="1251" w:type="dxa"/>
            <w:tcBorders>
              <w:top w:val="nil"/>
              <w:left w:val="nil"/>
              <w:bottom w:val="nil"/>
              <w:right w:val="nil"/>
            </w:tcBorders>
            <w:shd w:val="clear" w:color="auto" w:fill="auto"/>
            <w:noWrap/>
            <w:vAlign w:val="bottom"/>
            <w:hideMark/>
          </w:tcPr>
          <w:p w14:paraId="61C77D5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1.758</w:t>
            </w:r>
          </w:p>
        </w:tc>
        <w:tc>
          <w:tcPr>
            <w:tcW w:w="866" w:type="dxa"/>
            <w:tcBorders>
              <w:top w:val="nil"/>
              <w:left w:val="nil"/>
              <w:bottom w:val="nil"/>
              <w:right w:val="nil"/>
            </w:tcBorders>
            <w:shd w:val="clear" w:color="auto" w:fill="auto"/>
            <w:noWrap/>
            <w:vAlign w:val="bottom"/>
            <w:hideMark/>
          </w:tcPr>
          <w:p w14:paraId="3D208C9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0.498</w:t>
            </w:r>
          </w:p>
        </w:tc>
        <w:tc>
          <w:tcPr>
            <w:tcW w:w="1128" w:type="dxa"/>
            <w:tcBorders>
              <w:top w:val="nil"/>
              <w:left w:val="nil"/>
              <w:bottom w:val="nil"/>
              <w:right w:val="nil"/>
            </w:tcBorders>
            <w:shd w:val="clear" w:color="auto" w:fill="auto"/>
            <w:noWrap/>
            <w:vAlign w:val="bottom"/>
            <w:hideMark/>
          </w:tcPr>
          <w:p w14:paraId="24BE146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2.249</w:t>
            </w:r>
          </w:p>
        </w:tc>
        <w:tc>
          <w:tcPr>
            <w:tcW w:w="1160" w:type="dxa"/>
            <w:tcBorders>
              <w:top w:val="nil"/>
              <w:left w:val="nil"/>
              <w:bottom w:val="nil"/>
              <w:right w:val="nil"/>
            </w:tcBorders>
            <w:shd w:val="clear" w:color="auto" w:fill="auto"/>
            <w:noWrap/>
            <w:vAlign w:val="bottom"/>
            <w:hideMark/>
          </w:tcPr>
          <w:p w14:paraId="2B20CEC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1.853</w:t>
            </w:r>
          </w:p>
        </w:tc>
        <w:tc>
          <w:tcPr>
            <w:tcW w:w="1060" w:type="dxa"/>
            <w:vMerge/>
            <w:tcBorders>
              <w:top w:val="nil"/>
              <w:left w:val="nil"/>
              <w:bottom w:val="single" w:sz="8" w:space="0" w:color="000000"/>
              <w:right w:val="nil"/>
            </w:tcBorders>
            <w:vAlign w:val="center"/>
            <w:hideMark/>
          </w:tcPr>
          <w:p w14:paraId="24A9F76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2784B9A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0A5FAFCD" w14:textId="77777777" w:rsidTr="00437290">
        <w:trPr>
          <w:trHeight w:val="258"/>
        </w:trPr>
        <w:tc>
          <w:tcPr>
            <w:tcW w:w="1926" w:type="dxa"/>
            <w:tcBorders>
              <w:top w:val="nil"/>
              <w:left w:val="nil"/>
              <w:bottom w:val="nil"/>
              <w:right w:val="nil"/>
            </w:tcBorders>
            <w:shd w:val="clear" w:color="auto" w:fill="auto"/>
            <w:noWrap/>
            <w:vAlign w:val="bottom"/>
            <w:hideMark/>
          </w:tcPr>
          <w:p w14:paraId="7EB3A39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Cob †‡</w:t>
            </w:r>
          </w:p>
        </w:tc>
        <w:tc>
          <w:tcPr>
            <w:tcW w:w="1251" w:type="dxa"/>
            <w:tcBorders>
              <w:top w:val="nil"/>
              <w:left w:val="nil"/>
              <w:bottom w:val="nil"/>
              <w:right w:val="nil"/>
            </w:tcBorders>
            <w:shd w:val="clear" w:color="auto" w:fill="auto"/>
            <w:noWrap/>
            <w:vAlign w:val="bottom"/>
            <w:hideMark/>
          </w:tcPr>
          <w:p w14:paraId="4C97D6E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8.910</w:t>
            </w:r>
          </w:p>
        </w:tc>
        <w:tc>
          <w:tcPr>
            <w:tcW w:w="866" w:type="dxa"/>
            <w:tcBorders>
              <w:top w:val="nil"/>
              <w:left w:val="nil"/>
              <w:bottom w:val="nil"/>
              <w:right w:val="nil"/>
            </w:tcBorders>
            <w:shd w:val="clear" w:color="auto" w:fill="auto"/>
            <w:noWrap/>
            <w:vAlign w:val="bottom"/>
            <w:hideMark/>
          </w:tcPr>
          <w:p w14:paraId="781D6B0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15.656</w:t>
            </w:r>
          </w:p>
        </w:tc>
        <w:tc>
          <w:tcPr>
            <w:tcW w:w="1128" w:type="dxa"/>
            <w:tcBorders>
              <w:top w:val="nil"/>
              <w:left w:val="nil"/>
              <w:bottom w:val="nil"/>
              <w:right w:val="nil"/>
            </w:tcBorders>
            <w:shd w:val="clear" w:color="auto" w:fill="auto"/>
            <w:noWrap/>
            <w:vAlign w:val="bottom"/>
            <w:hideMark/>
          </w:tcPr>
          <w:p w14:paraId="1BA10F4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3.270</w:t>
            </w:r>
          </w:p>
        </w:tc>
        <w:tc>
          <w:tcPr>
            <w:tcW w:w="1160" w:type="dxa"/>
            <w:tcBorders>
              <w:top w:val="nil"/>
              <w:left w:val="nil"/>
              <w:bottom w:val="nil"/>
              <w:right w:val="nil"/>
            </w:tcBorders>
            <w:shd w:val="clear" w:color="auto" w:fill="auto"/>
            <w:noWrap/>
            <w:vAlign w:val="bottom"/>
            <w:hideMark/>
          </w:tcPr>
          <w:p w14:paraId="0CD4790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2.655</w:t>
            </w:r>
          </w:p>
        </w:tc>
        <w:tc>
          <w:tcPr>
            <w:tcW w:w="1060" w:type="dxa"/>
            <w:vMerge/>
            <w:tcBorders>
              <w:top w:val="nil"/>
              <w:left w:val="nil"/>
              <w:bottom w:val="single" w:sz="8" w:space="0" w:color="000000"/>
              <w:right w:val="nil"/>
            </w:tcBorders>
            <w:vAlign w:val="center"/>
            <w:hideMark/>
          </w:tcPr>
          <w:p w14:paraId="4E32DD2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105AE71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69C79E31" w14:textId="77777777" w:rsidTr="00437290">
        <w:trPr>
          <w:trHeight w:val="258"/>
        </w:trPr>
        <w:tc>
          <w:tcPr>
            <w:tcW w:w="1926" w:type="dxa"/>
            <w:tcBorders>
              <w:top w:val="nil"/>
              <w:left w:val="nil"/>
              <w:bottom w:val="nil"/>
              <w:right w:val="nil"/>
            </w:tcBorders>
            <w:shd w:val="clear" w:color="auto" w:fill="auto"/>
            <w:noWrap/>
            <w:vAlign w:val="bottom"/>
            <w:hideMark/>
          </w:tcPr>
          <w:p w14:paraId="13E8148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 †</w:t>
            </w:r>
          </w:p>
        </w:tc>
        <w:tc>
          <w:tcPr>
            <w:tcW w:w="1251" w:type="dxa"/>
            <w:tcBorders>
              <w:top w:val="nil"/>
              <w:left w:val="nil"/>
              <w:bottom w:val="nil"/>
              <w:right w:val="nil"/>
            </w:tcBorders>
            <w:shd w:val="clear" w:color="auto" w:fill="auto"/>
            <w:noWrap/>
            <w:vAlign w:val="bottom"/>
            <w:hideMark/>
          </w:tcPr>
          <w:p w14:paraId="49685CB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1.057</w:t>
            </w:r>
          </w:p>
        </w:tc>
        <w:tc>
          <w:tcPr>
            <w:tcW w:w="866" w:type="dxa"/>
            <w:tcBorders>
              <w:top w:val="nil"/>
              <w:left w:val="nil"/>
              <w:bottom w:val="nil"/>
              <w:right w:val="nil"/>
            </w:tcBorders>
            <w:shd w:val="clear" w:color="auto" w:fill="auto"/>
            <w:noWrap/>
            <w:vAlign w:val="bottom"/>
            <w:hideMark/>
          </w:tcPr>
          <w:p w14:paraId="43B9412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0.112</w:t>
            </w:r>
          </w:p>
        </w:tc>
        <w:tc>
          <w:tcPr>
            <w:tcW w:w="1128" w:type="dxa"/>
            <w:tcBorders>
              <w:top w:val="nil"/>
              <w:left w:val="nil"/>
              <w:bottom w:val="nil"/>
              <w:right w:val="nil"/>
            </w:tcBorders>
            <w:shd w:val="clear" w:color="auto" w:fill="auto"/>
            <w:noWrap/>
            <w:vAlign w:val="bottom"/>
            <w:hideMark/>
          </w:tcPr>
          <w:p w14:paraId="350648B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1.192</w:t>
            </w:r>
          </w:p>
        </w:tc>
        <w:tc>
          <w:tcPr>
            <w:tcW w:w="1160" w:type="dxa"/>
            <w:tcBorders>
              <w:top w:val="nil"/>
              <w:left w:val="nil"/>
              <w:bottom w:val="nil"/>
              <w:right w:val="nil"/>
            </w:tcBorders>
            <w:shd w:val="clear" w:color="auto" w:fill="auto"/>
            <w:noWrap/>
            <w:vAlign w:val="bottom"/>
            <w:hideMark/>
          </w:tcPr>
          <w:p w14:paraId="4D21825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0.163</w:t>
            </w:r>
          </w:p>
        </w:tc>
        <w:tc>
          <w:tcPr>
            <w:tcW w:w="1060" w:type="dxa"/>
            <w:vMerge/>
            <w:tcBorders>
              <w:top w:val="nil"/>
              <w:left w:val="nil"/>
              <w:bottom w:val="single" w:sz="8" w:space="0" w:color="000000"/>
              <w:right w:val="nil"/>
            </w:tcBorders>
            <w:vAlign w:val="center"/>
            <w:hideMark/>
          </w:tcPr>
          <w:p w14:paraId="1992B50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2C378A7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4BF8F005"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2A0CA90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 ‡</w:t>
            </w:r>
          </w:p>
        </w:tc>
        <w:tc>
          <w:tcPr>
            <w:tcW w:w="1251" w:type="dxa"/>
            <w:tcBorders>
              <w:top w:val="nil"/>
              <w:left w:val="nil"/>
              <w:bottom w:val="single" w:sz="8" w:space="0" w:color="auto"/>
              <w:right w:val="nil"/>
            </w:tcBorders>
            <w:shd w:val="clear" w:color="auto" w:fill="auto"/>
            <w:noWrap/>
            <w:vAlign w:val="bottom"/>
            <w:hideMark/>
          </w:tcPr>
          <w:p w14:paraId="42BD223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2.012</w:t>
            </w:r>
          </w:p>
        </w:tc>
        <w:tc>
          <w:tcPr>
            <w:tcW w:w="866" w:type="dxa"/>
            <w:tcBorders>
              <w:top w:val="nil"/>
              <w:left w:val="nil"/>
              <w:bottom w:val="single" w:sz="8" w:space="0" w:color="auto"/>
              <w:right w:val="nil"/>
            </w:tcBorders>
            <w:shd w:val="clear" w:color="auto" w:fill="auto"/>
            <w:noWrap/>
            <w:vAlign w:val="bottom"/>
            <w:hideMark/>
          </w:tcPr>
          <w:p w14:paraId="6CD7A74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0.341</w:t>
            </w:r>
          </w:p>
        </w:tc>
        <w:tc>
          <w:tcPr>
            <w:tcW w:w="1128" w:type="dxa"/>
            <w:tcBorders>
              <w:top w:val="nil"/>
              <w:left w:val="nil"/>
              <w:bottom w:val="single" w:sz="8" w:space="0" w:color="auto"/>
              <w:right w:val="nil"/>
            </w:tcBorders>
            <w:shd w:val="clear" w:color="auto" w:fill="auto"/>
            <w:noWrap/>
            <w:vAlign w:val="bottom"/>
            <w:hideMark/>
          </w:tcPr>
          <w:p w14:paraId="283900D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2.360</w:t>
            </w:r>
          </w:p>
        </w:tc>
        <w:tc>
          <w:tcPr>
            <w:tcW w:w="1160" w:type="dxa"/>
            <w:tcBorders>
              <w:top w:val="nil"/>
              <w:left w:val="nil"/>
              <w:bottom w:val="single" w:sz="8" w:space="0" w:color="auto"/>
              <w:right w:val="nil"/>
            </w:tcBorders>
            <w:shd w:val="clear" w:color="auto" w:fill="auto"/>
            <w:noWrap/>
            <w:vAlign w:val="bottom"/>
            <w:hideMark/>
          </w:tcPr>
          <w:p w14:paraId="2DE2453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0.284</w:t>
            </w:r>
          </w:p>
        </w:tc>
        <w:tc>
          <w:tcPr>
            <w:tcW w:w="1060" w:type="dxa"/>
            <w:vMerge/>
            <w:tcBorders>
              <w:top w:val="nil"/>
              <w:left w:val="nil"/>
              <w:bottom w:val="single" w:sz="8" w:space="0" w:color="000000"/>
              <w:right w:val="nil"/>
            </w:tcBorders>
            <w:vAlign w:val="center"/>
            <w:hideMark/>
          </w:tcPr>
          <w:p w14:paraId="5C856A2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05453B1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54425DB5" w14:textId="77777777" w:rsidTr="00437290">
        <w:trPr>
          <w:trHeight w:val="258"/>
        </w:trPr>
        <w:tc>
          <w:tcPr>
            <w:tcW w:w="1926" w:type="dxa"/>
            <w:tcBorders>
              <w:top w:val="nil"/>
              <w:left w:val="nil"/>
              <w:bottom w:val="nil"/>
              <w:right w:val="nil"/>
            </w:tcBorders>
            <w:shd w:val="clear" w:color="auto" w:fill="auto"/>
            <w:noWrap/>
            <w:vAlign w:val="bottom"/>
            <w:hideMark/>
          </w:tcPr>
          <w:p w14:paraId="281CC3A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Sorghum</w:t>
            </w:r>
          </w:p>
        </w:tc>
        <w:tc>
          <w:tcPr>
            <w:tcW w:w="1251" w:type="dxa"/>
            <w:tcBorders>
              <w:top w:val="nil"/>
              <w:left w:val="nil"/>
              <w:bottom w:val="nil"/>
              <w:right w:val="nil"/>
            </w:tcBorders>
            <w:shd w:val="clear" w:color="auto" w:fill="auto"/>
            <w:noWrap/>
            <w:vAlign w:val="bottom"/>
            <w:hideMark/>
          </w:tcPr>
          <w:p w14:paraId="728B0E0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5BA6D287"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29E75BB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2BB71B3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2A9B86EA"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2B937D80"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4853F05B" w14:textId="77777777" w:rsidTr="00437290">
        <w:trPr>
          <w:trHeight w:val="258"/>
        </w:trPr>
        <w:tc>
          <w:tcPr>
            <w:tcW w:w="1926" w:type="dxa"/>
            <w:tcBorders>
              <w:top w:val="nil"/>
              <w:left w:val="nil"/>
              <w:bottom w:val="nil"/>
              <w:right w:val="nil"/>
            </w:tcBorders>
            <w:shd w:val="clear" w:color="auto" w:fill="auto"/>
            <w:noWrap/>
            <w:vAlign w:val="bottom"/>
            <w:hideMark/>
          </w:tcPr>
          <w:p w14:paraId="1111CA2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 †</w:t>
            </w:r>
          </w:p>
        </w:tc>
        <w:tc>
          <w:tcPr>
            <w:tcW w:w="1251" w:type="dxa"/>
            <w:tcBorders>
              <w:top w:val="nil"/>
              <w:left w:val="nil"/>
              <w:bottom w:val="nil"/>
              <w:right w:val="nil"/>
            </w:tcBorders>
            <w:shd w:val="clear" w:color="auto" w:fill="auto"/>
            <w:noWrap/>
            <w:vAlign w:val="bottom"/>
            <w:hideMark/>
          </w:tcPr>
          <w:p w14:paraId="728565D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1.669</w:t>
            </w:r>
          </w:p>
        </w:tc>
        <w:tc>
          <w:tcPr>
            <w:tcW w:w="866" w:type="dxa"/>
            <w:tcBorders>
              <w:top w:val="nil"/>
              <w:left w:val="nil"/>
              <w:bottom w:val="nil"/>
              <w:right w:val="nil"/>
            </w:tcBorders>
            <w:shd w:val="clear" w:color="auto" w:fill="auto"/>
            <w:noWrap/>
            <w:vAlign w:val="bottom"/>
            <w:hideMark/>
          </w:tcPr>
          <w:p w14:paraId="02A0552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0.441</w:t>
            </w:r>
          </w:p>
        </w:tc>
        <w:tc>
          <w:tcPr>
            <w:tcW w:w="1128" w:type="dxa"/>
            <w:tcBorders>
              <w:top w:val="nil"/>
              <w:left w:val="nil"/>
              <w:bottom w:val="nil"/>
              <w:right w:val="nil"/>
            </w:tcBorders>
            <w:shd w:val="clear" w:color="auto" w:fill="auto"/>
            <w:noWrap/>
            <w:vAlign w:val="bottom"/>
            <w:hideMark/>
          </w:tcPr>
          <w:p w14:paraId="5BF06D3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1.027</w:t>
            </w:r>
          </w:p>
        </w:tc>
        <w:tc>
          <w:tcPr>
            <w:tcW w:w="1160" w:type="dxa"/>
            <w:tcBorders>
              <w:top w:val="nil"/>
              <w:left w:val="nil"/>
              <w:bottom w:val="nil"/>
              <w:right w:val="nil"/>
            </w:tcBorders>
            <w:shd w:val="clear" w:color="auto" w:fill="auto"/>
            <w:noWrap/>
            <w:vAlign w:val="bottom"/>
            <w:hideMark/>
          </w:tcPr>
          <w:p w14:paraId="319A0CC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0.535</w:t>
            </w:r>
          </w:p>
        </w:tc>
        <w:tc>
          <w:tcPr>
            <w:tcW w:w="1060" w:type="dxa"/>
            <w:vMerge w:val="restart"/>
            <w:tcBorders>
              <w:top w:val="nil"/>
              <w:left w:val="nil"/>
              <w:bottom w:val="single" w:sz="8" w:space="0" w:color="000000"/>
              <w:right w:val="nil"/>
            </w:tcBorders>
            <w:shd w:val="clear" w:color="auto" w:fill="auto"/>
            <w:noWrap/>
            <w:vAlign w:val="center"/>
            <w:hideMark/>
          </w:tcPr>
          <w:p w14:paraId="7DEA0C0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0.263</w:t>
            </w:r>
          </w:p>
        </w:tc>
        <w:tc>
          <w:tcPr>
            <w:tcW w:w="1040" w:type="dxa"/>
            <w:vMerge w:val="restart"/>
            <w:tcBorders>
              <w:top w:val="nil"/>
              <w:left w:val="nil"/>
              <w:bottom w:val="single" w:sz="8" w:space="0" w:color="000000"/>
              <w:right w:val="nil"/>
            </w:tcBorders>
            <w:shd w:val="clear" w:color="auto" w:fill="auto"/>
            <w:noWrap/>
            <w:vAlign w:val="center"/>
            <w:hideMark/>
          </w:tcPr>
          <w:p w14:paraId="16DD716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0.124</w:t>
            </w:r>
          </w:p>
        </w:tc>
      </w:tr>
      <w:tr w:rsidR="00437290" w:rsidRPr="00F07DEB" w14:paraId="7DD6BAAA" w14:textId="77777777" w:rsidTr="00437290">
        <w:trPr>
          <w:trHeight w:val="258"/>
        </w:trPr>
        <w:tc>
          <w:tcPr>
            <w:tcW w:w="1926" w:type="dxa"/>
            <w:tcBorders>
              <w:top w:val="nil"/>
              <w:left w:val="nil"/>
              <w:bottom w:val="nil"/>
              <w:right w:val="nil"/>
            </w:tcBorders>
            <w:shd w:val="clear" w:color="auto" w:fill="auto"/>
            <w:noWrap/>
            <w:vAlign w:val="bottom"/>
            <w:hideMark/>
          </w:tcPr>
          <w:p w14:paraId="5738A38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 ‡</w:t>
            </w:r>
          </w:p>
        </w:tc>
        <w:tc>
          <w:tcPr>
            <w:tcW w:w="1251" w:type="dxa"/>
            <w:tcBorders>
              <w:top w:val="nil"/>
              <w:left w:val="nil"/>
              <w:bottom w:val="nil"/>
              <w:right w:val="nil"/>
            </w:tcBorders>
            <w:shd w:val="clear" w:color="auto" w:fill="auto"/>
            <w:noWrap/>
            <w:vAlign w:val="bottom"/>
            <w:hideMark/>
          </w:tcPr>
          <w:p w14:paraId="32E6756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5.732</w:t>
            </w:r>
          </w:p>
        </w:tc>
        <w:tc>
          <w:tcPr>
            <w:tcW w:w="866" w:type="dxa"/>
            <w:tcBorders>
              <w:top w:val="nil"/>
              <w:left w:val="nil"/>
              <w:bottom w:val="nil"/>
              <w:right w:val="nil"/>
            </w:tcBorders>
            <w:shd w:val="clear" w:color="auto" w:fill="auto"/>
            <w:noWrap/>
            <w:vAlign w:val="bottom"/>
            <w:hideMark/>
          </w:tcPr>
          <w:p w14:paraId="4E32672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3.939</w:t>
            </w:r>
          </w:p>
        </w:tc>
        <w:tc>
          <w:tcPr>
            <w:tcW w:w="1128" w:type="dxa"/>
            <w:tcBorders>
              <w:top w:val="nil"/>
              <w:left w:val="nil"/>
              <w:bottom w:val="nil"/>
              <w:right w:val="nil"/>
            </w:tcBorders>
            <w:shd w:val="clear" w:color="auto" w:fill="auto"/>
            <w:noWrap/>
            <w:vAlign w:val="bottom"/>
            <w:hideMark/>
          </w:tcPr>
          <w:p w14:paraId="7EAB22B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3.481</w:t>
            </w:r>
          </w:p>
        </w:tc>
        <w:tc>
          <w:tcPr>
            <w:tcW w:w="1160" w:type="dxa"/>
            <w:tcBorders>
              <w:top w:val="nil"/>
              <w:left w:val="nil"/>
              <w:bottom w:val="nil"/>
              <w:right w:val="nil"/>
            </w:tcBorders>
            <w:shd w:val="clear" w:color="auto" w:fill="auto"/>
            <w:noWrap/>
            <w:vAlign w:val="bottom"/>
            <w:hideMark/>
          </w:tcPr>
          <w:p w14:paraId="0660D75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1.472</w:t>
            </w:r>
          </w:p>
        </w:tc>
        <w:tc>
          <w:tcPr>
            <w:tcW w:w="1060" w:type="dxa"/>
            <w:vMerge/>
            <w:tcBorders>
              <w:top w:val="nil"/>
              <w:left w:val="nil"/>
              <w:bottom w:val="single" w:sz="8" w:space="0" w:color="000000"/>
              <w:right w:val="nil"/>
            </w:tcBorders>
            <w:vAlign w:val="center"/>
            <w:hideMark/>
          </w:tcPr>
          <w:p w14:paraId="4C3242C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3F38B72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4D944366" w14:textId="77777777" w:rsidTr="00437290">
        <w:trPr>
          <w:trHeight w:val="258"/>
        </w:trPr>
        <w:tc>
          <w:tcPr>
            <w:tcW w:w="1926" w:type="dxa"/>
            <w:tcBorders>
              <w:top w:val="nil"/>
              <w:left w:val="nil"/>
              <w:bottom w:val="nil"/>
              <w:right w:val="nil"/>
            </w:tcBorders>
            <w:shd w:val="clear" w:color="auto" w:fill="auto"/>
            <w:noWrap/>
            <w:vAlign w:val="bottom"/>
            <w:hideMark/>
          </w:tcPr>
          <w:p w14:paraId="31C3FCC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 †‡</w:t>
            </w:r>
          </w:p>
        </w:tc>
        <w:tc>
          <w:tcPr>
            <w:tcW w:w="1251" w:type="dxa"/>
            <w:tcBorders>
              <w:top w:val="nil"/>
              <w:left w:val="nil"/>
              <w:bottom w:val="nil"/>
              <w:right w:val="nil"/>
            </w:tcBorders>
            <w:shd w:val="clear" w:color="auto" w:fill="auto"/>
            <w:noWrap/>
            <w:vAlign w:val="bottom"/>
            <w:hideMark/>
          </w:tcPr>
          <w:p w14:paraId="46C4284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1.753</w:t>
            </w:r>
          </w:p>
        </w:tc>
        <w:tc>
          <w:tcPr>
            <w:tcW w:w="866" w:type="dxa"/>
            <w:tcBorders>
              <w:top w:val="nil"/>
              <w:left w:val="nil"/>
              <w:bottom w:val="nil"/>
              <w:right w:val="nil"/>
            </w:tcBorders>
            <w:shd w:val="clear" w:color="auto" w:fill="auto"/>
            <w:noWrap/>
            <w:vAlign w:val="bottom"/>
            <w:hideMark/>
          </w:tcPr>
          <w:p w14:paraId="6E4A973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0.185</w:t>
            </w:r>
          </w:p>
        </w:tc>
        <w:tc>
          <w:tcPr>
            <w:tcW w:w="1128" w:type="dxa"/>
            <w:tcBorders>
              <w:top w:val="nil"/>
              <w:left w:val="nil"/>
              <w:bottom w:val="nil"/>
              <w:right w:val="nil"/>
            </w:tcBorders>
            <w:shd w:val="clear" w:color="auto" w:fill="auto"/>
            <w:noWrap/>
            <w:vAlign w:val="bottom"/>
            <w:hideMark/>
          </w:tcPr>
          <w:p w14:paraId="3E980E3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3.244</w:t>
            </w:r>
          </w:p>
        </w:tc>
        <w:tc>
          <w:tcPr>
            <w:tcW w:w="1160" w:type="dxa"/>
            <w:tcBorders>
              <w:top w:val="nil"/>
              <w:left w:val="nil"/>
              <w:bottom w:val="nil"/>
              <w:right w:val="nil"/>
            </w:tcBorders>
            <w:shd w:val="clear" w:color="auto" w:fill="auto"/>
            <w:noWrap/>
            <w:vAlign w:val="bottom"/>
            <w:hideMark/>
          </w:tcPr>
          <w:p w14:paraId="6A6744B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4.012</w:t>
            </w:r>
          </w:p>
        </w:tc>
        <w:tc>
          <w:tcPr>
            <w:tcW w:w="1060" w:type="dxa"/>
            <w:vMerge/>
            <w:tcBorders>
              <w:top w:val="nil"/>
              <w:left w:val="nil"/>
              <w:bottom w:val="single" w:sz="8" w:space="0" w:color="000000"/>
              <w:right w:val="nil"/>
            </w:tcBorders>
            <w:vAlign w:val="center"/>
            <w:hideMark/>
          </w:tcPr>
          <w:p w14:paraId="16C3819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65501DC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2B5D5ABA"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4BEA788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 †‡</w:t>
            </w:r>
          </w:p>
        </w:tc>
        <w:tc>
          <w:tcPr>
            <w:tcW w:w="1251" w:type="dxa"/>
            <w:tcBorders>
              <w:top w:val="nil"/>
              <w:left w:val="nil"/>
              <w:bottom w:val="single" w:sz="8" w:space="0" w:color="auto"/>
              <w:right w:val="nil"/>
            </w:tcBorders>
            <w:shd w:val="clear" w:color="auto" w:fill="auto"/>
            <w:noWrap/>
            <w:vAlign w:val="bottom"/>
            <w:hideMark/>
          </w:tcPr>
          <w:p w14:paraId="7D1F5A3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3.233</w:t>
            </w:r>
          </w:p>
        </w:tc>
        <w:tc>
          <w:tcPr>
            <w:tcW w:w="866" w:type="dxa"/>
            <w:tcBorders>
              <w:top w:val="nil"/>
              <w:left w:val="nil"/>
              <w:bottom w:val="single" w:sz="8" w:space="0" w:color="auto"/>
              <w:right w:val="nil"/>
            </w:tcBorders>
            <w:shd w:val="clear" w:color="auto" w:fill="auto"/>
            <w:noWrap/>
            <w:vAlign w:val="bottom"/>
            <w:hideMark/>
          </w:tcPr>
          <w:p w14:paraId="36D3E0A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2.535</w:t>
            </w:r>
          </w:p>
        </w:tc>
        <w:tc>
          <w:tcPr>
            <w:tcW w:w="1128" w:type="dxa"/>
            <w:tcBorders>
              <w:top w:val="nil"/>
              <w:left w:val="nil"/>
              <w:bottom w:val="single" w:sz="8" w:space="0" w:color="auto"/>
              <w:right w:val="nil"/>
            </w:tcBorders>
            <w:shd w:val="clear" w:color="auto" w:fill="auto"/>
            <w:noWrap/>
            <w:vAlign w:val="bottom"/>
            <w:hideMark/>
          </w:tcPr>
          <w:p w14:paraId="795DE17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2.312</w:t>
            </w:r>
          </w:p>
        </w:tc>
        <w:tc>
          <w:tcPr>
            <w:tcW w:w="1160" w:type="dxa"/>
            <w:tcBorders>
              <w:top w:val="nil"/>
              <w:left w:val="nil"/>
              <w:bottom w:val="single" w:sz="8" w:space="0" w:color="auto"/>
              <w:right w:val="nil"/>
            </w:tcBorders>
            <w:shd w:val="clear" w:color="auto" w:fill="auto"/>
            <w:noWrap/>
            <w:vAlign w:val="bottom"/>
            <w:hideMark/>
          </w:tcPr>
          <w:p w14:paraId="21A0B0E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0.385</w:t>
            </w:r>
          </w:p>
        </w:tc>
        <w:tc>
          <w:tcPr>
            <w:tcW w:w="1060" w:type="dxa"/>
            <w:vMerge/>
            <w:tcBorders>
              <w:top w:val="nil"/>
              <w:left w:val="nil"/>
              <w:bottom w:val="single" w:sz="8" w:space="0" w:color="000000"/>
              <w:right w:val="nil"/>
            </w:tcBorders>
            <w:vAlign w:val="center"/>
            <w:hideMark/>
          </w:tcPr>
          <w:p w14:paraId="2CAEAFB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44988CC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64A6F831" w14:textId="77777777" w:rsidTr="00437290">
        <w:trPr>
          <w:trHeight w:val="258"/>
        </w:trPr>
        <w:tc>
          <w:tcPr>
            <w:tcW w:w="1926" w:type="dxa"/>
            <w:tcBorders>
              <w:top w:val="nil"/>
              <w:left w:val="nil"/>
              <w:bottom w:val="nil"/>
              <w:right w:val="nil"/>
            </w:tcBorders>
            <w:shd w:val="clear" w:color="auto" w:fill="auto"/>
            <w:noWrap/>
            <w:vAlign w:val="bottom"/>
            <w:hideMark/>
          </w:tcPr>
          <w:p w14:paraId="376E606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Bermuda grass</w:t>
            </w:r>
          </w:p>
        </w:tc>
        <w:tc>
          <w:tcPr>
            <w:tcW w:w="1251" w:type="dxa"/>
            <w:tcBorders>
              <w:top w:val="nil"/>
              <w:left w:val="nil"/>
              <w:bottom w:val="nil"/>
              <w:right w:val="nil"/>
            </w:tcBorders>
            <w:shd w:val="clear" w:color="auto" w:fill="auto"/>
            <w:noWrap/>
            <w:vAlign w:val="bottom"/>
            <w:hideMark/>
          </w:tcPr>
          <w:p w14:paraId="2074DFD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3EBB9963"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3DF84ED8"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79F5932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5D1C15F7"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19837EDF"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25AF03DE" w14:textId="77777777" w:rsidTr="00437290">
        <w:trPr>
          <w:trHeight w:val="258"/>
        </w:trPr>
        <w:tc>
          <w:tcPr>
            <w:tcW w:w="1926" w:type="dxa"/>
            <w:tcBorders>
              <w:top w:val="nil"/>
              <w:left w:val="nil"/>
              <w:bottom w:val="nil"/>
              <w:right w:val="nil"/>
            </w:tcBorders>
            <w:shd w:val="clear" w:color="auto" w:fill="auto"/>
            <w:noWrap/>
            <w:vAlign w:val="bottom"/>
            <w:hideMark/>
          </w:tcPr>
          <w:p w14:paraId="748C5F1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Grass1 †</w:t>
            </w:r>
          </w:p>
        </w:tc>
        <w:tc>
          <w:tcPr>
            <w:tcW w:w="1251" w:type="dxa"/>
            <w:tcBorders>
              <w:top w:val="nil"/>
              <w:left w:val="nil"/>
              <w:bottom w:val="nil"/>
              <w:right w:val="nil"/>
            </w:tcBorders>
            <w:shd w:val="clear" w:color="auto" w:fill="auto"/>
            <w:noWrap/>
            <w:vAlign w:val="bottom"/>
            <w:hideMark/>
          </w:tcPr>
          <w:p w14:paraId="4828054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2.482</w:t>
            </w:r>
          </w:p>
        </w:tc>
        <w:tc>
          <w:tcPr>
            <w:tcW w:w="866" w:type="dxa"/>
            <w:tcBorders>
              <w:top w:val="nil"/>
              <w:left w:val="nil"/>
              <w:bottom w:val="nil"/>
              <w:right w:val="nil"/>
            </w:tcBorders>
            <w:shd w:val="clear" w:color="auto" w:fill="auto"/>
            <w:noWrap/>
            <w:vAlign w:val="bottom"/>
            <w:hideMark/>
          </w:tcPr>
          <w:p w14:paraId="425EBF5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2.000</w:t>
            </w:r>
          </w:p>
        </w:tc>
        <w:tc>
          <w:tcPr>
            <w:tcW w:w="1128" w:type="dxa"/>
            <w:tcBorders>
              <w:top w:val="nil"/>
              <w:left w:val="nil"/>
              <w:bottom w:val="nil"/>
              <w:right w:val="nil"/>
            </w:tcBorders>
            <w:shd w:val="clear" w:color="auto" w:fill="auto"/>
            <w:noWrap/>
            <w:vAlign w:val="bottom"/>
            <w:hideMark/>
          </w:tcPr>
          <w:p w14:paraId="47E065C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1.589</w:t>
            </w:r>
          </w:p>
        </w:tc>
        <w:tc>
          <w:tcPr>
            <w:tcW w:w="1160" w:type="dxa"/>
            <w:tcBorders>
              <w:top w:val="nil"/>
              <w:left w:val="nil"/>
              <w:bottom w:val="nil"/>
              <w:right w:val="nil"/>
            </w:tcBorders>
            <w:shd w:val="clear" w:color="auto" w:fill="auto"/>
            <w:noWrap/>
            <w:vAlign w:val="bottom"/>
            <w:hideMark/>
          </w:tcPr>
          <w:p w14:paraId="06AE052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0.301</w:t>
            </w:r>
          </w:p>
        </w:tc>
        <w:tc>
          <w:tcPr>
            <w:tcW w:w="1060" w:type="dxa"/>
            <w:vMerge w:val="restart"/>
            <w:tcBorders>
              <w:top w:val="nil"/>
              <w:left w:val="nil"/>
              <w:bottom w:val="single" w:sz="8" w:space="0" w:color="000000"/>
              <w:right w:val="nil"/>
            </w:tcBorders>
            <w:shd w:val="clear" w:color="auto" w:fill="auto"/>
            <w:noWrap/>
            <w:vAlign w:val="center"/>
            <w:hideMark/>
          </w:tcPr>
          <w:p w14:paraId="5D07511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0.038</w:t>
            </w:r>
          </w:p>
        </w:tc>
        <w:tc>
          <w:tcPr>
            <w:tcW w:w="1040" w:type="dxa"/>
            <w:vMerge w:val="restart"/>
            <w:tcBorders>
              <w:top w:val="nil"/>
              <w:left w:val="nil"/>
              <w:bottom w:val="single" w:sz="8" w:space="0" w:color="000000"/>
              <w:right w:val="nil"/>
            </w:tcBorders>
            <w:shd w:val="clear" w:color="auto" w:fill="auto"/>
            <w:noWrap/>
            <w:vAlign w:val="center"/>
            <w:hideMark/>
          </w:tcPr>
          <w:p w14:paraId="7CBE256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0.363</w:t>
            </w:r>
          </w:p>
        </w:tc>
      </w:tr>
      <w:tr w:rsidR="00437290" w:rsidRPr="00F07DEB" w14:paraId="2ED6B26E" w14:textId="77777777" w:rsidTr="00437290">
        <w:trPr>
          <w:trHeight w:val="258"/>
        </w:trPr>
        <w:tc>
          <w:tcPr>
            <w:tcW w:w="1926" w:type="dxa"/>
            <w:tcBorders>
              <w:top w:val="nil"/>
              <w:left w:val="nil"/>
              <w:bottom w:val="nil"/>
              <w:right w:val="nil"/>
            </w:tcBorders>
            <w:shd w:val="clear" w:color="auto" w:fill="auto"/>
            <w:noWrap/>
            <w:vAlign w:val="bottom"/>
            <w:hideMark/>
          </w:tcPr>
          <w:p w14:paraId="46342EE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Grass2 †</w:t>
            </w:r>
          </w:p>
        </w:tc>
        <w:tc>
          <w:tcPr>
            <w:tcW w:w="1251" w:type="dxa"/>
            <w:tcBorders>
              <w:top w:val="nil"/>
              <w:left w:val="nil"/>
              <w:bottom w:val="nil"/>
              <w:right w:val="nil"/>
            </w:tcBorders>
            <w:shd w:val="clear" w:color="auto" w:fill="auto"/>
            <w:noWrap/>
            <w:vAlign w:val="bottom"/>
            <w:hideMark/>
          </w:tcPr>
          <w:p w14:paraId="5AF7D97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2.103</w:t>
            </w:r>
          </w:p>
        </w:tc>
        <w:tc>
          <w:tcPr>
            <w:tcW w:w="866" w:type="dxa"/>
            <w:tcBorders>
              <w:top w:val="nil"/>
              <w:left w:val="nil"/>
              <w:bottom w:val="nil"/>
              <w:right w:val="nil"/>
            </w:tcBorders>
            <w:shd w:val="clear" w:color="auto" w:fill="auto"/>
            <w:noWrap/>
            <w:vAlign w:val="bottom"/>
            <w:hideMark/>
          </w:tcPr>
          <w:p w14:paraId="715E6EA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0.683</w:t>
            </w:r>
          </w:p>
        </w:tc>
        <w:tc>
          <w:tcPr>
            <w:tcW w:w="1128" w:type="dxa"/>
            <w:tcBorders>
              <w:top w:val="nil"/>
              <w:left w:val="nil"/>
              <w:bottom w:val="nil"/>
              <w:right w:val="nil"/>
            </w:tcBorders>
            <w:shd w:val="clear" w:color="auto" w:fill="auto"/>
            <w:noWrap/>
            <w:vAlign w:val="bottom"/>
            <w:hideMark/>
          </w:tcPr>
          <w:p w14:paraId="4EC75D3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1.664</w:t>
            </w:r>
          </w:p>
        </w:tc>
        <w:tc>
          <w:tcPr>
            <w:tcW w:w="1160" w:type="dxa"/>
            <w:tcBorders>
              <w:top w:val="nil"/>
              <w:left w:val="nil"/>
              <w:bottom w:val="nil"/>
              <w:right w:val="nil"/>
            </w:tcBorders>
            <w:shd w:val="clear" w:color="auto" w:fill="auto"/>
            <w:noWrap/>
            <w:vAlign w:val="bottom"/>
            <w:hideMark/>
          </w:tcPr>
          <w:p w14:paraId="514F3C4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0.418</w:t>
            </w:r>
          </w:p>
        </w:tc>
        <w:tc>
          <w:tcPr>
            <w:tcW w:w="1060" w:type="dxa"/>
            <w:vMerge/>
            <w:tcBorders>
              <w:top w:val="nil"/>
              <w:left w:val="nil"/>
              <w:bottom w:val="single" w:sz="8" w:space="0" w:color="000000"/>
              <w:right w:val="nil"/>
            </w:tcBorders>
            <w:vAlign w:val="center"/>
            <w:hideMark/>
          </w:tcPr>
          <w:p w14:paraId="67C845F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0930C3D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21D6C0CC"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7D87E1D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1251" w:type="dxa"/>
            <w:tcBorders>
              <w:top w:val="nil"/>
              <w:left w:val="nil"/>
              <w:bottom w:val="single" w:sz="8" w:space="0" w:color="auto"/>
              <w:right w:val="nil"/>
            </w:tcBorders>
            <w:shd w:val="clear" w:color="auto" w:fill="auto"/>
            <w:noWrap/>
            <w:vAlign w:val="bottom"/>
            <w:hideMark/>
          </w:tcPr>
          <w:p w14:paraId="60EF60E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4.958</w:t>
            </w:r>
          </w:p>
        </w:tc>
        <w:tc>
          <w:tcPr>
            <w:tcW w:w="866" w:type="dxa"/>
            <w:tcBorders>
              <w:top w:val="nil"/>
              <w:left w:val="nil"/>
              <w:bottom w:val="single" w:sz="8" w:space="0" w:color="auto"/>
              <w:right w:val="nil"/>
            </w:tcBorders>
            <w:shd w:val="clear" w:color="auto" w:fill="auto"/>
            <w:noWrap/>
            <w:vAlign w:val="bottom"/>
            <w:hideMark/>
          </w:tcPr>
          <w:p w14:paraId="5A6449B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1.256</w:t>
            </w:r>
          </w:p>
        </w:tc>
        <w:tc>
          <w:tcPr>
            <w:tcW w:w="1128" w:type="dxa"/>
            <w:tcBorders>
              <w:top w:val="nil"/>
              <w:left w:val="nil"/>
              <w:bottom w:val="single" w:sz="8" w:space="0" w:color="auto"/>
              <w:right w:val="nil"/>
            </w:tcBorders>
            <w:shd w:val="clear" w:color="auto" w:fill="auto"/>
            <w:noWrap/>
            <w:vAlign w:val="bottom"/>
            <w:hideMark/>
          </w:tcPr>
          <w:p w14:paraId="546CD13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3.482</w:t>
            </w:r>
          </w:p>
        </w:tc>
        <w:tc>
          <w:tcPr>
            <w:tcW w:w="1160" w:type="dxa"/>
            <w:tcBorders>
              <w:top w:val="nil"/>
              <w:left w:val="nil"/>
              <w:bottom w:val="single" w:sz="8" w:space="0" w:color="auto"/>
              <w:right w:val="nil"/>
            </w:tcBorders>
            <w:shd w:val="clear" w:color="auto" w:fill="auto"/>
            <w:noWrap/>
            <w:vAlign w:val="bottom"/>
            <w:hideMark/>
          </w:tcPr>
          <w:p w14:paraId="6DA3F03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0.439</w:t>
            </w:r>
          </w:p>
        </w:tc>
        <w:tc>
          <w:tcPr>
            <w:tcW w:w="1060" w:type="dxa"/>
            <w:vMerge/>
            <w:tcBorders>
              <w:top w:val="nil"/>
              <w:left w:val="nil"/>
              <w:bottom w:val="single" w:sz="8" w:space="0" w:color="000000"/>
              <w:right w:val="nil"/>
            </w:tcBorders>
            <w:vAlign w:val="center"/>
            <w:hideMark/>
          </w:tcPr>
          <w:p w14:paraId="4544679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6C48043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12E84A4D" w14:textId="77777777" w:rsidTr="00437290">
        <w:trPr>
          <w:trHeight w:val="258"/>
        </w:trPr>
        <w:tc>
          <w:tcPr>
            <w:tcW w:w="1926" w:type="dxa"/>
            <w:tcBorders>
              <w:top w:val="nil"/>
              <w:left w:val="nil"/>
              <w:bottom w:val="nil"/>
              <w:right w:val="nil"/>
            </w:tcBorders>
            <w:shd w:val="clear" w:color="auto" w:fill="auto"/>
            <w:noWrap/>
            <w:vAlign w:val="bottom"/>
            <w:hideMark/>
          </w:tcPr>
          <w:p w14:paraId="46AF0DA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251" w:type="dxa"/>
            <w:tcBorders>
              <w:top w:val="nil"/>
              <w:left w:val="nil"/>
              <w:bottom w:val="nil"/>
              <w:right w:val="nil"/>
            </w:tcBorders>
            <w:shd w:val="clear" w:color="auto" w:fill="auto"/>
            <w:noWrap/>
            <w:vAlign w:val="bottom"/>
            <w:hideMark/>
          </w:tcPr>
          <w:p w14:paraId="44AC8F32"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866" w:type="dxa"/>
            <w:tcBorders>
              <w:top w:val="nil"/>
              <w:left w:val="nil"/>
              <w:bottom w:val="nil"/>
              <w:right w:val="nil"/>
            </w:tcBorders>
            <w:shd w:val="clear" w:color="auto" w:fill="auto"/>
            <w:noWrap/>
            <w:vAlign w:val="bottom"/>
            <w:hideMark/>
          </w:tcPr>
          <w:p w14:paraId="2AFE59D7"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7AC95D6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1A121403"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429682D8"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23266473"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45F78C35" w14:textId="77777777" w:rsidTr="00437290">
        <w:trPr>
          <w:trHeight w:val="258"/>
        </w:trPr>
        <w:tc>
          <w:tcPr>
            <w:tcW w:w="1926" w:type="dxa"/>
            <w:tcBorders>
              <w:top w:val="nil"/>
              <w:left w:val="nil"/>
              <w:bottom w:val="nil"/>
              <w:right w:val="nil"/>
            </w:tcBorders>
            <w:shd w:val="clear" w:color="auto" w:fill="auto"/>
            <w:noWrap/>
            <w:vAlign w:val="bottom"/>
            <w:hideMark/>
          </w:tcPr>
          <w:p w14:paraId="74771A20"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251" w:type="dxa"/>
            <w:tcBorders>
              <w:top w:val="nil"/>
              <w:left w:val="nil"/>
              <w:bottom w:val="nil"/>
              <w:right w:val="nil"/>
            </w:tcBorders>
            <w:shd w:val="clear" w:color="auto" w:fill="auto"/>
            <w:noWrap/>
            <w:vAlign w:val="bottom"/>
            <w:hideMark/>
          </w:tcPr>
          <w:p w14:paraId="183239A2"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866" w:type="dxa"/>
            <w:tcBorders>
              <w:top w:val="nil"/>
              <w:left w:val="nil"/>
              <w:bottom w:val="nil"/>
              <w:right w:val="nil"/>
            </w:tcBorders>
            <w:shd w:val="clear" w:color="auto" w:fill="auto"/>
            <w:noWrap/>
            <w:vAlign w:val="bottom"/>
            <w:hideMark/>
          </w:tcPr>
          <w:p w14:paraId="59D9C70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12B45253"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2AC6EF47"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2CD6485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33A116E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933477" w:rsidRPr="00F07DEB" w14:paraId="0AE686C0" w14:textId="77777777" w:rsidTr="00E01717">
        <w:trPr>
          <w:trHeight w:val="266"/>
        </w:trPr>
        <w:tc>
          <w:tcPr>
            <w:tcW w:w="8431" w:type="dxa"/>
            <w:gridSpan w:val="7"/>
            <w:tcBorders>
              <w:top w:val="nil"/>
              <w:left w:val="nil"/>
              <w:bottom w:val="single" w:sz="8" w:space="0" w:color="auto"/>
              <w:right w:val="nil"/>
            </w:tcBorders>
            <w:shd w:val="clear" w:color="auto" w:fill="auto"/>
            <w:noWrap/>
            <w:vAlign w:val="bottom"/>
            <w:hideMark/>
          </w:tcPr>
          <w:p w14:paraId="3BBC951C" w14:textId="34F9000F" w:rsidR="00933477" w:rsidRPr="00933477" w:rsidRDefault="00933477" w:rsidP="00933477">
            <w:pPr>
              <w:spacing w:after="0" w:line="240" w:lineRule="auto"/>
              <w:jc w:val="center"/>
              <w:rPr>
                <w:rFonts w:ascii="Times New Roman" w:eastAsia="Times New Roman" w:hAnsi="Times New Roman" w:cs="Times New Roman"/>
                <w:b/>
                <w:color w:val="000000"/>
                <w:sz w:val="20"/>
                <w:szCs w:val="20"/>
                <w:lang w:eastAsia="en-US"/>
              </w:rPr>
            </w:pPr>
            <w:r>
              <w:rPr>
                <w:rFonts w:ascii="Times New Roman" w:eastAsia="Times New Roman" w:hAnsi="Times New Roman" w:cs="Times New Roman"/>
                <w:b/>
                <w:color w:val="000000"/>
                <w:sz w:val="20"/>
                <w:szCs w:val="20"/>
                <w:lang w:eastAsia="en-US"/>
              </w:rPr>
              <w:t>Table</w:t>
            </w:r>
            <w:r w:rsidRPr="00933477">
              <w:rPr>
                <w:rFonts w:ascii="Times New Roman" w:eastAsia="Times New Roman" w:hAnsi="Times New Roman" w:cs="Times New Roman"/>
                <w:b/>
                <w:color w:val="000000"/>
                <w:sz w:val="20"/>
                <w:szCs w:val="20"/>
                <w:lang w:eastAsia="en-US"/>
              </w:rPr>
              <w:t xml:space="preserve"> C</w:t>
            </w:r>
            <w:r>
              <w:rPr>
                <w:rFonts w:ascii="Times New Roman" w:eastAsia="Times New Roman" w:hAnsi="Times New Roman" w:cs="Times New Roman"/>
                <w:b/>
                <w:color w:val="000000"/>
                <w:sz w:val="20"/>
                <w:szCs w:val="20"/>
                <w:lang w:eastAsia="en-US"/>
              </w:rPr>
              <w:t>.</w:t>
            </w:r>
            <w:r w:rsidR="00337893">
              <w:rPr>
                <w:rFonts w:ascii="Times New Roman" w:eastAsia="Times New Roman" w:hAnsi="Times New Roman" w:cs="Times New Roman"/>
                <w:b/>
                <w:color w:val="000000"/>
                <w:sz w:val="20"/>
                <w:szCs w:val="20"/>
                <w:lang w:eastAsia="en-US"/>
              </w:rPr>
              <w:t>5</w:t>
            </w:r>
            <w:r w:rsidRPr="00933477">
              <w:rPr>
                <w:rFonts w:ascii="Times New Roman" w:eastAsia="Times New Roman" w:hAnsi="Times New Roman" w:cs="Times New Roman"/>
                <w:b/>
                <w:color w:val="000000"/>
                <w:sz w:val="20"/>
                <w:szCs w:val="20"/>
                <w:lang w:eastAsia="en-US"/>
              </w:rPr>
              <w:t xml:space="preserve">: </w:t>
            </w:r>
            <w:proofErr w:type="spellStart"/>
            <w:r>
              <w:rPr>
                <w:rFonts w:ascii="Times New Roman" w:eastAsia="Times New Roman" w:hAnsi="Times New Roman" w:cs="Times New Roman"/>
                <w:b/>
                <w:color w:val="000000"/>
                <w:sz w:val="20"/>
                <w:szCs w:val="20"/>
                <w:lang w:eastAsia="en-US"/>
              </w:rPr>
              <w:t>Pb</w:t>
            </w:r>
            <w:proofErr w:type="spellEnd"/>
            <w:r w:rsidRPr="00933477">
              <w:rPr>
                <w:rFonts w:ascii="Times New Roman" w:eastAsia="Times New Roman" w:hAnsi="Times New Roman" w:cs="Times New Roman"/>
                <w:b/>
                <w:color w:val="000000"/>
                <w:sz w:val="20"/>
                <w:szCs w:val="20"/>
                <w:lang w:eastAsia="en-US"/>
              </w:rPr>
              <w:t xml:space="preserve"> concentrations in plant biomass in mg/kg</w:t>
            </w:r>
          </w:p>
          <w:p w14:paraId="619ACE3B" w14:textId="28E85359" w:rsidR="00933477" w:rsidRPr="00F07DEB" w:rsidRDefault="00933477"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7CE6C476" w14:textId="77777777" w:rsidTr="00437290">
        <w:trPr>
          <w:trHeight w:val="258"/>
        </w:trPr>
        <w:tc>
          <w:tcPr>
            <w:tcW w:w="1926" w:type="dxa"/>
            <w:tcBorders>
              <w:top w:val="nil"/>
              <w:left w:val="nil"/>
              <w:bottom w:val="nil"/>
              <w:right w:val="nil"/>
            </w:tcBorders>
            <w:shd w:val="clear" w:color="auto" w:fill="auto"/>
            <w:noWrap/>
            <w:vAlign w:val="bottom"/>
            <w:hideMark/>
          </w:tcPr>
          <w:p w14:paraId="48CC3B0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4405" w:type="dxa"/>
            <w:gridSpan w:val="4"/>
            <w:tcBorders>
              <w:top w:val="nil"/>
              <w:left w:val="nil"/>
              <w:bottom w:val="nil"/>
              <w:right w:val="nil"/>
            </w:tcBorders>
            <w:shd w:val="clear" w:color="auto" w:fill="auto"/>
            <w:noWrap/>
            <w:vAlign w:val="bottom"/>
            <w:hideMark/>
          </w:tcPr>
          <w:p w14:paraId="5E008B99"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Treatment</w:t>
            </w:r>
          </w:p>
        </w:tc>
        <w:tc>
          <w:tcPr>
            <w:tcW w:w="1060" w:type="dxa"/>
            <w:tcBorders>
              <w:top w:val="nil"/>
              <w:left w:val="nil"/>
              <w:bottom w:val="nil"/>
              <w:right w:val="nil"/>
            </w:tcBorders>
            <w:shd w:val="clear" w:color="auto" w:fill="auto"/>
            <w:noWrap/>
            <w:vAlign w:val="bottom"/>
            <w:hideMark/>
          </w:tcPr>
          <w:p w14:paraId="55F85E8C"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p>
        </w:tc>
        <w:tc>
          <w:tcPr>
            <w:tcW w:w="1040" w:type="dxa"/>
            <w:tcBorders>
              <w:top w:val="nil"/>
              <w:left w:val="nil"/>
              <w:bottom w:val="nil"/>
              <w:right w:val="nil"/>
            </w:tcBorders>
            <w:shd w:val="clear" w:color="auto" w:fill="auto"/>
            <w:noWrap/>
            <w:vAlign w:val="bottom"/>
            <w:hideMark/>
          </w:tcPr>
          <w:p w14:paraId="34500544"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3C40E7FC" w14:textId="77777777" w:rsidTr="00437290">
        <w:trPr>
          <w:trHeight w:val="266"/>
        </w:trPr>
        <w:tc>
          <w:tcPr>
            <w:tcW w:w="1926" w:type="dxa"/>
            <w:tcBorders>
              <w:top w:val="nil"/>
              <w:left w:val="nil"/>
              <w:bottom w:val="nil"/>
              <w:right w:val="nil"/>
            </w:tcBorders>
            <w:shd w:val="clear" w:color="auto" w:fill="auto"/>
            <w:noWrap/>
            <w:vAlign w:val="bottom"/>
            <w:hideMark/>
          </w:tcPr>
          <w:p w14:paraId="3C0BDD00"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2117" w:type="dxa"/>
            <w:gridSpan w:val="2"/>
            <w:tcBorders>
              <w:top w:val="nil"/>
              <w:left w:val="nil"/>
              <w:bottom w:val="single" w:sz="8" w:space="0" w:color="auto"/>
              <w:right w:val="nil"/>
            </w:tcBorders>
            <w:shd w:val="clear" w:color="auto" w:fill="auto"/>
            <w:noWrap/>
            <w:vAlign w:val="bottom"/>
            <w:hideMark/>
          </w:tcPr>
          <w:p w14:paraId="2E2A25D6"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Groundwater</w:t>
            </w:r>
          </w:p>
        </w:tc>
        <w:tc>
          <w:tcPr>
            <w:tcW w:w="2288" w:type="dxa"/>
            <w:gridSpan w:val="2"/>
            <w:tcBorders>
              <w:top w:val="nil"/>
              <w:left w:val="nil"/>
              <w:bottom w:val="single" w:sz="8" w:space="0" w:color="auto"/>
              <w:right w:val="nil"/>
            </w:tcBorders>
            <w:shd w:val="clear" w:color="auto" w:fill="auto"/>
            <w:noWrap/>
            <w:vAlign w:val="bottom"/>
            <w:hideMark/>
          </w:tcPr>
          <w:p w14:paraId="21FA5E9B"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Mine water</w:t>
            </w:r>
          </w:p>
        </w:tc>
        <w:tc>
          <w:tcPr>
            <w:tcW w:w="1060" w:type="dxa"/>
            <w:tcBorders>
              <w:top w:val="nil"/>
              <w:left w:val="nil"/>
              <w:bottom w:val="nil"/>
              <w:right w:val="nil"/>
            </w:tcBorders>
            <w:shd w:val="clear" w:color="auto" w:fill="auto"/>
            <w:noWrap/>
            <w:vAlign w:val="bottom"/>
            <w:hideMark/>
          </w:tcPr>
          <w:p w14:paraId="1D0C2E50"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p>
        </w:tc>
        <w:tc>
          <w:tcPr>
            <w:tcW w:w="1040" w:type="dxa"/>
            <w:vMerge w:val="restart"/>
            <w:tcBorders>
              <w:top w:val="nil"/>
              <w:left w:val="nil"/>
              <w:bottom w:val="single" w:sz="8" w:space="0" w:color="000000"/>
              <w:right w:val="nil"/>
            </w:tcBorders>
            <w:shd w:val="clear" w:color="auto" w:fill="auto"/>
            <w:vAlign w:val="bottom"/>
            <w:hideMark/>
          </w:tcPr>
          <w:p w14:paraId="775969E8" w14:textId="129F0AED" w:rsidR="00437290" w:rsidRPr="00F07DEB" w:rsidRDefault="0006673C"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r>
      <w:tr w:rsidR="00437290" w:rsidRPr="00F07DEB" w14:paraId="1A0E5E45"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21108E6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Structure</w:t>
            </w:r>
          </w:p>
        </w:tc>
        <w:tc>
          <w:tcPr>
            <w:tcW w:w="1251" w:type="dxa"/>
            <w:tcBorders>
              <w:top w:val="nil"/>
              <w:left w:val="nil"/>
              <w:bottom w:val="single" w:sz="8" w:space="0" w:color="auto"/>
              <w:right w:val="nil"/>
            </w:tcBorders>
            <w:shd w:val="clear" w:color="auto" w:fill="auto"/>
            <w:noWrap/>
            <w:vAlign w:val="bottom"/>
            <w:hideMark/>
          </w:tcPr>
          <w:p w14:paraId="1333054B"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866" w:type="dxa"/>
            <w:tcBorders>
              <w:top w:val="nil"/>
              <w:left w:val="nil"/>
              <w:bottom w:val="single" w:sz="8" w:space="0" w:color="auto"/>
              <w:right w:val="nil"/>
            </w:tcBorders>
            <w:shd w:val="clear" w:color="auto" w:fill="auto"/>
            <w:noWrap/>
            <w:vAlign w:val="bottom"/>
            <w:hideMark/>
          </w:tcPr>
          <w:p w14:paraId="275ED0DC"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1128" w:type="dxa"/>
            <w:tcBorders>
              <w:top w:val="nil"/>
              <w:left w:val="nil"/>
              <w:bottom w:val="single" w:sz="8" w:space="0" w:color="auto"/>
              <w:right w:val="nil"/>
            </w:tcBorders>
            <w:shd w:val="clear" w:color="auto" w:fill="auto"/>
            <w:noWrap/>
            <w:vAlign w:val="bottom"/>
            <w:hideMark/>
          </w:tcPr>
          <w:p w14:paraId="7B7F4DC0"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1160" w:type="dxa"/>
            <w:tcBorders>
              <w:top w:val="nil"/>
              <w:left w:val="nil"/>
              <w:bottom w:val="single" w:sz="8" w:space="0" w:color="auto"/>
              <w:right w:val="nil"/>
            </w:tcBorders>
            <w:shd w:val="clear" w:color="auto" w:fill="auto"/>
            <w:noWrap/>
            <w:vAlign w:val="bottom"/>
            <w:hideMark/>
          </w:tcPr>
          <w:p w14:paraId="5DD6CA0A"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1060" w:type="dxa"/>
            <w:tcBorders>
              <w:top w:val="nil"/>
              <w:left w:val="nil"/>
              <w:bottom w:val="single" w:sz="8" w:space="0" w:color="auto"/>
              <w:right w:val="nil"/>
            </w:tcBorders>
            <w:shd w:val="clear" w:color="auto" w:fill="auto"/>
            <w:noWrap/>
            <w:vAlign w:val="bottom"/>
            <w:hideMark/>
          </w:tcPr>
          <w:p w14:paraId="1411D540" w14:textId="77777777" w:rsidR="00437290" w:rsidRPr="00F07DEB" w:rsidRDefault="00437290" w:rsidP="00437290">
            <w:pPr>
              <w:spacing w:after="0" w:line="240" w:lineRule="auto"/>
              <w:jc w:val="center"/>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040" w:type="dxa"/>
            <w:vMerge/>
            <w:tcBorders>
              <w:top w:val="nil"/>
              <w:left w:val="nil"/>
              <w:bottom w:val="single" w:sz="8" w:space="0" w:color="000000"/>
              <w:right w:val="nil"/>
            </w:tcBorders>
            <w:vAlign w:val="center"/>
            <w:hideMark/>
          </w:tcPr>
          <w:p w14:paraId="0B2EB62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68B78472" w14:textId="77777777" w:rsidTr="00437290">
        <w:trPr>
          <w:trHeight w:val="258"/>
        </w:trPr>
        <w:tc>
          <w:tcPr>
            <w:tcW w:w="1926" w:type="dxa"/>
            <w:tcBorders>
              <w:top w:val="nil"/>
              <w:left w:val="nil"/>
              <w:bottom w:val="nil"/>
              <w:right w:val="nil"/>
            </w:tcBorders>
            <w:shd w:val="clear" w:color="auto" w:fill="auto"/>
            <w:noWrap/>
            <w:vAlign w:val="bottom"/>
            <w:hideMark/>
          </w:tcPr>
          <w:p w14:paraId="344332B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Corn *</w:t>
            </w:r>
          </w:p>
        </w:tc>
        <w:tc>
          <w:tcPr>
            <w:tcW w:w="1251" w:type="dxa"/>
            <w:tcBorders>
              <w:top w:val="nil"/>
              <w:left w:val="nil"/>
              <w:bottom w:val="nil"/>
              <w:right w:val="nil"/>
            </w:tcBorders>
            <w:shd w:val="clear" w:color="auto" w:fill="auto"/>
            <w:noWrap/>
            <w:vAlign w:val="bottom"/>
            <w:hideMark/>
          </w:tcPr>
          <w:p w14:paraId="10FD726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661B47D6"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3F9FDC32"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72CF42E0"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14458DFA"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4B647A60"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66CDF336" w14:textId="77777777" w:rsidTr="00437290">
        <w:trPr>
          <w:trHeight w:val="258"/>
        </w:trPr>
        <w:tc>
          <w:tcPr>
            <w:tcW w:w="1926" w:type="dxa"/>
            <w:tcBorders>
              <w:top w:val="nil"/>
              <w:left w:val="nil"/>
              <w:bottom w:val="nil"/>
              <w:right w:val="nil"/>
            </w:tcBorders>
            <w:shd w:val="clear" w:color="auto" w:fill="auto"/>
            <w:noWrap/>
            <w:vAlign w:val="bottom"/>
            <w:hideMark/>
          </w:tcPr>
          <w:p w14:paraId="636105D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 †</w:t>
            </w:r>
          </w:p>
        </w:tc>
        <w:tc>
          <w:tcPr>
            <w:tcW w:w="1251" w:type="dxa"/>
            <w:tcBorders>
              <w:top w:val="nil"/>
              <w:left w:val="nil"/>
              <w:bottom w:val="nil"/>
              <w:right w:val="nil"/>
            </w:tcBorders>
            <w:shd w:val="clear" w:color="auto" w:fill="auto"/>
            <w:noWrap/>
            <w:vAlign w:val="bottom"/>
            <w:hideMark/>
          </w:tcPr>
          <w:p w14:paraId="1C2B0A8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1.685</w:t>
            </w:r>
          </w:p>
        </w:tc>
        <w:tc>
          <w:tcPr>
            <w:tcW w:w="866" w:type="dxa"/>
            <w:tcBorders>
              <w:top w:val="nil"/>
              <w:left w:val="nil"/>
              <w:bottom w:val="nil"/>
              <w:right w:val="nil"/>
            </w:tcBorders>
            <w:shd w:val="clear" w:color="auto" w:fill="auto"/>
            <w:noWrap/>
            <w:vAlign w:val="bottom"/>
            <w:hideMark/>
          </w:tcPr>
          <w:p w14:paraId="3A40116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0.953</w:t>
            </w:r>
          </w:p>
        </w:tc>
        <w:tc>
          <w:tcPr>
            <w:tcW w:w="1128" w:type="dxa"/>
            <w:tcBorders>
              <w:top w:val="nil"/>
              <w:left w:val="nil"/>
              <w:bottom w:val="nil"/>
              <w:right w:val="nil"/>
            </w:tcBorders>
            <w:shd w:val="clear" w:color="auto" w:fill="auto"/>
            <w:noWrap/>
            <w:vAlign w:val="bottom"/>
            <w:hideMark/>
          </w:tcPr>
          <w:p w14:paraId="46E8318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0.883</w:t>
            </w:r>
          </w:p>
        </w:tc>
        <w:tc>
          <w:tcPr>
            <w:tcW w:w="1160" w:type="dxa"/>
            <w:tcBorders>
              <w:top w:val="nil"/>
              <w:left w:val="nil"/>
              <w:bottom w:val="nil"/>
              <w:right w:val="nil"/>
            </w:tcBorders>
            <w:shd w:val="clear" w:color="auto" w:fill="auto"/>
            <w:noWrap/>
            <w:vAlign w:val="bottom"/>
            <w:hideMark/>
          </w:tcPr>
          <w:p w14:paraId="54C1AA3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0.329</w:t>
            </w:r>
          </w:p>
        </w:tc>
        <w:tc>
          <w:tcPr>
            <w:tcW w:w="1060" w:type="dxa"/>
            <w:vMerge w:val="restart"/>
            <w:tcBorders>
              <w:top w:val="nil"/>
              <w:left w:val="nil"/>
              <w:bottom w:val="single" w:sz="8" w:space="0" w:color="000000"/>
              <w:right w:val="nil"/>
            </w:tcBorders>
            <w:shd w:val="clear" w:color="auto" w:fill="auto"/>
            <w:noWrap/>
            <w:vAlign w:val="center"/>
            <w:hideMark/>
          </w:tcPr>
          <w:p w14:paraId="24ACD2F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0.475</w:t>
            </w:r>
          </w:p>
        </w:tc>
        <w:tc>
          <w:tcPr>
            <w:tcW w:w="1040" w:type="dxa"/>
            <w:vMerge w:val="restart"/>
            <w:tcBorders>
              <w:top w:val="nil"/>
              <w:left w:val="nil"/>
              <w:bottom w:val="single" w:sz="8" w:space="0" w:color="000000"/>
              <w:right w:val="nil"/>
            </w:tcBorders>
            <w:shd w:val="clear" w:color="auto" w:fill="auto"/>
            <w:noWrap/>
            <w:vAlign w:val="center"/>
            <w:hideMark/>
          </w:tcPr>
          <w:p w14:paraId="1525D0F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0.052</w:t>
            </w:r>
          </w:p>
        </w:tc>
      </w:tr>
      <w:tr w:rsidR="00437290" w:rsidRPr="00F07DEB" w14:paraId="21A4E890" w14:textId="77777777" w:rsidTr="00437290">
        <w:trPr>
          <w:trHeight w:val="258"/>
        </w:trPr>
        <w:tc>
          <w:tcPr>
            <w:tcW w:w="1926" w:type="dxa"/>
            <w:tcBorders>
              <w:top w:val="nil"/>
              <w:left w:val="nil"/>
              <w:bottom w:val="nil"/>
              <w:right w:val="nil"/>
            </w:tcBorders>
            <w:shd w:val="clear" w:color="auto" w:fill="auto"/>
            <w:noWrap/>
            <w:vAlign w:val="bottom"/>
            <w:hideMark/>
          </w:tcPr>
          <w:p w14:paraId="05F83EE7" w14:textId="7A72F119"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w:t>
            </w:r>
            <w:r w:rsidR="001405F5">
              <w:rPr>
                <w:rFonts w:ascii="Times New Roman" w:eastAsia="Times New Roman" w:hAnsi="Times New Roman" w:cs="Times New Roman"/>
                <w:color w:val="000000"/>
                <w:sz w:val="20"/>
                <w:szCs w:val="20"/>
                <w:lang w:eastAsia="en-US"/>
              </w:rPr>
              <w:t>Husk</w:t>
            </w:r>
            <w:r w:rsidRPr="00F07DEB">
              <w:rPr>
                <w:rFonts w:ascii="Times New Roman" w:eastAsia="Times New Roman" w:hAnsi="Times New Roman" w:cs="Times New Roman"/>
                <w:color w:val="000000"/>
                <w:sz w:val="20"/>
                <w:szCs w:val="20"/>
                <w:lang w:eastAsia="en-US"/>
              </w:rPr>
              <w:t xml:space="preserve"> †</w:t>
            </w:r>
          </w:p>
        </w:tc>
        <w:tc>
          <w:tcPr>
            <w:tcW w:w="1251" w:type="dxa"/>
            <w:tcBorders>
              <w:top w:val="nil"/>
              <w:left w:val="nil"/>
              <w:bottom w:val="nil"/>
              <w:right w:val="nil"/>
            </w:tcBorders>
            <w:shd w:val="clear" w:color="auto" w:fill="auto"/>
            <w:noWrap/>
            <w:vAlign w:val="bottom"/>
            <w:hideMark/>
          </w:tcPr>
          <w:p w14:paraId="1F91E70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1.037</w:t>
            </w:r>
          </w:p>
        </w:tc>
        <w:tc>
          <w:tcPr>
            <w:tcW w:w="866" w:type="dxa"/>
            <w:tcBorders>
              <w:top w:val="nil"/>
              <w:left w:val="nil"/>
              <w:bottom w:val="nil"/>
              <w:right w:val="nil"/>
            </w:tcBorders>
            <w:shd w:val="clear" w:color="auto" w:fill="auto"/>
            <w:noWrap/>
            <w:vAlign w:val="bottom"/>
            <w:hideMark/>
          </w:tcPr>
          <w:p w14:paraId="3B59D45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0.742</w:t>
            </w:r>
          </w:p>
        </w:tc>
        <w:tc>
          <w:tcPr>
            <w:tcW w:w="1128" w:type="dxa"/>
            <w:tcBorders>
              <w:top w:val="nil"/>
              <w:left w:val="nil"/>
              <w:bottom w:val="nil"/>
              <w:right w:val="nil"/>
            </w:tcBorders>
            <w:shd w:val="clear" w:color="auto" w:fill="auto"/>
            <w:noWrap/>
            <w:vAlign w:val="bottom"/>
            <w:hideMark/>
          </w:tcPr>
          <w:p w14:paraId="0033AF5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1.244</w:t>
            </w:r>
          </w:p>
        </w:tc>
        <w:tc>
          <w:tcPr>
            <w:tcW w:w="1160" w:type="dxa"/>
            <w:tcBorders>
              <w:top w:val="nil"/>
              <w:left w:val="nil"/>
              <w:bottom w:val="nil"/>
              <w:right w:val="nil"/>
            </w:tcBorders>
            <w:shd w:val="clear" w:color="auto" w:fill="auto"/>
            <w:noWrap/>
            <w:vAlign w:val="bottom"/>
            <w:hideMark/>
          </w:tcPr>
          <w:p w14:paraId="59D9D2F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0.623</w:t>
            </w:r>
          </w:p>
        </w:tc>
        <w:tc>
          <w:tcPr>
            <w:tcW w:w="1060" w:type="dxa"/>
            <w:vMerge/>
            <w:tcBorders>
              <w:top w:val="nil"/>
              <w:left w:val="nil"/>
              <w:bottom w:val="single" w:sz="8" w:space="0" w:color="000000"/>
              <w:right w:val="nil"/>
            </w:tcBorders>
            <w:vAlign w:val="center"/>
            <w:hideMark/>
          </w:tcPr>
          <w:p w14:paraId="147E9F4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58B1375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2F0A08D4" w14:textId="77777777" w:rsidTr="00437290">
        <w:trPr>
          <w:trHeight w:val="258"/>
        </w:trPr>
        <w:tc>
          <w:tcPr>
            <w:tcW w:w="1926" w:type="dxa"/>
            <w:tcBorders>
              <w:top w:val="nil"/>
              <w:left w:val="nil"/>
              <w:bottom w:val="nil"/>
              <w:right w:val="nil"/>
            </w:tcBorders>
            <w:shd w:val="clear" w:color="auto" w:fill="auto"/>
            <w:noWrap/>
            <w:vAlign w:val="bottom"/>
            <w:hideMark/>
          </w:tcPr>
          <w:p w14:paraId="4E7A9BA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 †</w:t>
            </w:r>
          </w:p>
        </w:tc>
        <w:tc>
          <w:tcPr>
            <w:tcW w:w="1251" w:type="dxa"/>
            <w:tcBorders>
              <w:top w:val="nil"/>
              <w:left w:val="nil"/>
              <w:bottom w:val="nil"/>
              <w:right w:val="nil"/>
            </w:tcBorders>
            <w:shd w:val="clear" w:color="auto" w:fill="auto"/>
            <w:noWrap/>
            <w:vAlign w:val="bottom"/>
            <w:hideMark/>
          </w:tcPr>
          <w:p w14:paraId="50B1359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7.298</w:t>
            </w:r>
          </w:p>
        </w:tc>
        <w:tc>
          <w:tcPr>
            <w:tcW w:w="866" w:type="dxa"/>
            <w:tcBorders>
              <w:top w:val="nil"/>
              <w:left w:val="nil"/>
              <w:bottom w:val="nil"/>
              <w:right w:val="nil"/>
            </w:tcBorders>
            <w:shd w:val="clear" w:color="auto" w:fill="auto"/>
            <w:noWrap/>
            <w:vAlign w:val="bottom"/>
            <w:hideMark/>
          </w:tcPr>
          <w:p w14:paraId="3962EF3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11.406</w:t>
            </w:r>
          </w:p>
        </w:tc>
        <w:tc>
          <w:tcPr>
            <w:tcW w:w="1128" w:type="dxa"/>
            <w:tcBorders>
              <w:top w:val="nil"/>
              <w:left w:val="nil"/>
              <w:bottom w:val="nil"/>
              <w:right w:val="nil"/>
            </w:tcBorders>
            <w:shd w:val="clear" w:color="auto" w:fill="auto"/>
            <w:noWrap/>
            <w:vAlign w:val="bottom"/>
            <w:hideMark/>
          </w:tcPr>
          <w:p w14:paraId="237F5A9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2.611</w:t>
            </w:r>
          </w:p>
        </w:tc>
        <w:tc>
          <w:tcPr>
            <w:tcW w:w="1160" w:type="dxa"/>
            <w:tcBorders>
              <w:top w:val="nil"/>
              <w:left w:val="nil"/>
              <w:bottom w:val="nil"/>
              <w:right w:val="nil"/>
            </w:tcBorders>
            <w:shd w:val="clear" w:color="auto" w:fill="auto"/>
            <w:noWrap/>
            <w:vAlign w:val="bottom"/>
            <w:hideMark/>
          </w:tcPr>
          <w:p w14:paraId="67C2E4E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2.361</w:t>
            </w:r>
          </w:p>
        </w:tc>
        <w:tc>
          <w:tcPr>
            <w:tcW w:w="1060" w:type="dxa"/>
            <w:vMerge/>
            <w:tcBorders>
              <w:top w:val="nil"/>
              <w:left w:val="nil"/>
              <w:bottom w:val="single" w:sz="8" w:space="0" w:color="000000"/>
              <w:right w:val="nil"/>
            </w:tcBorders>
            <w:vAlign w:val="center"/>
            <w:hideMark/>
          </w:tcPr>
          <w:p w14:paraId="3AD4B63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0D5FCB6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42D49122" w14:textId="77777777" w:rsidTr="00437290">
        <w:trPr>
          <w:trHeight w:val="258"/>
        </w:trPr>
        <w:tc>
          <w:tcPr>
            <w:tcW w:w="1926" w:type="dxa"/>
            <w:tcBorders>
              <w:top w:val="nil"/>
              <w:left w:val="nil"/>
              <w:bottom w:val="nil"/>
              <w:right w:val="nil"/>
            </w:tcBorders>
            <w:shd w:val="clear" w:color="auto" w:fill="auto"/>
            <w:noWrap/>
            <w:vAlign w:val="bottom"/>
            <w:hideMark/>
          </w:tcPr>
          <w:p w14:paraId="2F01768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Cob †</w:t>
            </w:r>
          </w:p>
        </w:tc>
        <w:tc>
          <w:tcPr>
            <w:tcW w:w="1251" w:type="dxa"/>
            <w:tcBorders>
              <w:top w:val="nil"/>
              <w:left w:val="nil"/>
              <w:bottom w:val="nil"/>
              <w:right w:val="nil"/>
            </w:tcBorders>
            <w:shd w:val="clear" w:color="auto" w:fill="auto"/>
            <w:noWrap/>
            <w:vAlign w:val="bottom"/>
            <w:hideMark/>
          </w:tcPr>
          <w:p w14:paraId="662CAD6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4.022</w:t>
            </w:r>
          </w:p>
        </w:tc>
        <w:tc>
          <w:tcPr>
            <w:tcW w:w="866" w:type="dxa"/>
            <w:tcBorders>
              <w:top w:val="nil"/>
              <w:left w:val="nil"/>
              <w:bottom w:val="nil"/>
              <w:right w:val="nil"/>
            </w:tcBorders>
            <w:shd w:val="clear" w:color="auto" w:fill="auto"/>
            <w:noWrap/>
            <w:vAlign w:val="bottom"/>
            <w:hideMark/>
          </w:tcPr>
          <w:p w14:paraId="5B05F1A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4.129</w:t>
            </w:r>
          </w:p>
        </w:tc>
        <w:tc>
          <w:tcPr>
            <w:tcW w:w="1128" w:type="dxa"/>
            <w:tcBorders>
              <w:top w:val="nil"/>
              <w:left w:val="nil"/>
              <w:bottom w:val="nil"/>
              <w:right w:val="nil"/>
            </w:tcBorders>
            <w:shd w:val="clear" w:color="auto" w:fill="auto"/>
            <w:noWrap/>
            <w:vAlign w:val="bottom"/>
            <w:hideMark/>
          </w:tcPr>
          <w:p w14:paraId="0E14A9A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1.834</w:t>
            </w:r>
          </w:p>
        </w:tc>
        <w:tc>
          <w:tcPr>
            <w:tcW w:w="1160" w:type="dxa"/>
            <w:tcBorders>
              <w:top w:val="nil"/>
              <w:left w:val="nil"/>
              <w:bottom w:val="nil"/>
              <w:right w:val="nil"/>
            </w:tcBorders>
            <w:shd w:val="clear" w:color="auto" w:fill="auto"/>
            <w:noWrap/>
            <w:vAlign w:val="bottom"/>
            <w:hideMark/>
          </w:tcPr>
          <w:p w14:paraId="49BE1E0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1.266</w:t>
            </w:r>
          </w:p>
        </w:tc>
        <w:tc>
          <w:tcPr>
            <w:tcW w:w="1060" w:type="dxa"/>
            <w:vMerge/>
            <w:tcBorders>
              <w:top w:val="nil"/>
              <w:left w:val="nil"/>
              <w:bottom w:val="single" w:sz="8" w:space="0" w:color="000000"/>
              <w:right w:val="nil"/>
            </w:tcBorders>
            <w:vAlign w:val="center"/>
            <w:hideMark/>
          </w:tcPr>
          <w:p w14:paraId="1D93A82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44A681F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5D54E41E" w14:textId="77777777" w:rsidTr="00437290">
        <w:trPr>
          <w:trHeight w:val="258"/>
        </w:trPr>
        <w:tc>
          <w:tcPr>
            <w:tcW w:w="1926" w:type="dxa"/>
            <w:tcBorders>
              <w:top w:val="nil"/>
              <w:left w:val="nil"/>
              <w:bottom w:val="nil"/>
              <w:right w:val="nil"/>
            </w:tcBorders>
            <w:shd w:val="clear" w:color="auto" w:fill="auto"/>
            <w:noWrap/>
            <w:vAlign w:val="bottom"/>
            <w:hideMark/>
          </w:tcPr>
          <w:p w14:paraId="6FD0AC3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 †</w:t>
            </w:r>
          </w:p>
        </w:tc>
        <w:tc>
          <w:tcPr>
            <w:tcW w:w="1251" w:type="dxa"/>
            <w:tcBorders>
              <w:top w:val="nil"/>
              <w:left w:val="nil"/>
              <w:bottom w:val="nil"/>
              <w:right w:val="nil"/>
            </w:tcBorders>
            <w:shd w:val="clear" w:color="auto" w:fill="auto"/>
            <w:noWrap/>
            <w:vAlign w:val="bottom"/>
            <w:hideMark/>
          </w:tcPr>
          <w:p w14:paraId="336C15F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1.784</w:t>
            </w:r>
          </w:p>
        </w:tc>
        <w:tc>
          <w:tcPr>
            <w:tcW w:w="866" w:type="dxa"/>
            <w:tcBorders>
              <w:top w:val="nil"/>
              <w:left w:val="nil"/>
              <w:bottom w:val="nil"/>
              <w:right w:val="nil"/>
            </w:tcBorders>
            <w:shd w:val="clear" w:color="auto" w:fill="auto"/>
            <w:noWrap/>
            <w:vAlign w:val="bottom"/>
            <w:hideMark/>
          </w:tcPr>
          <w:p w14:paraId="5493B05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0.544</w:t>
            </w:r>
          </w:p>
        </w:tc>
        <w:tc>
          <w:tcPr>
            <w:tcW w:w="1128" w:type="dxa"/>
            <w:tcBorders>
              <w:top w:val="nil"/>
              <w:left w:val="nil"/>
              <w:bottom w:val="nil"/>
              <w:right w:val="nil"/>
            </w:tcBorders>
            <w:shd w:val="clear" w:color="auto" w:fill="auto"/>
            <w:noWrap/>
            <w:vAlign w:val="bottom"/>
            <w:hideMark/>
          </w:tcPr>
          <w:p w14:paraId="40E022D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2.086</w:t>
            </w:r>
          </w:p>
        </w:tc>
        <w:tc>
          <w:tcPr>
            <w:tcW w:w="1160" w:type="dxa"/>
            <w:tcBorders>
              <w:top w:val="nil"/>
              <w:left w:val="nil"/>
              <w:bottom w:val="nil"/>
              <w:right w:val="nil"/>
            </w:tcBorders>
            <w:shd w:val="clear" w:color="auto" w:fill="auto"/>
            <w:noWrap/>
            <w:vAlign w:val="bottom"/>
            <w:hideMark/>
          </w:tcPr>
          <w:p w14:paraId="71A55EE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0.116</w:t>
            </w:r>
          </w:p>
        </w:tc>
        <w:tc>
          <w:tcPr>
            <w:tcW w:w="1060" w:type="dxa"/>
            <w:vMerge/>
            <w:tcBorders>
              <w:top w:val="nil"/>
              <w:left w:val="nil"/>
              <w:bottom w:val="single" w:sz="8" w:space="0" w:color="000000"/>
              <w:right w:val="nil"/>
            </w:tcBorders>
            <w:vAlign w:val="center"/>
            <w:hideMark/>
          </w:tcPr>
          <w:p w14:paraId="7036CB1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0119FEE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6016472A"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1CC04AF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 †</w:t>
            </w:r>
          </w:p>
        </w:tc>
        <w:tc>
          <w:tcPr>
            <w:tcW w:w="1251" w:type="dxa"/>
            <w:tcBorders>
              <w:top w:val="nil"/>
              <w:left w:val="nil"/>
              <w:bottom w:val="single" w:sz="8" w:space="0" w:color="auto"/>
              <w:right w:val="nil"/>
            </w:tcBorders>
            <w:shd w:val="clear" w:color="auto" w:fill="auto"/>
            <w:noWrap/>
            <w:vAlign w:val="bottom"/>
            <w:hideMark/>
          </w:tcPr>
          <w:p w14:paraId="180797A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1.728</w:t>
            </w:r>
          </w:p>
        </w:tc>
        <w:tc>
          <w:tcPr>
            <w:tcW w:w="866" w:type="dxa"/>
            <w:tcBorders>
              <w:top w:val="nil"/>
              <w:left w:val="nil"/>
              <w:bottom w:val="single" w:sz="8" w:space="0" w:color="auto"/>
              <w:right w:val="nil"/>
            </w:tcBorders>
            <w:shd w:val="clear" w:color="auto" w:fill="auto"/>
            <w:noWrap/>
            <w:vAlign w:val="bottom"/>
            <w:hideMark/>
          </w:tcPr>
          <w:p w14:paraId="7652B46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0.718</w:t>
            </w:r>
          </w:p>
        </w:tc>
        <w:tc>
          <w:tcPr>
            <w:tcW w:w="1128" w:type="dxa"/>
            <w:tcBorders>
              <w:top w:val="nil"/>
              <w:left w:val="nil"/>
              <w:bottom w:val="single" w:sz="8" w:space="0" w:color="auto"/>
              <w:right w:val="nil"/>
            </w:tcBorders>
            <w:shd w:val="clear" w:color="auto" w:fill="auto"/>
            <w:noWrap/>
            <w:vAlign w:val="bottom"/>
            <w:hideMark/>
          </w:tcPr>
          <w:p w14:paraId="5DE04E4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2.566</w:t>
            </w:r>
          </w:p>
        </w:tc>
        <w:tc>
          <w:tcPr>
            <w:tcW w:w="1160" w:type="dxa"/>
            <w:tcBorders>
              <w:top w:val="nil"/>
              <w:left w:val="nil"/>
              <w:bottom w:val="single" w:sz="8" w:space="0" w:color="auto"/>
              <w:right w:val="nil"/>
            </w:tcBorders>
            <w:shd w:val="clear" w:color="auto" w:fill="auto"/>
            <w:noWrap/>
            <w:vAlign w:val="bottom"/>
            <w:hideMark/>
          </w:tcPr>
          <w:p w14:paraId="0127D8B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1.171</w:t>
            </w:r>
          </w:p>
        </w:tc>
        <w:tc>
          <w:tcPr>
            <w:tcW w:w="1060" w:type="dxa"/>
            <w:vMerge/>
            <w:tcBorders>
              <w:top w:val="nil"/>
              <w:left w:val="nil"/>
              <w:bottom w:val="single" w:sz="8" w:space="0" w:color="000000"/>
              <w:right w:val="nil"/>
            </w:tcBorders>
            <w:vAlign w:val="center"/>
            <w:hideMark/>
          </w:tcPr>
          <w:p w14:paraId="70B236B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7FEA71A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78CB22D0" w14:textId="77777777" w:rsidTr="00437290">
        <w:trPr>
          <w:trHeight w:val="258"/>
        </w:trPr>
        <w:tc>
          <w:tcPr>
            <w:tcW w:w="1926" w:type="dxa"/>
            <w:tcBorders>
              <w:top w:val="nil"/>
              <w:left w:val="nil"/>
              <w:bottom w:val="nil"/>
              <w:right w:val="nil"/>
            </w:tcBorders>
            <w:shd w:val="clear" w:color="auto" w:fill="auto"/>
            <w:noWrap/>
            <w:vAlign w:val="bottom"/>
            <w:hideMark/>
          </w:tcPr>
          <w:p w14:paraId="51B5051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Sorghum *</w:t>
            </w:r>
          </w:p>
        </w:tc>
        <w:tc>
          <w:tcPr>
            <w:tcW w:w="1251" w:type="dxa"/>
            <w:tcBorders>
              <w:top w:val="nil"/>
              <w:left w:val="nil"/>
              <w:bottom w:val="nil"/>
              <w:right w:val="nil"/>
            </w:tcBorders>
            <w:shd w:val="clear" w:color="auto" w:fill="auto"/>
            <w:noWrap/>
            <w:vAlign w:val="bottom"/>
            <w:hideMark/>
          </w:tcPr>
          <w:p w14:paraId="28909C8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4ED256E3"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765C2CDC"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4931F16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1C07C608"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7144D5CE"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05FED2A4" w14:textId="77777777" w:rsidTr="00437290">
        <w:trPr>
          <w:trHeight w:val="258"/>
        </w:trPr>
        <w:tc>
          <w:tcPr>
            <w:tcW w:w="1926" w:type="dxa"/>
            <w:tcBorders>
              <w:top w:val="nil"/>
              <w:left w:val="nil"/>
              <w:bottom w:val="nil"/>
              <w:right w:val="nil"/>
            </w:tcBorders>
            <w:shd w:val="clear" w:color="auto" w:fill="auto"/>
            <w:noWrap/>
            <w:vAlign w:val="bottom"/>
            <w:hideMark/>
          </w:tcPr>
          <w:p w14:paraId="240383D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 </w:t>
            </w:r>
          </w:p>
        </w:tc>
        <w:tc>
          <w:tcPr>
            <w:tcW w:w="1251" w:type="dxa"/>
            <w:tcBorders>
              <w:top w:val="nil"/>
              <w:left w:val="nil"/>
              <w:bottom w:val="nil"/>
              <w:right w:val="nil"/>
            </w:tcBorders>
            <w:shd w:val="clear" w:color="auto" w:fill="auto"/>
            <w:noWrap/>
            <w:vAlign w:val="bottom"/>
            <w:hideMark/>
          </w:tcPr>
          <w:p w14:paraId="35E4C55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1.163</w:t>
            </w:r>
          </w:p>
        </w:tc>
        <w:tc>
          <w:tcPr>
            <w:tcW w:w="866" w:type="dxa"/>
            <w:tcBorders>
              <w:top w:val="nil"/>
              <w:left w:val="nil"/>
              <w:bottom w:val="nil"/>
              <w:right w:val="nil"/>
            </w:tcBorders>
            <w:shd w:val="clear" w:color="auto" w:fill="auto"/>
            <w:noWrap/>
            <w:vAlign w:val="bottom"/>
            <w:hideMark/>
          </w:tcPr>
          <w:p w14:paraId="2472667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0.322</w:t>
            </w:r>
          </w:p>
        </w:tc>
        <w:tc>
          <w:tcPr>
            <w:tcW w:w="1128" w:type="dxa"/>
            <w:tcBorders>
              <w:top w:val="nil"/>
              <w:left w:val="nil"/>
              <w:bottom w:val="nil"/>
              <w:right w:val="nil"/>
            </w:tcBorders>
            <w:shd w:val="clear" w:color="auto" w:fill="auto"/>
            <w:noWrap/>
            <w:vAlign w:val="bottom"/>
            <w:hideMark/>
          </w:tcPr>
          <w:p w14:paraId="53D23D0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1.533</w:t>
            </w:r>
          </w:p>
        </w:tc>
        <w:tc>
          <w:tcPr>
            <w:tcW w:w="1160" w:type="dxa"/>
            <w:tcBorders>
              <w:top w:val="nil"/>
              <w:left w:val="nil"/>
              <w:bottom w:val="nil"/>
              <w:right w:val="nil"/>
            </w:tcBorders>
            <w:shd w:val="clear" w:color="auto" w:fill="auto"/>
            <w:noWrap/>
            <w:vAlign w:val="bottom"/>
            <w:hideMark/>
          </w:tcPr>
          <w:p w14:paraId="437CD05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0.868</w:t>
            </w:r>
          </w:p>
        </w:tc>
        <w:tc>
          <w:tcPr>
            <w:tcW w:w="1060" w:type="dxa"/>
            <w:vMerge w:val="restart"/>
            <w:tcBorders>
              <w:top w:val="nil"/>
              <w:left w:val="nil"/>
              <w:bottom w:val="single" w:sz="8" w:space="0" w:color="000000"/>
              <w:right w:val="nil"/>
            </w:tcBorders>
            <w:shd w:val="clear" w:color="auto" w:fill="auto"/>
            <w:noWrap/>
            <w:vAlign w:val="center"/>
            <w:hideMark/>
          </w:tcPr>
          <w:p w14:paraId="2650C74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0.010</w:t>
            </w:r>
          </w:p>
        </w:tc>
        <w:tc>
          <w:tcPr>
            <w:tcW w:w="1040" w:type="dxa"/>
            <w:vMerge w:val="restart"/>
            <w:tcBorders>
              <w:top w:val="nil"/>
              <w:left w:val="nil"/>
              <w:bottom w:val="single" w:sz="8" w:space="0" w:color="000000"/>
              <w:right w:val="nil"/>
            </w:tcBorders>
            <w:shd w:val="clear" w:color="auto" w:fill="auto"/>
            <w:noWrap/>
            <w:vAlign w:val="center"/>
            <w:hideMark/>
          </w:tcPr>
          <w:p w14:paraId="03F9174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0.498</w:t>
            </w:r>
          </w:p>
        </w:tc>
      </w:tr>
      <w:tr w:rsidR="00437290" w:rsidRPr="00F07DEB" w14:paraId="0B63E27C" w14:textId="77777777" w:rsidTr="00437290">
        <w:trPr>
          <w:trHeight w:val="258"/>
        </w:trPr>
        <w:tc>
          <w:tcPr>
            <w:tcW w:w="1926" w:type="dxa"/>
            <w:tcBorders>
              <w:top w:val="nil"/>
              <w:left w:val="nil"/>
              <w:bottom w:val="nil"/>
              <w:right w:val="nil"/>
            </w:tcBorders>
            <w:shd w:val="clear" w:color="auto" w:fill="auto"/>
            <w:noWrap/>
            <w:vAlign w:val="bottom"/>
            <w:hideMark/>
          </w:tcPr>
          <w:p w14:paraId="1BE39AD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 †</w:t>
            </w:r>
          </w:p>
        </w:tc>
        <w:tc>
          <w:tcPr>
            <w:tcW w:w="1251" w:type="dxa"/>
            <w:tcBorders>
              <w:top w:val="nil"/>
              <w:left w:val="nil"/>
              <w:bottom w:val="nil"/>
              <w:right w:val="nil"/>
            </w:tcBorders>
            <w:shd w:val="clear" w:color="auto" w:fill="auto"/>
            <w:noWrap/>
            <w:vAlign w:val="bottom"/>
            <w:hideMark/>
          </w:tcPr>
          <w:p w14:paraId="05B926D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13.915</w:t>
            </w:r>
          </w:p>
        </w:tc>
        <w:tc>
          <w:tcPr>
            <w:tcW w:w="866" w:type="dxa"/>
            <w:tcBorders>
              <w:top w:val="nil"/>
              <w:left w:val="nil"/>
              <w:bottom w:val="nil"/>
              <w:right w:val="nil"/>
            </w:tcBorders>
            <w:shd w:val="clear" w:color="auto" w:fill="auto"/>
            <w:noWrap/>
            <w:vAlign w:val="bottom"/>
            <w:hideMark/>
          </w:tcPr>
          <w:p w14:paraId="2B12F68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6.913</w:t>
            </w:r>
          </w:p>
        </w:tc>
        <w:tc>
          <w:tcPr>
            <w:tcW w:w="1128" w:type="dxa"/>
            <w:tcBorders>
              <w:top w:val="nil"/>
              <w:left w:val="nil"/>
              <w:bottom w:val="nil"/>
              <w:right w:val="nil"/>
            </w:tcBorders>
            <w:shd w:val="clear" w:color="auto" w:fill="auto"/>
            <w:noWrap/>
            <w:vAlign w:val="bottom"/>
            <w:hideMark/>
          </w:tcPr>
          <w:p w14:paraId="11890B7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5.386</w:t>
            </w:r>
          </w:p>
        </w:tc>
        <w:tc>
          <w:tcPr>
            <w:tcW w:w="1160" w:type="dxa"/>
            <w:tcBorders>
              <w:top w:val="nil"/>
              <w:left w:val="nil"/>
              <w:bottom w:val="nil"/>
              <w:right w:val="nil"/>
            </w:tcBorders>
            <w:shd w:val="clear" w:color="auto" w:fill="auto"/>
            <w:noWrap/>
            <w:vAlign w:val="bottom"/>
            <w:hideMark/>
          </w:tcPr>
          <w:p w14:paraId="5188927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0.796</w:t>
            </w:r>
          </w:p>
        </w:tc>
        <w:tc>
          <w:tcPr>
            <w:tcW w:w="1060" w:type="dxa"/>
            <w:vMerge/>
            <w:tcBorders>
              <w:top w:val="nil"/>
              <w:left w:val="nil"/>
              <w:bottom w:val="single" w:sz="8" w:space="0" w:color="000000"/>
              <w:right w:val="nil"/>
            </w:tcBorders>
            <w:vAlign w:val="center"/>
            <w:hideMark/>
          </w:tcPr>
          <w:p w14:paraId="7F67C3B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4ACBE6D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313F963F" w14:textId="77777777" w:rsidTr="00437290">
        <w:trPr>
          <w:trHeight w:val="258"/>
        </w:trPr>
        <w:tc>
          <w:tcPr>
            <w:tcW w:w="1926" w:type="dxa"/>
            <w:tcBorders>
              <w:top w:val="nil"/>
              <w:left w:val="nil"/>
              <w:bottom w:val="nil"/>
              <w:right w:val="nil"/>
            </w:tcBorders>
            <w:shd w:val="clear" w:color="auto" w:fill="auto"/>
            <w:noWrap/>
            <w:vAlign w:val="bottom"/>
            <w:hideMark/>
          </w:tcPr>
          <w:p w14:paraId="11F465B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 ‡</w:t>
            </w:r>
          </w:p>
        </w:tc>
        <w:tc>
          <w:tcPr>
            <w:tcW w:w="1251" w:type="dxa"/>
            <w:tcBorders>
              <w:top w:val="nil"/>
              <w:left w:val="nil"/>
              <w:bottom w:val="nil"/>
              <w:right w:val="nil"/>
            </w:tcBorders>
            <w:shd w:val="clear" w:color="auto" w:fill="auto"/>
            <w:noWrap/>
            <w:vAlign w:val="bottom"/>
            <w:hideMark/>
          </w:tcPr>
          <w:p w14:paraId="67F01AC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4.362</w:t>
            </w:r>
          </w:p>
        </w:tc>
        <w:tc>
          <w:tcPr>
            <w:tcW w:w="866" w:type="dxa"/>
            <w:tcBorders>
              <w:top w:val="nil"/>
              <w:left w:val="nil"/>
              <w:bottom w:val="nil"/>
              <w:right w:val="nil"/>
            </w:tcBorders>
            <w:shd w:val="clear" w:color="auto" w:fill="auto"/>
            <w:noWrap/>
            <w:vAlign w:val="bottom"/>
            <w:hideMark/>
          </w:tcPr>
          <w:p w14:paraId="01409F6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4.640</w:t>
            </w:r>
          </w:p>
        </w:tc>
        <w:tc>
          <w:tcPr>
            <w:tcW w:w="1128" w:type="dxa"/>
            <w:tcBorders>
              <w:top w:val="nil"/>
              <w:left w:val="nil"/>
              <w:bottom w:val="nil"/>
              <w:right w:val="nil"/>
            </w:tcBorders>
            <w:shd w:val="clear" w:color="auto" w:fill="auto"/>
            <w:noWrap/>
            <w:vAlign w:val="bottom"/>
            <w:hideMark/>
          </w:tcPr>
          <w:p w14:paraId="272F50F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2.600</w:t>
            </w:r>
          </w:p>
        </w:tc>
        <w:tc>
          <w:tcPr>
            <w:tcW w:w="1160" w:type="dxa"/>
            <w:tcBorders>
              <w:top w:val="nil"/>
              <w:left w:val="nil"/>
              <w:bottom w:val="nil"/>
              <w:right w:val="nil"/>
            </w:tcBorders>
            <w:shd w:val="clear" w:color="auto" w:fill="auto"/>
            <w:noWrap/>
            <w:vAlign w:val="bottom"/>
            <w:hideMark/>
          </w:tcPr>
          <w:p w14:paraId="5D40D4F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0.570</w:t>
            </w:r>
          </w:p>
        </w:tc>
        <w:tc>
          <w:tcPr>
            <w:tcW w:w="1060" w:type="dxa"/>
            <w:vMerge/>
            <w:tcBorders>
              <w:top w:val="nil"/>
              <w:left w:val="nil"/>
              <w:bottom w:val="single" w:sz="8" w:space="0" w:color="000000"/>
              <w:right w:val="nil"/>
            </w:tcBorders>
            <w:vAlign w:val="center"/>
            <w:hideMark/>
          </w:tcPr>
          <w:p w14:paraId="1B36DB8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22910A2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31A21D5F"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6F73B01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 †‡</w:t>
            </w:r>
          </w:p>
        </w:tc>
        <w:tc>
          <w:tcPr>
            <w:tcW w:w="1251" w:type="dxa"/>
            <w:tcBorders>
              <w:top w:val="nil"/>
              <w:left w:val="nil"/>
              <w:bottom w:val="single" w:sz="8" w:space="0" w:color="auto"/>
              <w:right w:val="nil"/>
            </w:tcBorders>
            <w:shd w:val="clear" w:color="auto" w:fill="auto"/>
            <w:noWrap/>
            <w:vAlign w:val="bottom"/>
            <w:hideMark/>
          </w:tcPr>
          <w:p w14:paraId="4436A3C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7.391</w:t>
            </w:r>
          </w:p>
        </w:tc>
        <w:tc>
          <w:tcPr>
            <w:tcW w:w="866" w:type="dxa"/>
            <w:tcBorders>
              <w:top w:val="nil"/>
              <w:left w:val="nil"/>
              <w:bottom w:val="single" w:sz="8" w:space="0" w:color="auto"/>
              <w:right w:val="nil"/>
            </w:tcBorders>
            <w:shd w:val="clear" w:color="auto" w:fill="auto"/>
            <w:noWrap/>
            <w:vAlign w:val="bottom"/>
            <w:hideMark/>
          </w:tcPr>
          <w:p w14:paraId="7F3662F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8.903</w:t>
            </w:r>
          </w:p>
        </w:tc>
        <w:tc>
          <w:tcPr>
            <w:tcW w:w="1128" w:type="dxa"/>
            <w:tcBorders>
              <w:top w:val="nil"/>
              <w:left w:val="nil"/>
              <w:bottom w:val="single" w:sz="8" w:space="0" w:color="auto"/>
              <w:right w:val="nil"/>
            </w:tcBorders>
            <w:shd w:val="clear" w:color="auto" w:fill="auto"/>
            <w:noWrap/>
            <w:vAlign w:val="bottom"/>
            <w:hideMark/>
          </w:tcPr>
          <w:p w14:paraId="647F446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2.848</w:t>
            </w:r>
          </w:p>
        </w:tc>
        <w:tc>
          <w:tcPr>
            <w:tcW w:w="1160" w:type="dxa"/>
            <w:tcBorders>
              <w:top w:val="nil"/>
              <w:left w:val="nil"/>
              <w:bottom w:val="single" w:sz="8" w:space="0" w:color="auto"/>
              <w:right w:val="nil"/>
            </w:tcBorders>
            <w:shd w:val="clear" w:color="auto" w:fill="auto"/>
            <w:noWrap/>
            <w:vAlign w:val="bottom"/>
            <w:hideMark/>
          </w:tcPr>
          <w:p w14:paraId="016FA60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0.812</w:t>
            </w:r>
          </w:p>
        </w:tc>
        <w:tc>
          <w:tcPr>
            <w:tcW w:w="1060" w:type="dxa"/>
            <w:vMerge/>
            <w:tcBorders>
              <w:top w:val="nil"/>
              <w:left w:val="nil"/>
              <w:bottom w:val="single" w:sz="8" w:space="0" w:color="000000"/>
              <w:right w:val="nil"/>
            </w:tcBorders>
            <w:vAlign w:val="center"/>
            <w:hideMark/>
          </w:tcPr>
          <w:p w14:paraId="3341B52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7AD0A6F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2A511705" w14:textId="77777777" w:rsidTr="00437290">
        <w:trPr>
          <w:trHeight w:val="258"/>
        </w:trPr>
        <w:tc>
          <w:tcPr>
            <w:tcW w:w="1926" w:type="dxa"/>
            <w:tcBorders>
              <w:top w:val="nil"/>
              <w:left w:val="nil"/>
              <w:bottom w:val="nil"/>
              <w:right w:val="nil"/>
            </w:tcBorders>
            <w:shd w:val="clear" w:color="auto" w:fill="auto"/>
            <w:noWrap/>
            <w:vAlign w:val="bottom"/>
            <w:hideMark/>
          </w:tcPr>
          <w:p w14:paraId="334D9A4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Bermuda grass *</w:t>
            </w:r>
          </w:p>
        </w:tc>
        <w:tc>
          <w:tcPr>
            <w:tcW w:w="1251" w:type="dxa"/>
            <w:tcBorders>
              <w:top w:val="nil"/>
              <w:left w:val="nil"/>
              <w:bottom w:val="nil"/>
              <w:right w:val="nil"/>
            </w:tcBorders>
            <w:shd w:val="clear" w:color="auto" w:fill="auto"/>
            <w:noWrap/>
            <w:vAlign w:val="bottom"/>
            <w:hideMark/>
          </w:tcPr>
          <w:p w14:paraId="43239A2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47DDFBF9"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2A185A92"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03576816"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4B40CDB0"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101FAD89"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2471DE91" w14:textId="77777777" w:rsidTr="00437290">
        <w:trPr>
          <w:trHeight w:val="258"/>
        </w:trPr>
        <w:tc>
          <w:tcPr>
            <w:tcW w:w="1926" w:type="dxa"/>
            <w:tcBorders>
              <w:top w:val="nil"/>
              <w:left w:val="nil"/>
              <w:bottom w:val="nil"/>
              <w:right w:val="nil"/>
            </w:tcBorders>
            <w:shd w:val="clear" w:color="auto" w:fill="auto"/>
            <w:noWrap/>
            <w:vAlign w:val="bottom"/>
            <w:hideMark/>
          </w:tcPr>
          <w:p w14:paraId="03ECE1C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Grass1</w:t>
            </w:r>
          </w:p>
        </w:tc>
        <w:tc>
          <w:tcPr>
            <w:tcW w:w="1251" w:type="dxa"/>
            <w:tcBorders>
              <w:top w:val="nil"/>
              <w:left w:val="nil"/>
              <w:bottom w:val="nil"/>
              <w:right w:val="nil"/>
            </w:tcBorders>
            <w:shd w:val="clear" w:color="auto" w:fill="auto"/>
            <w:noWrap/>
            <w:vAlign w:val="bottom"/>
            <w:hideMark/>
          </w:tcPr>
          <w:p w14:paraId="319E434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1.608 a</w:t>
            </w:r>
          </w:p>
        </w:tc>
        <w:tc>
          <w:tcPr>
            <w:tcW w:w="866" w:type="dxa"/>
            <w:tcBorders>
              <w:top w:val="nil"/>
              <w:left w:val="nil"/>
              <w:bottom w:val="nil"/>
              <w:right w:val="nil"/>
            </w:tcBorders>
            <w:shd w:val="clear" w:color="auto" w:fill="auto"/>
            <w:noWrap/>
            <w:vAlign w:val="bottom"/>
            <w:hideMark/>
          </w:tcPr>
          <w:p w14:paraId="1F88705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1.560</w:t>
            </w:r>
          </w:p>
        </w:tc>
        <w:tc>
          <w:tcPr>
            <w:tcW w:w="1128" w:type="dxa"/>
            <w:tcBorders>
              <w:top w:val="nil"/>
              <w:left w:val="nil"/>
              <w:bottom w:val="nil"/>
              <w:right w:val="nil"/>
            </w:tcBorders>
            <w:shd w:val="clear" w:color="auto" w:fill="auto"/>
            <w:noWrap/>
            <w:vAlign w:val="bottom"/>
            <w:hideMark/>
          </w:tcPr>
          <w:p w14:paraId="504A4FC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0.879 a</w:t>
            </w:r>
          </w:p>
        </w:tc>
        <w:tc>
          <w:tcPr>
            <w:tcW w:w="1160" w:type="dxa"/>
            <w:tcBorders>
              <w:top w:val="nil"/>
              <w:left w:val="nil"/>
              <w:bottom w:val="nil"/>
              <w:right w:val="nil"/>
            </w:tcBorders>
            <w:shd w:val="clear" w:color="auto" w:fill="auto"/>
            <w:noWrap/>
            <w:vAlign w:val="bottom"/>
            <w:hideMark/>
          </w:tcPr>
          <w:p w14:paraId="4DE3A2D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0.172</w:t>
            </w:r>
          </w:p>
        </w:tc>
        <w:tc>
          <w:tcPr>
            <w:tcW w:w="1060" w:type="dxa"/>
            <w:tcBorders>
              <w:top w:val="nil"/>
              <w:left w:val="nil"/>
              <w:bottom w:val="nil"/>
              <w:right w:val="nil"/>
            </w:tcBorders>
            <w:shd w:val="clear" w:color="auto" w:fill="auto"/>
            <w:noWrap/>
            <w:vAlign w:val="center"/>
            <w:hideMark/>
          </w:tcPr>
          <w:p w14:paraId="30EBF81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0.310</w:t>
            </w:r>
          </w:p>
        </w:tc>
        <w:tc>
          <w:tcPr>
            <w:tcW w:w="1040" w:type="dxa"/>
            <w:tcBorders>
              <w:top w:val="nil"/>
              <w:left w:val="nil"/>
              <w:bottom w:val="nil"/>
              <w:right w:val="nil"/>
            </w:tcBorders>
            <w:shd w:val="clear" w:color="auto" w:fill="auto"/>
            <w:noWrap/>
            <w:vAlign w:val="center"/>
            <w:hideMark/>
          </w:tcPr>
          <w:p w14:paraId="679A45B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0.103</w:t>
            </w:r>
          </w:p>
        </w:tc>
      </w:tr>
      <w:tr w:rsidR="00437290" w:rsidRPr="00F07DEB" w14:paraId="79CB69D5" w14:textId="77777777" w:rsidTr="00437290">
        <w:trPr>
          <w:trHeight w:val="258"/>
        </w:trPr>
        <w:tc>
          <w:tcPr>
            <w:tcW w:w="1926" w:type="dxa"/>
            <w:tcBorders>
              <w:top w:val="nil"/>
              <w:left w:val="nil"/>
              <w:bottom w:val="nil"/>
              <w:right w:val="nil"/>
            </w:tcBorders>
            <w:shd w:val="clear" w:color="auto" w:fill="auto"/>
            <w:noWrap/>
            <w:vAlign w:val="bottom"/>
            <w:hideMark/>
          </w:tcPr>
          <w:p w14:paraId="3F742D0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Grass2</w:t>
            </w:r>
          </w:p>
        </w:tc>
        <w:tc>
          <w:tcPr>
            <w:tcW w:w="1251" w:type="dxa"/>
            <w:tcBorders>
              <w:top w:val="nil"/>
              <w:left w:val="nil"/>
              <w:bottom w:val="nil"/>
              <w:right w:val="nil"/>
            </w:tcBorders>
            <w:shd w:val="clear" w:color="auto" w:fill="auto"/>
            <w:noWrap/>
            <w:vAlign w:val="bottom"/>
            <w:hideMark/>
          </w:tcPr>
          <w:p w14:paraId="66F042E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1.844 a</w:t>
            </w:r>
          </w:p>
        </w:tc>
        <w:tc>
          <w:tcPr>
            <w:tcW w:w="866" w:type="dxa"/>
            <w:tcBorders>
              <w:top w:val="nil"/>
              <w:left w:val="nil"/>
              <w:bottom w:val="nil"/>
              <w:right w:val="nil"/>
            </w:tcBorders>
            <w:shd w:val="clear" w:color="auto" w:fill="auto"/>
            <w:noWrap/>
            <w:vAlign w:val="bottom"/>
            <w:hideMark/>
          </w:tcPr>
          <w:p w14:paraId="2A437E3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0.475</w:t>
            </w:r>
          </w:p>
        </w:tc>
        <w:tc>
          <w:tcPr>
            <w:tcW w:w="1128" w:type="dxa"/>
            <w:tcBorders>
              <w:top w:val="nil"/>
              <w:left w:val="nil"/>
              <w:bottom w:val="nil"/>
              <w:right w:val="nil"/>
            </w:tcBorders>
            <w:shd w:val="clear" w:color="auto" w:fill="auto"/>
            <w:noWrap/>
            <w:vAlign w:val="bottom"/>
            <w:hideMark/>
          </w:tcPr>
          <w:p w14:paraId="7A4D1BA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0.731 a</w:t>
            </w:r>
          </w:p>
        </w:tc>
        <w:tc>
          <w:tcPr>
            <w:tcW w:w="1160" w:type="dxa"/>
            <w:tcBorders>
              <w:top w:val="nil"/>
              <w:left w:val="nil"/>
              <w:bottom w:val="nil"/>
              <w:right w:val="nil"/>
            </w:tcBorders>
            <w:shd w:val="clear" w:color="auto" w:fill="auto"/>
            <w:noWrap/>
            <w:vAlign w:val="bottom"/>
            <w:hideMark/>
          </w:tcPr>
          <w:p w14:paraId="7B2BC20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0.312</w:t>
            </w:r>
          </w:p>
        </w:tc>
        <w:tc>
          <w:tcPr>
            <w:tcW w:w="1060" w:type="dxa"/>
            <w:tcBorders>
              <w:top w:val="nil"/>
              <w:left w:val="nil"/>
              <w:bottom w:val="nil"/>
              <w:right w:val="nil"/>
            </w:tcBorders>
            <w:shd w:val="clear" w:color="auto" w:fill="auto"/>
            <w:noWrap/>
            <w:vAlign w:val="center"/>
            <w:hideMark/>
          </w:tcPr>
          <w:p w14:paraId="58C0061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0.001</w:t>
            </w:r>
          </w:p>
        </w:tc>
        <w:tc>
          <w:tcPr>
            <w:tcW w:w="1040" w:type="dxa"/>
            <w:tcBorders>
              <w:top w:val="nil"/>
              <w:left w:val="nil"/>
              <w:bottom w:val="nil"/>
              <w:right w:val="nil"/>
            </w:tcBorders>
            <w:shd w:val="clear" w:color="auto" w:fill="auto"/>
            <w:noWrap/>
            <w:vAlign w:val="center"/>
            <w:hideMark/>
          </w:tcPr>
          <w:p w14:paraId="59B7C34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0.670</w:t>
            </w:r>
          </w:p>
        </w:tc>
      </w:tr>
      <w:tr w:rsidR="00437290" w:rsidRPr="00F07DEB" w14:paraId="0A6C7740"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0BA817E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1251" w:type="dxa"/>
            <w:tcBorders>
              <w:top w:val="nil"/>
              <w:left w:val="nil"/>
              <w:bottom w:val="single" w:sz="8" w:space="0" w:color="auto"/>
              <w:right w:val="nil"/>
            </w:tcBorders>
            <w:shd w:val="clear" w:color="auto" w:fill="auto"/>
            <w:noWrap/>
            <w:vAlign w:val="bottom"/>
            <w:hideMark/>
          </w:tcPr>
          <w:p w14:paraId="4AAAA93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3.601</w:t>
            </w:r>
          </w:p>
        </w:tc>
        <w:tc>
          <w:tcPr>
            <w:tcW w:w="866" w:type="dxa"/>
            <w:tcBorders>
              <w:top w:val="nil"/>
              <w:left w:val="nil"/>
              <w:bottom w:val="single" w:sz="8" w:space="0" w:color="auto"/>
              <w:right w:val="nil"/>
            </w:tcBorders>
            <w:shd w:val="clear" w:color="auto" w:fill="auto"/>
            <w:noWrap/>
            <w:vAlign w:val="bottom"/>
            <w:hideMark/>
          </w:tcPr>
          <w:p w14:paraId="1029FC0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0.507</w:t>
            </w:r>
          </w:p>
        </w:tc>
        <w:tc>
          <w:tcPr>
            <w:tcW w:w="1128" w:type="dxa"/>
            <w:tcBorders>
              <w:top w:val="nil"/>
              <w:left w:val="nil"/>
              <w:bottom w:val="single" w:sz="8" w:space="0" w:color="auto"/>
              <w:right w:val="nil"/>
            </w:tcBorders>
            <w:shd w:val="clear" w:color="auto" w:fill="auto"/>
            <w:noWrap/>
            <w:vAlign w:val="bottom"/>
            <w:hideMark/>
          </w:tcPr>
          <w:p w14:paraId="35B6144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2.573</w:t>
            </w:r>
          </w:p>
        </w:tc>
        <w:tc>
          <w:tcPr>
            <w:tcW w:w="1160" w:type="dxa"/>
            <w:tcBorders>
              <w:top w:val="nil"/>
              <w:left w:val="nil"/>
              <w:bottom w:val="single" w:sz="8" w:space="0" w:color="auto"/>
              <w:right w:val="nil"/>
            </w:tcBorders>
            <w:shd w:val="clear" w:color="auto" w:fill="auto"/>
            <w:noWrap/>
            <w:vAlign w:val="bottom"/>
            <w:hideMark/>
          </w:tcPr>
          <w:p w14:paraId="25348DB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0.451</w:t>
            </w:r>
          </w:p>
        </w:tc>
        <w:tc>
          <w:tcPr>
            <w:tcW w:w="1060" w:type="dxa"/>
            <w:tcBorders>
              <w:top w:val="nil"/>
              <w:left w:val="nil"/>
              <w:bottom w:val="single" w:sz="8" w:space="0" w:color="auto"/>
              <w:right w:val="nil"/>
            </w:tcBorders>
            <w:shd w:val="clear" w:color="auto" w:fill="auto"/>
            <w:noWrap/>
            <w:vAlign w:val="center"/>
            <w:hideMark/>
          </w:tcPr>
          <w:p w14:paraId="6C2D2F2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0.004</w:t>
            </w:r>
          </w:p>
        </w:tc>
        <w:tc>
          <w:tcPr>
            <w:tcW w:w="1040" w:type="dxa"/>
            <w:tcBorders>
              <w:top w:val="nil"/>
              <w:left w:val="nil"/>
              <w:bottom w:val="single" w:sz="8" w:space="0" w:color="auto"/>
              <w:right w:val="nil"/>
            </w:tcBorders>
            <w:shd w:val="clear" w:color="auto" w:fill="auto"/>
            <w:noWrap/>
            <w:vAlign w:val="center"/>
            <w:hideMark/>
          </w:tcPr>
          <w:p w14:paraId="1C7688D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0.575</w:t>
            </w:r>
          </w:p>
        </w:tc>
      </w:tr>
      <w:tr w:rsidR="00437290" w:rsidRPr="00F07DEB" w14:paraId="119F97CF" w14:textId="77777777" w:rsidTr="00437290">
        <w:trPr>
          <w:trHeight w:val="258"/>
        </w:trPr>
        <w:tc>
          <w:tcPr>
            <w:tcW w:w="1926" w:type="dxa"/>
            <w:tcBorders>
              <w:top w:val="nil"/>
              <w:left w:val="nil"/>
              <w:bottom w:val="nil"/>
              <w:right w:val="nil"/>
            </w:tcBorders>
            <w:shd w:val="clear" w:color="auto" w:fill="auto"/>
            <w:noWrap/>
            <w:vAlign w:val="bottom"/>
            <w:hideMark/>
          </w:tcPr>
          <w:p w14:paraId="7E278F3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251" w:type="dxa"/>
            <w:tcBorders>
              <w:top w:val="nil"/>
              <w:left w:val="nil"/>
              <w:bottom w:val="nil"/>
              <w:right w:val="nil"/>
            </w:tcBorders>
            <w:shd w:val="clear" w:color="auto" w:fill="auto"/>
            <w:noWrap/>
            <w:vAlign w:val="bottom"/>
            <w:hideMark/>
          </w:tcPr>
          <w:p w14:paraId="4EAF11D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866" w:type="dxa"/>
            <w:tcBorders>
              <w:top w:val="nil"/>
              <w:left w:val="nil"/>
              <w:bottom w:val="nil"/>
              <w:right w:val="nil"/>
            </w:tcBorders>
            <w:shd w:val="clear" w:color="auto" w:fill="auto"/>
            <w:noWrap/>
            <w:vAlign w:val="bottom"/>
            <w:hideMark/>
          </w:tcPr>
          <w:p w14:paraId="2D4B661A"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4098D1DB"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41B7934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3A9ADB8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61E4626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0424DC6A" w14:textId="77777777" w:rsidTr="00437290">
        <w:trPr>
          <w:trHeight w:val="258"/>
        </w:trPr>
        <w:tc>
          <w:tcPr>
            <w:tcW w:w="1926" w:type="dxa"/>
            <w:tcBorders>
              <w:top w:val="nil"/>
              <w:left w:val="nil"/>
              <w:bottom w:val="nil"/>
              <w:right w:val="nil"/>
            </w:tcBorders>
            <w:shd w:val="clear" w:color="auto" w:fill="auto"/>
            <w:noWrap/>
            <w:vAlign w:val="bottom"/>
            <w:hideMark/>
          </w:tcPr>
          <w:p w14:paraId="328F8EE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251" w:type="dxa"/>
            <w:tcBorders>
              <w:top w:val="nil"/>
              <w:left w:val="nil"/>
              <w:bottom w:val="nil"/>
              <w:right w:val="nil"/>
            </w:tcBorders>
            <w:shd w:val="clear" w:color="auto" w:fill="auto"/>
            <w:noWrap/>
            <w:vAlign w:val="bottom"/>
            <w:hideMark/>
          </w:tcPr>
          <w:p w14:paraId="48692DCC"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866" w:type="dxa"/>
            <w:tcBorders>
              <w:top w:val="nil"/>
              <w:left w:val="nil"/>
              <w:bottom w:val="nil"/>
              <w:right w:val="nil"/>
            </w:tcBorders>
            <w:shd w:val="clear" w:color="auto" w:fill="auto"/>
            <w:noWrap/>
            <w:vAlign w:val="bottom"/>
            <w:hideMark/>
          </w:tcPr>
          <w:p w14:paraId="060EBFB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7EDD3900"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07E0A253"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4FBFFE3A"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1388DA2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07437043" w14:textId="77777777" w:rsidTr="00437290">
        <w:trPr>
          <w:trHeight w:val="258"/>
        </w:trPr>
        <w:tc>
          <w:tcPr>
            <w:tcW w:w="1926" w:type="dxa"/>
            <w:tcBorders>
              <w:top w:val="nil"/>
              <w:left w:val="nil"/>
              <w:bottom w:val="nil"/>
              <w:right w:val="nil"/>
            </w:tcBorders>
            <w:shd w:val="clear" w:color="auto" w:fill="auto"/>
            <w:noWrap/>
            <w:vAlign w:val="bottom"/>
            <w:hideMark/>
          </w:tcPr>
          <w:p w14:paraId="7BC3BAF7"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251" w:type="dxa"/>
            <w:tcBorders>
              <w:top w:val="nil"/>
              <w:left w:val="nil"/>
              <w:bottom w:val="nil"/>
              <w:right w:val="nil"/>
            </w:tcBorders>
            <w:shd w:val="clear" w:color="auto" w:fill="auto"/>
            <w:noWrap/>
            <w:vAlign w:val="bottom"/>
            <w:hideMark/>
          </w:tcPr>
          <w:p w14:paraId="1EE8806E"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866" w:type="dxa"/>
            <w:tcBorders>
              <w:top w:val="nil"/>
              <w:left w:val="nil"/>
              <w:bottom w:val="nil"/>
              <w:right w:val="nil"/>
            </w:tcBorders>
            <w:shd w:val="clear" w:color="auto" w:fill="auto"/>
            <w:noWrap/>
            <w:vAlign w:val="bottom"/>
            <w:hideMark/>
          </w:tcPr>
          <w:p w14:paraId="5893C89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388401E8"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3B49F713"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1F986CEB"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3597451E"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933477" w:rsidRPr="00F07DEB" w14:paraId="06903925" w14:textId="77777777" w:rsidTr="00E01717">
        <w:trPr>
          <w:trHeight w:val="266"/>
        </w:trPr>
        <w:tc>
          <w:tcPr>
            <w:tcW w:w="8431" w:type="dxa"/>
            <w:gridSpan w:val="7"/>
            <w:tcBorders>
              <w:top w:val="nil"/>
              <w:left w:val="nil"/>
              <w:bottom w:val="single" w:sz="8" w:space="0" w:color="auto"/>
              <w:right w:val="nil"/>
            </w:tcBorders>
            <w:shd w:val="clear" w:color="auto" w:fill="auto"/>
            <w:noWrap/>
            <w:vAlign w:val="bottom"/>
            <w:hideMark/>
          </w:tcPr>
          <w:p w14:paraId="054AC5BF" w14:textId="4F841923" w:rsidR="00933477" w:rsidRPr="00933477" w:rsidRDefault="00933477" w:rsidP="00933477">
            <w:pPr>
              <w:spacing w:after="0" w:line="240" w:lineRule="auto"/>
              <w:jc w:val="center"/>
              <w:rPr>
                <w:rFonts w:ascii="Times New Roman" w:eastAsia="Times New Roman" w:hAnsi="Times New Roman" w:cs="Times New Roman"/>
                <w:b/>
                <w:color w:val="000000"/>
                <w:sz w:val="20"/>
                <w:szCs w:val="20"/>
                <w:lang w:eastAsia="en-US"/>
              </w:rPr>
            </w:pPr>
            <w:r>
              <w:rPr>
                <w:rFonts w:ascii="Times New Roman" w:eastAsia="Times New Roman" w:hAnsi="Times New Roman" w:cs="Times New Roman"/>
                <w:b/>
                <w:color w:val="000000"/>
                <w:sz w:val="20"/>
                <w:szCs w:val="20"/>
                <w:lang w:eastAsia="en-US"/>
              </w:rPr>
              <w:lastRenderedPageBreak/>
              <w:t>Table</w:t>
            </w:r>
            <w:r w:rsidRPr="00933477">
              <w:rPr>
                <w:rFonts w:ascii="Times New Roman" w:eastAsia="Times New Roman" w:hAnsi="Times New Roman" w:cs="Times New Roman"/>
                <w:b/>
                <w:color w:val="000000"/>
                <w:sz w:val="20"/>
                <w:szCs w:val="20"/>
                <w:lang w:eastAsia="en-US"/>
              </w:rPr>
              <w:t xml:space="preserve"> C</w:t>
            </w:r>
            <w:r>
              <w:rPr>
                <w:rFonts w:ascii="Times New Roman" w:eastAsia="Times New Roman" w:hAnsi="Times New Roman" w:cs="Times New Roman"/>
                <w:b/>
                <w:color w:val="000000"/>
                <w:sz w:val="20"/>
                <w:szCs w:val="20"/>
                <w:lang w:eastAsia="en-US"/>
              </w:rPr>
              <w:t>.</w:t>
            </w:r>
            <w:r w:rsidR="00337893">
              <w:rPr>
                <w:rFonts w:ascii="Times New Roman" w:eastAsia="Times New Roman" w:hAnsi="Times New Roman" w:cs="Times New Roman"/>
                <w:b/>
                <w:color w:val="000000"/>
                <w:sz w:val="20"/>
                <w:szCs w:val="20"/>
                <w:lang w:eastAsia="en-US"/>
              </w:rPr>
              <w:t>6</w:t>
            </w:r>
            <w:r w:rsidRPr="00933477">
              <w:rPr>
                <w:rFonts w:ascii="Times New Roman" w:eastAsia="Times New Roman" w:hAnsi="Times New Roman" w:cs="Times New Roman"/>
                <w:b/>
                <w:color w:val="000000"/>
                <w:sz w:val="20"/>
                <w:szCs w:val="20"/>
                <w:lang w:eastAsia="en-US"/>
              </w:rPr>
              <w:t>: Zn concentrations in plant biomass in mg/kg</w:t>
            </w:r>
          </w:p>
          <w:p w14:paraId="0EA261D7" w14:textId="03B45273" w:rsidR="00933477" w:rsidRPr="00F07DEB" w:rsidRDefault="00933477"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392CB545" w14:textId="77777777" w:rsidTr="00437290">
        <w:trPr>
          <w:trHeight w:val="258"/>
        </w:trPr>
        <w:tc>
          <w:tcPr>
            <w:tcW w:w="1926" w:type="dxa"/>
            <w:tcBorders>
              <w:top w:val="nil"/>
              <w:left w:val="nil"/>
              <w:bottom w:val="nil"/>
              <w:right w:val="nil"/>
            </w:tcBorders>
            <w:shd w:val="clear" w:color="auto" w:fill="auto"/>
            <w:noWrap/>
            <w:vAlign w:val="bottom"/>
            <w:hideMark/>
          </w:tcPr>
          <w:p w14:paraId="65ECF13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4405" w:type="dxa"/>
            <w:gridSpan w:val="4"/>
            <w:tcBorders>
              <w:top w:val="nil"/>
              <w:left w:val="nil"/>
              <w:bottom w:val="nil"/>
              <w:right w:val="nil"/>
            </w:tcBorders>
            <w:shd w:val="clear" w:color="auto" w:fill="auto"/>
            <w:noWrap/>
            <w:vAlign w:val="bottom"/>
            <w:hideMark/>
          </w:tcPr>
          <w:p w14:paraId="4DEED4B3"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Treatment</w:t>
            </w:r>
          </w:p>
        </w:tc>
        <w:tc>
          <w:tcPr>
            <w:tcW w:w="1060" w:type="dxa"/>
            <w:tcBorders>
              <w:top w:val="nil"/>
              <w:left w:val="nil"/>
              <w:bottom w:val="nil"/>
              <w:right w:val="nil"/>
            </w:tcBorders>
            <w:shd w:val="clear" w:color="auto" w:fill="auto"/>
            <w:noWrap/>
            <w:vAlign w:val="bottom"/>
            <w:hideMark/>
          </w:tcPr>
          <w:p w14:paraId="5E62AB52"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p>
        </w:tc>
        <w:tc>
          <w:tcPr>
            <w:tcW w:w="1040" w:type="dxa"/>
            <w:tcBorders>
              <w:top w:val="nil"/>
              <w:left w:val="nil"/>
              <w:bottom w:val="nil"/>
              <w:right w:val="nil"/>
            </w:tcBorders>
            <w:shd w:val="clear" w:color="auto" w:fill="auto"/>
            <w:noWrap/>
            <w:vAlign w:val="bottom"/>
            <w:hideMark/>
          </w:tcPr>
          <w:p w14:paraId="0A534FE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221BDF70" w14:textId="77777777" w:rsidTr="00437290">
        <w:trPr>
          <w:trHeight w:val="266"/>
        </w:trPr>
        <w:tc>
          <w:tcPr>
            <w:tcW w:w="1926" w:type="dxa"/>
            <w:tcBorders>
              <w:top w:val="nil"/>
              <w:left w:val="nil"/>
              <w:bottom w:val="nil"/>
              <w:right w:val="nil"/>
            </w:tcBorders>
            <w:shd w:val="clear" w:color="auto" w:fill="auto"/>
            <w:noWrap/>
            <w:vAlign w:val="bottom"/>
            <w:hideMark/>
          </w:tcPr>
          <w:p w14:paraId="0332F0EF"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2117" w:type="dxa"/>
            <w:gridSpan w:val="2"/>
            <w:tcBorders>
              <w:top w:val="nil"/>
              <w:left w:val="nil"/>
              <w:bottom w:val="single" w:sz="8" w:space="0" w:color="auto"/>
              <w:right w:val="nil"/>
            </w:tcBorders>
            <w:shd w:val="clear" w:color="auto" w:fill="auto"/>
            <w:noWrap/>
            <w:vAlign w:val="bottom"/>
            <w:hideMark/>
          </w:tcPr>
          <w:p w14:paraId="5451C4A2"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Groundwater</w:t>
            </w:r>
          </w:p>
        </w:tc>
        <w:tc>
          <w:tcPr>
            <w:tcW w:w="2288" w:type="dxa"/>
            <w:gridSpan w:val="2"/>
            <w:tcBorders>
              <w:top w:val="nil"/>
              <w:left w:val="nil"/>
              <w:bottom w:val="single" w:sz="8" w:space="0" w:color="auto"/>
              <w:right w:val="nil"/>
            </w:tcBorders>
            <w:shd w:val="clear" w:color="auto" w:fill="auto"/>
            <w:noWrap/>
            <w:vAlign w:val="bottom"/>
            <w:hideMark/>
          </w:tcPr>
          <w:p w14:paraId="5FF16374"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Mine water</w:t>
            </w:r>
          </w:p>
        </w:tc>
        <w:tc>
          <w:tcPr>
            <w:tcW w:w="1060" w:type="dxa"/>
            <w:tcBorders>
              <w:top w:val="nil"/>
              <w:left w:val="nil"/>
              <w:bottom w:val="nil"/>
              <w:right w:val="nil"/>
            </w:tcBorders>
            <w:shd w:val="clear" w:color="auto" w:fill="auto"/>
            <w:noWrap/>
            <w:vAlign w:val="bottom"/>
            <w:hideMark/>
          </w:tcPr>
          <w:p w14:paraId="4A813980"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p>
        </w:tc>
        <w:tc>
          <w:tcPr>
            <w:tcW w:w="1040" w:type="dxa"/>
            <w:vMerge w:val="restart"/>
            <w:tcBorders>
              <w:top w:val="nil"/>
              <w:left w:val="nil"/>
              <w:bottom w:val="single" w:sz="8" w:space="0" w:color="000000"/>
              <w:right w:val="nil"/>
            </w:tcBorders>
            <w:shd w:val="clear" w:color="auto" w:fill="auto"/>
            <w:vAlign w:val="bottom"/>
            <w:hideMark/>
          </w:tcPr>
          <w:p w14:paraId="5A87AD9A" w14:textId="26984578" w:rsidR="00437290" w:rsidRPr="00F07DEB" w:rsidRDefault="0006673C"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Partial </w:t>
            </w:r>
            <w:r w:rsidRPr="00F07DEB">
              <w:rPr>
                <w:rFonts w:ascii="Times New Roman" w:eastAsia="Times New Roman" w:hAnsi="Times New Roman" w:cs="Times New Roman"/>
                <w:i/>
                <w:iCs/>
                <w:color w:val="000000"/>
                <w:sz w:val="20"/>
                <w:szCs w:val="20"/>
                <w:lang w:eastAsia="en-US"/>
              </w:rPr>
              <w:t>η</w:t>
            </w:r>
            <w:r w:rsidRPr="00F07DEB">
              <w:rPr>
                <w:rFonts w:ascii="Times New Roman" w:eastAsia="Times New Roman" w:hAnsi="Times New Roman" w:cs="Times New Roman"/>
                <w:color w:val="000000"/>
                <w:sz w:val="20"/>
                <w:szCs w:val="20"/>
                <w:vertAlign w:val="subscript"/>
                <w:lang w:eastAsia="en-US"/>
              </w:rPr>
              <w:t>p</w:t>
            </w:r>
            <w:r w:rsidRPr="00F07DEB">
              <w:rPr>
                <w:rFonts w:ascii="Times New Roman" w:eastAsia="Times New Roman" w:hAnsi="Times New Roman" w:cs="Times New Roman"/>
                <w:color w:val="000000"/>
                <w:sz w:val="20"/>
                <w:szCs w:val="20"/>
                <w:vertAlign w:val="superscript"/>
                <w:lang w:eastAsia="en-US"/>
              </w:rPr>
              <w:t>2</w:t>
            </w:r>
          </w:p>
        </w:tc>
      </w:tr>
      <w:tr w:rsidR="00437290" w:rsidRPr="00F07DEB" w14:paraId="1380B453"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2257942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Structure</w:t>
            </w:r>
          </w:p>
        </w:tc>
        <w:tc>
          <w:tcPr>
            <w:tcW w:w="1251" w:type="dxa"/>
            <w:tcBorders>
              <w:top w:val="nil"/>
              <w:left w:val="nil"/>
              <w:bottom w:val="single" w:sz="8" w:space="0" w:color="auto"/>
              <w:right w:val="nil"/>
            </w:tcBorders>
            <w:shd w:val="clear" w:color="auto" w:fill="auto"/>
            <w:noWrap/>
            <w:vAlign w:val="bottom"/>
            <w:hideMark/>
          </w:tcPr>
          <w:p w14:paraId="14DB1BB9"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866" w:type="dxa"/>
            <w:tcBorders>
              <w:top w:val="nil"/>
              <w:left w:val="nil"/>
              <w:bottom w:val="single" w:sz="8" w:space="0" w:color="auto"/>
              <w:right w:val="nil"/>
            </w:tcBorders>
            <w:shd w:val="clear" w:color="auto" w:fill="auto"/>
            <w:noWrap/>
            <w:vAlign w:val="bottom"/>
            <w:hideMark/>
          </w:tcPr>
          <w:p w14:paraId="34C3383D"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1128" w:type="dxa"/>
            <w:tcBorders>
              <w:top w:val="nil"/>
              <w:left w:val="nil"/>
              <w:bottom w:val="single" w:sz="8" w:space="0" w:color="auto"/>
              <w:right w:val="nil"/>
            </w:tcBorders>
            <w:shd w:val="clear" w:color="auto" w:fill="auto"/>
            <w:noWrap/>
            <w:vAlign w:val="bottom"/>
            <w:hideMark/>
          </w:tcPr>
          <w:p w14:paraId="40514032"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Mean</w:t>
            </w:r>
          </w:p>
        </w:tc>
        <w:tc>
          <w:tcPr>
            <w:tcW w:w="1160" w:type="dxa"/>
            <w:tcBorders>
              <w:top w:val="nil"/>
              <w:left w:val="nil"/>
              <w:bottom w:val="single" w:sz="8" w:space="0" w:color="auto"/>
              <w:right w:val="nil"/>
            </w:tcBorders>
            <w:shd w:val="clear" w:color="auto" w:fill="auto"/>
            <w:noWrap/>
            <w:vAlign w:val="bottom"/>
            <w:hideMark/>
          </w:tcPr>
          <w:p w14:paraId="0818954F" w14:textId="77777777" w:rsidR="00437290" w:rsidRPr="00F07DEB" w:rsidRDefault="00437290" w:rsidP="00437290">
            <w:pPr>
              <w:spacing w:after="0" w:line="240" w:lineRule="auto"/>
              <w:jc w:val="center"/>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SD</w:t>
            </w:r>
          </w:p>
        </w:tc>
        <w:tc>
          <w:tcPr>
            <w:tcW w:w="1060" w:type="dxa"/>
            <w:tcBorders>
              <w:top w:val="nil"/>
              <w:left w:val="nil"/>
              <w:bottom w:val="single" w:sz="8" w:space="0" w:color="auto"/>
              <w:right w:val="nil"/>
            </w:tcBorders>
            <w:shd w:val="clear" w:color="auto" w:fill="auto"/>
            <w:noWrap/>
            <w:vAlign w:val="bottom"/>
            <w:hideMark/>
          </w:tcPr>
          <w:p w14:paraId="3224B4B1" w14:textId="77777777" w:rsidR="00437290" w:rsidRPr="00F07DEB" w:rsidRDefault="00437290" w:rsidP="00437290">
            <w:pPr>
              <w:spacing w:after="0" w:line="240" w:lineRule="auto"/>
              <w:jc w:val="center"/>
              <w:rPr>
                <w:rFonts w:ascii="Times New Roman" w:eastAsia="Times New Roman" w:hAnsi="Times New Roman" w:cs="Times New Roman"/>
                <w:i/>
                <w:iCs/>
                <w:color w:val="000000"/>
                <w:sz w:val="20"/>
                <w:szCs w:val="20"/>
                <w:lang w:eastAsia="en-US"/>
              </w:rPr>
            </w:pPr>
            <w:r w:rsidRPr="00F07DEB">
              <w:rPr>
                <w:rFonts w:ascii="Times New Roman" w:eastAsia="Times New Roman" w:hAnsi="Times New Roman" w:cs="Times New Roman"/>
                <w:i/>
                <w:iCs/>
                <w:color w:val="000000"/>
                <w:sz w:val="20"/>
                <w:szCs w:val="20"/>
                <w:lang w:eastAsia="en-US"/>
              </w:rPr>
              <w:t>p</w:t>
            </w:r>
          </w:p>
        </w:tc>
        <w:tc>
          <w:tcPr>
            <w:tcW w:w="1040" w:type="dxa"/>
            <w:vMerge/>
            <w:tcBorders>
              <w:top w:val="nil"/>
              <w:left w:val="nil"/>
              <w:bottom w:val="single" w:sz="8" w:space="0" w:color="000000"/>
              <w:right w:val="nil"/>
            </w:tcBorders>
            <w:vAlign w:val="center"/>
            <w:hideMark/>
          </w:tcPr>
          <w:p w14:paraId="4534BE9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7C5A5F25" w14:textId="77777777" w:rsidTr="00437290">
        <w:trPr>
          <w:trHeight w:val="258"/>
        </w:trPr>
        <w:tc>
          <w:tcPr>
            <w:tcW w:w="1926" w:type="dxa"/>
            <w:tcBorders>
              <w:top w:val="nil"/>
              <w:left w:val="nil"/>
              <w:bottom w:val="nil"/>
              <w:right w:val="nil"/>
            </w:tcBorders>
            <w:shd w:val="clear" w:color="auto" w:fill="auto"/>
            <w:noWrap/>
            <w:vAlign w:val="bottom"/>
            <w:hideMark/>
          </w:tcPr>
          <w:p w14:paraId="4B92853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Corn</w:t>
            </w:r>
          </w:p>
        </w:tc>
        <w:tc>
          <w:tcPr>
            <w:tcW w:w="1251" w:type="dxa"/>
            <w:tcBorders>
              <w:top w:val="nil"/>
              <w:left w:val="nil"/>
              <w:bottom w:val="nil"/>
              <w:right w:val="nil"/>
            </w:tcBorders>
            <w:shd w:val="clear" w:color="auto" w:fill="auto"/>
            <w:noWrap/>
            <w:vAlign w:val="bottom"/>
            <w:hideMark/>
          </w:tcPr>
          <w:p w14:paraId="4F0E014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6754AAC8"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3628A342"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500BE455"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7343640C"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7B621206"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210AED6B" w14:textId="77777777" w:rsidTr="00437290">
        <w:trPr>
          <w:trHeight w:val="258"/>
        </w:trPr>
        <w:tc>
          <w:tcPr>
            <w:tcW w:w="1926" w:type="dxa"/>
            <w:tcBorders>
              <w:top w:val="nil"/>
              <w:left w:val="nil"/>
              <w:bottom w:val="nil"/>
              <w:right w:val="nil"/>
            </w:tcBorders>
            <w:shd w:val="clear" w:color="auto" w:fill="auto"/>
            <w:noWrap/>
            <w:vAlign w:val="bottom"/>
            <w:hideMark/>
          </w:tcPr>
          <w:p w14:paraId="32010F1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 †‡●</w:t>
            </w:r>
          </w:p>
        </w:tc>
        <w:tc>
          <w:tcPr>
            <w:tcW w:w="1251" w:type="dxa"/>
            <w:tcBorders>
              <w:top w:val="nil"/>
              <w:left w:val="nil"/>
              <w:bottom w:val="nil"/>
              <w:right w:val="nil"/>
            </w:tcBorders>
            <w:shd w:val="clear" w:color="auto" w:fill="auto"/>
            <w:noWrap/>
            <w:vAlign w:val="bottom"/>
            <w:hideMark/>
          </w:tcPr>
          <w:p w14:paraId="6DACE0E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18.45</w:t>
            </w:r>
          </w:p>
        </w:tc>
        <w:tc>
          <w:tcPr>
            <w:tcW w:w="866" w:type="dxa"/>
            <w:tcBorders>
              <w:top w:val="nil"/>
              <w:left w:val="nil"/>
              <w:bottom w:val="nil"/>
              <w:right w:val="nil"/>
            </w:tcBorders>
            <w:shd w:val="clear" w:color="auto" w:fill="auto"/>
            <w:noWrap/>
            <w:vAlign w:val="bottom"/>
            <w:hideMark/>
          </w:tcPr>
          <w:p w14:paraId="1C3D38A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14.19</w:t>
            </w:r>
          </w:p>
        </w:tc>
        <w:tc>
          <w:tcPr>
            <w:tcW w:w="1128" w:type="dxa"/>
            <w:tcBorders>
              <w:top w:val="nil"/>
              <w:left w:val="nil"/>
              <w:bottom w:val="nil"/>
              <w:right w:val="nil"/>
            </w:tcBorders>
            <w:shd w:val="clear" w:color="auto" w:fill="auto"/>
            <w:noWrap/>
            <w:vAlign w:val="bottom"/>
            <w:hideMark/>
          </w:tcPr>
          <w:p w14:paraId="73B2B7E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13.52</w:t>
            </w:r>
          </w:p>
        </w:tc>
        <w:tc>
          <w:tcPr>
            <w:tcW w:w="1160" w:type="dxa"/>
            <w:tcBorders>
              <w:top w:val="nil"/>
              <w:left w:val="nil"/>
              <w:bottom w:val="nil"/>
              <w:right w:val="nil"/>
            </w:tcBorders>
            <w:shd w:val="clear" w:color="auto" w:fill="auto"/>
            <w:noWrap/>
            <w:vAlign w:val="bottom"/>
            <w:hideMark/>
          </w:tcPr>
          <w:p w14:paraId="2A4702D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4.06</w:t>
            </w:r>
          </w:p>
        </w:tc>
        <w:tc>
          <w:tcPr>
            <w:tcW w:w="1060" w:type="dxa"/>
            <w:vMerge w:val="restart"/>
            <w:tcBorders>
              <w:top w:val="nil"/>
              <w:left w:val="nil"/>
              <w:bottom w:val="single" w:sz="8" w:space="0" w:color="000000"/>
              <w:right w:val="nil"/>
            </w:tcBorders>
            <w:shd w:val="clear" w:color="auto" w:fill="auto"/>
            <w:noWrap/>
            <w:vAlign w:val="center"/>
            <w:hideMark/>
          </w:tcPr>
          <w:p w14:paraId="014418B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0.201</w:t>
            </w:r>
          </w:p>
        </w:tc>
        <w:tc>
          <w:tcPr>
            <w:tcW w:w="1040" w:type="dxa"/>
            <w:vMerge w:val="restart"/>
            <w:tcBorders>
              <w:top w:val="nil"/>
              <w:left w:val="nil"/>
              <w:bottom w:val="single" w:sz="8" w:space="0" w:color="000000"/>
              <w:right w:val="nil"/>
            </w:tcBorders>
            <w:shd w:val="clear" w:color="auto" w:fill="auto"/>
            <w:noWrap/>
            <w:vAlign w:val="center"/>
            <w:hideMark/>
          </w:tcPr>
          <w:p w14:paraId="2C7509E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0.158</w:t>
            </w:r>
          </w:p>
        </w:tc>
      </w:tr>
      <w:tr w:rsidR="00437290" w:rsidRPr="00F07DEB" w14:paraId="6373518E" w14:textId="77777777" w:rsidTr="00437290">
        <w:trPr>
          <w:trHeight w:val="258"/>
        </w:trPr>
        <w:tc>
          <w:tcPr>
            <w:tcW w:w="1926" w:type="dxa"/>
            <w:tcBorders>
              <w:top w:val="nil"/>
              <w:left w:val="nil"/>
              <w:bottom w:val="nil"/>
              <w:right w:val="nil"/>
            </w:tcBorders>
            <w:shd w:val="clear" w:color="auto" w:fill="auto"/>
            <w:noWrap/>
            <w:vAlign w:val="bottom"/>
            <w:hideMark/>
          </w:tcPr>
          <w:p w14:paraId="3B42EDD0" w14:textId="3AADC9F6"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w:t>
            </w:r>
            <w:r w:rsidR="001405F5">
              <w:rPr>
                <w:rFonts w:ascii="Times New Roman" w:eastAsia="Times New Roman" w:hAnsi="Times New Roman" w:cs="Times New Roman"/>
                <w:color w:val="000000"/>
                <w:sz w:val="20"/>
                <w:szCs w:val="20"/>
                <w:lang w:eastAsia="en-US"/>
              </w:rPr>
              <w:t>Husk</w:t>
            </w:r>
            <w:r w:rsidRPr="00F07DEB">
              <w:rPr>
                <w:rFonts w:ascii="Times New Roman" w:eastAsia="Times New Roman" w:hAnsi="Times New Roman" w:cs="Times New Roman"/>
                <w:color w:val="000000"/>
                <w:sz w:val="20"/>
                <w:szCs w:val="20"/>
                <w:lang w:eastAsia="en-US"/>
              </w:rPr>
              <w:t xml:space="preserve"> ‡</w:t>
            </w:r>
          </w:p>
        </w:tc>
        <w:tc>
          <w:tcPr>
            <w:tcW w:w="1251" w:type="dxa"/>
            <w:tcBorders>
              <w:top w:val="nil"/>
              <w:left w:val="nil"/>
              <w:bottom w:val="nil"/>
              <w:right w:val="nil"/>
            </w:tcBorders>
            <w:shd w:val="clear" w:color="auto" w:fill="auto"/>
            <w:noWrap/>
            <w:vAlign w:val="bottom"/>
            <w:hideMark/>
          </w:tcPr>
          <w:p w14:paraId="11AA0EC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17.55</w:t>
            </w:r>
          </w:p>
        </w:tc>
        <w:tc>
          <w:tcPr>
            <w:tcW w:w="866" w:type="dxa"/>
            <w:tcBorders>
              <w:top w:val="nil"/>
              <w:left w:val="nil"/>
              <w:bottom w:val="nil"/>
              <w:right w:val="nil"/>
            </w:tcBorders>
            <w:shd w:val="clear" w:color="auto" w:fill="auto"/>
            <w:noWrap/>
            <w:vAlign w:val="bottom"/>
            <w:hideMark/>
          </w:tcPr>
          <w:p w14:paraId="4405D21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3.34</w:t>
            </w:r>
          </w:p>
        </w:tc>
        <w:tc>
          <w:tcPr>
            <w:tcW w:w="1128" w:type="dxa"/>
            <w:tcBorders>
              <w:top w:val="nil"/>
              <w:left w:val="nil"/>
              <w:bottom w:val="nil"/>
              <w:right w:val="nil"/>
            </w:tcBorders>
            <w:shd w:val="clear" w:color="auto" w:fill="auto"/>
            <w:noWrap/>
            <w:vAlign w:val="bottom"/>
            <w:hideMark/>
          </w:tcPr>
          <w:p w14:paraId="2E59A87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15.12</w:t>
            </w:r>
          </w:p>
        </w:tc>
        <w:tc>
          <w:tcPr>
            <w:tcW w:w="1160" w:type="dxa"/>
            <w:tcBorders>
              <w:top w:val="nil"/>
              <w:left w:val="nil"/>
              <w:bottom w:val="nil"/>
              <w:right w:val="nil"/>
            </w:tcBorders>
            <w:shd w:val="clear" w:color="auto" w:fill="auto"/>
            <w:noWrap/>
            <w:vAlign w:val="bottom"/>
            <w:hideMark/>
          </w:tcPr>
          <w:p w14:paraId="40A12E4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2.01</w:t>
            </w:r>
          </w:p>
        </w:tc>
        <w:tc>
          <w:tcPr>
            <w:tcW w:w="1060" w:type="dxa"/>
            <w:vMerge/>
            <w:tcBorders>
              <w:top w:val="nil"/>
              <w:left w:val="nil"/>
              <w:bottom w:val="single" w:sz="8" w:space="0" w:color="000000"/>
              <w:right w:val="nil"/>
            </w:tcBorders>
            <w:vAlign w:val="center"/>
            <w:hideMark/>
          </w:tcPr>
          <w:p w14:paraId="0279517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0336AC0E"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246DDF07" w14:textId="77777777" w:rsidTr="00437290">
        <w:trPr>
          <w:trHeight w:val="258"/>
        </w:trPr>
        <w:tc>
          <w:tcPr>
            <w:tcW w:w="1926" w:type="dxa"/>
            <w:tcBorders>
              <w:top w:val="nil"/>
              <w:left w:val="nil"/>
              <w:bottom w:val="nil"/>
              <w:right w:val="nil"/>
            </w:tcBorders>
            <w:shd w:val="clear" w:color="auto" w:fill="auto"/>
            <w:noWrap/>
            <w:vAlign w:val="bottom"/>
            <w:hideMark/>
          </w:tcPr>
          <w:p w14:paraId="5A0C957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 ◊</w:t>
            </w:r>
          </w:p>
        </w:tc>
        <w:tc>
          <w:tcPr>
            <w:tcW w:w="1251" w:type="dxa"/>
            <w:tcBorders>
              <w:top w:val="nil"/>
              <w:left w:val="nil"/>
              <w:bottom w:val="nil"/>
              <w:right w:val="nil"/>
            </w:tcBorders>
            <w:shd w:val="clear" w:color="auto" w:fill="auto"/>
            <w:noWrap/>
            <w:vAlign w:val="bottom"/>
            <w:hideMark/>
          </w:tcPr>
          <w:p w14:paraId="2FCEC31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38.71</w:t>
            </w:r>
          </w:p>
        </w:tc>
        <w:tc>
          <w:tcPr>
            <w:tcW w:w="866" w:type="dxa"/>
            <w:tcBorders>
              <w:top w:val="nil"/>
              <w:left w:val="nil"/>
              <w:bottom w:val="nil"/>
              <w:right w:val="nil"/>
            </w:tcBorders>
            <w:shd w:val="clear" w:color="auto" w:fill="auto"/>
            <w:noWrap/>
            <w:vAlign w:val="bottom"/>
            <w:hideMark/>
          </w:tcPr>
          <w:p w14:paraId="2A1FCA9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12.23</w:t>
            </w:r>
          </w:p>
        </w:tc>
        <w:tc>
          <w:tcPr>
            <w:tcW w:w="1128" w:type="dxa"/>
            <w:tcBorders>
              <w:top w:val="nil"/>
              <w:left w:val="nil"/>
              <w:bottom w:val="nil"/>
              <w:right w:val="nil"/>
            </w:tcBorders>
            <w:shd w:val="clear" w:color="auto" w:fill="auto"/>
            <w:noWrap/>
            <w:vAlign w:val="bottom"/>
            <w:hideMark/>
          </w:tcPr>
          <w:p w14:paraId="20ABA5E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30.75</w:t>
            </w:r>
          </w:p>
        </w:tc>
        <w:tc>
          <w:tcPr>
            <w:tcW w:w="1160" w:type="dxa"/>
            <w:tcBorders>
              <w:top w:val="nil"/>
              <w:left w:val="nil"/>
              <w:bottom w:val="nil"/>
              <w:right w:val="nil"/>
            </w:tcBorders>
            <w:shd w:val="clear" w:color="auto" w:fill="auto"/>
            <w:noWrap/>
            <w:vAlign w:val="bottom"/>
            <w:hideMark/>
          </w:tcPr>
          <w:p w14:paraId="740928D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8.84</w:t>
            </w:r>
          </w:p>
        </w:tc>
        <w:tc>
          <w:tcPr>
            <w:tcW w:w="1060" w:type="dxa"/>
            <w:vMerge/>
            <w:tcBorders>
              <w:top w:val="nil"/>
              <w:left w:val="nil"/>
              <w:bottom w:val="single" w:sz="8" w:space="0" w:color="000000"/>
              <w:right w:val="nil"/>
            </w:tcBorders>
            <w:vAlign w:val="center"/>
            <w:hideMark/>
          </w:tcPr>
          <w:p w14:paraId="1E71E08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11C0970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63AB47D1" w14:textId="77777777" w:rsidTr="00437290">
        <w:trPr>
          <w:trHeight w:val="258"/>
        </w:trPr>
        <w:tc>
          <w:tcPr>
            <w:tcW w:w="1926" w:type="dxa"/>
            <w:tcBorders>
              <w:top w:val="nil"/>
              <w:left w:val="nil"/>
              <w:bottom w:val="nil"/>
              <w:right w:val="nil"/>
            </w:tcBorders>
            <w:shd w:val="clear" w:color="auto" w:fill="auto"/>
            <w:noWrap/>
            <w:vAlign w:val="bottom"/>
            <w:hideMark/>
          </w:tcPr>
          <w:p w14:paraId="2611C4F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Cob ◊●</w:t>
            </w:r>
          </w:p>
        </w:tc>
        <w:tc>
          <w:tcPr>
            <w:tcW w:w="1251" w:type="dxa"/>
            <w:tcBorders>
              <w:top w:val="nil"/>
              <w:left w:val="nil"/>
              <w:bottom w:val="nil"/>
              <w:right w:val="nil"/>
            </w:tcBorders>
            <w:shd w:val="clear" w:color="auto" w:fill="auto"/>
            <w:noWrap/>
            <w:vAlign w:val="bottom"/>
            <w:hideMark/>
          </w:tcPr>
          <w:p w14:paraId="12BE252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29.92</w:t>
            </w:r>
          </w:p>
        </w:tc>
        <w:tc>
          <w:tcPr>
            <w:tcW w:w="866" w:type="dxa"/>
            <w:tcBorders>
              <w:top w:val="nil"/>
              <w:left w:val="nil"/>
              <w:bottom w:val="nil"/>
              <w:right w:val="nil"/>
            </w:tcBorders>
            <w:shd w:val="clear" w:color="auto" w:fill="auto"/>
            <w:noWrap/>
            <w:vAlign w:val="bottom"/>
            <w:hideMark/>
          </w:tcPr>
          <w:p w14:paraId="23A31DF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4.74</w:t>
            </w:r>
          </w:p>
        </w:tc>
        <w:tc>
          <w:tcPr>
            <w:tcW w:w="1128" w:type="dxa"/>
            <w:tcBorders>
              <w:top w:val="nil"/>
              <w:left w:val="nil"/>
              <w:bottom w:val="nil"/>
              <w:right w:val="nil"/>
            </w:tcBorders>
            <w:shd w:val="clear" w:color="auto" w:fill="auto"/>
            <w:noWrap/>
            <w:vAlign w:val="bottom"/>
            <w:hideMark/>
          </w:tcPr>
          <w:p w14:paraId="43C117F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27.16</w:t>
            </w:r>
          </w:p>
        </w:tc>
        <w:tc>
          <w:tcPr>
            <w:tcW w:w="1160" w:type="dxa"/>
            <w:tcBorders>
              <w:top w:val="nil"/>
              <w:left w:val="nil"/>
              <w:bottom w:val="nil"/>
              <w:right w:val="nil"/>
            </w:tcBorders>
            <w:shd w:val="clear" w:color="auto" w:fill="auto"/>
            <w:noWrap/>
            <w:vAlign w:val="bottom"/>
            <w:hideMark/>
          </w:tcPr>
          <w:p w14:paraId="61C1685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6.68</w:t>
            </w:r>
          </w:p>
        </w:tc>
        <w:tc>
          <w:tcPr>
            <w:tcW w:w="1060" w:type="dxa"/>
            <w:vMerge/>
            <w:tcBorders>
              <w:top w:val="nil"/>
              <w:left w:val="nil"/>
              <w:bottom w:val="single" w:sz="8" w:space="0" w:color="000000"/>
              <w:right w:val="nil"/>
            </w:tcBorders>
            <w:vAlign w:val="center"/>
            <w:hideMark/>
          </w:tcPr>
          <w:p w14:paraId="53CDF83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1FB7A7C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55C5EA55" w14:textId="77777777" w:rsidTr="00437290">
        <w:trPr>
          <w:trHeight w:val="258"/>
        </w:trPr>
        <w:tc>
          <w:tcPr>
            <w:tcW w:w="1926" w:type="dxa"/>
            <w:tcBorders>
              <w:top w:val="nil"/>
              <w:left w:val="nil"/>
              <w:bottom w:val="nil"/>
              <w:right w:val="nil"/>
            </w:tcBorders>
            <w:shd w:val="clear" w:color="auto" w:fill="auto"/>
            <w:noWrap/>
            <w:vAlign w:val="bottom"/>
            <w:hideMark/>
          </w:tcPr>
          <w:p w14:paraId="3CEEF95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 †</w:t>
            </w:r>
          </w:p>
        </w:tc>
        <w:tc>
          <w:tcPr>
            <w:tcW w:w="1251" w:type="dxa"/>
            <w:tcBorders>
              <w:top w:val="nil"/>
              <w:left w:val="nil"/>
              <w:bottom w:val="nil"/>
              <w:right w:val="nil"/>
            </w:tcBorders>
            <w:shd w:val="clear" w:color="auto" w:fill="auto"/>
            <w:noWrap/>
            <w:vAlign w:val="bottom"/>
            <w:hideMark/>
          </w:tcPr>
          <w:p w14:paraId="36DF4A7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5.07</w:t>
            </w:r>
          </w:p>
        </w:tc>
        <w:tc>
          <w:tcPr>
            <w:tcW w:w="866" w:type="dxa"/>
            <w:tcBorders>
              <w:top w:val="nil"/>
              <w:left w:val="nil"/>
              <w:bottom w:val="nil"/>
              <w:right w:val="nil"/>
            </w:tcBorders>
            <w:shd w:val="clear" w:color="auto" w:fill="auto"/>
            <w:noWrap/>
            <w:vAlign w:val="bottom"/>
            <w:hideMark/>
          </w:tcPr>
          <w:p w14:paraId="2F39110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1.09</w:t>
            </w:r>
          </w:p>
        </w:tc>
        <w:tc>
          <w:tcPr>
            <w:tcW w:w="1128" w:type="dxa"/>
            <w:tcBorders>
              <w:top w:val="nil"/>
              <w:left w:val="nil"/>
              <w:bottom w:val="nil"/>
              <w:right w:val="nil"/>
            </w:tcBorders>
            <w:shd w:val="clear" w:color="auto" w:fill="auto"/>
            <w:noWrap/>
            <w:vAlign w:val="bottom"/>
            <w:hideMark/>
          </w:tcPr>
          <w:p w14:paraId="3B4FD45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6.20</w:t>
            </w:r>
          </w:p>
        </w:tc>
        <w:tc>
          <w:tcPr>
            <w:tcW w:w="1160" w:type="dxa"/>
            <w:tcBorders>
              <w:top w:val="nil"/>
              <w:left w:val="nil"/>
              <w:bottom w:val="nil"/>
              <w:right w:val="nil"/>
            </w:tcBorders>
            <w:shd w:val="clear" w:color="auto" w:fill="auto"/>
            <w:noWrap/>
            <w:vAlign w:val="bottom"/>
            <w:hideMark/>
          </w:tcPr>
          <w:p w14:paraId="00913B4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2.51</w:t>
            </w:r>
          </w:p>
        </w:tc>
        <w:tc>
          <w:tcPr>
            <w:tcW w:w="1060" w:type="dxa"/>
            <w:vMerge/>
            <w:tcBorders>
              <w:top w:val="nil"/>
              <w:left w:val="nil"/>
              <w:bottom w:val="single" w:sz="8" w:space="0" w:color="000000"/>
              <w:right w:val="nil"/>
            </w:tcBorders>
            <w:vAlign w:val="center"/>
            <w:hideMark/>
          </w:tcPr>
          <w:p w14:paraId="5E9B3B4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043DE6A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1972D105"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24BBA70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 ‡</w:t>
            </w:r>
          </w:p>
        </w:tc>
        <w:tc>
          <w:tcPr>
            <w:tcW w:w="1251" w:type="dxa"/>
            <w:tcBorders>
              <w:top w:val="nil"/>
              <w:left w:val="nil"/>
              <w:bottom w:val="single" w:sz="8" w:space="0" w:color="auto"/>
              <w:right w:val="nil"/>
            </w:tcBorders>
            <w:shd w:val="clear" w:color="auto" w:fill="auto"/>
            <w:noWrap/>
            <w:vAlign w:val="bottom"/>
            <w:hideMark/>
          </w:tcPr>
          <w:p w14:paraId="4E03A3D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14.16</w:t>
            </w:r>
          </w:p>
        </w:tc>
        <w:tc>
          <w:tcPr>
            <w:tcW w:w="866" w:type="dxa"/>
            <w:tcBorders>
              <w:top w:val="nil"/>
              <w:left w:val="nil"/>
              <w:bottom w:val="single" w:sz="8" w:space="0" w:color="auto"/>
              <w:right w:val="nil"/>
            </w:tcBorders>
            <w:shd w:val="clear" w:color="auto" w:fill="auto"/>
            <w:noWrap/>
            <w:vAlign w:val="bottom"/>
            <w:hideMark/>
          </w:tcPr>
          <w:p w14:paraId="7CB04E7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3.63</w:t>
            </w:r>
          </w:p>
        </w:tc>
        <w:tc>
          <w:tcPr>
            <w:tcW w:w="1128" w:type="dxa"/>
            <w:tcBorders>
              <w:top w:val="nil"/>
              <w:left w:val="nil"/>
              <w:bottom w:val="single" w:sz="8" w:space="0" w:color="auto"/>
              <w:right w:val="nil"/>
            </w:tcBorders>
            <w:shd w:val="clear" w:color="auto" w:fill="auto"/>
            <w:noWrap/>
            <w:vAlign w:val="bottom"/>
            <w:hideMark/>
          </w:tcPr>
          <w:p w14:paraId="12BECDE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13.50</w:t>
            </w:r>
          </w:p>
        </w:tc>
        <w:tc>
          <w:tcPr>
            <w:tcW w:w="1160" w:type="dxa"/>
            <w:tcBorders>
              <w:top w:val="nil"/>
              <w:left w:val="nil"/>
              <w:bottom w:val="single" w:sz="8" w:space="0" w:color="auto"/>
              <w:right w:val="nil"/>
            </w:tcBorders>
            <w:shd w:val="clear" w:color="auto" w:fill="auto"/>
            <w:noWrap/>
            <w:vAlign w:val="bottom"/>
            <w:hideMark/>
          </w:tcPr>
          <w:p w14:paraId="3CEEB47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3.52</w:t>
            </w:r>
          </w:p>
        </w:tc>
        <w:tc>
          <w:tcPr>
            <w:tcW w:w="1060" w:type="dxa"/>
            <w:vMerge/>
            <w:tcBorders>
              <w:top w:val="nil"/>
              <w:left w:val="nil"/>
              <w:bottom w:val="single" w:sz="8" w:space="0" w:color="000000"/>
              <w:right w:val="nil"/>
            </w:tcBorders>
            <w:vAlign w:val="center"/>
            <w:hideMark/>
          </w:tcPr>
          <w:p w14:paraId="2C8E425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6894399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4F439618" w14:textId="77777777" w:rsidTr="00437290">
        <w:trPr>
          <w:trHeight w:val="258"/>
        </w:trPr>
        <w:tc>
          <w:tcPr>
            <w:tcW w:w="1926" w:type="dxa"/>
            <w:tcBorders>
              <w:top w:val="nil"/>
              <w:left w:val="nil"/>
              <w:bottom w:val="nil"/>
              <w:right w:val="nil"/>
            </w:tcBorders>
            <w:shd w:val="clear" w:color="auto" w:fill="auto"/>
            <w:noWrap/>
            <w:vAlign w:val="bottom"/>
            <w:hideMark/>
          </w:tcPr>
          <w:p w14:paraId="64C95AE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Sorghum *</w:t>
            </w:r>
          </w:p>
        </w:tc>
        <w:tc>
          <w:tcPr>
            <w:tcW w:w="1251" w:type="dxa"/>
            <w:tcBorders>
              <w:top w:val="nil"/>
              <w:left w:val="nil"/>
              <w:bottom w:val="nil"/>
              <w:right w:val="nil"/>
            </w:tcBorders>
            <w:shd w:val="clear" w:color="auto" w:fill="auto"/>
            <w:noWrap/>
            <w:vAlign w:val="bottom"/>
            <w:hideMark/>
          </w:tcPr>
          <w:p w14:paraId="1BB0F83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6F2FBEA1"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15B12678"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481D865C"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2FB85D2D"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4EDB5473"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797BBD58" w14:textId="77777777" w:rsidTr="00437290">
        <w:trPr>
          <w:trHeight w:val="258"/>
        </w:trPr>
        <w:tc>
          <w:tcPr>
            <w:tcW w:w="1926" w:type="dxa"/>
            <w:tcBorders>
              <w:top w:val="nil"/>
              <w:left w:val="nil"/>
              <w:bottom w:val="nil"/>
              <w:right w:val="nil"/>
            </w:tcBorders>
            <w:shd w:val="clear" w:color="auto" w:fill="auto"/>
            <w:noWrap/>
            <w:vAlign w:val="bottom"/>
            <w:hideMark/>
          </w:tcPr>
          <w:p w14:paraId="6EE1FA2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Leaf †</w:t>
            </w:r>
          </w:p>
        </w:tc>
        <w:tc>
          <w:tcPr>
            <w:tcW w:w="1251" w:type="dxa"/>
            <w:tcBorders>
              <w:top w:val="nil"/>
              <w:left w:val="nil"/>
              <w:bottom w:val="nil"/>
              <w:right w:val="nil"/>
            </w:tcBorders>
            <w:shd w:val="clear" w:color="auto" w:fill="auto"/>
            <w:noWrap/>
            <w:vAlign w:val="bottom"/>
            <w:hideMark/>
          </w:tcPr>
          <w:p w14:paraId="6E465F1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19.69</w:t>
            </w:r>
          </w:p>
        </w:tc>
        <w:tc>
          <w:tcPr>
            <w:tcW w:w="866" w:type="dxa"/>
            <w:tcBorders>
              <w:top w:val="nil"/>
              <w:left w:val="nil"/>
              <w:bottom w:val="nil"/>
              <w:right w:val="nil"/>
            </w:tcBorders>
            <w:shd w:val="clear" w:color="auto" w:fill="auto"/>
            <w:noWrap/>
            <w:vAlign w:val="bottom"/>
            <w:hideMark/>
          </w:tcPr>
          <w:p w14:paraId="1CB9F24F"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7.02</w:t>
            </w:r>
          </w:p>
        </w:tc>
        <w:tc>
          <w:tcPr>
            <w:tcW w:w="1128" w:type="dxa"/>
            <w:tcBorders>
              <w:top w:val="nil"/>
              <w:left w:val="nil"/>
              <w:bottom w:val="nil"/>
              <w:right w:val="nil"/>
            </w:tcBorders>
            <w:shd w:val="clear" w:color="auto" w:fill="auto"/>
            <w:noWrap/>
            <w:vAlign w:val="bottom"/>
            <w:hideMark/>
          </w:tcPr>
          <w:p w14:paraId="2491802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17.36</w:t>
            </w:r>
          </w:p>
        </w:tc>
        <w:tc>
          <w:tcPr>
            <w:tcW w:w="1160" w:type="dxa"/>
            <w:tcBorders>
              <w:top w:val="nil"/>
              <w:left w:val="nil"/>
              <w:bottom w:val="nil"/>
              <w:right w:val="nil"/>
            </w:tcBorders>
            <w:shd w:val="clear" w:color="auto" w:fill="auto"/>
            <w:noWrap/>
            <w:vAlign w:val="bottom"/>
            <w:hideMark/>
          </w:tcPr>
          <w:p w14:paraId="7CEE9F5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2.44</w:t>
            </w:r>
          </w:p>
        </w:tc>
        <w:tc>
          <w:tcPr>
            <w:tcW w:w="1060" w:type="dxa"/>
            <w:vMerge w:val="restart"/>
            <w:tcBorders>
              <w:top w:val="nil"/>
              <w:left w:val="nil"/>
              <w:bottom w:val="single" w:sz="8" w:space="0" w:color="000000"/>
              <w:right w:val="nil"/>
            </w:tcBorders>
            <w:shd w:val="clear" w:color="auto" w:fill="auto"/>
            <w:noWrap/>
            <w:vAlign w:val="center"/>
            <w:hideMark/>
          </w:tcPr>
          <w:p w14:paraId="69632BB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0.047</w:t>
            </w:r>
          </w:p>
        </w:tc>
        <w:tc>
          <w:tcPr>
            <w:tcW w:w="1040" w:type="dxa"/>
            <w:vMerge w:val="restart"/>
            <w:tcBorders>
              <w:top w:val="nil"/>
              <w:left w:val="nil"/>
              <w:bottom w:val="single" w:sz="8" w:space="0" w:color="000000"/>
              <w:right w:val="nil"/>
            </w:tcBorders>
            <w:shd w:val="clear" w:color="auto" w:fill="auto"/>
            <w:noWrap/>
            <w:vAlign w:val="center"/>
            <w:hideMark/>
          </w:tcPr>
          <w:p w14:paraId="1C90C90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0.339</w:t>
            </w:r>
          </w:p>
        </w:tc>
      </w:tr>
      <w:tr w:rsidR="00437290" w:rsidRPr="00F07DEB" w14:paraId="3D2B6C21" w14:textId="77777777" w:rsidTr="00437290">
        <w:trPr>
          <w:trHeight w:val="258"/>
        </w:trPr>
        <w:tc>
          <w:tcPr>
            <w:tcW w:w="1926" w:type="dxa"/>
            <w:tcBorders>
              <w:top w:val="nil"/>
              <w:left w:val="nil"/>
              <w:bottom w:val="nil"/>
              <w:right w:val="nil"/>
            </w:tcBorders>
            <w:shd w:val="clear" w:color="auto" w:fill="auto"/>
            <w:noWrap/>
            <w:vAlign w:val="bottom"/>
            <w:hideMark/>
          </w:tcPr>
          <w:p w14:paraId="1B1BC99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Grain</w:t>
            </w:r>
          </w:p>
        </w:tc>
        <w:tc>
          <w:tcPr>
            <w:tcW w:w="1251" w:type="dxa"/>
            <w:tcBorders>
              <w:top w:val="nil"/>
              <w:left w:val="nil"/>
              <w:bottom w:val="nil"/>
              <w:right w:val="nil"/>
            </w:tcBorders>
            <w:shd w:val="clear" w:color="auto" w:fill="auto"/>
            <w:noWrap/>
            <w:vAlign w:val="bottom"/>
            <w:hideMark/>
          </w:tcPr>
          <w:p w14:paraId="141159A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54.03</w:t>
            </w:r>
          </w:p>
        </w:tc>
        <w:tc>
          <w:tcPr>
            <w:tcW w:w="866" w:type="dxa"/>
            <w:tcBorders>
              <w:top w:val="nil"/>
              <w:left w:val="nil"/>
              <w:bottom w:val="nil"/>
              <w:right w:val="nil"/>
            </w:tcBorders>
            <w:shd w:val="clear" w:color="auto" w:fill="auto"/>
            <w:noWrap/>
            <w:vAlign w:val="bottom"/>
            <w:hideMark/>
          </w:tcPr>
          <w:p w14:paraId="78A8630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10.00</w:t>
            </w:r>
          </w:p>
        </w:tc>
        <w:tc>
          <w:tcPr>
            <w:tcW w:w="1128" w:type="dxa"/>
            <w:tcBorders>
              <w:top w:val="nil"/>
              <w:left w:val="nil"/>
              <w:bottom w:val="nil"/>
              <w:right w:val="nil"/>
            </w:tcBorders>
            <w:shd w:val="clear" w:color="auto" w:fill="auto"/>
            <w:noWrap/>
            <w:vAlign w:val="bottom"/>
            <w:hideMark/>
          </w:tcPr>
          <w:p w14:paraId="6EEC192C"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46.64</w:t>
            </w:r>
          </w:p>
        </w:tc>
        <w:tc>
          <w:tcPr>
            <w:tcW w:w="1160" w:type="dxa"/>
            <w:tcBorders>
              <w:top w:val="nil"/>
              <w:left w:val="nil"/>
              <w:bottom w:val="nil"/>
              <w:right w:val="nil"/>
            </w:tcBorders>
            <w:shd w:val="clear" w:color="auto" w:fill="auto"/>
            <w:noWrap/>
            <w:vAlign w:val="bottom"/>
            <w:hideMark/>
          </w:tcPr>
          <w:p w14:paraId="728EA32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6.24</w:t>
            </w:r>
          </w:p>
        </w:tc>
        <w:tc>
          <w:tcPr>
            <w:tcW w:w="1060" w:type="dxa"/>
            <w:vMerge/>
            <w:tcBorders>
              <w:top w:val="nil"/>
              <w:left w:val="nil"/>
              <w:bottom w:val="single" w:sz="8" w:space="0" w:color="000000"/>
              <w:right w:val="nil"/>
            </w:tcBorders>
            <w:vAlign w:val="center"/>
            <w:hideMark/>
          </w:tcPr>
          <w:p w14:paraId="6515AD8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0BAE6A2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74968054" w14:textId="77777777" w:rsidTr="00437290">
        <w:trPr>
          <w:trHeight w:val="258"/>
        </w:trPr>
        <w:tc>
          <w:tcPr>
            <w:tcW w:w="1926" w:type="dxa"/>
            <w:tcBorders>
              <w:top w:val="nil"/>
              <w:left w:val="nil"/>
              <w:bottom w:val="nil"/>
              <w:right w:val="nil"/>
            </w:tcBorders>
            <w:shd w:val="clear" w:color="auto" w:fill="auto"/>
            <w:noWrap/>
            <w:vAlign w:val="bottom"/>
            <w:hideMark/>
          </w:tcPr>
          <w:p w14:paraId="45E0018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Stalk †</w:t>
            </w:r>
          </w:p>
        </w:tc>
        <w:tc>
          <w:tcPr>
            <w:tcW w:w="1251" w:type="dxa"/>
            <w:tcBorders>
              <w:top w:val="nil"/>
              <w:left w:val="nil"/>
              <w:bottom w:val="nil"/>
              <w:right w:val="nil"/>
            </w:tcBorders>
            <w:shd w:val="clear" w:color="auto" w:fill="auto"/>
            <w:noWrap/>
            <w:vAlign w:val="bottom"/>
            <w:hideMark/>
          </w:tcPr>
          <w:p w14:paraId="3DA7AC8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14.78</w:t>
            </w:r>
          </w:p>
        </w:tc>
        <w:tc>
          <w:tcPr>
            <w:tcW w:w="866" w:type="dxa"/>
            <w:tcBorders>
              <w:top w:val="nil"/>
              <w:left w:val="nil"/>
              <w:bottom w:val="nil"/>
              <w:right w:val="nil"/>
            </w:tcBorders>
            <w:shd w:val="clear" w:color="auto" w:fill="auto"/>
            <w:noWrap/>
            <w:vAlign w:val="bottom"/>
            <w:hideMark/>
          </w:tcPr>
          <w:p w14:paraId="6493778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5.25</w:t>
            </w:r>
          </w:p>
        </w:tc>
        <w:tc>
          <w:tcPr>
            <w:tcW w:w="1128" w:type="dxa"/>
            <w:tcBorders>
              <w:top w:val="nil"/>
              <w:left w:val="nil"/>
              <w:bottom w:val="nil"/>
              <w:right w:val="nil"/>
            </w:tcBorders>
            <w:shd w:val="clear" w:color="auto" w:fill="auto"/>
            <w:noWrap/>
            <w:vAlign w:val="bottom"/>
            <w:hideMark/>
          </w:tcPr>
          <w:p w14:paraId="085CB1B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11.65</w:t>
            </w:r>
          </w:p>
        </w:tc>
        <w:tc>
          <w:tcPr>
            <w:tcW w:w="1160" w:type="dxa"/>
            <w:tcBorders>
              <w:top w:val="nil"/>
              <w:left w:val="nil"/>
              <w:bottom w:val="nil"/>
              <w:right w:val="nil"/>
            </w:tcBorders>
            <w:shd w:val="clear" w:color="auto" w:fill="auto"/>
            <w:noWrap/>
            <w:vAlign w:val="bottom"/>
            <w:hideMark/>
          </w:tcPr>
          <w:p w14:paraId="671A53C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1.66</w:t>
            </w:r>
          </w:p>
        </w:tc>
        <w:tc>
          <w:tcPr>
            <w:tcW w:w="1060" w:type="dxa"/>
            <w:vMerge/>
            <w:tcBorders>
              <w:top w:val="nil"/>
              <w:left w:val="nil"/>
              <w:bottom w:val="single" w:sz="8" w:space="0" w:color="000000"/>
              <w:right w:val="nil"/>
            </w:tcBorders>
            <w:vAlign w:val="center"/>
            <w:hideMark/>
          </w:tcPr>
          <w:p w14:paraId="780CF020"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2364FEF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4B7E7CD4"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4CC6099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 †</w:t>
            </w:r>
          </w:p>
        </w:tc>
        <w:tc>
          <w:tcPr>
            <w:tcW w:w="1251" w:type="dxa"/>
            <w:tcBorders>
              <w:top w:val="nil"/>
              <w:left w:val="nil"/>
              <w:bottom w:val="single" w:sz="8" w:space="0" w:color="auto"/>
              <w:right w:val="nil"/>
            </w:tcBorders>
            <w:shd w:val="clear" w:color="auto" w:fill="auto"/>
            <w:noWrap/>
            <w:vAlign w:val="bottom"/>
            <w:hideMark/>
          </w:tcPr>
          <w:p w14:paraId="646B5925"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16.89</w:t>
            </w:r>
          </w:p>
        </w:tc>
        <w:tc>
          <w:tcPr>
            <w:tcW w:w="866" w:type="dxa"/>
            <w:tcBorders>
              <w:top w:val="nil"/>
              <w:left w:val="nil"/>
              <w:bottom w:val="single" w:sz="8" w:space="0" w:color="auto"/>
              <w:right w:val="nil"/>
            </w:tcBorders>
            <w:shd w:val="clear" w:color="auto" w:fill="auto"/>
            <w:noWrap/>
            <w:vAlign w:val="bottom"/>
            <w:hideMark/>
          </w:tcPr>
          <w:p w14:paraId="0547D87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2.40</w:t>
            </w:r>
          </w:p>
        </w:tc>
        <w:tc>
          <w:tcPr>
            <w:tcW w:w="1128" w:type="dxa"/>
            <w:tcBorders>
              <w:top w:val="nil"/>
              <w:left w:val="nil"/>
              <w:bottom w:val="single" w:sz="8" w:space="0" w:color="auto"/>
              <w:right w:val="nil"/>
            </w:tcBorders>
            <w:shd w:val="clear" w:color="auto" w:fill="auto"/>
            <w:noWrap/>
            <w:vAlign w:val="bottom"/>
            <w:hideMark/>
          </w:tcPr>
          <w:p w14:paraId="304899B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14.29</w:t>
            </w:r>
          </w:p>
        </w:tc>
        <w:tc>
          <w:tcPr>
            <w:tcW w:w="1160" w:type="dxa"/>
            <w:tcBorders>
              <w:top w:val="nil"/>
              <w:left w:val="nil"/>
              <w:bottom w:val="single" w:sz="8" w:space="0" w:color="auto"/>
              <w:right w:val="nil"/>
            </w:tcBorders>
            <w:shd w:val="clear" w:color="auto" w:fill="auto"/>
            <w:noWrap/>
            <w:vAlign w:val="bottom"/>
            <w:hideMark/>
          </w:tcPr>
          <w:p w14:paraId="6C3DA95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1.96</w:t>
            </w:r>
          </w:p>
        </w:tc>
        <w:tc>
          <w:tcPr>
            <w:tcW w:w="1060" w:type="dxa"/>
            <w:vMerge/>
            <w:tcBorders>
              <w:top w:val="nil"/>
              <w:left w:val="nil"/>
              <w:bottom w:val="single" w:sz="8" w:space="0" w:color="000000"/>
              <w:right w:val="nil"/>
            </w:tcBorders>
            <w:vAlign w:val="center"/>
            <w:hideMark/>
          </w:tcPr>
          <w:p w14:paraId="149660B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1040" w:type="dxa"/>
            <w:vMerge/>
            <w:tcBorders>
              <w:top w:val="nil"/>
              <w:left w:val="nil"/>
              <w:bottom w:val="single" w:sz="8" w:space="0" w:color="000000"/>
              <w:right w:val="nil"/>
            </w:tcBorders>
            <w:vAlign w:val="center"/>
            <w:hideMark/>
          </w:tcPr>
          <w:p w14:paraId="68096542"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r>
      <w:tr w:rsidR="00437290" w:rsidRPr="00F07DEB" w14:paraId="3793AA0F" w14:textId="77777777" w:rsidTr="00437290">
        <w:trPr>
          <w:trHeight w:val="258"/>
        </w:trPr>
        <w:tc>
          <w:tcPr>
            <w:tcW w:w="1926" w:type="dxa"/>
            <w:tcBorders>
              <w:top w:val="nil"/>
              <w:left w:val="nil"/>
              <w:bottom w:val="nil"/>
              <w:right w:val="nil"/>
            </w:tcBorders>
            <w:shd w:val="clear" w:color="auto" w:fill="auto"/>
            <w:noWrap/>
            <w:vAlign w:val="bottom"/>
            <w:hideMark/>
          </w:tcPr>
          <w:p w14:paraId="4E87A16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Bermuda grass</w:t>
            </w:r>
          </w:p>
        </w:tc>
        <w:tc>
          <w:tcPr>
            <w:tcW w:w="1251" w:type="dxa"/>
            <w:tcBorders>
              <w:top w:val="nil"/>
              <w:left w:val="nil"/>
              <w:bottom w:val="nil"/>
              <w:right w:val="nil"/>
            </w:tcBorders>
            <w:shd w:val="clear" w:color="auto" w:fill="auto"/>
            <w:noWrap/>
            <w:vAlign w:val="bottom"/>
            <w:hideMark/>
          </w:tcPr>
          <w:p w14:paraId="4448358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p>
        </w:tc>
        <w:tc>
          <w:tcPr>
            <w:tcW w:w="866" w:type="dxa"/>
            <w:tcBorders>
              <w:top w:val="nil"/>
              <w:left w:val="nil"/>
              <w:bottom w:val="nil"/>
              <w:right w:val="nil"/>
            </w:tcBorders>
            <w:shd w:val="clear" w:color="auto" w:fill="auto"/>
            <w:noWrap/>
            <w:vAlign w:val="bottom"/>
            <w:hideMark/>
          </w:tcPr>
          <w:p w14:paraId="213A439A"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28" w:type="dxa"/>
            <w:tcBorders>
              <w:top w:val="nil"/>
              <w:left w:val="nil"/>
              <w:bottom w:val="nil"/>
              <w:right w:val="nil"/>
            </w:tcBorders>
            <w:shd w:val="clear" w:color="auto" w:fill="auto"/>
            <w:noWrap/>
            <w:vAlign w:val="bottom"/>
            <w:hideMark/>
          </w:tcPr>
          <w:p w14:paraId="53403054"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160" w:type="dxa"/>
            <w:tcBorders>
              <w:top w:val="nil"/>
              <w:left w:val="nil"/>
              <w:bottom w:val="nil"/>
              <w:right w:val="nil"/>
            </w:tcBorders>
            <w:shd w:val="clear" w:color="auto" w:fill="auto"/>
            <w:noWrap/>
            <w:vAlign w:val="bottom"/>
            <w:hideMark/>
          </w:tcPr>
          <w:p w14:paraId="608AE7FF"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60" w:type="dxa"/>
            <w:tcBorders>
              <w:top w:val="nil"/>
              <w:left w:val="nil"/>
              <w:bottom w:val="nil"/>
              <w:right w:val="nil"/>
            </w:tcBorders>
            <w:shd w:val="clear" w:color="auto" w:fill="auto"/>
            <w:noWrap/>
            <w:vAlign w:val="bottom"/>
            <w:hideMark/>
          </w:tcPr>
          <w:p w14:paraId="4BF3078A"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c>
          <w:tcPr>
            <w:tcW w:w="1040" w:type="dxa"/>
            <w:tcBorders>
              <w:top w:val="nil"/>
              <w:left w:val="nil"/>
              <w:bottom w:val="nil"/>
              <w:right w:val="nil"/>
            </w:tcBorders>
            <w:shd w:val="clear" w:color="auto" w:fill="auto"/>
            <w:noWrap/>
            <w:vAlign w:val="bottom"/>
            <w:hideMark/>
          </w:tcPr>
          <w:p w14:paraId="4575142C" w14:textId="77777777" w:rsidR="00437290" w:rsidRPr="00F07DEB" w:rsidRDefault="00437290" w:rsidP="00437290">
            <w:pPr>
              <w:spacing w:after="0" w:line="240" w:lineRule="auto"/>
              <w:rPr>
                <w:rFonts w:ascii="Times New Roman" w:eastAsia="Times New Roman" w:hAnsi="Times New Roman" w:cs="Times New Roman"/>
                <w:sz w:val="20"/>
                <w:szCs w:val="20"/>
                <w:lang w:eastAsia="en-US"/>
              </w:rPr>
            </w:pPr>
          </w:p>
        </w:tc>
      </w:tr>
      <w:tr w:rsidR="00437290" w:rsidRPr="00F07DEB" w14:paraId="55BC37DD" w14:textId="77777777" w:rsidTr="00437290">
        <w:trPr>
          <w:trHeight w:val="258"/>
        </w:trPr>
        <w:tc>
          <w:tcPr>
            <w:tcW w:w="1926" w:type="dxa"/>
            <w:tcBorders>
              <w:top w:val="nil"/>
              <w:left w:val="nil"/>
              <w:bottom w:val="nil"/>
              <w:right w:val="nil"/>
            </w:tcBorders>
            <w:shd w:val="clear" w:color="auto" w:fill="auto"/>
            <w:noWrap/>
            <w:vAlign w:val="bottom"/>
            <w:hideMark/>
          </w:tcPr>
          <w:p w14:paraId="36EFE5A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Grass1</w:t>
            </w:r>
          </w:p>
        </w:tc>
        <w:tc>
          <w:tcPr>
            <w:tcW w:w="1251" w:type="dxa"/>
            <w:tcBorders>
              <w:top w:val="nil"/>
              <w:left w:val="nil"/>
              <w:bottom w:val="nil"/>
              <w:right w:val="nil"/>
            </w:tcBorders>
            <w:shd w:val="clear" w:color="auto" w:fill="auto"/>
            <w:noWrap/>
            <w:vAlign w:val="bottom"/>
            <w:hideMark/>
          </w:tcPr>
          <w:p w14:paraId="2C4925B6"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47.68</w:t>
            </w:r>
          </w:p>
        </w:tc>
        <w:tc>
          <w:tcPr>
            <w:tcW w:w="866" w:type="dxa"/>
            <w:tcBorders>
              <w:top w:val="nil"/>
              <w:left w:val="nil"/>
              <w:bottom w:val="nil"/>
              <w:right w:val="nil"/>
            </w:tcBorders>
            <w:shd w:val="clear" w:color="auto" w:fill="auto"/>
            <w:noWrap/>
            <w:vAlign w:val="bottom"/>
            <w:hideMark/>
          </w:tcPr>
          <w:p w14:paraId="0D3870E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8.04</w:t>
            </w:r>
          </w:p>
        </w:tc>
        <w:tc>
          <w:tcPr>
            <w:tcW w:w="1128" w:type="dxa"/>
            <w:tcBorders>
              <w:top w:val="nil"/>
              <w:left w:val="nil"/>
              <w:bottom w:val="nil"/>
              <w:right w:val="nil"/>
            </w:tcBorders>
            <w:shd w:val="clear" w:color="auto" w:fill="auto"/>
            <w:noWrap/>
            <w:vAlign w:val="bottom"/>
            <w:hideMark/>
          </w:tcPr>
          <w:p w14:paraId="494F900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44.97</w:t>
            </w:r>
          </w:p>
        </w:tc>
        <w:tc>
          <w:tcPr>
            <w:tcW w:w="1160" w:type="dxa"/>
            <w:tcBorders>
              <w:top w:val="nil"/>
              <w:left w:val="nil"/>
              <w:bottom w:val="nil"/>
              <w:right w:val="nil"/>
            </w:tcBorders>
            <w:shd w:val="clear" w:color="auto" w:fill="auto"/>
            <w:noWrap/>
            <w:vAlign w:val="bottom"/>
            <w:hideMark/>
          </w:tcPr>
          <w:p w14:paraId="0C55350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3.03</w:t>
            </w:r>
          </w:p>
        </w:tc>
        <w:tc>
          <w:tcPr>
            <w:tcW w:w="1060" w:type="dxa"/>
            <w:tcBorders>
              <w:top w:val="nil"/>
              <w:left w:val="nil"/>
              <w:bottom w:val="nil"/>
              <w:right w:val="nil"/>
            </w:tcBorders>
            <w:shd w:val="clear" w:color="auto" w:fill="auto"/>
            <w:noWrap/>
            <w:vAlign w:val="center"/>
            <w:hideMark/>
          </w:tcPr>
          <w:p w14:paraId="3BE0619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0.456</w:t>
            </w:r>
          </w:p>
        </w:tc>
        <w:tc>
          <w:tcPr>
            <w:tcW w:w="1040" w:type="dxa"/>
            <w:tcBorders>
              <w:top w:val="nil"/>
              <w:left w:val="nil"/>
              <w:bottom w:val="nil"/>
              <w:right w:val="nil"/>
            </w:tcBorders>
            <w:shd w:val="clear" w:color="auto" w:fill="auto"/>
            <w:noWrap/>
            <w:vAlign w:val="center"/>
            <w:hideMark/>
          </w:tcPr>
          <w:p w14:paraId="2A0D27CA"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0.057</w:t>
            </w:r>
          </w:p>
        </w:tc>
      </w:tr>
      <w:tr w:rsidR="00437290" w:rsidRPr="00F07DEB" w14:paraId="1BFE9DCE" w14:textId="77777777" w:rsidTr="00437290">
        <w:trPr>
          <w:trHeight w:val="258"/>
        </w:trPr>
        <w:tc>
          <w:tcPr>
            <w:tcW w:w="1926" w:type="dxa"/>
            <w:tcBorders>
              <w:top w:val="nil"/>
              <w:left w:val="nil"/>
              <w:bottom w:val="nil"/>
              <w:right w:val="nil"/>
            </w:tcBorders>
            <w:shd w:val="clear" w:color="auto" w:fill="auto"/>
            <w:noWrap/>
            <w:vAlign w:val="bottom"/>
            <w:hideMark/>
          </w:tcPr>
          <w:p w14:paraId="30B7FE1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Grass2</w:t>
            </w:r>
          </w:p>
        </w:tc>
        <w:tc>
          <w:tcPr>
            <w:tcW w:w="1251" w:type="dxa"/>
            <w:tcBorders>
              <w:top w:val="nil"/>
              <w:left w:val="nil"/>
              <w:bottom w:val="nil"/>
              <w:right w:val="nil"/>
            </w:tcBorders>
            <w:shd w:val="clear" w:color="auto" w:fill="auto"/>
            <w:noWrap/>
            <w:vAlign w:val="bottom"/>
            <w:hideMark/>
          </w:tcPr>
          <w:p w14:paraId="1D9A916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27.42</w:t>
            </w:r>
          </w:p>
        </w:tc>
        <w:tc>
          <w:tcPr>
            <w:tcW w:w="866" w:type="dxa"/>
            <w:tcBorders>
              <w:top w:val="nil"/>
              <w:left w:val="nil"/>
              <w:bottom w:val="nil"/>
              <w:right w:val="nil"/>
            </w:tcBorders>
            <w:shd w:val="clear" w:color="auto" w:fill="auto"/>
            <w:noWrap/>
            <w:vAlign w:val="bottom"/>
            <w:hideMark/>
          </w:tcPr>
          <w:p w14:paraId="4DC9750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2.74</w:t>
            </w:r>
          </w:p>
        </w:tc>
        <w:tc>
          <w:tcPr>
            <w:tcW w:w="1128" w:type="dxa"/>
            <w:tcBorders>
              <w:top w:val="nil"/>
              <w:left w:val="nil"/>
              <w:bottom w:val="nil"/>
              <w:right w:val="nil"/>
            </w:tcBorders>
            <w:shd w:val="clear" w:color="auto" w:fill="auto"/>
            <w:noWrap/>
            <w:vAlign w:val="bottom"/>
            <w:hideMark/>
          </w:tcPr>
          <w:p w14:paraId="449BB8D4"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28.13</w:t>
            </w:r>
          </w:p>
        </w:tc>
        <w:tc>
          <w:tcPr>
            <w:tcW w:w="1160" w:type="dxa"/>
            <w:tcBorders>
              <w:top w:val="nil"/>
              <w:left w:val="nil"/>
              <w:bottom w:val="nil"/>
              <w:right w:val="nil"/>
            </w:tcBorders>
            <w:shd w:val="clear" w:color="auto" w:fill="auto"/>
            <w:noWrap/>
            <w:vAlign w:val="bottom"/>
            <w:hideMark/>
          </w:tcPr>
          <w:p w14:paraId="250E7FB3"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3.23</w:t>
            </w:r>
          </w:p>
        </w:tc>
        <w:tc>
          <w:tcPr>
            <w:tcW w:w="1060" w:type="dxa"/>
            <w:tcBorders>
              <w:top w:val="nil"/>
              <w:left w:val="nil"/>
              <w:bottom w:val="nil"/>
              <w:right w:val="nil"/>
            </w:tcBorders>
            <w:shd w:val="clear" w:color="auto" w:fill="auto"/>
            <w:noWrap/>
            <w:vAlign w:val="center"/>
            <w:hideMark/>
          </w:tcPr>
          <w:p w14:paraId="3845B1F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0.687</w:t>
            </w:r>
          </w:p>
        </w:tc>
        <w:tc>
          <w:tcPr>
            <w:tcW w:w="1040" w:type="dxa"/>
            <w:tcBorders>
              <w:top w:val="nil"/>
              <w:left w:val="nil"/>
              <w:bottom w:val="nil"/>
              <w:right w:val="nil"/>
            </w:tcBorders>
            <w:shd w:val="clear" w:color="auto" w:fill="auto"/>
            <w:noWrap/>
            <w:vAlign w:val="center"/>
            <w:hideMark/>
          </w:tcPr>
          <w:p w14:paraId="64C95CE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0.017</w:t>
            </w:r>
          </w:p>
        </w:tc>
      </w:tr>
      <w:tr w:rsidR="00437290" w:rsidRPr="00F07DEB" w14:paraId="28A40E56" w14:textId="77777777" w:rsidTr="00437290">
        <w:trPr>
          <w:trHeight w:val="266"/>
        </w:trPr>
        <w:tc>
          <w:tcPr>
            <w:tcW w:w="1926" w:type="dxa"/>
            <w:tcBorders>
              <w:top w:val="nil"/>
              <w:left w:val="nil"/>
              <w:bottom w:val="single" w:sz="8" w:space="0" w:color="auto"/>
              <w:right w:val="nil"/>
            </w:tcBorders>
            <w:shd w:val="clear" w:color="auto" w:fill="auto"/>
            <w:noWrap/>
            <w:vAlign w:val="bottom"/>
            <w:hideMark/>
          </w:tcPr>
          <w:p w14:paraId="11F8BA09"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 xml:space="preserve">     Roots</w:t>
            </w:r>
          </w:p>
        </w:tc>
        <w:tc>
          <w:tcPr>
            <w:tcW w:w="1251" w:type="dxa"/>
            <w:tcBorders>
              <w:top w:val="nil"/>
              <w:left w:val="nil"/>
              <w:bottom w:val="single" w:sz="8" w:space="0" w:color="auto"/>
              <w:right w:val="nil"/>
            </w:tcBorders>
            <w:shd w:val="clear" w:color="auto" w:fill="auto"/>
            <w:noWrap/>
            <w:vAlign w:val="bottom"/>
            <w:hideMark/>
          </w:tcPr>
          <w:p w14:paraId="0E05A8B7"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30.73</w:t>
            </w:r>
          </w:p>
        </w:tc>
        <w:tc>
          <w:tcPr>
            <w:tcW w:w="866" w:type="dxa"/>
            <w:tcBorders>
              <w:top w:val="nil"/>
              <w:left w:val="nil"/>
              <w:bottom w:val="single" w:sz="8" w:space="0" w:color="auto"/>
              <w:right w:val="nil"/>
            </w:tcBorders>
            <w:shd w:val="clear" w:color="auto" w:fill="auto"/>
            <w:noWrap/>
            <w:vAlign w:val="bottom"/>
            <w:hideMark/>
          </w:tcPr>
          <w:p w14:paraId="0A2625D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2.07</w:t>
            </w:r>
          </w:p>
        </w:tc>
        <w:tc>
          <w:tcPr>
            <w:tcW w:w="1128" w:type="dxa"/>
            <w:tcBorders>
              <w:top w:val="nil"/>
              <w:left w:val="nil"/>
              <w:bottom w:val="single" w:sz="8" w:space="0" w:color="auto"/>
              <w:right w:val="nil"/>
            </w:tcBorders>
            <w:shd w:val="clear" w:color="auto" w:fill="auto"/>
            <w:noWrap/>
            <w:vAlign w:val="bottom"/>
            <w:hideMark/>
          </w:tcPr>
          <w:p w14:paraId="7487374B"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23.47</w:t>
            </w:r>
          </w:p>
        </w:tc>
        <w:tc>
          <w:tcPr>
            <w:tcW w:w="1160" w:type="dxa"/>
            <w:tcBorders>
              <w:top w:val="nil"/>
              <w:left w:val="nil"/>
              <w:bottom w:val="single" w:sz="8" w:space="0" w:color="auto"/>
              <w:right w:val="nil"/>
            </w:tcBorders>
            <w:shd w:val="clear" w:color="auto" w:fill="auto"/>
            <w:noWrap/>
            <w:vAlign w:val="bottom"/>
            <w:hideMark/>
          </w:tcPr>
          <w:p w14:paraId="0261384D"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3.31</w:t>
            </w:r>
          </w:p>
        </w:tc>
        <w:tc>
          <w:tcPr>
            <w:tcW w:w="1060" w:type="dxa"/>
            <w:tcBorders>
              <w:top w:val="nil"/>
              <w:left w:val="nil"/>
              <w:bottom w:val="single" w:sz="8" w:space="0" w:color="auto"/>
              <w:right w:val="nil"/>
            </w:tcBorders>
            <w:shd w:val="clear" w:color="auto" w:fill="auto"/>
            <w:noWrap/>
            <w:vAlign w:val="center"/>
            <w:hideMark/>
          </w:tcPr>
          <w:p w14:paraId="66B9A5C8"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0.001</w:t>
            </w:r>
          </w:p>
        </w:tc>
        <w:tc>
          <w:tcPr>
            <w:tcW w:w="1040" w:type="dxa"/>
            <w:tcBorders>
              <w:top w:val="nil"/>
              <w:left w:val="nil"/>
              <w:bottom w:val="single" w:sz="8" w:space="0" w:color="auto"/>
              <w:right w:val="nil"/>
            </w:tcBorders>
            <w:shd w:val="clear" w:color="auto" w:fill="auto"/>
            <w:noWrap/>
            <w:vAlign w:val="center"/>
            <w:hideMark/>
          </w:tcPr>
          <w:p w14:paraId="7B19D241" w14:textId="77777777" w:rsidR="00437290" w:rsidRPr="00F07DEB" w:rsidRDefault="00437290" w:rsidP="00437290">
            <w:pPr>
              <w:spacing w:after="0" w:line="240" w:lineRule="auto"/>
              <w:rPr>
                <w:rFonts w:ascii="Times New Roman" w:eastAsia="Times New Roman" w:hAnsi="Times New Roman" w:cs="Times New Roman"/>
                <w:color w:val="000000"/>
                <w:sz w:val="20"/>
                <w:szCs w:val="20"/>
                <w:lang w:eastAsia="en-US"/>
              </w:rPr>
            </w:pPr>
            <w:r w:rsidRPr="00F07DEB">
              <w:rPr>
                <w:rFonts w:ascii="Times New Roman" w:eastAsia="Times New Roman" w:hAnsi="Times New Roman" w:cs="Times New Roman"/>
                <w:color w:val="000000"/>
                <w:sz w:val="20"/>
                <w:szCs w:val="20"/>
                <w:lang w:eastAsia="en-US"/>
              </w:rPr>
              <w:t>0.675</w:t>
            </w:r>
          </w:p>
        </w:tc>
      </w:tr>
    </w:tbl>
    <w:p w14:paraId="3FD29182" w14:textId="77777777" w:rsidR="00437290" w:rsidRPr="00F07DEB" w:rsidRDefault="00437290" w:rsidP="00437290">
      <w:pPr>
        <w:rPr>
          <w:rFonts w:ascii="Times New Roman" w:hAnsi="Times New Roman" w:cs="Times New Roman"/>
          <w:sz w:val="20"/>
          <w:szCs w:val="20"/>
        </w:rPr>
      </w:pPr>
    </w:p>
    <w:p w14:paraId="79932927" w14:textId="446C9E3C" w:rsidR="00723993" w:rsidRDefault="00723993">
      <w:pPr>
        <w:rPr>
          <w:rFonts w:ascii="Times New Roman" w:hAnsi="Times New Roman" w:cs="Times New Roman"/>
          <w:sz w:val="20"/>
          <w:szCs w:val="20"/>
        </w:rPr>
      </w:pPr>
      <w:r>
        <w:rPr>
          <w:rFonts w:ascii="Times New Roman" w:hAnsi="Times New Roman" w:cs="Times New Roman"/>
          <w:sz w:val="20"/>
          <w:szCs w:val="20"/>
        </w:rPr>
        <w:br w:type="page"/>
      </w:r>
    </w:p>
    <w:p w14:paraId="15FF461B" w14:textId="6ECADBFB" w:rsidR="00437290" w:rsidRDefault="00933477" w:rsidP="0084357E">
      <w:pPr>
        <w:pStyle w:val="Heading2"/>
        <w:numPr>
          <w:ilvl w:val="0"/>
          <w:numId w:val="0"/>
        </w:numPr>
        <w:ind w:left="1170"/>
      </w:pPr>
      <w:bookmarkStart w:id="169" w:name="_Toc58975184"/>
      <w:r>
        <w:lastRenderedPageBreak/>
        <w:t>Appendix D</w:t>
      </w:r>
      <w:r w:rsidR="00723993">
        <w:t>: Metals</w:t>
      </w:r>
      <w:r>
        <w:t xml:space="preserve"> </w:t>
      </w:r>
      <w:r w:rsidR="00565FDD">
        <w:t xml:space="preserve">Concentrations </w:t>
      </w:r>
      <w:r>
        <w:t>in Substrate</w:t>
      </w:r>
      <w:bookmarkEnd w:id="169"/>
    </w:p>
    <w:p w14:paraId="1F7D7D5A" w14:textId="4FB07509" w:rsidR="00723993" w:rsidRDefault="00723993" w:rsidP="00723993">
      <w:pPr>
        <w:rPr>
          <w:rFonts w:ascii="Times New Roman" w:hAnsi="Times New Roman" w:cs="Times New Roman"/>
          <w:b/>
          <w:noProof/>
          <w:sz w:val="20"/>
          <w:szCs w:val="20"/>
        </w:rPr>
      </w:pPr>
    </w:p>
    <w:p w14:paraId="12592ED9" w14:textId="2DCD7FFD" w:rsidR="00723993" w:rsidRPr="00933477" w:rsidRDefault="00723993" w:rsidP="00933477">
      <w:pPr>
        <w:jc w:val="center"/>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61175A23" wp14:editId="57E9CF0C">
            <wp:extent cx="4322439" cy="5310076"/>
            <wp:effectExtent l="0" t="0" r="254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hort.png"/>
                    <pic:cNvPicPr/>
                  </pic:nvPicPr>
                  <pic:blipFill>
                    <a:blip r:embed="rId136">
                      <a:extLst>
                        <a:ext uri="{28A0092B-C50C-407E-A947-70E740481C1C}">
                          <a14:useLocalDpi xmlns:a14="http://schemas.microsoft.com/office/drawing/2010/main" val="0"/>
                        </a:ext>
                      </a:extLst>
                    </a:blip>
                    <a:stretch>
                      <a:fillRect/>
                    </a:stretch>
                  </pic:blipFill>
                  <pic:spPr>
                    <a:xfrm>
                      <a:off x="0" y="0"/>
                      <a:ext cx="4322439" cy="5310076"/>
                    </a:xfrm>
                    <a:prstGeom prst="rect">
                      <a:avLst/>
                    </a:prstGeom>
                  </pic:spPr>
                </pic:pic>
              </a:graphicData>
            </a:graphic>
          </wp:inline>
        </w:drawing>
      </w:r>
    </w:p>
    <w:p w14:paraId="6A071C17" w14:textId="5D9EC173" w:rsidR="00933477" w:rsidRPr="00B3002C" w:rsidRDefault="00933477" w:rsidP="00933477">
      <w:pPr>
        <w:jc w:val="center"/>
        <w:rPr>
          <w:rFonts w:ascii="Times New Roman" w:hAnsi="Times New Roman" w:cs="Times New Roman"/>
          <w:b/>
          <w:sz w:val="20"/>
          <w:szCs w:val="20"/>
        </w:rPr>
      </w:pPr>
      <w:r>
        <w:rPr>
          <w:rFonts w:ascii="Times New Roman" w:hAnsi="Times New Roman" w:cs="Times New Roman"/>
          <w:b/>
          <w:noProof/>
          <w:sz w:val="20"/>
          <w:szCs w:val="20"/>
        </w:rPr>
        <w:t xml:space="preserve">Figure D.1: </w:t>
      </w:r>
      <w:r w:rsidRPr="00F07DEB">
        <w:rPr>
          <w:rFonts w:ascii="Times New Roman" w:hAnsi="Times New Roman" w:cs="Times New Roman"/>
          <w:b/>
          <w:noProof/>
          <w:sz w:val="20"/>
          <w:szCs w:val="20"/>
        </w:rPr>
        <w:t xml:space="preserve">Estimation of expected soil water </w:t>
      </w:r>
      <w:r>
        <w:rPr>
          <w:rFonts w:ascii="Times New Roman" w:hAnsi="Times New Roman" w:cs="Times New Roman"/>
          <w:b/>
          <w:noProof/>
          <w:sz w:val="20"/>
          <w:szCs w:val="20"/>
        </w:rPr>
        <w:t>Ca</w:t>
      </w:r>
      <w:r w:rsidRPr="00F07DEB">
        <w:rPr>
          <w:rFonts w:ascii="Times New Roman" w:hAnsi="Times New Roman" w:cs="Times New Roman"/>
          <w:b/>
          <w:noProof/>
          <w:sz w:val="20"/>
          <w:szCs w:val="20"/>
        </w:rPr>
        <w:t xml:space="preserve"> (Ca</w:t>
      </w:r>
      <w:r w:rsidRPr="00F07DEB">
        <w:rPr>
          <w:rFonts w:ascii="Times New Roman" w:hAnsi="Times New Roman" w:cs="Times New Roman"/>
          <w:b/>
          <w:noProof/>
          <w:sz w:val="20"/>
          <w:szCs w:val="20"/>
          <w:vertAlign w:val="subscript"/>
        </w:rPr>
        <w:t>x</w:t>
      </w:r>
      <w:r w:rsidRPr="00F07DEB">
        <w:rPr>
          <w:rFonts w:ascii="Times New Roman" w:hAnsi="Times New Roman" w:cs="Times New Roman"/>
          <w:b/>
          <w:noProof/>
          <w:sz w:val="20"/>
          <w:szCs w:val="20"/>
        </w:rPr>
        <w:t xml:space="preserve">) concentrations for adj SAR </w:t>
      </w:r>
      <w:r w:rsidRPr="00B3002C">
        <w:rPr>
          <w:rFonts w:ascii="Times New Roman" w:hAnsi="Times New Roman" w:cs="Times New Roman"/>
          <w:b/>
          <w:noProof/>
          <w:sz w:val="20"/>
          <w:szCs w:val="20"/>
        </w:rPr>
        <w:t xml:space="preserve">calculation </w:t>
      </w:r>
      <w:r w:rsidRPr="00B3002C">
        <w:rPr>
          <w:rFonts w:ascii="Times New Roman" w:hAnsi="Times New Roman" w:cs="Times New Roman"/>
          <w:b/>
          <w:noProof/>
          <w:sz w:val="20"/>
          <w:szCs w:val="20"/>
        </w:rPr>
        <w:fldChar w:fldCharType="begin"/>
      </w:r>
      <w:r>
        <w:rPr>
          <w:rFonts w:ascii="Times New Roman" w:hAnsi="Times New Roman" w:cs="Times New Roman"/>
          <w:b/>
          <w:noProof/>
          <w:sz w:val="20"/>
          <w:szCs w:val="20"/>
        </w:rPr>
        <w:instrText xml:space="preserve"> ADDIN ZOTERO_ITEM CSL_CITATION {"citationID":"a1d68sqc3cl","properties":{"formattedCitation":"(Ayers &amp; Westcot, 1985a)","plainCitation":"(Ayers &amp; Westcot, 1985a)","dontUpdate":true,"noteIndex":0},"citationItems":[{"id":415,"uris":["http://zotero.org/users/5446453/items/5W5EXXQA"],"uri":["http://zotero.org/users/5446453/items/5W5EXXQA"],"itemData":{"id":415,"type":"webpage","container-title":"Food and Agriculture Organization of the United Nations","title":"Water quality for agriculture","title-short":"UN FAO","URL":"http://www.fao.org/3/t0234e/t0234e00.htm","author":[{"family":"Ayers","given":"R.S."},{"family":"Westcot","given":"D.W."}],"accessed":{"date-parts":[["2020",4,29]]},"issued":{"date-parts":[["1985"]]}}}],"schema":"https://github.com/citation-style-language/schema/raw/master/csl-citation.json"} </w:instrText>
      </w:r>
      <w:r w:rsidRPr="00B3002C">
        <w:rPr>
          <w:rFonts w:ascii="Times New Roman" w:hAnsi="Times New Roman" w:cs="Times New Roman"/>
          <w:b/>
          <w:noProof/>
          <w:sz w:val="20"/>
          <w:szCs w:val="20"/>
        </w:rPr>
        <w:fldChar w:fldCharType="separate"/>
      </w:r>
      <w:r w:rsidRPr="00B3002C">
        <w:rPr>
          <w:rFonts w:ascii="Times New Roman" w:hAnsi="Times New Roman" w:cs="Times New Roman"/>
          <w:b/>
          <w:sz w:val="20"/>
          <w:szCs w:val="24"/>
        </w:rPr>
        <w:t xml:space="preserve">(Ayers </w:t>
      </w:r>
      <w:r>
        <w:rPr>
          <w:rFonts w:ascii="Times New Roman" w:hAnsi="Times New Roman" w:cs="Times New Roman"/>
          <w:b/>
          <w:sz w:val="20"/>
          <w:szCs w:val="24"/>
        </w:rPr>
        <w:t>and</w:t>
      </w:r>
      <w:r w:rsidRPr="00B3002C">
        <w:rPr>
          <w:rFonts w:ascii="Times New Roman" w:hAnsi="Times New Roman" w:cs="Times New Roman"/>
          <w:b/>
          <w:sz w:val="20"/>
          <w:szCs w:val="24"/>
        </w:rPr>
        <w:t xml:space="preserve"> Westcot, 1985a)</w:t>
      </w:r>
      <w:r w:rsidRPr="00B3002C">
        <w:rPr>
          <w:rFonts w:ascii="Times New Roman" w:hAnsi="Times New Roman" w:cs="Times New Roman"/>
          <w:b/>
          <w:noProof/>
          <w:sz w:val="20"/>
          <w:szCs w:val="20"/>
        </w:rPr>
        <w:fldChar w:fldCharType="end"/>
      </w:r>
    </w:p>
    <w:p w14:paraId="6DF075F6" w14:textId="77777777" w:rsidR="00437290" w:rsidRPr="00F07DEB" w:rsidRDefault="00437290" w:rsidP="00437290">
      <w:pPr>
        <w:rPr>
          <w:rFonts w:ascii="Times New Roman" w:hAnsi="Times New Roman" w:cs="Times New Roman"/>
          <w:sz w:val="20"/>
          <w:szCs w:val="20"/>
        </w:rPr>
        <w:sectPr w:rsidR="00437290" w:rsidRPr="00F07DEB" w:rsidSect="00437290">
          <w:type w:val="continuous"/>
          <w:pgSz w:w="12240" w:h="15840"/>
          <w:pgMar w:top="1440" w:right="1440" w:bottom="1440" w:left="1440" w:header="720" w:footer="720" w:gutter="0"/>
          <w:cols w:space="720"/>
          <w:docGrid w:linePitch="360"/>
        </w:sectPr>
      </w:pPr>
    </w:p>
    <w:p w14:paraId="520F3BCA" w14:textId="6A4F900C" w:rsidR="00F35D8F" w:rsidRPr="00F07DEB" w:rsidRDefault="00933477" w:rsidP="00437290">
      <w:pPr>
        <w:rPr>
          <w:rFonts w:ascii="Times New Roman" w:hAnsi="Times New Roman" w:cs="Times New Roman"/>
          <w:sz w:val="20"/>
          <w:szCs w:val="20"/>
        </w:rPr>
      </w:pPr>
      <w:r>
        <w:rPr>
          <w:rFonts w:ascii="Times New Roman" w:hAnsi="Times New Roman" w:cs="Times New Roman"/>
          <w:noProof/>
          <w:sz w:val="20"/>
          <w:szCs w:val="20"/>
          <w:lang w:eastAsia="en-US"/>
        </w:rPr>
        <w:lastRenderedPageBreak/>
        <mc:AlternateContent>
          <mc:Choice Requires="wps">
            <w:drawing>
              <wp:anchor distT="0" distB="0" distL="114300" distR="114300" simplePos="0" relativeHeight="251682816" behindDoc="0" locked="0" layoutInCell="1" allowOverlap="1" wp14:anchorId="07F4F11C" wp14:editId="37493D45">
                <wp:simplePos x="0" y="0"/>
                <wp:positionH relativeFrom="column">
                  <wp:posOffset>4219388</wp:posOffset>
                </wp:positionH>
                <wp:positionV relativeFrom="paragraph">
                  <wp:posOffset>4171576</wp:posOffset>
                </wp:positionV>
                <wp:extent cx="3836894" cy="1141506"/>
                <wp:effectExtent l="0" t="0" r="0" b="1905"/>
                <wp:wrapNone/>
                <wp:docPr id="1030" name="Text Box 1030"/>
                <wp:cNvGraphicFramePr/>
                <a:graphic xmlns:a="http://schemas.openxmlformats.org/drawingml/2006/main">
                  <a:graphicData uri="http://schemas.microsoft.com/office/word/2010/wordprocessingShape">
                    <wps:wsp>
                      <wps:cNvSpPr txBox="1"/>
                      <wps:spPr>
                        <a:xfrm>
                          <a:off x="0" y="0"/>
                          <a:ext cx="3836894" cy="114150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734951" w14:textId="257D1918"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.3</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Fe</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4F11C" id="Text Box 1030" o:spid="_x0000_s1035" type="#_x0000_t202" style="position:absolute;margin-left:332.25pt;margin-top:328.45pt;width:302.1pt;height:89.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" fillcolor="white [3201]" stroked="f" strokeweight=".5pt">
                <v:textbox>
                  <w:txbxContent>
                    <w:p w14:paraId="3A734951" w14:textId="257D1918"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.3</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Fe</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v:textbox>
              </v:shape>
            </w:pict>
          </mc:Fallback>
        </mc:AlternateContent>
      </w:r>
      <w:r>
        <w:rPr>
          <w:rFonts w:ascii="Times New Roman" w:hAnsi="Times New Roman" w:cs="Times New Roman"/>
          <w:noProof/>
          <w:sz w:val="20"/>
          <w:szCs w:val="20"/>
          <w:lang w:eastAsia="en-US"/>
        </w:rPr>
        <mc:AlternateContent>
          <mc:Choice Requires="wps">
            <w:drawing>
              <wp:anchor distT="0" distB="0" distL="114300" distR="114300" simplePos="0" relativeHeight="251680768" behindDoc="0" locked="0" layoutInCell="1" allowOverlap="1" wp14:anchorId="29351F11" wp14:editId="54EAE0CB">
                <wp:simplePos x="0" y="0"/>
                <wp:positionH relativeFrom="column">
                  <wp:posOffset>14866</wp:posOffset>
                </wp:positionH>
                <wp:positionV relativeFrom="paragraph">
                  <wp:posOffset>4170680</wp:posOffset>
                </wp:positionV>
                <wp:extent cx="3836894" cy="1141506"/>
                <wp:effectExtent l="0" t="0" r="0" b="1905"/>
                <wp:wrapNone/>
                <wp:docPr id="1029" name="Text Box 1029"/>
                <wp:cNvGraphicFramePr/>
                <a:graphic xmlns:a="http://schemas.openxmlformats.org/drawingml/2006/main">
                  <a:graphicData uri="http://schemas.microsoft.com/office/word/2010/wordprocessingShape">
                    <wps:wsp>
                      <wps:cNvSpPr txBox="1"/>
                      <wps:spPr>
                        <a:xfrm>
                          <a:off x="0" y="0"/>
                          <a:ext cx="3836894" cy="114150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A6CD05" w14:textId="2E704E6B"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w:t>
                            </w:r>
                            <w:r w:rsidRPr="00933477">
                              <w:rPr>
                                <w:rFonts w:ascii="Times New Roman" w:hAnsi="Times New Roman" w:cs="Times New Roman"/>
                                <w:b/>
                                <w:sz w:val="20"/>
                                <w:szCs w:val="20"/>
                              </w:rPr>
                              <w:t>2: Changes in soil Ca concentrations under groundwater and mine water irrigation before and after a single growing season, visualized with a combination of scatter plots, box plots, connected means with standard error bars, and smoothed histograms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51F11" id="Text Box 1029" o:spid="_x0000_s1036" type="#_x0000_t202" style="position:absolute;margin-left:1.15pt;margin-top:328.4pt;width:302.1pt;height:89.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" fillcolor="white [3201]" stroked="f" strokeweight=".5pt">
                <v:textbox>
                  <w:txbxContent>
                    <w:p w14:paraId="6CA6CD05" w14:textId="2E704E6B"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w:t>
                      </w:r>
                      <w:r w:rsidRPr="00933477">
                        <w:rPr>
                          <w:rFonts w:ascii="Times New Roman" w:hAnsi="Times New Roman" w:cs="Times New Roman"/>
                          <w:b/>
                          <w:sz w:val="20"/>
                          <w:szCs w:val="20"/>
                        </w:rPr>
                        <w:t>2: Changes in soil Ca concentrations under groundwater and mine water irrigation before and after a single growing season, visualized with a combination of scatter plots, box plots, connected means with standard error bars, and smoothed histograms</w:t>
                      </w:r>
                    </w:p>
                  </w:txbxContent>
                </v:textbox>
              </v:shape>
            </w:pict>
          </mc:Fallback>
        </mc:AlternateContent>
      </w:r>
      <w:r w:rsidR="005E17DE">
        <w:rPr>
          <w:rFonts w:ascii="Times New Roman" w:hAnsi="Times New Roman" w:cs="Times New Roman"/>
          <w:sz w:val="20"/>
          <w:szCs w:val="20"/>
        </w:rPr>
        <w:pict w14:anchorId="4984F141">
          <v:shape id="_x0000_i1027" type="#_x0000_t75" style="width:321.45pt;height:324pt">
            <v:imagedata r:id="rId137" o:title="soilCa1" croptop="3682f"/>
          </v:shape>
        </w:pict>
      </w:r>
      <w:r w:rsidR="005E17DE">
        <w:rPr>
          <w:rFonts w:ascii="Times New Roman" w:hAnsi="Times New Roman" w:cs="Times New Roman"/>
          <w:sz w:val="20"/>
          <w:szCs w:val="20"/>
        </w:rPr>
        <w:pict w14:anchorId="44190757">
          <v:shape id="_x0000_i1028" type="#_x0000_t75" style="width:321.45pt;height:324pt">
            <v:imagedata r:id="rId138" o:title="soilFe1" croptop="3682f"/>
          </v:shape>
        </w:pict>
      </w:r>
    </w:p>
    <w:p w14:paraId="7010E98F" w14:textId="0BCE0A12" w:rsidR="00F35D8F" w:rsidRPr="00F07DEB" w:rsidRDefault="00933477" w:rsidP="00437290">
      <w:pPr>
        <w:rPr>
          <w:rFonts w:ascii="Times New Roman" w:hAnsi="Times New Roman" w:cs="Times New Roman"/>
          <w:sz w:val="20"/>
          <w:szCs w:val="20"/>
        </w:rPr>
      </w:pPr>
      <w:r w:rsidRPr="00933477">
        <w:rPr>
          <w:rFonts w:ascii="Times New Roman" w:hAnsi="Times New Roman" w:cs="Times New Roman"/>
          <w:noProof/>
          <w:sz w:val="20"/>
          <w:szCs w:val="20"/>
          <w:lang w:eastAsia="en-US"/>
        </w:rPr>
        <w:lastRenderedPageBreak/>
        <mc:AlternateContent>
          <mc:Choice Requires="wps">
            <w:drawing>
              <wp:anchor distT="0" distB="0" distL="114300" distR="114300" simplePos="0" relativeHeight="251684864" behindDoc="0" locked="0" layoutInCell="1" allowOverlap="1" wp14:anchorId="58CD4769" wp14:editId="3F50FF29">
                <wp:simplePos x="0" y="0"/>
                <wp:positionH relativeFrom="column">
                  <wp:posOffset>0</wp:posOffset>
                </wp:positionH>
                <wp:positionV relativeFrom="paragraph">
                  <wp:posOffset>4204970</wp:posOffset>
                </wp:positionV>
                <wp:extent cx="3836670" cy="1141095"/>
                <wp:effectExtent l="0" t="0" r="0" b="1905"/>
                <wp:wrapNone/>
                <wp:docPr id="1031" name="Text Box 1031"/>
                <wp:cNvGraphicFramePr/>
                <a:graphic xmlns:a="http://schemas.openxmlformats.org/drawingml/2006/main">
                  <a:graphicData uri="http://schemas.microsoft.com/office/word/2010/wordprocessingShape">
                    <wps:wsp>
                      <wps:cNvSpPr txBox="1"/>
                      <wps:spPr>
                        <a:xfrm>
                          <a:off x="0" y="0"/>
                          <a:ext cx="3836670" cy="1141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7EBBEE" w14:textId="4DBBE3E9"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.4</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K</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D4769" id="Text Box 1031" o:spid="_x0000_s1037" type="#_x0000_t202" style="position:absolute;margin-left:0;margin-top:331.1pt;width:302.1pt;height:89.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" fillcolor="white [3201]" stroked="f" strokeweight=".5pt">
                <v:textbox>
                  <w:txbxContent>
                    <w:p w14:paraId="5C7EBBEE" w14:textId="4DBBE3E9"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.4</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K</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v:textbox>
              </v:shape>
            </w:pict>
          </mc:Fallback>
        </mc:AlternateContent>
      </w:r>
      <w:r w:rsidRPr="00933477">
        <w:rPr>
          <w:rFonts w:ascii="Times New Roman" w:hAnsi="Times New Roman" w:cs="Times New Roman"/>
          <w:noProof/>
          <w:sz w:val="20"/>
          <w:szCs w:val="20"/>
          <w:lang w:eastAsia="en-US"/>
        </w:rPr>
        <mc:AlternateContent>
          <mc:Choice Requires="wps">
            <w:drawing>
              <wp:anchor distT="0" distB="0" distL="114300" distR="114300" simplePos="0" relativeHeight="251685888" behindDoc="0" locked="0" layoutInCell="1" allowOverlap="1" wp14:anchorId="75EAEB72" wp14:editId="279FFA45">
                <wp:simplePos x="0" y="0"/>
                <wp:positionH relativeFrom="column">
                  <wp:posOffset>4204335</wp:posOffset>
                </wp:positionH>
                <wp:positionV relativeFrom="paragraph">
                  <wp:posOffset>4205866</wp:posOffset>
                </wp:positionV>
                <wp:extent cx="3836670" cy="1141095"/>
                <wp:effectExtent l="0" t="0" r="0" b="1905"/>
                <wp:wrapNone/>
                <wp:docPr id="1033" name="Text Box 1033"/>
                <wp:cNvGraphicFramePr/>
                <a:graphic xmlns:a="http://schemas.openxmlformats.org/drawingml/2006/main">
                  <a:graphicData uri="http://schemas.microsoft.com/office/word/2010/wordprocessingShape">
                    <wps:wsp>
                      <wps:cNvSpPr txBox="1"/>
                      <wps:spPr>
                        <a:xfrm>
                          <a:off x="0" y="0"/>
                          <a:ext cx="3836670" cy="1141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4AD" w14:textId="4B38665D"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.5</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Mg</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AEB72" id="Text Box 1033" o:spid="_x0000_s1038" type="#_x0000_t202" style="position:absolute;margin-left:331.05pt;margin-top:331.15pt;width:302.1pt;height:89.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" fillcolor="white [3201]" stroked="f" strokeweight=".5pt">
                <v:textbox>
                  <w:txbxContent>
                    <w:p w14:paraId="651694AD" w14:textId="4B38665D"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.5</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Mg</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v:textbox>
              </v:shape>
            </w:pict>
          </mc:Fallback>
        </mc:AlternateContent>
      </w:r>
      <w:r w:rsidR="005E17DE">
        <w:rPr>
          <w:rFonts w:ascii="Times New Roman" w:hAnsi="Times New Roman" w:cs="Times New Roman"/>
          <w:sz w:val="20"/>
          <w:szCs w:val="20"/>
        </w:rPr>
        <w:pict w14:anchorId="3A442413">
          <v:shape id="_x0000_i1029" type="#_x0000_t75" style="width:321.45pt;height:324pt">
            <v:imagedata r:id="rId139" o:title="soilK1" croptop="3768f"/>
          </v:shape>
        </w:pict>
      </w:r>
      <w:r w:rsidR="005E17DE">
        <w:rPr>
          <w:rFonts w:ascii="Times New Roman" w:hAnsi="Times New Roman" w:cs="Times New Roman"/>
          <w:sz w:val="20"/>
          <w:szCs w:val="20"/>
        </w:rPr>
        <w:pict w14:anchorId="670E76BB">
          <v:shape id="_x0000_i1030" type="#_x0000_t75" style="width:321.45pt;height:327pt">
            <v:imagedata r:id="rId140" o:title="soilMg1" croptop="3319f"/>
          </v:shape>
        </w:pict>
      </w:r>
      <w:r w:rsidRPr="00933477">
        <w:rPr>
          <w:rFonts w:ascii="Times New Roman" w:hAnsi="Times New Roman" w:cs="Times New Roman"/>
          <w:noProof/>
          <w:sz w:val="20"/>
          <w:szCs w:val="20"/>
          <w:lang w:eastAsia="en-US"/>
        </w:rPr>
        <w:lastRenderedPageBreak/>
        <mc:AlternateContent>
          <mc:Choice Requires="wps">
            <w:drawing>
              <wp:anchor distT="0" distB="0" distL="114300" distR="114300" simplePos="0" relativeHeight="251687936" behindDoc="0" locked="0" layoutInCell="1" allowOverlap="1" wp14:anchorId="4853F1B3" wp14:editId="2E9395B0">
                <wp:simplePos x="0" y="0"/>
                <wp:positionH relativeFrom="column">
                  <wp:posOffset>0</wp:posOffset>
                </wp:positionH>
                <wp:positionV relativeFrom="paragraph">
                  <wp:posOffset>4169410</wp:posOffset>
                </wp:positionV>
                <wp:extent cx="3836670" cy="1141095"/>
                <wp:effectExtent l="0" t="0" r="0" b="1905"/>
                <wp:wrapNone/>
                <wp:docPr id="1036" name="Text Box 1036"/>
                <wp:cNvGraphicFramePr/>
                <a:graphic xmlns:a="http://schemas.openxmlformats.org/drawingml/2006/main">
                  <a:graphicData uri="http://schemas.microsoft.com/office/word/2010/wordprocessingShape">
                    <wps:wsp>
                      <wps:cNvSpPr txBox="1"/>
                      <wps:spPr>
                        <a:xfrm>
                          <a:off x="0" y="0"/>
                          <a:ext cx="3836670" cy="1141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5636AD" w14:textId="3C235197"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.6</w:t>
                            </w:r>
                            <w:r w:rsidRPr="00933477">
                              <w:rPr>
                                <w:rFonts w:ascii="Times New Roman" w:hAnsi="Times New Roman" w:cs="Times New Roman"/>
                                <w:b/>
                                <w:sz w:val="20"/>
                                <w:szCs w:val="20"/>
                              </w:rPr>
                              <w:t xml:space="preserve">: Changes in soil </w:t>
                            </w:r>
                            <w:proofErr w:type="spellStart"/>
                            <w:r>
                              <w:rPr>
                                <w:rFonts w:ascii="Times New Roman" w:hAnsi="Times New Roman" w:cs="Times New Roman"/>
                                <w:b/>
                                <w:sz w:val="20"/>
                                <w:szCs w:val="20"/>
                              </w:rPr>
                              <w:t>Mn</w:t>
                            </w:r>
                            <w:proofErr w:type="spellEnd"/>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3F1B3" id="Text Box 1036" o:spid="_x0000_s1039" type="#_x0000_t202" style="position:absolute;margin-left:0;margin-top:328.3pt;width:302.1pt;height:89.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" fillcolor="white [3201]" stroked="f" strokeweight=".5pt">
                <v:textbox>
                  <w:txbxContent>
                    <w:p w14:paraId="1E5636AD" w14:textId="3C235197"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.6</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Mn</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v:textbox>
              </v:shape>
            </w:pict>
          </mc:Fallback>
        </mc:AlternateContent>
      </w:r>
      <w:r w:rsidRPr="00933477">
        <w:rPr>
          <w:rFonts w:ascii="Times New Roman" w:hAnsi="Times New Roman" w:cs="Times New Roman"/>
          <w:noProof/>
          <w:sz w:val="20"/>
          <w:szCs w:val="20"/>
          <w:lang w:eastAsia="en-US"/>
        </w:rPr>
        <mc:AlternateContent>
          <mc:Choice Requires="wps">
            <w:drawing>
              <wp:anchor distT="0" distB="0" distL="114300" distR="114300" simplePos="0" relativeHeight="251688960" behindDoc="0" locked="0" layoutInCell="1" allowOverlap="1" wp14:anchorId="6BCCE426" wp14:editId="7A6FD036">
                <wp:simplePos x="0" y="0"/>
                <wp:positionH relativeFrom="column">
                  <wp:posOffset>4204335</wp:posOffset>
                </wp:positionH>
                <wp:positionV relativeFrom="paragraph">
                  <wp:posOffset>4170306</wp:posOffset>
                </wp:positionV>
                <wp:extent cx="3836670" cy="1141095"/>
                <wp:effectExtent l="0" t="0" r="0" b="1905"/>
                <wp:wrapNone/>
                <wp:docPr id="1037" name="Text Box 1037"/>
                <wp:cNvGraphicFramePr/>
                <a:graphic xmlns:a="http://schemas.openxmlformats.org/drawingml/2006/main">
                  <a:graphicData uri="http://schemas.microsoft.com/office/word/2010/wordprocessingShape">
                    <wps:wsp>
                      <wps:cNvSpPr txBox="1"/>
                      <wps:spPr>
                        <a:xfrm>
                          <a:off x="0" y="0"/>
                          <a:ext cx="3836670" cy="1141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7C4A4F" w14:textId="31FDCF92"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.7</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Na</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CE426" id="Text Box 1037" o:spid="_x0000_s1040" type="#_x0000_t202" style="position:absolute;margin-left:331.05pt;margin-top:328.35pt;width:302.1pt;height:89.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" fillcolor="white [3201]" stroked="f" strokeweight=".5pt">
                <v:textbox>
                  <w:txbxContent>
                    <w:p w14:paraId="6C7C4A4F" w14:textId="31FDCF92"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.7</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Na</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v:textbox>
              </v:shape>
            </w:pict>
          </mc:Fallback>
        </mc:AlternateContent>
      </w:r>
      <w:r w:rsidR="005E17DE">
        <w:rPr>
          <w:rFonts w:ascii="Times New Roman" w:hAnsi="Times New Roman" w:cs="Times New Roman"/>
          <w:sz w:val="20"/>
          <w:szCs w:val="20"/>
        </w:rPr>
        <w:pict w14:anchorId="2711AF41">
          <v:shape id="_x0000_i1031" type="#_x0000_t75" style="width:321.45pt;height:324pt">
            <v:imagedata r:id="rId141" o:title="soilMn1" croptop="3672f"/>
          </v:shape>
        </w:pict>
      </w:r>
      <w:r w:rsidR="005E17DE">
        <w:rPr>
          <w:rFonts w:ascii="Times New Roman" w:hAnsi="Times New Roman" w:cs="Times New Roman"/>
          <w:sz w:val="20"/>
          <w:szCs w:val="20"/>
        </w:rPr>
        <w:pict w14:anchorId="3C2EB2DD">
          <v:shape id="_x0000_i1032" type="#_x0000_t75" style="width:321.45pt;height:324pt">
            <v:imagedata r:id="rId142" o:title="soilNa1" croptop="3672f"/>
          </v:shape>
        </w:pict>
      </w:r>
      <w:r w:rsidRPr="00933477">
        <w:rPr>
          <w:rFonts w:ascii="Times New Roman" w:hAnsi="Times New Roman" w:cs="Times New Roman"/>
          <w:noProof/>
          <w:sz w:val="20"/>
          <w:szCs w:val="20"/>
          <w:lang w:eastAsia="en-US"/>
        </w:rPr>
        <w:lastRenderedPageBreak/>
        <mc:AlternateContent>
          <mc:Choice Requires="wps">
            <w:drawing>
              <wp:anchor distT="0" distB="0" distL="114300" distR="114300" simplePos="0" relativeHeight="251692032" behindDoc="0" locked="0" layoutInCell="1" allowOverlap="1" wp14:anchorId="5E61C8B6" wp14:editId="0872A06F">
                <wp:simplePos x="0" y="0"/>
                <wp:positionH relativeFrom="column">
                  <wp:posOffset>4204335</wp:posOffset>
                </wp:positionH>
                <wp:positionV relativeFrom="paragraph">
                  <wp:posOffset>4249420</wp:posOffset>
                </wp:positionV>
                <wp:extent cx="3836670" cy="1141095"/>
                <wp:effectExtent l="0" t="0" r="0" b="1905"/>
                <wp:wrapNone/>
                <wp:docPr id="1039" name="Text Box 1039"/>
                <wp:cNvGraphicFramePr/>
                <a:graphic xmlns:a="http://schemas.openxmlformats.org/drawingml/2006/main">
                  <a:graphicData uri="http://schemas.microsoft.com/office/word/2010/wordprocessingShape">
                    <wps:wsp>
                      <wps:cNvSpPr txBox="1"/>
                      <wps:spPr>
                        <a:xfrm>
                          <a:off x="0" y="0"/>
                          <a:ext cx="3836670" cy="1141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642B87" w14:textId="7110D2FA"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.9</w:t>
                            </w:r>
                            <w:r w:rsidRPr="00933477">
                              <w:rPr>
                                <w:rFonts w:ascii="Times New Roman" w:hAnsi="Times New Roman" w:cs="Times New Roman"/>
                                <w:b/>
                                <w:sz w:val="20"/>
                                <w:szCs w:val="20"/>
                              </w:rPr>
                              <w:t xml:space="preserve">: Changes in soil </w:t>
                            </w:r>
                            <w:proofErr w:type="spellStart"/>
                            <w:r>
                              <w:rPr>
                                <w:rFonts w:ascii="Times New Roman" w:hAnsi="Times New Roman" w:cs="Times New Roman"/>
                                <w:b/>
                                <w:sz w:val="20"/>
                                <w:szCs w:val="20"/>
                              </w:rPr>
                              <w:t>Pb</w:t>
                            </w:r>
                            <w:proofErr w:type="spellEnd"/>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1C8B6" id="Text Box 1039" o:spid="_x0000_s1041" type="#_x0000_t202" style="position:absolute;margin-left:331.05pt;margin-top:334.6pt;width:302.1pt;height:89.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" fillcolor="white [3201]" stroked="f" strokeweight=".5pt">
                <v:textbox>
                  <w:txbxContent>
                    <w:p w14:paraId="14642B87" w14:textId="7110D2FA"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.9</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Pb</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v:textbox>
              </v:shape>
            </w:pict>
          </mc:Fallback>
        </mc:AlternateContent>
      </w:r>
      <w:r w:rsidRPr="00933477">
        <w:rPr>
          <w:rFonts w:ascii="Times New Roman" w:hAnsi="Times New Roman" w:cs="Times New Roman"/>
          <w:noProof/>
          <w:sz w:val="20"/>
          <w:szCs w:val="20"/>
          <w:lang w:eastAsia="en-US"/>
        </w:rPr>
        <mc:AlternateContent>
          <mc:Choice Requires="wps">
            <w:drawing>
              <wp:anchor distT="0" distB="0" distL="114300" distR="114300" simplePos="0" relativeHeight="251691008" behindDoc="0" locked="0" layoutInCell="1" allowOverlap="1" wp14:anchorId="15C2132D" wp14:editId="04AA5606">
                <wp:simplePos x="0" y="0"/>
                <wp:positionH relativeFrom="column">
                  <wp:posOffset>0</wp:posOffset>
                </wp:positionH>
                <wp:positionV relativeFrom="paragraph">
                  <wp:posOffset>4249159</wp:posOffset>
                </wp:positionV>
                <wp:extent cx="3836670" cy="1141095"/>
                <wp:effectExtent l="0" t="0" r="0" b="1905"/>
                <wp:wrapNone/>
                <wp:docPr id="1038" name="Text Box 1038"/>
                <wp:cNvGraphicFramePr/>
                <a:graphic xmlns:a="http://schemas.openxmlformats.org/drawingml/2006/main">
                  <a:graphicData uri="http://schemas.microsoft.com/office/word/2010/wordprocessingShape">
                    <wps:wsp>
                      <wps:cNvSpPr txBox="1"/>
                      <wps:spPr>
                        <a:xfrm>
                          <a:off x="0" y="0"/>
                          <a:ext cx="3836670" cy="1141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25455" w14:textId="2D7AB0D7"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.8</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Ni</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2132D" id="Text Box 1038" o:spid="_x0000_s1042" type="#_x0000_t202" style="position:absolute;margin-left:0;margin-top:334.6pt;width:302.1pt;height:89.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" fillcolor="white [3201]" stroked="f" strokeweight=".5pt">
                <v:textbox>
                  <w:txbxContent>
                    <w:p w14:paraId="6EE25455" w14:textId="2D7AB0D7"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.8</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Ni</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v:textbox>
              </v:shape>
            </w:pict>
          </mc:Fallback>
        </mc:AlternateContent>
      </w:r>
      <w:r w:rsidR="005E17DE">
        <w:rPr>
          <w:rFonts w:ascii="Times New Roman" w:hAnsi="Times New Roman" w:cs="Times New Roman"/>
          <w:sz w:val="20"/>
          <w:szCs w:val="20"/>
        </w:rPr>
        <w:pict w14:anchorId="2AFD975C">
          <v:shape id="_x0000_i1033" type="#_x0000_t75" style="width:321.45pt;height:324.85pt">
            <v:imagedata r:id="rId143" o:title="soilNi1" croptop="3586f"/>
          </v:shape>
        </w:pict>
      </w:r>
      <w:r w:rsidR="005E17DE">
        <w:rPr>
          <w:rFonts w:ascii="Times New Roman" w:hAnsi="Times New Roman" w:cs="Times New Roman"/>
          <w:sz w:val="20"/>
          <w:szCs w:val="20"/>
        </w:rPr>
        <w:pict w14:anchorId="4504DE03">
          <v:shape id="_x0000_i1034" type="#_x0000_t75" style="width:321.45pt;height:324.85pt">
            <v:imagedata r:id="rId144" o:title="soilPb1" croptop="3586f"/>
          </v:shape>
        </w:pict>
      </w:r>
      <w:r w:rsidRPr="00933477">
        <w:rPr>
          <w:rFonts w:ascii="Times New Roman" w:hAnsi="Times New Roman" w:cs="Times New Roman"/>
          <w:noProof/>
          <w:sz w:val="20"/>
          <w:szCs w:val="20"/>
          <w:lang w:eastAsia="en-US"/>
        </w:rPr>
        <w:lastRenderedPageBreak/>
        <mc:AlternateContent>
          <mc:Choice Requires="wps">
            <w:drawing>
              <wp:anchor distT="0" distB="0" distL="114300" distR="114300" simplePos="0" relativeHeight="251695104" behindDoc="0" locked="0" layoutInCell="1" allowOverlap="1" wp14:anchorId="21FD008F" wp14:editId="3E73688F">
                <wp:simplePos x="0" y="0"/>
                <wp:positionH relativeFrom="column">
                  <wp:posOffset>4204335</wp:posOffset>
                </wp:positionH>
                <wp:positionV relativeFrom="paragraph">
                  <wp:posOffset>4227830</wp:posOffset>
                </wp:positionV>
                <wp:extent cx="3836670" cy="1141095"/>
                <wp:effectExtent l="0" t="0" r="0" b="1905"/>
                <wp:wrapNone/>
                <wp:docPr id="1041" name="Text Box 1041"/>
                <wp:cNvGraphicFramePr/>
                <a:graphic xmlns:a="http://schemas.openxmlformats.org/drawingml/2006/main">
                  <a:graphicData uri="http://schemas.microsoft.com/office/word/2010/wordprocessingShape">
                    <wps:wsp>
                      <wps:cNvSpPr txBox="1"/>
                      <wps:spPr>
                        <a:xfrm>
                          <a:off x="0" y="0"/>
                          <a:ext cx="3836670" cy="1141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6F37AA" w14:textId="41CB1013"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.11</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Zn</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D008F" id="Text Box 1041" o:spid="_x0000_s1043" type="#_x0000_t202" style="position:absolute;margin-left:331.05pt;margin-top:332.9pt;width:302.1pt;height:89.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" fillcolor="white [3201]" stroked="f" strokeweight=".5pt">
                <v:textbox>
                  <w:txbxContent>
                    <w:p w14:paraId="7C6F37AA" w14:textId="41CB1013"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.11</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Zn</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v:textbox>
              </v:shape>
            </w:pict>
          </mc:Fallback>
        </mc:AlternateContent>
      </w:r>
      <w:r w:rsidRPr="00933477">
        <w:rPr>
          <w:rFonts w:ascii="Times New Roman" w:hAnsi="Times New Roman" w:cs="Times New Roman"/>
          <w:noProof/>
          <w:sz w:val="20"/>
          <w:szCs w:val="20"/>
          <w:lang w:eastAsia="en-US"/>
        </w:rPr>
        <mc:AlternateContent>
          <mc:Choice Requires="wps">
            <w:drawing>
              <wp:anchor distT="0" distB="0" distL="114300" distR="114300" simplePos="0" relativeHeight="251694080" behindDoc="0" locked="0" layoutInCell="1" allowOverlap="1" wp14:anchorId="3D42DFF3" wp14:editId="441A3102">
                <wp:simplePos x="0" y="0"/>
                <wp:positionH relativeFrom="column">
                  <wp:posOffset>0</wp:posOffset>
                </wp:positionH>
                <wp:positionV relativeFrom="paragraph">
                  <wp:posOffset>4227569</wp:posOffset>
                </wp:positionV>
                <wp:extent cx="3836670" cy="1141095"/>
                <wp:effectExtent l="0" t="0" r="0" b="1905"/>
                <wp:wrapNone/>
                <wp:docPr id="1040" name="Text Box 1040"/>
                <wp:cNvGraphicFramePr/>
                <a:graphic xmlns:a="http://schemas.openxmlformats.org/drawingml/2006/main">
                  <a:graphicData uri="http://schemas.microsoft.com/office/word/2010/wordprocessingShape">
                    <wps:wsp>
                      <wps:cNvSpPr txBox="1"/>
                      <wps:spPr>
                        <a:xfrm>
                          <a:off x="0" y="0"/>
                          <a:ext cx="3836670" cy="1141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816578" w14:textId="56DEF0DC"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.10</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S</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2DFF3" id="Text Box 1040" o:spid="_x0000_s1044" type="#_x0000_t202" style="position:absolute;margin-left:0;margin-top:332.9pt;width:302.1pt;height:8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" fillcolor="white [3201]" stroked="f" strokeweight=".5pt">
                <v:textbox>
                  <w:txbxContent>
                    <w:p w14:paraId="30816578" w14:textId="56DEF0DC" w:rsidR="00757A39" w:rsidRPr="00933477" w:rsidRDefault="00757A39" w:rsidP="00933477">
                      <w:pPr>
                        <w:jc w:val="center"/>
                        <w:rPr>
                          <w:rFonts w:ascii="Times New Roman" w:hAnsi="Times New Roman" w:cs="Times New Roman"/>
                          <w:b/>
                          <w:sz w:val="20"/>
                          <w:szCs w:val="20"/>
                        </w:rPr>
                      </w:pPr>
                      <w:r w:rsidRPr="00933477">
                        <w:rPr>
                          <w:rFonts w:ascii="Times New Roman" w:hAnsi="Times New Roman" w:cs="Times New Roman"/>
                          <w:b/>
                          <w:sz w:val="20"/>
                          <w:szCs w:val="20"/>
                        </w:rPr>
                        <w:t>Figure D</w:t>
                      </w:r>
                      <w:r>
                        <w:rPr>
                          <w:rFonts w:ascii="Times New Roman" w:hAnsi="Times New Roman" w:cs="Times New Roman"/>
                          <w:b/>
                          <w:sz w:val="20"/>
                          <w:szCs w:val="20"/>
                        </w:rPr>
                        <w:t>.10</w:t>
                      </w:r>
                      <w:r w:rsidRPr="00933477">
                        <w:rPr>
                          <w:rFonts w:ascii="Times New Roman" w:hAnsi="Times New Roman" w:cs="Times New Roman"/>
                          <w:b/>
                          <w:sz w:val="20"/>
                          <w:szCs w:val="20"/>
                        </w:rPr>
                        <w:t xml:space="preserve">: Changes in soil </w:t>
                      </w:r>
                      <w:r>
                        <w:rPr>
                          <w:rFonts w:ascii="Times New Roman" w:hAnsi="Times New Roman" w:cs="Times New Roman"/>
                          <w:b/>
                          <w:sz w:val="20"/>
                          <w:szCs w:val="20"/>
                        </w:rPr>
                        <w:t>S</w:t>
                      </w:r>
                      <w:r w:rsidRPr="00933477">
                        <w:rPr>
                          <w:rFonts w:ascii="Times New Roman" w:hAnsi="Times New Roman" w:cs="Times New Roman"/>
                          <w:b/>
                          <w:sz w:val="20"/>
                          <w:szCs w:val="20"/>
                        </w:rPr>
                        <w:t xml:space="preserve"> concentrations under groundwater and mine water irrigation before and after a single growing season, visualized with a combination of scatter plots, box plots, connected means with standard error bars, and smoothed histograms</w:t>
                      </w:r>
                    </w:p>
                  </w:txbxContent>
                </v:textbox>
              </v:shape>
            </w:pict>
          </mc:Fallback>
        </mc:AlternateContent>
      </w:r>
      <w:r w:rsidR="005E17DE">
        <w:rPr>
          <w:rFonts w:ascii="Times New Roman" w:hAnsi="Times New Roman" w:cs="Times New Roman"/>
          <w:sz w:val="20"/>
          <w:szCs w:val="20"/>
        </w:rPr>
        <w:pict w14:anchorId="61ED84EA">
          <v:shape id="_x0000_i1035" type="#_x0000_t75" style="width:321.45pt;height:324.85pt">
            <v:imagedata r:id="rId145" o:title="soilS1" croptop="3500f"/>
          </v:shape>
        </w:pict>
      </w:r>
      <w:r w:rsidR="005E17DE">
        <w:rPr>
          <w:rFonts w:ascii="Times New Roman" w:hAnsi="Times New Roman" w:cs="Times New Roman"/>
          <w:sz w:val="20"/>
          <w:szCs w:val="20"/>
        </w:rPr>
        <w:pict w14:anchorId="29824484">
          <v:shape id="_x0000_i1036" type="#_x0000_t75" style="width:321.45pt;height:324.85pt">
            <v:imagedata r:id="rId146" o:title="soilZn1" croptop="3500f"/>
          </v:shape>
        </w:pict>
      </w:r>
    </w:p>
    <w:sectPr w:rsidR="00F35D8F" w:rsidRPr="00F07DEB" w:rsidSect="00437290">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450DB" w16cex:dateUtc="2020-12-16T15:24:00Z"/>
  <w16cex:commentExtensible w16cex:durableId="2384518E" w16cex:dateUtc="2020-12-16T15:27:00Z"/>
  <w16cex:commentExtensible w16cex:durableId="23845230" w16cex:dateUtc="2020-12-16T15:30:00Z"/>
  <w16cex:commentExtensible w16cex:durableId="238452D3" w16cex:dateUtc="2020-12-16T15:33:00Z"/>
  <w16cex:commentExtensible w16cex:durableId="23845779" w16cex:dateUtc="2020-12-16T15:52:00Z"/>
  <w16cex:commentExtensible w16cex:durableId="238457AD" w16cex:dateUtc="2020-12-16T15:53:00Z"/>
  <w16cex:commentExtensible w16cex:durableId="238457EE" w16cex:dateUtc="2020-12-16T15: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7B85E2A" w16cid:durableId="23844A14"/>
  <w16cid:commentId w16cid:paraId="2D219F45" w16cid:durableId="23844A15"/>
  <w16cid:commentId w16cid:paraId="1D9EB1DB" w16cid:durableId="238450DB"/>
  <w16cid:commentId w16cid:paraId="22F89747" w16cid:durableId="23844A1A"/>
  <w16cid:commentId w16cid:paraId="7144F0F4" w16cid:durableId="23844A1B"/>
  <w16cid:commentId w16cid:paraId="472BAA48" w16cid:durableId="2384518E"/>
  <w16cid:commentId w16cid:paraId="5563EADE" w16cid:durableId="23844A1E"/>
  <w16cid:commentId w16cid:paraId="67148E11" w16cid:durableId="23844A1F"/>
  <w16cid:commentId w16cid:paraId="3F7300EA" w16cid:durableId="23845230"/>
  <w16cid:commentId w16cid:paraId="0B8ADC51" w16cid:durableId="23844A2A"/>
  <w16cid:commentId w16cid:paraId="053082C7" w16cid:durableId="23844A2B"/>
  <w16cid:commentId w16cid:paraId="0F6C615B" w16cid:durableId="238452D3"/>
  <w16cid:commentId w16cid:paraId="231A8640" w16cid:durableId="23844A42"/>
  <w16cid:commentId w16cid:paraId="63E6F16B" w16cid:durableId="23845779"/>
  <w16cid:commentId w16cid:paraId="260FA925" w16cid:durableId="23844A43"/>
  <w16cid:commentId w16cid:paraId="32FD552A" w16cid:durableId="23844A44"/>
  <w16cid:commentId w16cid:paraId="67F5D8B8" w16cid:durableId="238457AD"/>
  <w16cid:commentId w16cid:paraId="38E0AD80" w16cid:durableId="23844A46"/>
  <w16cid:commentId w16cid:paraId="4396F914" w16cid:durableId="23844A47"/>
  <w16cid:commentId w16cid:paraId="45F3A64C" w16cid:durableId="238457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01ACF" w14:textId="77777777" w:rsidR="005A0289" w:rsidRDefault="005A0289">
      <w:pPr>
        <w:spacing w:after="0" w:line="240" w:lineRule="auto"/>
      </w:pPr>
      <w:r>
        <w:separator/>
      </w:r>
    </w:p>
    <w:p w14:paraId="74E13F6D" w14:textId="77777777" w:rsidR="005A0289" w:rsidRDefault="005A0289"/>
  </w:endnote>
  <w:endnote w:type="continuationSeparator" w:id="0">
    <w:p w14:paraId="61645B7E" w14:textId="77777777" w:rsidR="005A0289" w:rsidRDefault="005A0289">
      <w:pPr>
        <w:spacing w:after="0" w:line="240" w:lineRule="auto"/>
      </w:pPr>
      <w:r>
        <w:continuationSeparator/>
      </w:r>
    </w:p>
    <w:p w14:paraId="6216E104" w14:textId="77777777" w:rsidR="005A0289" w:rsidRDefault="005A0289"/>
  </w:endnote>
  <w:endnote w:type="continuationNotice" w:id="1">
    <w:p w14:paraId="37D81F9F" w14:textId="77777777" w:rsidR="005A0289" w:rsidRDefault="005A02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A6D0F" w14:textId="77777777" w:rsidR="00757A39" w:rsidRDefault="00757A39" w:rsidP="009674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27A6BC68" w14:textId="77777777" w:rsidR="00757A39" w:rsidRDefault="00757A39" w:rsidP="009674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4296A119" w14:textId="77777777" w:rsidR="00757A39" w:rsidRDefault="00757A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1C63" w14:textId="77777777" w:rsidR="005E17DE" w:rsidRDefault="005E17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4115F" w14:textId="77777777" w:rsidR="00757A39" w:rsidRDefault="00757A39" w:rsidP="009674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E17DE">
      <w:rPr>
        <w:rStyle w:val="PageNumber"/>
        <w:noProof/>
      </w:rPr>
      <w:t>vi</w:t>
    </w:r>
    <w:r>
      <w:rPr>
        <w:rStyle w:val="PageNumber"/>
      </w:rPr>
      <w:fldChar w:fldCharType="end"/>
    </w:r>
  </w:p>
  <w:p w14:paraId="55CB50C3" w14:textId="77777777" w:rsidR="00757A39" w:rsidRDefault="00757A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4EFB2" w14:textId="77777777" w:rsidR="005A0289" w:rsidRDefault="005A0289">
      <w:pPr>
        <w:spacing w:after="0" w:line="240" w:lineRule="auto"/>
      </w:pPr>
      <w:r>
        <w:separator/>
      </w:r>
    </w:p>
    <w:p w14:paraId="470C86E9" w14:textId="77777777" w:rsidR="005A0289" w:rsidRDefault="005A0289"/>
  </w:footnote>
  <w:footnote w:type="continuationSeparator" w:id="0">
    <w:p w14:paraId="16FB3233" w14:textId="77777777" w:rsidR="005A0289" w:rsidRDefault="005A0289">
      <w:pPr>
        <w:spacing w:after="0" w:line="240" w:lineRule="auto"/>
      </w:pPr>
      <w:r>
        <w:continuationSeparator/>
      </w:r>
    </w:p>
    <w:p w14:paraId="3DC19A6E" w14:textId="77777777" w:rsidR="005A0289" w:rsidRDefault="005A0289"/>
  </w:footnote>
  <w:footnote w:type="continuationNotice" w:id="1">
    <w:p w14:paraId="21283504" w14:textId="77777777" w:rsidR="005A0289" w:rsidRDefault="005A028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F51B5"/>
    <w:multiLevelType w:val="hybridMultilevel"/>
    <w:tmpl w:val="E64CB4D2"/>
    <w:lvl w:ilvl="0" w:tplc="50F08E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CB7085"/>
    <w:multiLevelType w:val="hybridMultilevel"/>
    <w:tmpl w:val="B7FE0E24"/>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2C67A01"/>
    <w:multiLevelType w:val="hybridMultilevel"/>
    <w:tmpl w:val="76C86A30"/>
    <w:lvl w:ilvl="0" w:tplc="6AE40710">
      <w:start w:val="1"/>
      <w:numFmt w:val="lowerLetter"/>
      <w:lvlText w:val="%1."/>
      <w:lvlJc w:val="left"/>
      <w:pPr>
        <w:ind w:left="1080" w:hanging="36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1276DB"/>
    <w:multiLevelType w:val="hybridMultilevel"/>
    <w:tmpl w:val="F9D88CE2"/>
    <w:lvl w:ilvl="0" w:tplc="046E6876">
      <w:numFmt w:val="bullet"/>
      <w:lvlText w:val="-"/>
      <w:lvlJc w:val="left"/>
      <w:pPr>
        <w:ind w:left="414" w:hanging="360"/>
      </w:pPr>
      <w:rPr>
        <w:rFonts w:ascii="Calibri" w:eastAsiaTheme="minorEastAsia" w:hAnsi="Calibri" w:cs="Calibri" w:hint="default"/>
      </w:rPr>
    </w:lvl>
    <w:lvl w:ilvl="1" w:tplc="04090003" w:tentative="1">
      <w:start w:val="1"/>
      <w:numFmt w:val="bullet"/>
      <w:lvlText w:val="o"/>
      <w:lvlJc w:val="left"/>
      <w:pPr>
        <w:ind w:left="1134" w:hanging="360"/>
      </w:pPr>
      <w:rPr>
        <w:rFonts w:ascii="Courier New" w:hAnsi="Courier New" w:cs="Courier New" w:hint="default"/>
      </w:rPr>
    </w:lvl>
    <w:lvl w:ilvl="2" w:tplc="04090005" w:tentative="1">
      <w:start w:val="1"/>
      <w:numFmt w:val="bullet"/>
      <w:lvlText w:val=""/>
      <w:lvlJc w:val="left"/>
      <w:pPr>
        <w:ind w:left="1854" w:hanging="360"/>
      </w:pPr>
      <w:rPr>
        <w:rFonts w:ascii="Wingdings" w:hAnsi="Wingdings" w:hint="default"/>
      </w:rPr>
    </w:lvl>
    <w:lvl w:ilvl="3" w:tplc="04090001" w:tentative="1">
      <w:start w:val="1"/>
      <w:numFmt w:val="bullet"/>
      <w:lvlText w:val=""/>
      <w:lvlJc w:val="left"/>
      <w:pPr>
        <w:ind w:left="2574" w:hanging="360"/>
      </w:pPr>
      <w:rPr>
        <w:rFonts w:ascii="Symbol" w:hAnsi="Symbol" w:hint="default"/>
      </w:rPr>
    </w:lvl>
    <w:lvl w:ilvl="4" w:tplc="04090003" w:tentative="1">
      <w:start w:val="1"/>
      <w:numFmt w:val="bullet"/>
      <w:lvlText w:val="o"/>
      <w:lvlJc w:val="left"/>
      <w:pPr>
        <w:ind w:left="3294" w:hanging="360"/>
      </w:pPr>
      <w:rPr>
        <w:rFonts w:ascii="Courier New" w:hAnsi="Courier New" w:cs="Courier New" w:hint="default"/>
      </w:rPr>
    </w:lvl>
    <w:lvl w:ilvl="5" w:tplc="04090005" w:tentative="1">
      <w:start w:val="1"/>
      <w:numFmt w:val="bullet"/>
      <w:lvlText w:val=""/>
      <w:lvlJc w:val="left"/>
      <w:pPr>
        <w:ind w:left="4014" w:hanging="360"/>
      </w:pPr>
      <w:rPr>
        <w:rFonts w:ascii="Wingdings" w:hAnsi="Wingdings" w:hint="default"/>
      </w:rPr>
    </w:lvl>
    <w:lvl w:ilvl="6" w:tplc="04090001" w:tentative="1">
      <w:start w:val="1"/>
      <w:numFmt w:val="bullet"/>
      <w:lvlText w:val=""/>
      <w:lvlJc w:val="left"/>
      <w:pPr>
        <w:ind w:left="4734" w:hanging="360"/>
      </w:pPr>
      <w:rPr>
        <w:rFonts w:ascii="Symbol" w:hAnsi="Symbol" w:hint="default"/>
      </w:rPr>
    </w:lvl>
    <w:lvl w:ilvl="7" w:tplc="04090003" w:tentative="1">
      <w:start w:val="1"/>
      <w:numFmt w:val="bullet"/>
      <w:lvlText w:val="o"/>
      <w:lvlJc w:val="left"/>
      <w:pPr>
        <w:ind w:left="5454" w:hanging="360"/>
      </w:pPr>
      <w:rPr>
        <w:rFonts w:ascii="Courier New" w:hAnsi="Courier New" w:cs="Courier New" w:hint="default"/>
      </w:rPr>
    </w:lvl>
    <w:lvl w:ilvl="8" w:tplc="04090005" w:tentative="1">
      <w:start w:val="1"/>
      <w:numFmt w:val="bullet"/>
      <w:lvlText w:val=""/>
      <w:lvlJc w:val="left"/>
      <w:pPr>
        <w:ind w:left="6174" w:hanging="360"/>
      </w:pPr>
      <w:rPr>
        <w:rFonts w:ascii="Wingdings" w:hAnsi="Wingdings" w:hint="default"/>
      </w:rPr>
    </w:lvl>
  </w:abstractNum>
  <w:abstractNum w:abstractNumId="4" w15:restartNumberingAfterBreak="0">
    <w:nsid w:val="1EAA238E"/>
    <w:multiLevelType w:val="hybridMultilevel"/>
    <w:tmpl w:val="9432F11C"/>
    <w:lvl w:ilvl="0" w:tplc="0409001B">
      <w:start w:val="1"/>
      <w:numFmt w:val="lowerRoman"/>
      <w:lvlText w:val="%1."/>
      <w:lvlJc w:val="right"/>
      <w:pPr>
        <w:ind w:left="5400" w:hanging="18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26CF0D2E"/>
    <w:multiLevelType w:val="hybridMultilevel"/>
    <w:tmpl w:val="93965DD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34C2445A"/>
    <w:multiLevelType w:val="hybridMultilevel"/>
    <w:tmpl w:val="0A9E969A"/>
    <w:lvl w:ilvl="0" w:tplc="7EB43A7C">
      <w:start w:val="1"/>
      <w:numFmt w:val="upperRoman"/>
      <w:lvlText w:val="%1."/>
      <w:lvlJc w:val="left"/>
      <w:pPr>
        <w:ind w:left="1080" w:hanging="72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2160" w:hanging="180"/>
      </w:pPr>
    </w:lvl>
    <w:lvl w:ilvl="3" w:tplc="243EA960">
      <w:start w:val="2"/>
      <w:numFmt w:val="decimal"/>
      <w:lvlText w:val="%4."/>
      <w:lvlJc w:val="left"/>
      <w:pPr>
        <w:ind w:left="189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269C7"/>
    <w:multiLevelType w:val="hybridMultilevel"/>
    <w:tmpl w:val="AF18A7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89870A1"/>
    <w:multiLevelType w:val="hybridMultilevel"/>
    <w:tmpl w:val="6060DE80"/>
    <w:lvl w:ilvl="0" w:tplc="7EB43A7C">
      <w:start w:val="1"/>
      <w:numFmt w:val="upperRoman"/>
      <w:lvlText w:val="%1."/>
      <w:lvlJc w:val="left"/>
      <w:pPr>
        <w:ind w:left="1080" w:hanging="72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2160" w:hanging="180"/>
      </w:pPr>
    </w:lvl>
    <w:lvl w:ilvl="3" w:tplc="C7FC8F14">
      <w:start w:val="3"/>
      <w:numFmt w:val="decimal"/>
      <w:lvlText w:val="%4."/>
      <w:lvlJc w:val="left"/>
      <w:pPr>
        <w:ind w:left="189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61324D"/>
    <w:multiLevelType w:val="hybridMultilevel"/>
    <w:tmpl w:val="40DE0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8C5869"/>
    <w:multiLevelType w:val="hybridMultilevel"/>
    <w:tmpl w:val="32A66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F607D5"/>
    <w:multiLevelType w:val="hybridMultilevel"/>
    <w:tmpl w:val="57CA6E62"/>
    <w:lvl w:ilvl="0" w:tplc="0409001B">
      <w:start w:val="1"/>
      <w:numFmt w:val="lowerRoman"/>
      <w:lvlText w:val="%1."/>
      <w:lvlJc w:val="right"/>
      <w:pPr>
        <w:ind w:left="5400" w:hanging="18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15:restartNumberingAfterBreak="0">
    <w:nsid w:val="5AA70539"/>
    <w:multiLevelType w:val="hybridMultilevel"/>
    <w:tmpl w:val="A706429E"/>
    <w:lvl w:ilvl="0" w:tplc="173A551E">
      <w:start w:val="1"/>
      <w:numFmt w:val="upperRoman"/>
      <w:pStyle w:val="Heading1"/>
      <w:lvlText w:val="%1."/>
      <w:lvlJc w:val="left"/>
      <w:pPr>
        <w:ind w:left="4050" w:hanging="720"/>
      </w:pPr>
      <w:rPr>
        <w:rFonts w:hint="default"/>
      </w:rPr>
    </w:lvl>
    <w:lvl w:ilvl="1" w:tplc="0B94ACA4">
      <w:start w:val="1"/>
      <w:numFmt w:val="lowerLetter"/>
      <w:pStyle w:val="Heading2"/>
      <w:lvlText w:val="%2."/>
      <w:lvlJc w:val="left"/>
      <w:pPr>
        <w:ind w:left="1530" w:hanging="360"/>
      </w:pPr>
    </w:lvl>
    <w:lvl w:ilvl="2" w:tplc="88EAE47E">
      <w:start w:val="1"/>
      <w:numFmt w:val="lowerRoman"/>
      <w:pStyle w:val="Heading3"/>
      <w:lvlText w:val="%3."/>
      <w:lvlJc w:val="right"/>
      <w:pPr>
        <w:ind w:left="2070" w:hanging="180"/>
      </w:pPr>
    </w:lvl>
    <w:lvl w:ilvl="3" w:tplc="6988F65E">
      <w:start w:val="1"/>
      <w:numFmt w:val="decimal"/>
      <w:pStyle w:val="Heading4"/>
      <w:lvlText w:val="%4."/>
      <w:lvlJc w:val="left"/>
      <w:pPr>
        <w:ind w:left="189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39887696">
      <w:start w:val="1"/>
      <w:numFmt w:val="lowerRoman"/>
      <w:lvlText w:val="%7)"/>
      <w:lvlJc w:val="left"/>
      <w:pPr>
        <w:ind w:left="5400" w:hanging="72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153349"/>
    <w:multiLevelType w:val="hybridMultilevel"/>
    <w:tmpl w:val="7F88FDE2"/>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65D5625E"/>
    <w:multiLevelType w:val="hybridMultilevel"/>
    <w:tmpl w:val="92821436"/>
    <w:lvl w:ilvl="0" w:tplc="BD38B9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ADF2B52"/>
    <w:multiLevelType w:val="hybridMultilevel"/>
    <w:tmpl w:val="31BC65B6"/>
    <w:lvl w:ilvl="0" w:tplc="0409001B">
      <w:start w:val="1"/>
      <w:numFmt w:val="lowerRoman"/>
      <w:lvlText w:val="%1."/>
      <w:lvlJc w:val="right"/>
      <w:pPr>
        <w:ind w:left="3960" w:hanging="360"/>
      </w:p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6" w15:restartNumberingAfterBreak="0">
    <w:nsid w:val="71535510"/>
    <w:multiLevelType w:val="hybridMultilevel"/>
    <w:tmpl w:val="3A183C5E"/>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718E2C94"/>
    <w:multiLevelType w:val="multilevel"/>
    <w:tmpl w:val="CECE4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A75610"/>
    <w:multiLevelType w:val="hybridMultilevel"/>
    <w:tmpl w:val="C57E1B20"/>
    <w:lvl w:ilvl="0" w:tplc="0409001B">
      <w:start w:val="1"/>
      <w:numFmt w:val="lowerRoman"/>
      <w:lvlText w:val="%1."/>
      <w:lvlJc w:val="right"/>
      <w:pPr>
        <w:ind w:left="5400" w:hanging="18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12"/>
  </w:num>
  <w:num w:numId="2">
    <w:abstractNumId w:val="0"/>
  </w:num>
  <w:num w:numId="3">
    <w:abstractNumId w:val="14"/>
  </w:num>
  <w:num w:numId="4">
    <w:abstractNumId w:val="2"/>
  </w:num>
  <w:num w:numId="5">
    <w:abstractNumId w:val="8"/>
  </w:num>
  <w:num w:numId="6">
    <w:abstractNumId w:val="5"/>
  </w:num>
  <w:num w:numId="7">
    <w:abstractNumId w:val="6"/>
  </w:num>
  <w:num w:numId="8">
    <w:abstractNumId w:val="15"/>
  </w:num>
  <w:num w:numId="9">
    <w:abstractNumId w:val="11"/>
  </w:num>
  <w:num w:numId="10">
    <w:abstractNumId w:val="18"/>
  </w:num>
  <w:num w:numId="11">
    <w:abstractNumId w:val="4"/>
  </w:num>
  <w:num w:numId="12">
    <w:abstractNumId w:val="1"/>
  </w:num>
  <w:num w:numId="13">
    <w:abstractNumId w:val="16"/>
  </w:num>
  <w:num w:numId="14">
    <w:abstractNumId w:val="13"/>
  </w:num>
  <w:num w:numId="15">
    <w:abstractNumId w:val="7"/>
  </w:num>
  <w:num w:numId="16">
    <w:abstractNumId w:val="17"/>
  </w:num>
  <w:num w:numId="17">
    <w:abstractNumId w:val="3"/>
  </w:num>
  <w:num w:numId="18">
    <w:abstractNumId w:val="12"/>
    <w:lvlOverride w:ilvl="0">
      <w:startOverride w:val="1"/>
    </w:lvlOverride>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C1D"/>
    <w:rsid w:val="00000D69"/>
    <w:rsid w:val="00001174"/>
    <w:rsid w:val="0000129A"/>
    <w:rsid w:val="00002B9F"/>
    <w:rsid w:val="00003C55"/>
    <w:rsid w:val="00004B55"/>
    <w:rsid w:val="00004B6D"/>
    <w:rsid w:val="00005974"/>
    <w:rsid w:val="00006044"/>
    <w:rsid w:val="00006FBF"/>
    <w:rsid w:val="00007BD8"/>
    <w:rsid w:val="00010F4F"/>
    <w:rsid w:val="000110E4"/>
    <w:rsid w:val="00012356"/>
    <w:rsid w:val="00013830"/>
    <w:rsid w:val="00015925"/>
    <w:rsid w:val="00016F42"/>
    <w:rsid w:val="00016FD0"/>
    <w:rsid w:val="0002341E"/>
    <w:rsid w:val="00023527"/>
    <w:rsid w:val="00023E37"/>
    <w:rsid w:val="00023F81"/>
    <w:rsid w:val="00024462"/>
    <w:rsid w:val="00024E5B"/>
    <w:rsid w:val="00026104"/>
    <w:rsid w:val="000271BD"/>
    <w:rsid w:val="00027A15"/>
    <w:rsid w:val="00030FBC"/>
    <w:rsid w:val="0003126E"/>
    <w:rsid w:val="000314AC"/>
    <w:rsid w:val="00031536"/>
    <w:rsid w:val="00031635"/>
    <w:rsid w:val="00031C99"/>
    <w:rsid w:val="00032644"/>
    <w:rsid w:val="00033E66"/>
    <w:rsid w:val="000340B6"/>
    <w:rsid w:val="000348CF"/>
    <w:rsid w:val="00035AA3"/>
    <w:rsid w:val="00037ADD"/>
    <w:rsid w:val="00040CA7"/>
    <w:rsid w:val="0004107B"/>
    <w:rsid w:val="00041376"/>
    <w:rsid w:val="00041CAF"/>
    <w:rsid w:val="000421AE"/>
    <w:rsid w:val="00042C57"/>
    <w:rsid w:val="00043798"/>
    <w:rsid w:val="00043CC8"/>
    <w:rsid w:val="00044595"/>
    <w:rsid w:val="000450FF"/>
    <w:rsid w:val="00047605"/>
    <w:rsid w:val="00050539"/>
    <w:rsid w:val="00050734"/>
    <w:rsid w:val="00050F5B"/>
    <w:rsid w:val="00051408"/>
    <w:rsid w:val="00051995"/>
    <w:rsid w:val="0005332D"/>
    <w:rsid w:val="00053BFB"/>
    <w:rsid w:val="00054171"/>
    <w:rsid w:val="000542AC"/>
    <w:rsid w:val="000554ED"/>
    <w:rsid w:val="00055F6D"/>
    <w:rsid w:val="00056158"/>
    <w:rsid w:val="000571EF"/>
    <w:rsid w:val="000572AC"/>
    <w:rsid w:val="00060232"/>
    <w:rsid w:val="000615EA"/>
    <w:rsid w:val="00062340"/>
    <w:rsid w:val="000656CA"/>
    <w:rsid w:val="0006618C"/>
    <w:rsid w:val="0006673C"/>
    <w:rsid w:val="000667A4"/>
    <w:rsid w:val="00073728"/>
    <w:rsid w:val="00074B3D"/>
    <w:rsid w:val="00074D82"/>
    <w:rsid w:val="00075327"/>
    <w:rsid w:val="00076799"/>
    <w:rsid w:val="00077360"/>
    <w:rsid w:val="000816B0"/>
    <w:rsid w:val="0008194B"/>
    <w:rsid w:val="00082226"/>
    <w:rsid w:val="00083971"/>
    <w:rsid w:val="00083A03"/>
    <w:rsid w:val="0008497D"/>
    <w:rsid w:val="00086C3F"/>
    <w:rsid w:val="0008713C"/>
    <w:rsid w:val="00087AA4"/>
    <w:rsid w:val="0009083D"/>
    <w:rsid w:val="000913FD"/>
    <w:rsid w:val="00092C99"/>
    <w:rsid w:val="000933F2"/>
    <w:rsid w:val="0009519C"/>
    <w:rsid w:val="00095678"/>
    <w:rsid w:val="00096479"/>
    <w:rsid w:val="00097F54"/>
    <w:rsid w:val="000A0A8C"/>
    <w:rsid w:val="000A1CAD"/>
    <w:rsid w:val="000A2016"/>
    <w:rsid w:val="000A2D17"/>
    <w:rsid w:val="000A2D5A"/>
    <w:rsid w:val="000A3BA1"/>
    <w:rsid w:val="000A3C3C"/>
    <w:rsid w:val="000A5307"/>
    <w:rsid w:val="000A5967"/>
    <w:rsid w:val="000A66FE"/>
    <w:rsid w:val="000A7232"/>
    <w:rsid w:val="000A79BB"/>
    <w:rsid w:val="000A79CC"/>
    <w:rsid w:val="000B0A55"/>
    <w:rsid w:val="000B14A6"/>
    <w:rsid w:val="000B1BB3"/>
    <w:rsid w:val="000B31CB"/>
    <w:rsid w:val="000B37E4"/>
    <w:rsid w:val="000B46B2"/>
    <w:rsid w:val="000B5A62"/>
    <w:rsid w:val="000B5F79"/>
    <w:rsid w:val="000B718C"/>
    <w:rsid w:val="000B71CB"/>
    <w:rsid w:val="000B7A7B"/>
    <w:rsid w:val="000C07AA"/>
    <w:rsid w:val="000C0FD4"/>
    <w:rsid w:val="000C0FEF"/>
    <w:rsid w:val="000C173C"/>
    <w:rsid w:val="000C198B"/>
    <w:rsid w:val="000C2713"/>
    <w:rsid w:val="000C3519"/>
    <w:rsid w:val="000C3C19"/>
    <w:rsid w:val="000C4446"/>
    <w:rsid w:val="000C4821"/>
    <w:rsid w:val="000C4FE2"/>
    <w:rsid w:val="000C67E9"/>
    <w:rsid w:val="000C68A5"/>
    <w:rsid w:val="000D0BAF"/>
    <w:rsid w:val="000D1C0B"/>
    <w:rsid w:val="000D21DD"/>
    <w:rsid w:val="000D2EE7"/>
    <w:rsid w:val="000D4717"/>
    <w:rsid w:val="000D482D"/>
    <w:rsid w:val="000D5288"/>
    <w:rsid w:val="000D54A8"/>
    <w:rsid w:val="000D5D21"/>
    <w:rsid w:val="000D65C4"/>
    <w:rsid w:val="000D69ED"/>
    <w:rsid w:val="000D742F"/>
    <w:rsid w:val="000D7F14"/>
    <w:rsid w:val="000E025C"/>
    <w:rsid w:val="000E22C5"/>
    <w:rsid w:val="000E3963"/>
    <w:rsid w:val="000E39AB"/>
    <w:rsid w:val="000E3FA2"/>
    <w:rsid w:val="000E58B1"/>
    <w:rsid w:val="000F0165"/>
    <w:rsid w:val="000F0233"/>
    <w:rsid w:val="000F052E"/>
    <w:rsid w:val="000F055A"/>
    <w:rsid w:val="000F1D1D"/>
    <w:rsid w:val="000F3908"/>
    <w:rsid w:val="000F3DD7"/>
    <w:rsid w:val="000F4463"/>
    <w:rsid w:val="000F56D0"/>
    <w:rsid w:val="000F5D08"/>
    <w:rsid w:val="000F7E59"/>
    <w:rsid w:val="00100376"/>
    <w:rsid w:val="00100B6A"/>
    <w:rsid w:val="00101024"/>
    <w:rsid w:val="00102C56"/>
    <w:rsid w:val="00103EA6"/>
    <w:rsid w:val="00103F86"/>
    <w:rsid w:val="00104706"/>
    <w:rsid w:val="001048D3"/>
    <w:rsid w:val="00104A34"/>
    <w:rsid w:val="0010564A"/>
    <w:rsid w:val="00107DD8"/>
    <w:rsid w:val="00110BE8"/>
    <w:rsid w:val="00110C5F"/>
    <w:rsid w:val="00113B99"/>
    <w:rsid w:val="00113F6F"/>
    <w:rsid w:val="00114A33"/>
    <w:rsid w:val="0011655D"/>
    <w:rsid w:val="00116676"/>
    <w:rsid w:val="00120B5C"/>
    <w:rsid w:val="00120B80"/>
    <w:rsid w:val="00120F7D"/>
    <w:rsid w:val="0012121F"/>
    <w:rsid w:val="00121FA5"/>
    <w:rsid w:val="0012292E"/>
    <w:rsid w:val="00122B6E"/>
    <w:rsid w:val="00123CBC"/>
    <w:rsid w:val="00123E30"/>
    <w:rsid w:val="00124A2B"/>
    <w:rsid w:val="001251AC"/>
    <w:rsid w:val="001255E3"/>
    <w:rsid w:val="00127652"/>
    <w:rsid w:val="00130045"/>
    <w:rsid w:val="001305DF"/>
    <w:rsid w:val="001315F5"/>
    <w:rsid w:val="001328D9"/>
    <w:rsid w:val="00133537"/>
    <w:rsid w:val="00133A32"/>
    <w:rsid w:val="0013461C"/>
    <w:rsid w:val="0013545B"/>
    <w:rsid w:val="00136AAF"/>
    <w:rsid w:val="00137749"/>
    <w:rsid w:val="001400C3"/>
    <w:rsid w:val="001405F5"/>
    <w:rsid w:val="0014085B"/>
    <w:rsid w:val="00141754"/>
    <w:rsid w:val="00143155"/>
    <w:rsid w:val="00145510"/>
    <w:rsid w:val="00145AE5"/>
    <w:rsid w:val="001467F3"/>
    <w:rsid w:val="00146E64"/>
    <w:rsid w:val="001478A5"/>
    <w:rsid w:val="001507AE"/>
    <w:rsid w:val="00150F2B"/>
    <w:rsid w:val="00152D35"/>
    <w:rsid w:val="00154820"/>
    <w:rsid w:val="00154E6B"/>
    <w:rsid w:val="00157A16"/>
    <w:rsid w:val="00160967"/>
    <w:rsid w:val="0016155F"/>
    <w:rsid w:val="00162496"/>
    <w:rsid w:val="00162A2E"/>
    <w:rsid w:val="0016486E"/>
    <w:rsid w:val="00164B34"/>
    <w:rsid w:val="00164B8A"/>
    <w:rsid w:val="0016571C"/>
    <w:rsid w:val="001666E0"/>
    <w:rsid w:val="00166978"/>
    <w:rsid w:val="00167516"/>
    <w:rsid w:val="00167906"/>
    <w:rsid w:val="0017058C"/>
    <w:rsid w:val="00171C3F"/>
    <w:rsid w:val="00171E36"/>
    <w:rsid w:val="001739FF"/>
    <w:rsid w:val="00174B08"/>
    <w:rsid w:val="001759B0"/>
    <w:rsid w:val="00175AAD"/>
    <w:rsid w:val="001820BC"/>
    <w:rsid w:val="00182248"/>
    <w:rsid w:val="00185284"/>
    <w:rsid w:val="00185860"/>
    <w:rsid w:val="00186310"/>
    <w:rsid w:val="00186719"/>
    <w:rsid w:val="00186B3C"/>
    <w:rsid w:val="00186E5D"/>
    <w:rsid w:val="00187A9A"/>
    <w:rsid w:val="00187DC8"/>
    <w:rsid w:val="00191270"/>
    <w:rsid w:val="00191F32"/>
    <w:rsid w:val="0019270D"/>
    <w:rsid w:val="00192C95"/>
    <w:rsid w:val="00193335"/>
    <w:rsid w:val="001933E6"/>
    <w:rsid w:val="00193B8D"/>
    <w:rsid w:val="00197071"/>
    <w:rsid w:val="00197635"/>
    <w:rsid w:val="00197882"/>
    <w:rsid w:val="001978AE"/>
    <w:rsid w:val="001A087E"/>
    <w:rsid w:val="001A0C2B"/>
    <w:rsid w:val="001A10EC"/>
    <w:rsid w:val="001A1F6F"/>
    <w:rsid w:val="001A202B"/>
    <w:rsid w:val="001A4467"/>
    <w:rsid w:val="001A7C90"/>
    <w:rsid w:val="001B09E5"/>
    <w:rsid w:val="001B1849"/>
    <w:rsid w:val="001B22C6"/>
    <w:rsid w:val="001B27AF"/>
    <w:rsid w:val="001B3688"/>
    <w:rsid w:val="001B3B00"/>
    <w:rsid w:val="001B5815"/>
    <w:rsid w:val="001B76B8"/>
    <w:rsid w:val="001B7F1C"/>
    <w:rsid w:val="001C00BC"/>
    <w:rsid w:val="001C3D1D"/>
    <w:rsid w:val="001C58CE"/>
    <w:rsid w:val="001C5BB6"/>
    <w:rsid w:val="001C607F"/>
    <w:rsid w:val="001C7313"/>
    <w:rsid w:val="001C759A"/>
    <w:rsid w:val="001C7731"/>
    <w:rsid w:val="001D28C9"/>
    <w:rsid w:val="001D298C"/>
    <w:rsid w:val="001D3F65"/>
    <w:rsid w:val="001E1298"/>
    <w:rsid w:val="001E216B"/>
    <w:rsid w:val="001E236C"/>
    <w:rsid w:val="001E3151"/>
    <w:rsid w:val="001E3AC3"/>
    <w:rsid w:val="001E51BD"/>
    <w:rsid w:val="001E534A"/>
    <w:rsid w:val="001E5546"/>
    <w:rsid w:val="001E5F77"/>
    <w:rsid w:val="001E603B"/>
    <w:rsid w:val="001E6208"/>
    <w:rsid w:val="001E7510"/>
    <w:rsid w:val="001E7E6D"/>
    <w:rsid w:val="001F2479"/>
    <w:rsid w:val="001F31BB"/>
    <w:rsid w:val="001F4061"/>
    <w:rsid w:val="001F4207"/>
    <w:rsid w:val="001F4510"/>
    <w:rsid w:val="001F4936"/>
    <w:rsid w:val="001F49A3"/>
    <w:rsid w:val="001F4AC4"/>
    <w:rsid w:val="001F5EB6"/>
    <w:rsid w:val="001F6070"/>
    <w:rsid w:val="001F649F"/>
    <w:rsid w:val="001F6ACA"/>
    <w:rsid w:val="001F7DFD"/>
    <w:rsid w:val="00200678"/>
    <w:rsid w:val="00200F8C"/>
    <w:rsid w:val="0020102C"/>
    <w:rsid w:val="00202BE2"/>
    <w:rsid w:val="00203F3B"/>
    <w:rsid w:val="002045D6"/>
    <w:rsid w:val="00204BE0"/>
    <w:rsid w:val="00204C13"/>
    <w:rsid w:val="0020538E"/>
    <w:rsid w:val="00206132"/>
    <w:rsid w:val="00206409"/>
    <w:rsid w:val="00207154"/>
    <w:rsid w:val="002115C7"/>
    <w:rsid w:val="00213E71"/>
    <w:rsid w:val="0021426F"/>
    <w:rsid w:val="00214414"/>
    <w:rsid w:val="00214D61"/>
    <w:rsid w:val="0021517C"/>
    <w:rsid w:val="00216054"/>
    <w:rsid w:val="002169AA"/>
    <w:rsid w:val="00217229"/>
    <w:rsid w:val="00217ADC"/>
    <w:rsid w:val="00220AEE"/>
    <w:rsid w:val="0022143F"/>
    <w:rsid w:val="002219EA"/>
    <w:rsid w:val="00221CD8"/>
    <w:rsid w:val="002223F1"/>
    <w:rsid w:val="002240CF"/>
    <w:rsid w:val="00224472"/>
    <w:rsid w:val="0022453F"/>
    <w:rsid w:val="00224B6E"/>
    <w:rsid w:val="00225CF1"/>
    <w:rsid w:val="00225E59"/>
    <w:rsid w:val="0022635D"/>
    <w:rsid w:val="00226445"/>
    <w:rsid w:val="0022646A"/>
    <w:rsid w:val="0023212D"/>
    <w:rsid w:val="00232BEE"/>
    <w:rsid w:val="002331AE"/>
    <w:rsid w:val="00234033"/>
    <w:rsid w:val="002346A2"/>
    <w:rsid w:val="00234746"/>
    <w:rsid w:val="00234880"/>
    <w:rsid w:val="00235747"/>
    <w:rsid w:val="00235DF8"/>
    <w:rsid w:val="00242267"/>
    <w:rsid w:val="00243CCE"/>
    <w:rsid w:val="00243CF8"/>
    <w:rsid w:val="00246129"/>
    <w:rsid w:val="002504F4"/>
    <w:rsid w:val="002514A7"/>
    <w:rsid w:val="00251996"/>
    <w:rsid w:val="00252822"/>
    <w:rsid w:val="002546B9"/>
    <w:rsid w:val="0025522E"/>
    <w:rsid w:val="00255C6C"/>
    <w:rsid w:val="0025757A"/>
    <w:rsid w:val="00257CA7"/>
    <w:rsid w:val="002612E8"/>
    <w:rsid w:val="002632C3"/>
    <w:rsid w:val="00263E48"/>
    <w:rsid w:val="0026455B"/>
    <w:rsid w:val="0026472F"/>
    <w:rsid w:val="00264C24"/>
    <w:rsid w:val="00264D4D"/>
    <w:rsid w:val="00265073"/>
    <w:rsid w:val="00265438"/>
    <w:rsid w:val="00267C87"/>
    <w:rsid w:val="00267CB6"/>
    <w:rsid w:val="00267E65"/>
    <w:rsid w:val="00267F6D"/>
    <w:rsid w:val="002700AA"/>
    <w:rsid w:val="00270B8B"/>
    <w:rsid w:val="0027109A"/>
    <w:rsid w:val="00271316"/>
    <w:rsid w:val="00271403"/>
    <w:rsid w:val="00271D34"/>
    <w:rsid w:val="0027307C"/>
    <w:rsid w:val="00273F87"/>
    <w:rsid w:val="002759FC"/>
    <w:rsid w:val="00275F66"/>
    <w:rsid w:val="00276111"/>
    <w:rsid w:val="002765AC"/>
    <w:rsid w:val="00280612"/>
    <w:rsid w:val="002807B6"/>
    <w:rsid w:val="002817C9"/>
    <w:rsid w:val="0028662F"/>
    <w:rsid w:val="00286779"/>
    <w:rsid w:val="00286C56"/>
    <w:rsid w:val="00286F7D"/>
    <w:rsid w:val="0028733B"/>
    <w:rsid w:val="00287CA2"/>
    <w:rsid w:val="00290B6B"/>
    <w:rsid w:val="00291F7D"/>
    <w:rsid w:val="00292703"/>
    <w:rsid w:val="002929C4"/>
    <w:rsid w:val="002930C3"/>
    <w:rsid w:val="00293FA9"/>
    <w:rsid w:val="0029415E"/>
    <w:rsid w:val="002955B6"/>
    <w:rsid w:val="00295BF1"/>
    <w:rsid w:val="00295D64"/>
    <w:rsid w:val="00295ED4"/>
    <w:rsid w:val="00295F2B"/>
    <w:rsid w:val="002964A3"/>
    <w:rsid w:val="0029769F"/>
    <w:rsid w:val="002A1A0D"/>
    <w:rsid w:val="002A2044"/>
    <w:rsid w:val="002A2AF6"/>
    <w:rsid w:val="002A5105"/>
    <w:rsid w:val="002A5952"/>
    <w:rsid w:val="002A695E"/>
    <w:rsid w:val="002A6AB5"/>
    <w:rsid w:val="002A75B5"/>
    <w:rsid w:val="002B01BE"/>
    <w:rsid w:val="002B12DB"/>
    <w:rsid w:val="002B131C"/>
    <w:rsid w:val="002B1435"/>
    <w:rsid w:val="002B1A64"/>
    <w:rsid w:val="002B23CE"/>
    <w:rsid w:val="002B2DFE"/>
    <w:rsid w:val="002B2E45"/>
    <w:rsid w:val="002B3020"/>
    <w:rsid w:val="002B5978"/>
    <w:rsid w:val="002B64F8"/>
    <w:rsid w:val="002B71AF"/>
    <w:rsid w:val="002B77D8"/>
    <w:rsid w:val="002C0B8A"/>
    <w:rsid w:val="002C12C6"/>
    <w:rsid w:val="002C23A1"/>
    <w:rsid w:val="002C2662"/>
    <w:rsid w:val="002C3D95"/>
    <w:rsid w:val="002C4483"/>
    <w:rsid w:val="002C4AE7"/>
    <w:rsid w:val="002C713E"/>
    <w:rsid w:val="002C75C3"/>
    <w:rsid w:val="002D0FDC"/>
    <w:rsid w:val="002D13DA"/>
    <w:rsid w:val="002D1A21"/>
    <w:rsid w:val="002D1C01"/>
    <w:rsid w:val="002D1D54"/>
    <w:rsid w:val="002D26D3"/>
    <w:rsid w:val="002D33C4"/>
    <w:rsid w:val="002D451C"/>
    <w:rsid w:val="002D4D08"/>
    <w:rsid w:val="002D5B81"/>
    <w:rsid w:val="002D740C"/>
    <w:rsid w:val="002E0996"/>
    <w:rsid w:val="002E1066"/>
    <w:rsid w:val="002E1C0E"/>
    <w:rsid w:val="002E21E8"/>
    <w:rsid w:val="002E27F5"/>
    <w:rsid w:val="002E31B0"/>
    <w:rsid w:val="002E4814"/>
    <w:rsid w:val="002E56C1"/>
    <w:rsid w:val="002E66BC"/>
    <w:rsid w:val="002E6906"/>
    <w:rsid w:val="002E7173"/>
    <w:rsid w:val="002E7FF1"/>
    <w:rsid w:val="002F0103"/>
    <w:rsid w:val="002F01B8"/>
    <w:rsid w:val="002F23C2"/>
    <w:rsid w:val="002F3881"/>
    <w:rsid w:val="002F4068"/>
    <w:rsid w:val="002F4D97"/>
    <w:rsid w:val="002F507B"/>
    <w:rsid w:val="002F7453"/>
    <w:rsid w:val="002F7D18"/>
    <w:rsid w:val="00301602"/>
    <w:rsid w:val="00302814"/>
    <w:rsid w:val="003029A8"/>
    <w:rsid w:val="003032B0"/>
    <w:rsid w:val="00303545"/>
    <w:rsid w:val="00304565"/>
    <w:rsid w:val="00305ED7"/>
    <w:rsid w:val="0030686A"/>
    <w:rsid w:val="00307E54"/>
    <w:rsid w:val="00310895"/>
    <w:rsid w:val="00311171"/>
    <w:rsid w:val="003117FB"/>
    <w:rsid w:val="0031375D"/>
    <w:rsid w:val="003145D1"/>
    <w:rsid w:val="0031694C"/>
    <w:rsid w:val="00317A03"/>
    <w:rsid w:val="00317C87"/>
    <w:rsid w:val="0032261E"/>
    <w:rsid w:val="0032370C"/>
    <w:rsid w:val="0032432F"/>
    <w:rsid w:val="003247A7"/>
    <w:rsid w:val="003251B5"/>
    <w:rsid w:val="00326FBB"/>
    <w:rsid w:val="00330726"/>
    <w:rsid w:val="00331077"/>
    <w:rsid w:val="00331E07"/>
    <w:rsid w:val="00332D2E"/>
    <w:rsid w:val="00333023"/>
    <w:rsid w:val="00333CF5"/>
    <w:rsid w:val="00334EEC"/>
    <w:rsid w:val="00335960"/>
    <w:rsid w:val="00335F2B"/>
    <w:rsid w:val="0033756A"/>
    <w:rsid w:val="003377DA"/>
    <w:rsid w:val="00337893"/>
    <w:rsid w:val="0033797C"/>
    <w:rsid w:val="00340EF8"/>
    <w:rsid w:val="003411DD"/>
    <w:rsid w:val="00342875"/>
    <w:rsid w:val="003437B5"/>
    <w:rsid w:val="00344253"/>
    <w:rsid w:val="003443BD"/>
    <w:rsid w:val="0034467C"/>
    <w:rsid w:val="003447C5"/>
    <w:rsid w:val="0034484D"/>
    <w:rsid w:val="00345A6F"/>
    <w:rsid w:val="00345CFF"/>
    <w:rsid w:val="00346432"/>
    <w:rsid w:val="00346819"/>
    <w:rsid w:val="00350A1E"/>
    <w:rsid w:val="00351309"/>
    <w:rsid w:val="003524C8"/>
    <w:rsid w:val="00352C72"/>
    <w:rsid w:val="0035328F"/>
    <w:rsid w:val="00354005"/>
    <w:rsid w:val="00354D38"/>
    <w:rsid w:val="00355663"/>
    <w:rsid w:val="00355884"/>
    <w:rsid w:val="0035595A"/>
    <w:rsid w:val="00355EB3"/>
    <w:rsid w:val="00355EFC"/>
    <w:rsid w:val="00357F87"/>
    <w:rsid w:val="00361BED"/>
    <w:rsid w:val="00362C60"/>
    <w:rsid w:val="00362E54"/>
    <w:rsid w:val="003631DF"/>
    <w:rsid w:val="00363627"/>
    <w:rsid w:val="00364FA6"/>
    <w:rsid w:val="00365522"/>
    <w:rsid w:val="00367A6F"/>
    <w:rsid w:val="00370257"/>
    <w:rsid w:val="00371A50"/>
    <w:rsid w:val="003721DC"/>
    <w:rsid w:val="00372289"/>
    <w:rsid w:val="00374887"/>
    <w:rsid w:val="00375B31"/>
    <w:rsid w:val="00376625"/>
    <w:rsid w:val="0037673C"/>
    <w:rsid w:val="00376FDA"/>
    <w:rsid w:val="003770A4"/>
    <w:rsid w:val="00377139"/>
    <w:rsid w:val="00377D85"/>
    <w:rsid w:val="00380707"/>
    <w:rsid w:val="00380708"/>
    <w:rsid w:val="00381895"/>
    <w:rsid w:val="003848DE"/>
    <w:rsid w:val="00384BBE"/>
    <w:rsid w:val="00385CDA"/>
    <w:rsid w:val="00385ECA"/>
    <w:rsid w:val="0038624C"/>
    <w:rsid w:val="003864FB"/>
    <w:rsid w:val="0038665F"/>
    <w:rsid w:val="00386A62"/>
    <w:rsid w:val="00386AFF"/>
    <w:rsid w:val="00387C5F"/>
    <w:rsid w:val="003905F8"/>
    <w:rsid w:val="00392EA0"/>
    <w:rsid w:val="00394073"/>
    <w:rsid w:val="00395379"/>
    <w:rsid w:val="003968E3"/>
    <w:rsid w:val="00397C5E"/>
    <w:rsid w:val="00397EF5"/>
    <w:rsid w:val="003A00BC"/>
    <w:rsid w:val="003A18D3"/>
    <w:rsid w:val="003A2E1A"/>
    <w:rsid w:val="003A2F90"/>
    <w:rsid w:val="003A3215"/>
    <w:rsid w:val="003A436C"/>
    <w:rsid w:val="003A6B8C"/>
    <w:rsid w:val="003A7BE1"/>
    <w:rsid w:val="003A7D4D"/>
    <w:rsid w:val="003B0632"/>
    <w:rsid w:val="003B0FF7"/>
    <w:rsid w:val="003B18EC"/>
    <w:rsid w:val="003B1CBC"/>
    <w:rsid w:val="003B27EE"/>
    <w:rsid w:val="003B3FBD"/>
    <w:rsid w:val="003B45FB"/>
    <w:rsid w:val="003B48A4"/>
    <w:rsid w:val="003B4A06"/>
    <w:rsid w:val="003B59D9"/>
    <w:rsid w:val="003B6E47"/>
    <w:rsid w:val="003C00D3"/>
    <w:rsid w:val="003C16DD"/>
    <w:rsid w:val="003C282A"/>
    <w:rsid w:val="003C4736"/>
    <w:rsid w:val="003C5D55"/>
    <w:rsid w:val="003C7C8C"/>
    <w:rsid w:val="003D02BB"/>
    <w:rsid w:val="003D14F5"/>
    <w:rsid w:val="003D1769"/>
    <w:rsid w:val="003D3211"/>
    <w:rsid w:val="003D3C71"/>
    <w:rsid w:val="003D439F"/>
    <w:rsid w:val="003D5204"/>
    <w:rsid w:val="003D62BB"/>
    <w:rsid w:val="003D7650"/>
    <w:rsid w:val="003D78B4"/>
    <w:rsid w:val="003D7F27"/>
    <w:rsid w:val="003E1065"/>
    <w:rsid w:val="003E2A13"/>
    <w:rsid w:val="003E4270"/>
    <w:rsid w:val="003E52B6"/>
    <w:rsid w:val="003E7778"/>
    <w:rsid w:val="003E78C6"/>
    <w:rsid w:val="003E7B9A"/>
    <w:rsid w:val="003F09CC"/>
    <w:rsid w:val="003F3F14"/>
    <w:rsid w:val="003F4BE5"/>
    <w:rsid w:val="003F5E73"/>
    <w:rsid w:val="003F658B"/>
    <w:rsid w:val="003F738E"/>
    <w:rsid w:val="003F73A4"/>
    <w:rsid w:val="003F7E94"/>
    <w:rsid w:val="00401125"/>
    <w:rsid w:val="00401961"/>
    <w:rsid w:val="00401986"/>
    <w:rsid w:val="00402963"/>
    <w:rsid w:val="0040402D"/>
    <w:rsid w:val="0040427F"/>
    <w:rsid w:val="00404B1E"/>
    <w:rsid w:val="004057EF"/>
    <w:rsid w:val="0040618D"/>
    <w:rsid w:val="00411344"/>
    <w:rsid w:val="00411497"/>
    <w:rsid w:val="00413560"/>
    <w:rsid w:val="004142D5"/>
    <w:rsid w:val="00414560"/>
    <w:rsid w:val="004155EB"/>
    <w:rsid w:val="00415964"/>
    <w:rsid w:val="0041707F"/>
    <w:rsid w:val="00421862"/>
    <w:rsid w:val="00421B82"/>
    <w:rsid w:val="00422C18"/>
    <w:rsid w:val="0042347B"/>
    <w:rsid w:val="00425DB3"/>
    <w:rsid w:val="0042622B"/>
    <w:rsid w:val="00426BA1"/>
    <w:rsid w:val="00426BD6"/>
    <w:rsid w:val="004275C2"/>
    <w:rsid w:val="004300D6"/>
    <w:rsid w:val="004301AD"/>
    <w:rsid w:val="0043149F"/>
    <w:rsid w:val="00433802"/>
    <w:rsid w:val="00433D13"/>
    <w:rsid w:val="0043464B"/>
    <w:rsid w:val="0043467B"/>
    <w:rsid w:val="0043589B"/>
    <w:rsid w:val="00436254"/>
    <w:rsid w:val="00437290"/>
    <w:rsid w:val="0043731A"/>
    <w:rsid w:val="004408A2"/>
    <w:rsid w:val="00441581"/>
    <w:rsid w:val="00441CF2"/>
    <w:rsid w:val="00442C63"/>
    <w:rsid w:val="004435CF"/>
    <w:rsid w:val="004455A8"/>
    <w:rsid w:val="00445B96"/>
    <w:rsid w:val="00446AE6"/>
    <w:rsid w:val="0044700D"/>
    <w:rsid w:val="004508C7"/>
    <w:rsid w:val="00450A42"/>
    <w:rsid w:val="00450B19"/>
    <w:rsid w:val="004515B1"/>
    <w:rsid w:val="004525F2"/>
    <w:rsid w:val="00452D22"/>
    <w:rsid w:val="004537EA"/>
    <w:rsid w:val="00455150"/>
    <w:rsid w:val="00460971"/>
    <w:rsid w:val="004617CB"/>
    <w:rsid w:val="0046197C"/>
    <w:rsid w:val="00461A85"/>
    <w:rsid w:val="00461CE3"/>
    <w:rsid w:val="00462972"/>
    <w:rsid w:val="00462DB6"/>
    <w:rsid w:val="00462F9B"/>
    <w:rsid w:val="00464937"/>
    <w:rsid w:val="0046521C"/>
    <w:rsid w:val="00465AC8"/>
    <w:rsid w:val="00466AD0"/>
    <w:rsid w:val="00466E4C"/>
    <w:rsid w:val="00467595"/>
    <w:rsid w:val="0046774A"/>
    <w:rsid w:val="00470D36"/>
    <w:rsid w:val="0047129B"/>
    <w:rsid w:val="004719A5"/>
    <w:rsid w:val="0047290C"/>
    <w:rsid w:val="00472AB2"/>
    <w:rsid w:val="00473643"/>
    <w:rsid w:val="0047398F"/>
    <w:rsid w:val="00473AA4"/>
    <w:rsid w:val="00473B29"/>
    <w:rsid w:val="004742C2"/>
    <w:rsid w:val="0047512E"/>
    <w:rsid w:val="00475907"/>
    <w:rsid w:val="0047606C"/>
    <w:rsid w:val="00476763"/>
    <w:rsid w:val="004767A1"/>
    <w:rsid w:val="00477433"/>
    <w:rsid w:val="00480612"/>
    <w:rsid w:val="00480CDC"/>
    <w:rsid w:val="00480E27"/>
    <w:rsid w:val="00481C4E"/>
    <w:rsid w:val="0048414C"/>
    <w:rsid w:val="00486A3C"/>
    <w:rsid w:val="00486BCD"/>
    <w:rsid w:val="004870FF"/>
    <w:rsid w:val="00487107"/>
    <w:rsid w:val="00487BBD"/>
    <w:rsid w:val="00487F27"/>
    <w:rsid w:val="00487F5C"/>
    <w:rsid w:val="004907D8"/>
    <w:rsid w:val="00491025"/>
    <w:rsid w:val="00491498"/>
    <w:rsid w:val="00493A63"/>
    <w:rsid w:val="00494E7E"/>
    <w:rsid w:val="00495EF9"/>
    <w:rsid w:val="00497D46"/>
    <w:rsid w:val="004A1611"/>
    <w:rsid w:val="004A2AA8"/>
    <w:rsid w:val="004A61CB"/>
    <w:rsid w:val="004A7F43"/>
    <w:rsid w:val="004B13BE"/>
    <w:rsid w:val="004B2057"/>
    <w:rsid w:val="004B368D"/>
    <w:rsid w:val="004B41CF"/>
    <w:rsid w:val="004B4E9B"/>
    <w:rsid w:val="004B5CE8"/>
    <w:rsid w:val="004C179A"/>
    <w:rsid w:val="004C235B"/>
    <w:rsid w:val="004C24E2"/>
    <w:rsid w:val="004C3BA4"/>
    <w:rsid w:val="004C3D12"/>
    <w:rsid w:val="004C4AA6"/>
    <w:rsid w:val="004C7452"/>
    <w:rsid w:val="004C74BB"/>
    <w:rsid w:val="004D00A8"/>
    <w:rsid w:val="004D0334"/>
    <w:rsid w:val="004D0E24"/>
    <w:rsid w:val="004D16EC"/>
    <w:rsid w:val="004D200F"/>
    <w:rsid w:val="004D2889"/>
    <w:rsid w:val="004D3830"/>
    <w:rsid w:val="004D3D86"/>
    <w:rsid w:val="004D4542"/>
    <w:rsid w:val="004D4873"/>
    <w:rsid w:val="004D701F"/>
    <w:rsid w:val="004D7E2B"/>
    <w:rsid w:val="004E0BBF"/>
    <w:rsid w:val="004E3343"/>
    <w:rsid w:val="004E409B"/>
    <w:rsid w:val="004E4DB7"/>
    <w:rsid w:val="004E5832"/>
    <w:rsid w:val="004E5FFD"/>
    <w:rsid w:val="004E6422"/>
    <w:rsid w:val="004E6CF8"/>
    <w:rsid w:val="004E7AFB"/>
    <w:rsid w:val="004F01CD"/>
    <w:rsid w:val="004F1ABC"/>
    <w:rsid w:val="004F3042"/>
    <w:rsid w:val="004F3CBF"/>
    <w:rsid w:val="004F49EC"/>
    <w:rsid w:val="004F4DE1"/>
    <w:rsid w:val="004F5610"/>
    <w:rsid w:val="004F5E8B"/>
    <w:rsid w:val="004F632B"/>
    <w:rsid w:val="004F6E28"/>
    <w:rsid w:val="004F7148"/>
    <w:rsid w:val="00500AE7"/>
    <w:rsid w:val="00500EC9"/>
    <w:rsid w:val="0050106C"/>
    <w:rsid w:val="00501166"/>
    <w:rsid w:val="005014B9"/>
    <w:rsid w:val="0050172C"/>
    <w:rsid w:val="00501978"/>
    <w:rsid w:val="00501D44"/>
    <w:rsid w:val="00502229"/>
    <w:rsid w:val="00503798"/>
    <w:rsid w:val="005047C7"/>
    <w:rsid w:val="005053CE"/>
    <w:rsid w:val="00506FEE"/>
    <w:rsid w:val="00507B51"/>
    <w:rsid w:val="00507F51"/>
    <w:rsid w:val="0051029A"/>
    <w:rsid w:val="0051170B"/>
    <w:rsid w:val="005142D3"/>
    <w:rsid w:val="00514C63"/>
    <w:rsid w:val="0051506B"/>
    <w:rsid w:val="0051598D"/>
    <w:rsid w:val="005168F1"/>
    <w:rsid w:val="00520A64"/>
    <w:rsid w:val="00520D3D"/>
    <w:rsid w:val="00521460"/>
    <w:rsid w:val="00521873"/>
    <w:rsid w:val="005221B1"/>
    <w:rsid w:val="00522256"/>
    <w:rsid w:val="0052255C"/>
    <w:rsid w:val="00522C56"/>
    <w:rsid w:val="00523150"/>
    <w:rsid w:val="005239BF"/>
    <w:rsid w:val="0052421F"/>
    <w:rsid w:val="005253CA"/>
    <w:rsid w:val="00525CA2"/>
    <w:rsid w:val="005264C2"/>
    <w:rsid w:val="00527A1A"/>
    <w:rsid w:val="00527CF1"/>
    <w:rsid w:val="00530363"/>
    <w:rsid w:val="0053056D"/>
    <w:rsid w:val="0053218E"/>
    <w:rsid w:val="00532453"/>
    <w:rsid w:val="005326D1"/>
    <w:rsid w:val="00532863"/>
    <w:rsid w:val="0053386C"/>
    <w:rsid w:val="0053450F"/>
    <w:rsid w:val="005358CE"/>
    <w:rsid w:val="00537819"/>
    <w:rsid w:val="00537F5E"/>
    <w:rsid w:val="0054049F"/>
    <w:rsid w:val="00540BD2"/>
    <w:rsid w:val="00540E3F"/>
    <w:rsid w:val="005417A5"/>
    <w:rsid w:val="005423C6"/>
    <w:rsid w:val="0054347F"/>
    <w:rsid w:val="005436A8"/>
    <w:rsid w:val="0054460C"/>
    <w:rsid w:val="00544E7C"/>
    <w:rsid w:val="005452C9"/>
    <w:rsid w:val="00546956"/>
    <w:rsid w:val="00550564"/>
    <w:rsid w:val="0055082E"/>
    <w:rsid w:val="0055140C"/>
    <w:rsid w:val="00552F22"/>
    <w:rsid w:val="00553185"/>
    <w:rsid w:val="0055342F"/>
    <w:rsid w:val="00554626"/>
    <w:rsid w:val="00554D66"/>
    <w:rsid w:val="00555B96"/>
    <w:rsid w:val="00555E74"/>
    <w:rsid w:val="00556ACD"/>
    <w:rsid w:val="005572F2"/>
    <w:rsid w:val="005574EB"/>
    <w:rsid w:val="00557EB9"/>
    <w:rsid w:val="005606CE"/>
    <w:rsid w:val="0056150F"/>
    <w:rsid w:val="00563212"/>
    <w:rsid w:val="00564DBB"/>
    <w:rsid w:val="00565D4E"/>
    <w:rsid w:val="00565FDD"/>
    <w:rsid w:val="005679A7"/>
    <w:rsid w:val="00567D31"/>
    <w:rsid w:val="00571E67"/>
    <w:rsid w:val="00571EA2"/>
    <w:rsid w:val="00572386"/>
    <w:rsid w:val="0057381F"/>
    <w:rsid w:val="00573A84"/>
    <w:rsid w:val="0057510A"/>
    <w:rsid w:val="00576326"/>
    <w:rsid w:val="0057650B"/>
    <w:rsid w:val="00576C35"/>
    <w:rsid w:val="0057700F"/>
    <w:rsid w:val="00577CB6"/>
    <w:rsid w:val="00586345"/>
    <w:rsid w:val="005871DE"/>
    <w:rsid w:val="005875A6"/>
    <w:rsid w:val="0058798F"/>
    <w:rsid w:val="00587DDF"/>
    <w:rsid w:val="005923EB"/>
    <w:rsid w:val="005927DB"/>
    <w:rsid w:val="00593FF5"/>
    <w:rsid w:val="005948F3"/>
    <w:rsid w:val="005963A6"/>
    <w:rsid w:val="00596743"/>
    <w:rsid w:val="00596DFF"/>
    <w:rsid w:val="005A0289"/>
    <w:rsid w:val="005A091B"/>
    <w:rsid w:val="005A0FE8"/>
    <w:rsid w:val="005A2277"/>
    <w:rsid w:val="005A22A1"/>
    <w:rsid w:val="005A2F62"/>
    <w:rsid w:val="005A2FD9"/>
    <w:rsid w:val="005A438D"/>
    <w:rsid w:val="005A5B56"/>
    <w:rsid w:val="005A6D47"/>
    <w:rsid w:val="005A76AD"/>
    <w:rsid w:val="005B0E8A"/>
    <w:rsid w:val="005B1473"/>
    <w:rsid w:val="005B15C5"/>
    <w:rsid w:val="005B1A04"/>
    <w:rsid w:val="005B24A1"/>
    <w:rsid w:val="005B2C9B"/>
    <w:rsid w:val="005B3925"/>
    <w:rsid w:val="005B4FE1"/>
    <w:rsid w:val="005B541C"/>
    <w:rsid w:val="005B6306"/>
    <w:rsid w:val="005B64C6"/>
    <w:rsid w:val="005B68DD"/>
    <w:rsid w:val="005B72BE"/>
    <w:rsid w:val="005B7305"/>
    <w:rsid w:val="005B7434"/>
    <w:rsid w:val="005B789E"/>
    <w:rsid w:val="005B7E4F"/>
    <w:rsid w:val="005C01E6"/>
    <w:rsid w:val="005C1153"/>
    <w:rsid w:val="005C1804"/>
    <w:rsid w:val="005C2AE3"/>
    <w:rsid w:val="005C4961"/>
    <w:rsid w:val="005C62CE"/>
    <w:rsid w:val="005C6845"/>
    <w:rsid w:val="005C73CA"/>
    <w:rsid w:val="005C798C"/>
    <w:rsid w:val="005D3119"/>
    <w:rsid w:val="005D3511"/>
    <w:rsid w:val="005D5EA3"/>
    <w:rsid w:val="005D7551"/>
    <w:rsid w:val="005D79C3"/>
    <w:rsid w:val="005E17DE"/>
    <w:rsid w:val="005E1E68"/>
    <w:rsid w:val="005E336D"/>
    <w:rsid w:val="005E3C69"/>
    <w:rsid w:val="005E59BF"/>
    <w:rsid w:val="005E78D9"/>
    <w:rsid w:val="005F028C"/>
    <w:rsid w:val="005F059A"/>
    <w:rsid w:val="005F2EF1"/>
    <w:rsid w:val="005F3190"/>
    <w:rsid w:val="005F44A3"/>
    <w:rsid w:val="005F4AC6"/>
    <w:rsid w:val="005F61D5"/>
    <w:rsid w:val="005F6F4E"/>
    <w:rsid w:val="00601E78"/>
    <w:rsid w:val="006021AB"/>
    <w:rsid w:val="00602F91"/>
    <w:rsid w:val="00603C2B"/>
    <w:rsid w:val="006041DA"/>
    <w:rsid w:val="0060499E"/>
    <w:rsid w:val="00604FFB"/>
    <w:rsid w:val="00605481"/>
    <w:rsid w:val="006059F8"/>
    <w:rsid w:val="00605FC9"/>
    <w:rsid w:val="00606550"/>
    <w:rsid w:val="006073FA"/>
    <w:rsid w:val="00610FFC"/>
    <w:rsid w:val="006113F5"/>
    <w:rsid w:val="00611BE4"/>
    <w:rsid w:val="0061316D"/>
    <w:rsid w:val="00613A3E"/>
    <w:rsid w:val="00613B3F"/>
    <w:rsid w:val="00613BA3"/>
    <w:rsid w:val="00614E5F"/>
    <w:rsid w:val="00615450"/>
    <w:rsid w:val="00615A9B"/>
    <w:rsid w:val="006179DD"/>
    <w:rsid w:val="0062000A"/>
    <w:rsid w:val="006202D2"/>
    <w:rsid w:val="006225CA"/>
    <w:rsid w:val="006228C1"/>
    <w:rsid w:val="00622FB1"/>
    <w:rsid w:val="006243A9"/>
    <w:rsid w:val="0062490D"/>
    <w:rsid w:val="00624D1C"/>
    <w:rsid w:val="006250A7"/>
    <w:rsid w:val="00625325"/>
    <w:rsid w:val="0062655B"/>
    <w:rsid w:val="00626A24"/>
    <w:rsid w:val="0062788F"/>
    <w:rsid w:val="0063008F"/>
    <w:rsid w:val="00630EF0"/>
    <w:rsid w:val="0063244A"/>
    <w:rsid w:val="006343A3"/>
    <w:rsid w:val="006356CB"/>
    <w:rsid w:val="00636255"/>
    <w:rsid w:val="006375AC"/>
    <w:rsid w:val="006376FD"/>
    <w:rsid w:val="0064035A"/>
    <w:rsid w:val="00640F23"/>
    <w:rsid w:val="006410CD"/>
    <w:rsid w:val="00641A81"/>
    <w:rsid w:val="00641E6D"/>
    <w:rsid w:val="00642A10"/>
    <w:rsid w:val="0064400B"/>
    <w:rsid w:val="0064597A"/>
    <w:rsid w:val="006459E9"/>
    <w:rsid w:val="00646CCE"/>
    <w:rsid w:val="00646FE5"/>
    <w:rsid w:val="00650765"/>
    <w:rsid w:val="00652046"/>
    <w:rsid w:val="006520CD"/>
    <w:rsid w:val="00652C56"/>
    <w:rsid w:val="006539B4"/>
    <w:rsid w:val="006541D2"/>
    <w:rsid w:val="0065569B"/>
    <w:rsid w:val="00656093"/>
    <w:rsid w:val="00656D04"/>
    <w:rsid w:val="006615CB"/>
    <w:rsid w:val="0066227B"/>
    <w:rsid w:val="00662577"/>
    <w:rsid w:val="00665DA3"/>
    <w:rsid w:val="00665FA2"/>
    <w:rsid w:val="006668DE"/>
    <w:rsid w:val="00666B9C"/>
    <w:rsid w:val="0067011D"/>
    <w:rsid w:val="006709B0"/>
    <w:rsid w:val="00672A86"/>
    <w:rsid w:val="00674FF6"/>
    <w:rsid w:val="00675C8E"/>
    <w:rsid w:val="00680067"/>
    <w:rsid w:val="006800BF"/>
    <w:rsid w:val="00680EEE"/>
    <w:rsid w:val="0068113C"/>
    <w:rsid w:val="006811C1"/>
    <w:rsid w:val="00681B82"/>
    <w:rsid w:val="00682DD5"/>
    <w:rsid w:val="00683BF2"/>
    <w:rsid w:val="00683DE7"/>
    <w:rsid w:val="00687A2B"/>
    <w:rsid w:val="00687CB6"/>
    <w:rsid w:val="00691A7E"/>
    <w:rsid w:val="00692A23"/>
    <w:rsid w:val="006934E2"/>
    <w:rsid w:val="00693F69"/>
    <w:rsid w:val="006945EB"/>
    <w:rsid w:val="00695585"/>
    <w:rsid w:val="006956AA"/>
    <w:rsid w:val="0069614F"/>
    <w:rsid w:val="0069662E"/>
    <w:rsid w:val="006A0705"/>
    <w:rsid w:val="006A22AF"/>
    <w:rsid w:val="006A2751"/>
    <w:rsid w:val="006A2916"/>
    <w:rsid w:val="006A2F05"/>
    <w:rsid w:val="006A4237"/>
    <w:rsid w:val="006A55F0"/>
    <w:rsid w:val="006A707C"/>
    <w:rsid w:val="006B0648"/>
    <w:rsid w:val="006B0BFF"/>
    <w:rsid w:val="006B10B3"/>
    <w:rsid w:val="006B1775"/>
    <w:rsid w:val="006B24F7"/>
    <w:rsid w:val="006B2F73"/>
    <w:rsid w:val="006B3AD0"/>
    <w:rsid w:val="006B675F"/>
    <w:rsid w:val="006B6880"/>
    <w:rsid w:val="006B704B"/>
    <w:rsid w:val="006B7818"/>
    <w:rsid w:val="006B7931"/>
    <w:rsid w:val="006C018C"/>
    <w:rsid w:val="006C0D33"/>
    <w:rsid w:val="006C1ADE"/>
    <w:rsid w:val="006C4F8A"/>
    <w:rsid w:val="006C4FDC"/>
    <w:rsid w:val="006C5988"/>
    <w:rsid w:val="006C5BA6"/>
    <w:rsid w:val="006C638D"/>
    <w:rsid w:val="006C698E"/>
    <w:rsid w:val="006D1449"/>
    <w:rsid w:val="006D1D4E"/>
    <w:rsid w:val="006D29BA"/>
    <w:rsid w:val="006D3415"/>
    <w:rsid w:val="006D4866"/>
    <w:rsid w:val="006D6D4C"/>
    <w:rsid w:val="006D7561"/>
    <w:rsid w:val="006D7D69"/>
    <w:rsid w:val="006E18DC"/>
    <w:rsid w:val="006E1DA1"/>
    <w:rsid w:val="006E433D"/>
    <w:rsid w:val="006E45E9"/>
    <w:rsid w:val="006E4610"/>
    <w:rsid w:val="006E6E21"/>
    <w:rsid w:val="006E70F7"/>
    <w:rsid w:val="006E786B"/>
    <w:rsid w:val="006F0B69"/>
    <w:rsid w:val="006F0F37"/>
    <w:rsid w:val="006F39E4"/>
    <w:rsid w:val="006F3D3C"/>
    <w:rsid w:val="006F4904"/>
    <w:rsid w:val="006F5D87"/>
    <w:rsid w:val="006F659C"/>
    <w:rsid w:val="006F717C"/>
    <w:rsid w:val="006F7367"/>
    <w:rsid w:val="006F7E0D"/>
    <w:rsid w:val="00700ECC"/>
    <w:rsid w:val="00701075"/>
    <w:rsid w:val="00701262"/>
    <w:rsid w:val="00702691"/>
    <w:rsid w:val="00702F2C"/>
    <w:rsid w:val="0070749B"/>
    <w:rsid w:val="00707EA3"/>
    <w:rsid w:val="007136D2"/>
    <w:rsid w:val="00713CAD"/>
    <w:rsid w:val="00716984"/>
    <w:rsid w:val="00720A37"/>
    <w:rsid w:val="00722616"/>
    <w:rsid w:val="00723993"/>
    <w:rsid w:val="00723E65"/>
    <w:rsid w:val="00724794"/>
    <w:rsid w:val="00725767"/>
    <w:rsid w:val="007261A2"/>
    <w:rsid w:val="007268E4"/>
    <w:rsid w:val="00726AEB"/>
    <w:rsid w:val="00726F46"/>
    <w:rsid w:val="00726F61"/>
    <w:rsid w:val="007271F3"/>
    <w:rsid w:val="0072744D"/>
    <w:rsid w:val="0073044E"/>
    <w:rsid w:val="0073109D"/>
    <w:rsid w:val="00731539"/>
    <w:rsid w:val="00731E1D"/>
    <w:rsid w:val="0073416B"/>
    <w:rsid w:val="00740CE3"/>
    <w:rsid w:val="00741A3A"/>
    <w:rsid w:val="00741CFA"/>
    <w:rsid w:val="00742283"/>
    <w:rsid w:val="007437C0"/>
    <w:rsid w:val="00743DBD"/>
    <w:rsid w:val="00743F3C"/>
    <w:rsid w:val="007441C1"/>
    <w:rsid w:val="00745DEE"/>
    <w:rsid w:val="0074743B"/>
    <w:rsid w:val="0074759F"/>
    <w:rsid w:val="00750710"/>
    <w:rsid w:val="00750A3B"/>
    <w:rsid w:val="00751225"/>
    <w:rsid w:val="00751937"/>
    <w:rsid w:val="00752288"/>
    <w:rsid w:val="00752E0D"/>
    <w:rsid w:val="00753225"/>
    <w:rsid w:val="0075337A"/>
    <w:rsid w:val="0075513B"/>
    <w:rsid w:val="0075678A"/>
    <w:rsid w:val="0075764B"/>
    <w:rsid w:val="00757828"/>
    <w:rsid w:val="00757870"/>
    <w:rsid w:val="00757A39"/>
    <w:rsid w:val="00761811"/>
    <w:rsid w:val="00762262"/>
    <w:rsid w:val="007631AE"/>
    <w:rsid w:val="00763675"/>
    <w:rsid w:val="007639C3"/>
    <w:rsid w:val="00763A00"/>
    <w:rsid w:val="00767134"/>
    <w:rsid w:val="0076788E"/>
    <w:rsid w:val="00770053"/>
    <w:rsid w:val="007707E1"/>
    <w:rsid w:val="007713E8"/>
    <w:rsid w:val="00773FD7"/>
    <w:rsid w:val="007745FC"/>
    <w:rsid w:val="007751BB"/>
    <w:rsid w:val="00775C5C"/>
    <w:rsid w:val="0077636E"/>
    <w:rsid w:val="00777741"/>
    <w:rsid w:val="00780F46"/>
    <w:rsid w:val="00781C5F"/>
    <w:rsid w:val="00781CFD"/>
    <w:rsid w:val="00783936"/>
    <w:rsid w:val="00784C16"/>
    <w:rsid w:val="00786475"/>
    <w:rsid w:val="007874B4"/>
    <w:rsid w:val="0078795A"/>
    <w:rsid w:val="007905D9"/>
    <w:rsid w:val="00790A75"/>
    <w:rsid w:val="00791073"/>
    <w:rsid w:val="00791D63"/>
    <w:rsid w:val="00792B66"/>
    <w:rsid w:val="00793720"/>
    <w:rsid w:val="00793934"/>
    <w:rsid w:val="007944FD"/>
    <w:rsid w:val="00794AF8"/>
    <w:rsid w:val="00795934"/>
    <w:rsid w:val="0079731B"/>
    <w:rsid w:val="00797787"/>
    <w:rsid w:val="007A0F46"/>
    <w:rsid w:val="007A4366"/>
    <w:rsid w:val="007A5380"/>
    <w:rsid w:val="007A5486"/>
    <w:rsid w:val="007A6958"/>
    <w:rsid w:val="007A6D40"/>
    <w:rsid w:val="007B0617"/>
    <w:rsid w:val="007B08B4"/>
    <w:rsid w:val="007B156F"/>
    <w:rsid w:val="007B2530"/>
    <w:rsid w:val="007B2894"/>
    <w:rsid w:val="007B339E"/>
    <w:rsid w:val="007B3698"/>
    <w:rsid w:val="007B463F"/>
    <w:rsid w:val="007B4F72"/>
    <w:rsid w:val="007B5610"/>
    <w:rsid w:val="007B595D"/>
    <w:rsid w:val="007B69A6"/>
    <w:rsid w:val="007B6A67"/>
    <w:rsid w:val="007B73CC"/>
    <w:rsid w:val="007C0DD8"/>
    <w:rsid w:val="007C15C3"/>
    <w:rsid w:val="007C2902"/>
    <w:rsid w:val="007C2B9E"/>
    <w:rsid w:val="007C4929"/>
    <w:rsid w:val="007C6EF4"/>
    <w:rsid w:val="007D04F9"/>
    <w:rsid w:val="007D1C31"/>
    <w:rsid w:val="007D310D"/>
    <w:rsid w:val="007D33DD"/>
    <w:rsid w:val="007D3BF7"/>
    <w:rsid w:val="007D3CCB"/>
    <w:rsid w:val="007D5066"/>
    <w:rsid w:val="007D5196"/>
    <w:rsid w:val="007D5353"/>
    <w:rsid w:val="007D56F6"/>
    <w:rsid w:val="007D5BE6"/>
    <w:rsid w:val="007D5CC1"/>
    <w:rsid w:val="007D76F7"/>
    <w:rsid w:val="007E02A0"/>
    <w:rsid w:val="007E0D51"/>
    <w:rsid w:val="007E1430"/>
    <w:rsid w:val="007E26A5"/>
    <w:rsid w:val="007E3E54"/>
    <w:rsid w:val="007E428E"/>
    <w:rsid w:val="007E6F94"/>
    <w:rsid w:val="007E76A1"/>
    <w:rsid w:val="007E7996"/>
    <w:rsid w:val="007E7A97"/>
    <w:rsid w:val="007F10C8"/>
    <w:rsid w:val="007F1DFE"/>
    <w:rsid w:val="007F239B"/>
    <w:rsid w:val="007F40D1"/>
    <w:rsid w:val="007F472F"/>
    <w:rsid w:val="007F4C8F"/>
    <w:rsid w:val="007F4D77"/>
    <w:rsid w:val="007F4F89"/>
    <w:rsid w:val="007F4FCF"/>
    <w:rsid w:val="007F7822"/>
    <w:rsid w:val="007F7BF6"/>
    <w:rsid w:val="007F7EE9"/>
    <w:rsid w:val="0080045C"/>
    <w:rsid w:val="00801567"/>
    <w:rsid w:val="00801D09"/>
    <w:rsid w:val="008037E2"/>
    <w:rsid w:val="00803CEC"/>
    <w:rsid w:val="00805265"/>
    <w:rsid w:val="008059F0"/>
    <w:rsid w:val="00805EB9"/>
    <w:rsid w:val="00806F1B"/>
    <w:rsid w:val="008072BF"/>
    <w:rsid w:val="008113FB"/>
    <w:rsid w:val="00811994"/>
    <w:rsid w:val="00812953"/>
    <w:rsid w:val="008130BD"/>
    <w:rsid w:val="00813D59"/>
    <w:rsid w:val="008147D4"/>
    <w:rsid w:val="00816978"/>
    <w:rsid w:val="008169A1"/>
    <w:rsid w:val="0082097C"/>
    <w:rsid w:val="008220DB"/>
    <w:rsid w:val="00822CBC"/>
    <w:rsid w:val="008233D9"/>
    <w:rsid w:val="00823513"/>
    <w:rsid w:val="008245C8"/>
    <w:rsid w:val="00824FEE"/>
    <w:rsid w:val="0082596C"/>
    <w:rsid w:val="00826C9C"/>
    <w:rsid w:val="00830560"/>
    <w:rsid w:val="008309DB"/>
    <w:rsid w:val="00830F75"/>
    <w:rsid w:val="008326B6"/>
    <w:rsid w:val="008338BC"/>
    <w:rsid w:val="008342B0"/>
    <w:rsid w:val="008345C5"/>
    <w:rsid w:val="00835967"/>
    <w:rsid w:val="00835F5F"/>
    <w:rsid w:val="00836959"/>
    <w:rsid w:val="00836CE3"/>
    <w:rsid w:val="00836EDF"/>
    <w:rsid w:val="00836F04"/>
    <w:rsid w:val="00840236"/>
    <w:rsid w:val="0084133F"/>
    <w:rsid w:val="008413A8"/>
    <w:rsid w:val="00841418"/>
    <w:rsid w:val="0084357E"/>
    <w:rsid w:val="008441E3"/>
    <w:rsid w:val="00844739"/>
    <w:rsid w:val="00844D66"/>
    <w:rsid w:val="00844F43"/>
    <w:rsid w:val="00845DCC"/>
    <w:rsid w:val="00845E25"/>
    <w:rsid w:val="00847865"/>
    <w:rsid w:val="00847BDC"/>
    <w:rsid w:val="0085026B"/>
    <w:rsid w:val="00850398"/>
    <w:rsid w:val="0085191E"/>
    <w:rsid w:val="0085258D"/>
    <w:rsid w:val="0085353D"/>
    <w:rsid w:val="0085395C"/>
    <w:rsid w:val="00854BD3"/>
    <w:rsid w:val="00854C61"/>
    <w:rsid w:val="0085615E"/>
    <w:rsid w:val="008566E2"/>
    <w:rsid w:val="00857729"/>
    <w:rsid w:val="0085788D"/>
    <w:rsid w:val="00861B11"/>
    <w:rsid w:val="0086394B"/>
    <w:rsid w:val="00864520"/>
    <w:rsid w:val="00864C28"/>
    <w:rsid w:val="00865D2E"/>
    <w:rsid w:val="00866403"/>
    <w:rsid w:val="008701DF"/>
    <w:rsid w:val="00870FDC"/>
    <w:rsid w:val="00872266"/>
    <w:rsid w:val="00873691"/>
    <w:rsid w:val="00874CEB"/>
    <w:rsid w:val="00875064"/>
    <w:rsid w:val="00875920"/>
    <w:rsid w:val="00877C74"/>
    <w:rsid w:val="00880734"/>
    <w:rsid w:val="0088285B"/>
    <w:rsid w:val="008832CC"/>
    <w:rsid w:val="008834FB"/>
    <w:rsid w:val="00883624"/>
    <w:rsid w:val="00883783"/>
    <w:rsid w:val="00883DB8"/>
    <w:rsid w:val="0088430E"/>
    <w:rsid w:val="0088447F"/>
    <w:rsid w:val="00884B71"/>
    <w:rsid w:val="00885470"/>
    <w:rsid w:val="00885480"/>
    <w:rsid w:val="0088696D"/>
    <w:rsid w:val="008869BB"/>
    <w:rsid w:val="00887B87"/>
    <w:rsid w:val="008902CF"/>
    <w:rsid w:val="008906A4"/>
    <w:rsid w:val="00892E46"/>
    <w:rsid w:val="00893FFE"/>
    <w:rsid w:val="0089538F"/>
    <w:rsid w:val="0089591F"/>
    <w:rsid w:val="00897841"/>
    <w:rsid w:val="00897E33"/>
    <w:rsid w:val="008A0C4C"/>
    <w:rsid w:val="008A11ED"/>
    <w:rsid w:val="008A2166"/>
    <w:rsid w:val="008A2DC4"/>
    <w:rsid w:val="008A3524"/>
    <w:rsid w:val="008A3806"/>
    <w:rsid w:val="008A3C25"/>
    <w:rsid w:val="008A478E"/>
    <w:rsid w:val="008A499F"/>
    <w:rsid w:val="008A5892"/>
    <w:rsid w:val="008A5DAD"/>
    <w:rsid w:val="008A673D"/>
    <w:rsid w:val="008B065F"/>
    <w:rsid w:val="008B52C3"/>
    <w:rsid w:val="008B5A77"/>
    <w:rsid w:val="008B686C"/>
    <w:rsid w:val="008B76E3"/>
    <w:rsid w:val="008B7BA5"/>
    <w:rsid w:val="008C0A29"/>
    <w:rsid w:val="008C0CB9"/>
    <w:rsid w:val="008C114D"/>
    <w:rsid w:val="008C237F"/>
    <w:rsid w:val="008C2A09"/>
    <w:rsid w:val="008C393D"/>
    <w:rsid w:val="008C3AB4"/>
    <w:rsid w:val="008C47F8"/>
    <w:rsid w:val="008C5A17"/>
    <w:rsid w:val="008C702E"/>
    <w:rsid w:val="008C7633"/>
    <w:rsid w:val="008C781A"/>
    <w:rsid w:val="008C7BEC"/>
    <w:rsid w:val="008D0825"/>
    <w:rsid w:val="008D21E7"/>
    <w:rsid w:val="008D28F9"/>
    <w:rsid w:val="008D3F41"/>
    <w:rsid w:val="008D4211"/>
    <w:rsid w:val="008D4A41"/>
    <w:rsid w:val="008E00E7"/>
    <w:rsid w:val="008E11AE"/>
    <w:rsid w:val="008E27E6"/>
    <w:rsid w:val="008E31CA"/>
    <w:rsid w:val="008E40EF"/>
    <w:rsid w:val="008E66B2"/>
    <w:rsid w:val="008E6809"/>
    <w:rsid w:val="008F0D6B"/>
    <w:rsid w:val="008F2CC5"/>
    <w:rsid w:val="008F2D22"/>
    <w:rsid w:val="008F2EF2"/>
    <w:rsid w:val="008F3C0B"/>
    <w:rsid w:val="008F3E27"/>
    <w:rsid w:val="008F4076"/>
    <w:rsid w:val="008F4386"/>
    <w:rsid w:val="008F47AB"/>
    <w:rsid w:val="008F4BF9"/>
    <w:rsid w:val="008F58FD"/>
    <w:rsid w:val="008F6F85"/>
    <w:rsid w:val="00900B0C"/>
    <w:rsid w:val="0090211E"/>
    <w:rsid w:val="0090411C"/>
    <w:rsid w:val="00905271"/>
    <w:rsid w:val="00905330"/>
    <w:rsid w:val="009060DB"/>
    <w:rsid w:val="00906797"/>
    <w:rsid w:val="00906BA1"/>
    <w:rsid w:val="00906EE8"/>
    <w:rsid w:val="009102CB"/>
    <w:rsid w:val="009103B8"/>
    <w:rsid w:val="009113C4"/>
    <w:rsid w:val="0091195E"/>
    <w:rsid w:val="00913B6E"/>
    <w:rsid w:val="0091465E"/>
    <w:rsid w:val="00914F3A"/>
    <w:rsid w:val="00915597"/>
    <w:rsid w:val="0091630D"/>
    <w:rsid w:val="00917CB3"/>
    <w:rsid w:val="00920938"/>
    <w:rsid w:val="00920F21"/>
    <w:rsid w:val="0092150B"/>
    <w:rsid w:val="009226C3"/>
    <w:rsid w:val="00922AEE"/>
    <w:rsid w:val="00922CBD"/>
    <w:rsid w:val="00924967"/>
    <w:rsid w:val="009249EE"/>
    <w:rsid w:val="00924B23"/>
    <w:rsid w:val="00924CCF"/>
    <w:rsid w:val="00924CFE"/>
    <w:rsid w:val="00925DFB"/>
    <w:rsid w:val="00926014"/>
    <w:rsid w:val="009268A9"/>
    <w:rsid w:val="009277A7"/>
    <w:rsid w:val="00930B18"/>
    <w:rsid w:val="00931338"/>
    <w:rsid w:val="009325CD"/>
    <w:rsid w:val="00933477"/>
    <w:rsid w:val="00933858"/>
    <w:rsid w:val="00934D62"/>
    <w:rsid w:val="00934DC9"/>
    <w:rsid w:val="00937486"/>
    <w:rsid w:val="00937724"/>
    <w:rsid w:val="009378C3"/>
    <w:rsid w:val="009417A5"/>
    <w:rsid w:val="00943317"/>
    <w:rsid w:val="00944B50"/>
    <w:rsid w:val="00945E01"/>
    <w:rsid w:val="00946EC2"/>
    <w:rsid w:val="00946FE4"/>
    <w:rsid w:val="00947F12"/>
    <w:rsid w:val="009507A8"/>
    <w:rsid w:val="00950DE1"/>
    <w:rsid w:val="009510AD"/>
    <w:rsid w:val="009544F9"/>
    <w:rsid w:val="00954E4A"/>
    <w:rsid w:val="009557E8"/>
    <w:rsid w:val="009566FB"/>
    <w:rsid w:val="00956C17"/>
    <w:rsid w:val="00957240"/>
    <w:rsid w:val="009612DD"/>
    <w:rsid w:val="00961FF6"/>
    <w:rsid w:val="00962627"/>
    <w:rsid w:val="0096492E"/>
    <w:rsid w:val="00966428"/>
    <w:rsid w:val="00966904"/>
    <w:rsid w:val="009674BE"/>
    <w:rsid w:val="00967822"/>
    <w:rsid w:val="009678A2"/>
    <w:rsid w:val="00973080"/>
    <w:rsid w:val="00973430"/>
    <w:rsid w:val="00974736"/>
    <w:rsid w:val="00974D88"/>
    <w:rsid w:val="00976C7A"/>
    <w:rsid w:val="00977919"/>
    <w:rsid w:val="00980904"/>
    <w:rsid w:val="00980B31"/>
    <w:rsid w:val="009825C0"/>
    <w:rsid w:val="009830B4"/>
    <w:rsid w:val="00983268"/>
    <w:rsid w:val="00983BAB"/>
    <w:rsid w:val="00984103"/>
    <w:rsid w:val="00984A93"/>
    <w:rsid w:val="0098693E"/>
    <w:rsid w:val="00986E0D"/>
    <w:rsid w:val="009873DD"/>
    <w:rsid w:val="0098773F"/>
    <w:rsid w:val="00991494"/>
    <w:rsid w:val="00991820"/>
    <w:rsid w:val="00992FA8"/>
    <w:rsid w:val="00994537"/>
    <w:rsid w:val="009945BC"/>
    <w:rsid w:val="00995C02"/>
    <w:rsid w:val="00996493"/>
    <w:rsid w:val="00996893"/>
    <w:rsid w:val="009A2208"/>
    <w:rsid w:val="009A30AB"/>
    <w:rsid w:val="009A4876"/>
    <w:rsid w:val="009A4D77"/>
    <w:rsid w:val="009A6A99"/>
    <w:rsid w:val="009A7C41"/>
    <w:rsid w:val="009B2F5B"/>
    <w:rsid w:val="009B33ED"/>
    <w:rsid w:val="009B4386"/>
    <w:rsid w:val="009B441D"/>
    <w:rsid w:val="009B4895"/>
    <w:rsid w:val="009B50E0"/>
    <w:rsid w:val="009B544F"/>
    <w:rsid w:val="009B5700"/>
    <w:rsid w:val="009B5DBB"/>
    <w:rsid w:val="009B7C9C"/>
    <w:rsid w:val="009C0968"/>
    <w:rsid w:val="009C0DE7"/>
    <w:rsid w:val="009C108B"/>
    <w:rsid w:val="009C14AF"/>
    <w:rsid w:val="009C18BC"/>
    <w:rsid w:val="009C192B"/>
    <w:rsid w:val="009C22AA"/>
    <w:rsid w:val="009C267E"/>
    <w:rsid w:val="009C3260"/>
    <w:rsid w:val="009C3C60"/>
    <w:rsid w:val="009C3E4A"/>
    <w:rsid w:val="009C412D"/>
    <w:rsid w:val="009C4F3F"/>
    <w:rsid w:val="009C5529"/>
    <w:rsid w:val="009C64B8"/>
    <w:rsid w:val="009C699C"/>
    <w:rsid w:val="009C72FD"/>
    <w:rsid w:val="009C74A3"/>
    <w:rsid w:val="009C7AF3"/>
    <w:rsid w:val="009D0F37"/>
    <w:rsid w:val="009D15BC"/>
    <w:rsid w:val="009D1762"/>
    <w:rsid w:val="009D2040"/>
    <w:rsid w:val="009D29F8"/>
    <w:rsid w:val="009D334C"/>
    <w:rsid w:val="009D49F2"/>
    <w:rsid w:val="009D4A1D"/>
    <w:rsid w:val="009D4CE1"/>
    <w:rsid w:val="009D53B0"/>
    <w:rsid w:val="009D64BB"/>
    <w:rsid w:val="009D711E"/>
    <w:rsid w:val="009E15F2"/>
    <w:rsid w:val="009E2067"/>
    <w:rsid w:val="009E2553"/>
    <w:rsid w:val="009E2C22"/>
    <w:rsid w:val="009E4044"/>
    <w:rsid w:val="009E4389"/>
    <w:rsid w:val="009E45E4"/>
    <w:rsid w:val="009E5DCF"/>
    <w:rsid w:val="009E7A5F"/>
    <w:rsid w:val="009F0A8C"/>
    <w:rsid w:val="009F1A3F"/>
    <w:rsid w:val="009F20B2"/>
    <w:rsid w:val="009F2210"/>
    <w:rsid w:val="009F32CF"/>
    <w:rsid w:val="009F41F8"/>
    <w:rsid w:val="009F6359"/>
    <w:rsid w:val="009F6F69"/>
    <w:rsid w:val="00A006A2"/>
    <w:rsid w:val="00A00E25"/>
    <w:rsid w:val="00A01540"/>
    <w:rsid w:val="00A02456"/>
    <w:rsid w:val="00A02B1F"/>
    <w:rsid w:val="00A055B9"/>
    <w:rsid w:val="00A06EC3"/>
    <w:rsid w:val="00A07B0A"/>
    <w:rsid w:val="00A100E2"/>
    <w:rsid w:val="00A10524"/>
    <w:rsid w:val="00A10D6A"/>
    <w:rsid w:val="00A10FFB"/>
    <w:rsid w:val="00A11CCC"/>
    <w:rsid w:val="00A12AAE"/>
    <w:rsid w:val="00A13B3D"/>
    <w:rsid w:val="00A13C3A"/>
    <w:rsid w:val="00A1534C"/>
    <w:rsid w:val="00A16051"/>
    <w:rsid w:val="00A21355"/>
    <w:rsid w:val="00A216CD"/>
    <w:rsid w:val="00A21F3C"/>
    <w:rsid w:val="00A22E0A"/>
    <w:rsid w:val="00A23DA7"/>
    <w:rsid w:val="00A23F95"/>
    <w:rsid w:val="00A24354"/>
    <w:rsid w:val="00A26AE4"/>
    <w:rsid w:val="00A27DAB"/>
    <w:rsid w:val="00A306B9"/>
    <w:rsid w:val="00A315D6"/>
    <w:rsid w:val="00A326EF"/>
    <w:rsid w:val="00A329D9"/>
    <w:rsid w:val="00A32D82"/>
    <w:rsid w:val="00A34E8E"/>
    <w:rsid w:val="00A3572F"/>
    <w:rsid w:val="00A3581B"/>
    <w:rsid w:val="00A35CED"/>
    <w:rsid w:val="00A36F2F"/>
    <w:rsid w:val="00A378AA"/>
    <w:rsid w:val="00A40C05"/>
    <w:rsid w:val="00A418CA"/>
    <w:rsid w:val="00A419C2"/>
    <w:rsid w:val="00A432EA"/>
    <w:rsid w:val="00A4793B"/>
    <w:rsid w:val="00A51462"/>
    <w:rsid w:val="00A51915"/>
    <w:rsid w:val="00A5205C"/>
    <w:rsid w:val="00A5313B"/>
    <w:rsid w:val="00A539A8"/>
    <w:rsid w:val="00A5584C"/>
    <w:rsid w:val="00A56CF8"/>
    <w:rsid w:val="00A5783C"/>
    <w:rsid w:val="00A57D21"/>
    <w:rsid w:val="00A602CC"/>
    <w:rsid w:val="00A60A6E"/>
    <w:rsid w:val="00A6239D"/>
    <w:rsid w:val="00A624E6"/>
    <w:rsid w:val="00A64428"/>
    <w:rsid w:val="00A645F9"/>
    <w:rsid w:val="00A65C1B"/>
    <w:rsid w:val="00A66055"/>
    <w:rsid w:val="00A662EA"/>
    <w:rsid w:val="00A66444"/>
    <w:rsid w:val="00A66C97"/>
    <w:rsid w:val="00A67E06"/>
    <w:rsid w:val="00A704E8"/>
    <w:rsid w:val="00A715AA"/>
    <w:rsid w:val="00A71A04"/>
    <w:rsid w:val="00A71F9B"/>
    <w:rsid w:val="00A7334B"/>
    <w:rsid w:val="00A733BE"/>
    <w:rsid w:val="00A7348B"/>
    <w:rsid w:val="00A745DD"/>
    <w:rsid w:val="00A746D2"/>
    <w:rsid w:val="00A755F6"/>
    <w:rsid w:val="00A7650A"/>
    <w:rsid w:val="00A76D0F"/>
    <w:rsid w:val="00A76FC9"/>
    <w:rsid w:val="00A77426"/>
    <w:rsid w:val="00A77B9A"/>
    <w:rsid w:val="00A80298"/>
    <w:rsid w:val="00A81330"/>
    <w:rsid w:val="00A81BEF"/>
    <w:rsid w:val="00A822DB"/>
    <w:rsid w:val="00A82B9E"/>
    <w:rsid w:val="00A82F4D"/>
    <w:rsid w:val="00A83826"/>
    <w:rsid w:val="00A83EBB"/>
    <w:rsid w:val="00A841DB"/>
    <w:rsid w:val="00A84950"/>
    <w:rsid w:val="00A86AD5"/>
    <w:rsid w:val="00A86E7A"/>
    <w:rsid w:val="00A9136A"/>
    <w:rsid w:val="00A9221B"/>
    <w:rsid w:val="00A95311"/>
    <w:rsid w:val="00A970F8"/>
    <w:rsid w:val="00A972DF"/>
    <w:rsid w:val="00A97914"/>
    <w:rsid w:val="00A97A6C"/>
    <w:rsid w:val="00AA0551"/>
    <w:rsid w:val="00AA19A1"/>
    <w:rsid w:val="00AA30EC"/>
    <w:rsid w:val="00AA333F"/>
    <w:rsid w:val="00AA39F7"/>
    <w:rsid w:val="00AA4E55"/>
    <w:rsid w:val="00AA4E7D"/>
    <w:rsid w:val="00AA4F8B"/>
    <w:rsid w:val="00AA51C2"/>
    <w:rsid w:val="00AA5868"/>
    <w:rsid w:val="00AA5AF7"/>
    <w:rsid w:val="00AA6EC4"/>
    <w:rsid w:val="00AA731D"/>
    <w:rsid w:val="00AA76A3"/>
    <w:rsid w:val="00AB1032"/>
    <w:rsid w:val="00AB10C2"/>
    <w:rsid w:val="00AB309B"/>
    <w:rsid w:val="00AB3556"/>
    <w:rsid w:val="00AB389E"/>
    <w:rsid w:val="00AB570B"/>
    <w:rsid w:val="00AB5AD5"/>
    <w:rsid w:val="00AB6164"/>
    <w:rsid w:val="00AB6A8B"/>
    <w:rsid w:val="00AB749F"/>
    <w:rsid w:val="00AC0192"/>
    <w:rsid w:val="00AC2B36"/>
    <w:rsid w:val="00AC3591"/>
    <w:rsid w:val="00AC42F6"/>
    <w:rsid w:val="00AC4343"/>
    <w:rsid w:val="00AC4C28"/>
    <w:rsid w:val="00AC57A5"/>
    <w:rsid w:val="00AC5EEE"/>
    <w:rsid w:val="00AC64E5"/>
    <w:rsid w:val="00AC6DB2"/>
    <w:rsid w:val="00AD1282"/>
    <w:rsid w:val="00AD22EF"/>
    <w:rsid w:val="00AD2E71"/>
    <w:rsid w:val="00AD330C"/>
    <w:rsid w:val="00AD3800"/>
    <w:rsid w:val="00AD3EDD"/>
    <w:rsid w:val="00AD423A"/>
    <w:rsid w:val="00AD4274"/>
    <w:rsid w:val="00AD5CBC"/>
    <w:rsid w:val="00AD5E73"/>
    <w:rsid w:val="00AD5FCC"/>
    <w:rsid w:val="00AD659C"/>
    <w:rsid w:val="00AD6E34"/>
    <w:rsid w:val="00AD74C8"/>
    <w:rsid w:val="00AE28EC"/>
    <w:rsid w:val="00AE6C37"/>
    <w:rsid w:val="00AE72E9"/>
    <w:rsid w:val="00AE7651"/>
    <w:rsid w:val="00AF10DC"/>
    <w:rsid w:val="00AF1729"/>
    <w:rsid w:val="00AF47E6"/>
    <w:rsid w:val="00AF4EA4"/>
    <w:rsid w:val="00AF6043"/>
    <w:rsid w:val="00AF639D"/>
    <w:rsid w:val="00AF7ADC"/>
    <w:rsid w:val="00B01495"/>
    <w:rsid w:val="00B01B81"/>
    <w:rsid w:val="00B01DC7"/>
    <w:rsid w:val="00B06A58"/>
    <w:rsid w:val="00B0739E"/>
    <w:rsid w:val="00B07EEE"/>
    <w:rsid w:val="00B106F1"/>
    <w:rsid w:val="00B10807"/>
    <w:rsid w:val="00B10FF8"/>
    <w:rsid w:val="00B121A2"/>
    <w:rsid w:val="00B124DB"/>
    <w:rsid w:val="00B1305C"/>
    <w:rsid w:val="00B13212"/>
    <w:rsid w:val="00B133C3"/>
    <w:rsid w:val="00B135E6"/>
    <w:rsid w:val="00B14452"/>
    <w:rsid w:val="00B146F2"/>
    <w:rsid w:val="00B1493B"/>
    <w:rsid w:val="00B14BE7"/>
    <w:rsid w:val="00B14C64"/>
    <w:rsid w:val="00B15DB2"/>
    <w:rsid w:val="00B16F99"/>
    <w:rsid w:val="00B17126"/>
    <w:rsid w:val="00B17DDD"/>
    <w:rsid w:val="00B17EE7"/>
    <w:rsid w:val="00B20773"/>
    <w:rsid w:val="00B21D87"/>
    <w:rsid w:val="00B2348D"/>
    <w:rsid w:val="00B24882"/>
    <w:rsid w:val="00B24BE5"/>
    <w:rsid w:val="00B2526F"/>
    <w:rsid w:val="00B263EE"/>
    <w:rsid w:val="00B267F0"/>
    <w:rsid w:val="00B267F4"/>
    <w:rsid w:val="00B27D2C"/>
    <w:rsid w:val="00B27FE4"/>
    <w:rsid w:val="00B3002C"/>
    <w:rsid w:val="00B301B5"/>
    <w:rsid w:val="00B30CDC"/>
    <w:rsid w:val="00B31898"/>
    <w:rsid w:val="00B323D9"/>
    <w:rsid w:val="00B32B06"/>
    <w:rsid w:val="00B32C58"/>
    <w:rsid w:val="00B32DEC"/>
    <w:rsid w:val="00B33B0F"/>
    <w:rsid w:val="00B33F43"/>
    <w:rsid w:val="00B33FD3"/>
    <w:rsid w:val="00B34B25"/>
    <w:rsid w:val="00B34CBB"/>
    <w:rsid w:val="00B35BEF"/>
    <w:rsid w:val="00B36246"/>
    <w:rsid w:val="00B36755"/>
    <w:rsid w:val="00B37B31"/>
    <w:rsid w:val="00B4178F"/>
    <w:rsid w:val="00B419CC"/>
    <w:rsid w:val="00B41D08"/>
    <w:rsid w:val="00B42597"/>
    <w:rsid w:val="00B4298E"/>
    <w:rsid w:val="00B43610"/>
    <w:rsid w:val="00B43A1D"/>
    <w:rsid w:val="00B44564"/>
    <w:rsid w:val="00B44DBA"/>
    <w:rsid w:val="00B44DBF"/>
    <w:rsid w:val="00B45B7F"/>
    <w:rsid w:val="00B471E3"/>
    <w:rsid w:val="00B47F80"/>
    <w:rsid w:val="00B500DB"/>
    <w:rsid w:val="00B50604"/>
    <w:rsid w:val="00B52399"/>
    <w:rsid w:val="00B53E6E"/>
    <w:rsid w:val="00B54FFA"/>
    <w:rsid w:val="00B55A91"/>
    <w:rsid w:val="00B57502"/>
    <w:rsid w:val="00B6001C"/>
    <w:rsid w:val="00B603B4"/>
    <w:rsid w:val="00B60809"/>
    <w:rsid w:val="00B612C8"/>
    <w:rsid w:val="00B612CA"/>
    <w:rsid w:val="00B643F2"/>
    <w:rsid w:val="00B65556"/>
    <w:rsid w:val="00B67369"/>
    <w:rsid w:val="00B674D3"/>
    <w:rsid w:val="00B7048A"/>
    <w:rsid w:val="00B706C6"/>
    <w:rsid w:val="00B70768"/>
    <w:rsid w:val="00B70DD4"/>
    <w:rsid w:val="00B71023"/>
    <w:rsid w:val="00B71A7E"/>
    <w:rsid w:val="00B732FE"/>
    <w:rsid w:val="00B7342D"/>
    <w:rsid w:val="00B734E7"/>
    <w:rsid w:val="00B73562"/>
    <w:rsid w:val="00B747B7"/>
    <w:rsid w:val="00B748CD"/>
    <w:rsid w:val="00B75962"/>
    <w:rsid w:val="00B75A03"/>
    <w:rsid w:val="00B76594"/>
    <w:rsid w:val="00B769D2"/>
    <w:rsid w:val="00B77A34"/>
    <w:rsid w:val="00B8041B"/>
    <w:rsid w:val="00B80595"/>
    <w:rsid w:val="00B8138B"/>
    <w:rsid w:val="00B8239B"/>
    <w:rsid w:val="00B841A5"/>
    <w:rsid w:val="00B84CCD"/>
    <w:rsid w:val="00B84CD0"/>
    <w:rsid w:val="00B862B7"/>
    <w:rsid w:val="00B8698D"/>
    <w:rsid w:val="00B8700A"/>
    <w:rsid w:val="00B87211"/>
    <w:rsid w:val="00B87685"/>
    <w:rsid w:val="00B87916"/>
    <w:rsid w:val="00B90249"/>
    <w:rsid w:val="00B905A2"/>
    <w:rsid w:val="00B91620"/>
    <w:rsid w:val="00B91BF2"/>
    <w:rsid w:val="00B9209C"/>
    <w:rsid w:val="00B930CE"/>
    <w:rsid w:val="00B940E0"/>
    <w:rsid w:val="00B9435B"/>
    <w:rsid w:val="00B963E4"/>
    <w:rsid w:val="00BA2708"/>
    <w:rsid w:val="00BA2807"/>
    <w:rsid w:val="00BA2F4B"/>
    <w:rsid w:val="00BA3E72"/>
    <w:rsid w:val="00BA3EA0"/>
    <w:rsid w:val="00BA4034"/>
    <w:rsid w:val="00BA49C2"/>
    <w:rsid w:val="00BA5067"/>
    <w:rsid w:val="00BA5693"/>
    <w:rsid w:val="00BA62AA"/>
    <w:rsid w:val="00BB0552"/>
    <w:rsid w:val="00BB13B4"/>
    <w:rsid w:val="00BB28AF"/>
    <w:rsid w:val="00BB38C4"/>
    <w:rsid w:val="00BB3901"/>
    <w:rsid w:val="00BB39AB"/>
    <w:rsid w:val="00BB3E7B"/>
    <w:rsid w:val="00BB6506"/>
    <w:rsid w:val="00BB66D9"/>
    <w:rsid w:val="00BB754E"/>
    <w:rsid w:val="00BC0409"/>
    <w:rsid w:val="00BC0D49"/>
    <w:rsid w:val="00BC0FD2"/>
    <w:rsid w:val="00BC2BC4"/>
    <w:rsid w:val="00BC2EB7"/>
    <w:rsid w:val="00BC3290"/>
    <w:rsid w:val="00BC49E6"/>
    <w:rsid w:val="00BD09E8"/>
    <w:rsid w:val="00BD202E"/>
    <w:rsid w:val="00BD20D5"/>
    <w:rsid w:val="00BD2B93"/>
    <w:rsid w:val="00BD3758"/>
    <w:rsid w:val="00BD38C7"/>
    <w:rsid w:val="00BD48D5"/>
    <w:rsid w:val="00BD57D2"/>
    <w:rsid w:val="00BD744C"/>
    <w:rsid w:val="00BD7BCA"/>
    <w:rsid w:val="00BD7C8C"/>
    <w:rsid w:val="00BE0175"/>
    <w:rsid w:val="00BE13BC"/>
    <w:rsid w:val="00BE1CB6"/>
    <w:rsid w:val="00BE22CC"/>
    <w:rsid w:val="00BE2B33"/>
    <w:rsid w:val="00BE3580"/>
    <w:rsid w:val="00BE45F8"/>
    <w:rsid w:val="00BE4C55"/>
    <w:rsid w:val="00BE592B"/>
    <w:rsid w:val="00BE798D"/>
    <w:rsid w:val="00BF02D4"/>
    <w:rsid w:val="00BF0F00"/>
    <w:rsid w:val="00BF0F70"/>
    <w:rsid w:val="00BF26F8"/>
    <w:rsid w:val="00BF2B5C"/>
    <w:rsid w:val="00BF36D2"/>
    <w:rsid w:val="00BF3744"/>
    <w:rsid w:val="00BF3D70"/>
    <w:rsid w:val="00BF3D89"/>
    <w:rsid w:val="00BF409B"/>
    <w:rsid w:val="00BF456A"/>
    <w:rsid w:val="00BF4DBD"/>
    <w:rsid w:val="00BF4E0B"/>
    <w:rsid w:val="00BF66D5"/>
    <w:rsid w:val="00BF73F3"/>
    <w:rsid w:val="00C01909"/>
    <w:rsid w:val="00C0225C"/>
    <w:rsid w:val="00C0312D"/>
    <w:rsid w:val="00C034C6"/>
    <w:rsid w:val="00C03CAE"/>
    <w:rsid w:val="00C0473A"/>
    <w:rsid w:val="00C0504E"/>
    <w:rsid w:val="00C0537D"/>
    <w:rsid w:val="00C054CC"/>
    <w:rsid w:val="00C05580"/>
    <w:rsid w:val="00C1054F"/>
    <w:rsid w:val="00C1086B"/>
    <w:rsid w:val="00C12F3D"/>
    <w:rsid w:val="00C13CBB"/>
    <w:rsid w:val="00C148FF"/>
    <w:rsid w:val="00C15020"/>
    <w:rsid w:val="00C160CE"/>
    <w:rsid w:val="00C16870"/>
    <w:rsid w:val="00C16E3D"/>
    <w:rsid w:val="00C1797A"/>
    <w:rsid w:val="00C17A60"/>
    <w:rsid w:val="00C20152"/>
    <w:rsid w:val="00C20AF8"/>
    <w:rsid w:val="00C21826"/>
    <w:rsid w:val="00C22158"/>
    <w:rsid w:val="00C22954"/>
    <w:rsid w:val="00C22CC7"/>
    <w:rsid w:val="00C2564D"/>
    <w:rsid w:val="00C256BF"/>
    <w:rsid w:val="00C2578D"/>
    <w:rsid w:val="00C25EF3"/>
    <w:rsid w:val="00C2677D"/>
    <w:rsid w:val="00C267F3"/>
    <w:rsid w:val="00C30E68"/>
    <w:rsid w:val="00C314BB"/>
    <w:rsid w:val="00C32742"/>
    <w:rsid w:val="00C33701"/>
    <w:rsid w:val="00C33C46"/>
    <w:rsid w:val="00C352F9"/>
    <w:rsid w:val="00C35715"/>
    <w:rsid w:val="00C37AB1"/>
    <w:rsid w:val="00C37B47"/>
    <w:rsid w:val="00C40F44"/>
    <w:rsid w:val="00C420BC"/>
    <w:rsid w:val="00C42C27"/>
    <w:rsid w:val="00C43669"/>
    <w:rsid w:val="00C438FF"/>
    <w:rsid w:val="00C43DA4"/>
    <w:rsid w:val="00C44253"/>
    <w:rsid w:val="00C4431C"/>
    <w:rsid w:val="00C44ED4"/>
    <w:rsid w:val="00C44ED7"/>
    <w:rsid w:val="00C44F87"/>
    <w:rsid w:val="00C46052"/>
    <w:rsid w:val="00C4755E"/>
    <w:rsid w:val="00C50B42"/>
    <w:rsid w:val="00C51ED9"/>
    <w:rsid w:val="00C547DA"/>
    <w:rsid w:val="00C56B51"/>
    <w:rsid w:val="00C570FD"/>
    <w:rsid w:val="00C57660"/>
    <w:rsid w:val="00C577A9"/>
    <w:rsid w:val="00C61336"/>
    <w:rsid w:val="00C6224C"/>
    <w:rsid w:val="00C62B4E"/>
    <w:rsid w:val="00C62B92"/>
    <w:rsid w:val="00C634AA"/>
    <w:rsid w:val="00C650FA"/>
    <w:rsid w:val="00C65AFA"/>
    <w:rsid w:val="00C66274"/>
    <w:rsid w:val="00C67504"/>
    <w:rsid w:val="00C700FF"/>
    <w:rsid w:val="00C71D66"/>
    <w:rsid w:val="00C72C56"/>
    <w:rsid w:val="00C739B0"/>
    <w:rsid w:val="00C7494A"/>
    <w:rsid w:val="00C75C60"/>
    <w:rsid w:val="00C76C53"/>
    <w:rsid w:val="00C77006"/>
    <w:rsid w:val="00C77B56"/>
    <w:rsid w:val="00C8102C"/>
    <w:rsid w:val="00C82740"/>
    <w:rsid w:val="00C84918"/>
    <w:rsid w:val="00C86383"/>
    <w:rsid w:val="00C873AA"/>
    <w:rsid w:val="00C876AD"/>
    <w:rsid w:val="00C87ECE"/>
    <w:rsid w:val="00C9066B"/>
    <w:rsid w:val="00C91E12"/>
    <w:rsid w:val="00C92A11"/>
    <w:rsid w:val="00C94322"/>
    <w:rsid w:val="00C94ECD"/>
    <w:rsid w:val="00C95B0D"/>
    <w:rsid w:val="00C96F47"/>
    <w:rsid w:val="00C97B6D"/>
    <w:rsid w:val="00CA03D5"/>
    <w:rsid w:val="00CA07FD"/>
    <w:rsid w:val="00CA185B"/>
    <w:rsid w:val="00CA1E82"/>
    <w:rsid w:val="00CA2358"/>
    <w:rsid w:val="00CA465E"/>
    <w:rsid w:val="00CA58D3"/>
    <w:rsid w:val="00CB0947"/>
    <w:rsid w:val="00CB0ACF"/>
    <w:rsid w:val="00CB24EE"/>
    <w:rsid w:val="00CB2C18"/>
    <w:rsid w:val="00CB2CD6"/>
    <w:rsid w:val="00CB2FF6"/>
    <w:rsid w:val="00CB51C1"/>
    <w:rsid w:val="00CC154A"/>
    <w:rsid w:val="00CC1DC0"/>
    <w:rsid w:val="00CC2315"/>
    <w:rsid w:val="00CC3100"/>
    <w:rsid w:val="00CC5547"/>
    <w:rsid w:val="00CC677F"/>
    <w:rsid w:val="00CC6E6D"/>
    <w:rsid w:val="00CC6F40"/>
    <w:rsid w:val="00CC76CC"/>
    <w:rsid w:val="00CD0972"/>
    <w:rsid w:val="00CD1CB4"/>
    <w:rsid w:val="00CD2C30"/>
    <w:rsid w:val="00CD342F"/>
    <w:rsid w:val="00CD47B5"/>
    <w:rsid w:val="00CD48B1"/>
    <w:rsid w:val="00CD4B79"/>
    <w:rsid w:val="00CD63BA"/>
    <w:rsid w:val="00CD67B8"/>
    <w:rsid w:val="00CD6AC5"/>
    <w:rsid w:val="00CD7BD5"/>
    <w:rsid w:val="00CE02A7"/>
    <w:rsid w:val="00CE3D29"/>
    <w:rsid w:val="00CE3E2E"/>
    <w:rsid w:val="00CE4152"/>
    <w:rsid w:val="00CF1269"/>
    <w:rsid w:val="00CF1AA0"/>
    <w:rsid w:val="00CF2167"/>
    <w:rsid w:val="00CF2322"/>
    <w:rsid w:val="00CF26B8"/>
    <w:rsid w:val="00CF2E32"/>
    <w:rsid w:val="00CF34FC"/>
    <w:rsid w:val="00CF3DDB"/>
    <w:rsid w:val="00CF45C2"/>
    <w:rsid w:val="00CF5E5F"/>
    <w:rsid w:val="00CF7773"/>
    <w:rsid w:val="00CF7F7A"/>
    <w:rsid w:val="00D00407"/>
    <w:rsid w:val="00D00599"/>
    <w:rsid w:val="00D018A6"/>
    <w:rsid w:val="00D018B6"/>
    <w:rsid w:val="00D01F8D"/>
    <w:rsid w:val="00D03EB7"/>
    <w:rsid w:val="00D04166"/>
    <w:rsid w:val="00D04901"/>
    <w:rsid w:val="00D04CA7"/>
    <w:rsid w:val="00D04E38"/>
    <w:rsid w:val="00D04F79"/>
    <w:rsid w:val="00D05E27"/>
    <w:rsid w:val="00D06EFC"/>
    <w:rsid w:val="00D07CB1"/>
    <w:rsid w:val="00D13125"/>
    <w:rsid w:val="00D13E92"/>
    <w:rsid w:val="00D15707"/>
    <w:rsid w:val="00D15FE0"/>
    <w:rsid w:val="00D20D53"/>
    <w:rsid w:val="00D21524"/>
    <w:rsid w:val="00D2157E"/>
    <w:rsid w:val="00D22AB9"/>
    <w:rsid w:val="00D23CD0"/>
    <w:rsid w:val="00D23E63"/>
    <w:rsid w:val="00D249F8"/>
    <w:rsid w:val="00D26953"/>
    <w:rsid w:val="00D26EC1"/>
    <w:rsid w:val="00D2743B"/>
    <w:rsid w:val="00D276E5"/>
    <w:rsid w:val="00D27F70"/>
    <w:rsid w:val="00D301C0"/>
    <w:rsid w:val="00D30A70"/>
    <w:rsid w:val="00D31064"/>
    <w:rsid w:val="00D33C42"/>
    <w:rsid w:val="00D33C93"/>
    <w:rsid w:val="00D3441D"/>
    <w:rsid w:val="00D351A3"/>
    <w:rsid w:val="00D35A40"/>
    <w:rsid w:val="00D35B2C"/>
    <w:rsid w:val="00D36150"/>
    <w:rsid w:val="00D364A4"/>
    <w:rsid w:val="00D41C58"/>
    <w:rsid w:val="00D424DB"/>
    <w:rsid w:val="00D4280A"/>
    <w:rsid w:val="00D43C9F"/>
    <w:rsid w:val="00D440E9"/>
    <w:rsid w:val="00D44C18"/>
    <w:rsid w:val="00D45931"/>
    <w:rsid w:val="00D45C00"/>
    <w:rsid w:val="00D4618F"/>
    <w:rsid w:val="00D4631C"/>
    <w:rsid w:val="00D470C9"/>
    <w:rsid w:val="00D5039C"/>
    <w:rsid w:val="00D50DF2"/>
    <w:rsid w:val="00D51230"/>
    <w:rsid w:val="00D51453"/>
    <w:rsid w:val="00D51634"/>
    <w:rsid w:val="00D53CBC"/>
    <w:rsid w:val="00D54CA2"/>
    <w:rsid w:val="00D553A0"/>
    <w:rsid w:val="00D56631"/>
    <w:rsid w:val="00D56BFA"/>
    <w:rsid w:val="00D57F06"/>
    <w:rsid w:val="00D6298C"/>
    <w:rsid w:val="00D62A5A"/>
    <w:rsid w:val="00D63499"/>
    <w:rsid w:val="00D63503"/>
    <w:rsid w:val="00D643FC"/>
    <w:rsid w:val="00D65447"/>
    <w:rsid w:val="00D66493"/>
    <w:rsid w:val="00D66BD2"/>
    <w:rsid w:val="00D66D59"/>
    <w:rsid w:val="00D67293"/>
    <w:rsid w:val="00D675CF"/>
    <w:rsid w:val="00D676D5"/>
    <w:rsid w:val="00D677DA"/>
    <w:rsid w:val="00D70250"/>
    <w:rsid w:val="00D7026C"/>
    <w:rsid w:val="00D70335"/>
    <w:rsid w:val="00D70593"/>
    <w:rsid w:val="00D70781"/>
    <w:rsid w:val="00D70BF7"/>
    <w:rsid w:val="00D72795"/>
    <w:rsid w:val="00D7344F"/>
    <w:rsid w:val="00D73E75"/>
    <w:rsid w:val="00D74A60"/>
    <w:rsid w:val="00D74B5F"/>
    <w:rsid w:val="00D74C0B"/>
    <w:rsid w:val="00D75DDF"/>
    <w:rsid w:val="00D76A54"/>
    <w:rsid w:val="00D76F3F"/>
    <w:rsid w:val="00D806EE"/>
    <w:rsid w:val="00D81441"/>
    <w:rsid w:val="00D81A1C"/>
    <w:rsid w:val="00D84453"/>
    <w:rsid w:val="00D8481C"/>
    <w:rsid w:val="00D848D5"/>
    <w:rsid w:val="00D84F1E"/>
    <w:rsid w:val="00D906EF"/>
    <w:rsid w:val="00D913C8"/>
    <w:rsid w:val="00D923A1"/>
    <w:rsid w:val="00D930F6"/>
    <w:rsid w:val="00D93254"/>
    <w:rsid w:val="00D93360"/>
    <w:rsid w:val="00D93BCD"/>
    <w:rsid w:val="00D949E3"/>
    <w:rsid w:val="00D94E4A"/>
    <w:rsid w:val="00D96C08"/>
    <w:rsid w:val="00D97815"/>
    <w:rsid w:val="00D979AB"/>
    <w:rsid w:val="00DA074C"/>
    <w:rsid w:val="00DA1138"/>
    <w:rsid w:val="00DA191A"/>
    <w:rsid w:val="00DA1DFF"/>
    <w:rsid w:val="00DA39A8"/>
    <w:rsid w:val="00DA4740"/>
    <w:rsid w:val="00DA4F86"/>
    <w:rsid w:val="00DA660A"/>
    <w:rsid w:val="00DA71C0"/>
    <w:rsid w:val="00DB12B9"/>
    <w:rsid w:val="00DB248D"/>
    <w:rsid w:val="00DB284C"/>
    <w:rsid w:val="00DB4AF5"/>
    <w:rsid w:val="00DB5073"/>
    <w:rsid w:val="00DB6AAE"/>
    <w:rsid w:val="00DB7064"/>
    <w:rsid w:val="00DC0313"/>
    <w:rsid w:val="00DC04E4"/>
    <w:rsid w:val="00DC0754"/>
    <w:rsid w:val="00DC204B"/>
    <w:rsid w:val="00DC2A88"/>
    <w:rsid w:val="00DC2DC5"/>
    <w:rsid w:val="00DC2DC8"/>
    <w:rsid w:val="00DC3567"/>
    <w:rsid w:val="00DC3EC6"/>
    <w:rsid w:val="00DC5010"/>
    <w:rsid w:val="00DC5BFE"/>
    <w:rsid w:val="00DC6A42"/>
    <w:rsid w:val="00DC701E"/>
    <w:rsid w:val="00DC768E"/>
    <w:rsid w:val="00DD09F5"/>
    <w:rsid w:val="00DD1A5E"/>
    <w:rsid w:val="00DD231C"/>
    <w:rsid w:val="00DD2C3F"/>
    <w:rsid w:val="00DD3CFF"/>
    <w:rsid w:val="00DD4820"/>
    <w:rsid w:val="00DD648B"/>
    <w:rsid w:val="00DD6964"/>
    <w:rsid w:val="00DD7D06"/>
    <w:rsid w:val="00DE0283"/>
    <w:rsid w:val="00DE0A9A"/>
    <w:rsid w:val="00DE0BC4"/>
    <w:rsid w:val="00DE1E1D"/>
    <w:rsid w:val="00DE313D"/>
    <w:rsid w:val="00DE3B90"/>
    <w:rsid w:val="00DE4CF3"/>
    <w:rsid w:val="00DE4CF7"/>
    <w:rsid w:val="00DE59FC"/>
    <w:rsid w:val="00DE67A3"/>
    <w:rsid w:val="00DE6D89"/>
    <w:rsid w:val="00DF1BF7"/>
    <w:rsid w:val="00DF2022"/>
    <w:rsid w:val="00DF3496"/>
    <w:rsid w:val="00DF461A"/>
    <w:rsid w:val="00DF5878"/>
    <w:rsid w:val="00DF635E"/>
    <w:rsid w:val="00DF7F4D"/>
    <w:rsid w:val="00E00426"/>
    <w:rsid w:val="00E01717"/>
    <w:rsid w:val="00E01921"/>
    <w:rsid w:val="00E02A88"/>
    <w:rsid w:val="00E039E4"/>
    <w:rsid w:val="00E03DE5"/>
    <w:rsid w:val="00E05DDF"/>
    <w:rsid w:val="00E06830"/>
    <w:rsid w:val="00E076E9"/>
    <w:rsid w:val="00E076F0"/>
    <w:rsid w:val="00E103DB"/>
    <w:rsid w:val="00E10539"/>
    <w:rsid w:val="00E10FDA"/>
    <w:rsid w:val="00E13D5A"/>
    <w:rsid w:val="00E13FB5"/>
    <w:rsid w:val="00E15B5F"/>
    <w:rsid w:val="00E16F99"/>
    <w:rsid w:val="00E179CA"/>
    <w:rsid w:val="00E17E4B"/>
    <w:rsid w:val="00E17F7B"/>
    <w:rsid w:val="00E2047E"/>
    <w:rsid w:val="00E20834"/>
    <w:rsid w:val="00E20F0B"/>
    <w:rsid w:val="00E216CB"/>
    <w:rsid w:val="00E21CE9"/>
    <w:rsid w:val="00E21EA6"/>
    <w:rsid w:val="00E2339C"/>
    <w:rsid w:val="00E23C3A"/>
    <w:rsid w:val="00E2428F"/>
    <w:rsid w:val="00E30FBB"/>
    <w:rsid w:val="00E313AB"/>
    <w:rsid w:val="00E31CA9"/>
    <w:rsid w:val="00E327C3"/>
    <w:rsid w:val="00E328E6"/>
    <w:rsid w:val="00E32D95"/>
    <w:rsid w:val="00E32F87"/>
    <w:rsid w:val="00E331AA"/>
    <w:rsid w:val="00E3330A"/>
    <w:rsid w:val="00E338CE"/>
    <w:rsid w:val="00E34FAF"/>
    <w:rsid w:val="00E35740"/>
    <w:rsid w:val="00E359DB"/>
    <w:rsid w:val="00E37389"/>
    <w:rsid w:val="00E40C74"/>
    <w:rsid w:val="00E41750"/>
    <w:rsid w:val="00E41C08"/>
    <w:rsid w:val="00E43466"/>
    <w:rsid w:val="00E434EF"/>
    <w:rsid w:val="00E437DA"/>
    <w:rsid w:val="00E47278"/>
    <w:rsid w:val="00E50EE6"/>
    <w:rsid w:val="00E51410"/>
    <w:rsid w:val="00E51D71"/>
    <w:rsid w:val="00E52764"/>
    <w:rsid w:val="00E52F59"/>
    <w:rsid w:val="00E53777"/>
    <w:rsid w:val="00E62C1D"/>
    <w:rsid w:val="00E64114"/>
    <w:rsid w:val="00E6512C"/>
    <w:rsid w:val="00E66307"/>
    <w:rsid w:val="00E66D4D"/>
    <w:rsid w:val="00E710AD"/>
    <w:rsid w:val="00E711CD"/>
    <w:rsid w:val="00E720F9"/>
    <w:rsid w:val="00E723F9"/>
    <w:rsid w:val="00E74989"/>
    <w:rsid w:val="00E74B94"/>
    <w:rsid w:val="00E76692"/>
    <w:rsid w:val="00E7708C"/>
    <w:rsid w:val="00E77505"/>
    <w:rsid w:val="00E81284"/>
    <w:rsid w:val="00E82373"/>
    <w:rsid w:val="00E82B63"/>
    <w:rsid w:val="00E83107"/>
    <w:rsid w:val="00E83194"/>
    <w:rsid w:val="00E837B5"/>
    <w:rsid w:val="00E83A01"/>
    <w:rsid w:val="00E84501"/>
    <w:rsid w:val="00E858A2"/>
    <w:rsid w:val="00E8621D"/>
    <w:rsid w:val="00E8685E"/>
    <w:rsid w:val="00E86C31"/>
    <w:rsid w:val="00E87C43"/>
    <w:rsid w:val="00E87D93"/>
    <w:rsid w:val="00E87DDD"/>
    <w:rsid w:val="00E902F3"/>
    <w:rsid w:val="00E91B3E"/>
    <w:rsid w:val="00E97578"/>
    <w:rsid w:val="00E97C14"/>
    <w:rsid w:val="00EA091B"/>
    <w:rsid w:val="00EA16D6"/>
    <w:rsid w:val="00EA19E7"/>
    <w:rsid w:val="00EA2119"/>
    <w:rsid w:val="00EA2D74"/>
    <w:rsid w:val="00EA4E48"/>
    <w:rsid w:val="00EA5D31"/>
    <w:rsid w:val="00EA6D07"/>
    <w:rsid w:val="00EA6D43"/>
    <w:rsid w:val="00EA6E0E"/>
    <w:rsid w:val="00EA7AF8"/>
    <w:rsid w:val="00EB04DE"/>
    <w:rsid w:val="00EB0A6F"/>
    <w:rsid w:val="00EB2C2C"/>
    <w:rsid w:val="00EB34C7"/>
    <w:rsid w:val="00EB3FE3"/>
    <w:rsid w:val="00EB5085"/>
    <w:rsid w:val="00EB55D0"/>
    <w:rsid w:val="00EB56D9"/>
    <w:rsid w:val="00EB6353"/>
    <w:rsid w:val="00EB7E0D"/>
    <w:rsid w:val="00EC0629"/>
    <w:rsid w:val="00EC0EDD"/>
    <w:rsid w:val="00EC11DF"/>
    <w:rsid w:val="00EC17E7"/>
    <w:rsid w:val="00EC3018"/>
    <w:rsid w:val="00EC48DA"/>
    <w:rsid w:val="00EC4EE4"/>
    <w:rsid w:val="00EC5129"/>
    <w:rsid w:val="00EC68CD"/>
    <w:rsid w:val="00EC7444"/>
    <w:rsid w:val="00EC7D9F"/>
    <w:rsid w:val="00ED04D1"/>
    <w:rsid w:val="00ED1446"/>
    <w:rsid w:val="00ED3498"/>
    <w:rsid w:val="00ED34EF"/>
    <w:rsid w:val="00ED3609"/>
    <w:rsid w:val="00ED3797"/>
    <w:rsid w:val="00ED3D8F"/>
    <w:rsid w:val="00ED4A59"/>
    <w:rsid w:val="00ED51B7"/>
    <w:rsid w:val="00ED5F87"/>
    <w:rsid w:val="00ED779C"/>
    <w:rsid w:val="00ED7D9F"/>
    <w:rsid w:val="00EE00E2"/>
    <w:rsid w:val="00EE076B"/>
    <w:rsid w:val="00EE1587"/>
    <w:rsid w:val="00EE2C98"/>
    <w:rsid w:val="00EE4A8C"/>
    <w:rsid w:val="00EE546D"/>
    <w:rsid w:val="00EE5725"/>
    <w:rsid w:val="00EE58B6"/>
    <w:rsid w:val="00EE617B"/>
    <w:rsid w:val="00EF1141"/>
    <w:rsid w:val="00EF11A0"/>
    <w:rsid w:val="00EF214B"/>
    <w:rsid w:val="00EF32CF"/>
    <w:rsid w:val="00EF4EAA"/>
    <w:rsid w:val="00EF55D4"/>
    <w:rsid w:val="00EF78BC"/>
    <w:rsid w:val="00F01BB5"/>
    <w:rsid w:val="00F01E4F"/>
    <w:rsid w:val="00F02066"/>
    <w:rsid w:val="00F0267B"/>
    <w:rsid w:val="00F02A60"/>
    <w:rsid w:val="00F0376F"/>
    <w:rsid w:val="00F07DEB"/>
    <w:rsid w:val="00F1100C"/>
    <w:rsid w:val="00F112D1"/>
    <w:rsid w:val="00F1161D"/>
    <w:rsid w:val="00F123C4"/>
    <w:rsid w:val="00F12F2C"/>
    <w:rsid w:val="00F14B26"/>
    <w:rsid w:val="00F165AA"/>
    <w:rsid w:val="00F174E4"/>
    <w:rsid w:val="00F2017D"/>
    <w:rsid w:val="00F20B8E"/>
    <w:rsid w:val="00F20B90"/>
    <w:rsid w:val="00F214C9"/>
    <w:rsid w:val="00F22943"/>
    <w:rsid w:val="00F24630"/>
    <w:rsid w:val="00F24847"/>
    <w:rsid w:val="00F256E1"/>
    <w:rsid w:val="00F25E59"/>
    <w:rsid w:val="00F2654D"/>
    <w:rsid w:val="00F27AD4"/>
    <w:rsid w:val="00F30DBA"/>
    <w:rsid w:val="00F32197"/>
    <w:rsid w:val="00F32200"/>
    <w:rsid w:val="00F35622"/>
    <w:rsid w:val="00F359D5"/>
    <w:rsid w:val="00F35D8F"/>
    <w:rsid w:val="00F35D95"/>
    <w:rsid w:val="00F36253"/>
    <w:rsid w:val="00F365E0"/>
    <w:rsid w:val="00F36EBF"/>
    <w:rsid w:val="00F37A67"/>
    <w:rsid w:val="00F409A2"/>
    <w:rsid w:val="00F41C85"/>
    <w:rsid w:val="00F4245B"/>
    <w:rsid w:val="00F43099"/>
    <w:rsid w:val="00F430E6"/>
    <w:rsid w:val="00F4408D"/>
    <w:rsid w:val="00F45445"/>
    <w:rsid w:val="00F45479"/>
    <w:rsid w:val="00F46905"/>
    <w:rsid w:val="00F469FC"/>
    <w:rsid w:val="00F47A47"/>
    <w:rsid w:val="00F47EA8"/>
    <w:rsid w:val="00F500B4"/>
    <w:rsid w:val="00F5068A"/>
    <w:rsid w:val="00F507A9"/>
    <w:rsid w:val="00F508FA"/>
    <w:rsid w:val="00F512F2"/>
    <w:rsid w:val="00F52F49"/>
    <w:rsid w:val="00F536D6"/>
    <w:rsid w:val="00F538B1"/>
    <w:rsid w:val="00F54CC1"/>
    <w:rsid w:val="00F556F2"/>
    <w:rsid w:val="00F55BA0"/>
    <w:rsid w:val="00F55BCE"/>
    <w:rsid w:val="00F55EDD"/>
    <w:rsid w:val="00F56123"/>
    <w:rsid w:val="00F60670"/>
    <w:rsid w:val="00F6123B"/>
    <w:rsid w:val="00F63921"/>
    <w:rsid w:val="00F64099"/>
    <w:rsid w:val="00F64F11"/>
    <w:rsid w:val="00F651DB"/>
    <w:rsid w:val="00F65E13"/>
    <w:rsid w:val="00F661E5"/>
    <w:rsid w:val="00F66A32"/>
    <w:rsid w:val="00F6707F"/>
    <w:rsid w:val="00F67AF8"/>
    <w:rsid w:val="00F704AE"/>
    <w:rsid w:val="00F7165C"/>
    <w:rsid w:val="00F7178A"/>
    <w:rsid w:val="00F71E25"/>
    <w:rsid w:val="00F72CF1"/>
    <w:rsid w:val="00F735EB"/>
    <w:rsid w:val="00F73B44"/>
    <w:rsid w:val="00F73BA0"/>
    <w:rsid w:val="00F73FC1"/>
    <w:rsid w:val="00F74127"/>
    <w:rsid w:val="00F74904"/>
    <w:rsid w:val="00F7561B"/>
    <w:rsid w:val="00F76E41"/>
    <w:rsid w:val="00F77791"/>
    <w:rsid w:val="00F809EA"/>
    <w:rsid w:val="00F80CEC"/>
    <w:rsid w:val="00F8101B"/>
    <w:rsid w:val="00F819AC"/>
    <w:rsid w:val="00F82365"/>
    <w:rsid w:val="00F82DAD"/>
    <w:rsid w:val="00F831D0"/>
    <w:rsid w:val="00F83ACF"/>
    <w:rsid w:val="00F845B1"/>
    <w:rsid w:val="00F84CEA"/>
    <w:rsid w:val="00F8551D"/>
    <w:rsid w:val="00F85A80"/>
    <w:rsid w:val="00F867E7"/>
    <w:rsid w:val="00F86AFD"/>
    <w:rsid w:val="00F9119A"/>
    <w:rsid w:val="00F917D1"/>
    <w:rsid w:val="00F919EC"/>
    <w:rsid w:val="00F9246D"/>
    <w:rsid w:val="00F938B5"/>
    <w:rsid w:val="00F95545"/>
    <w:rsid w:val="00F9641D"/>
    <w:rsid w:val="00F9691B"/>
    <w:rsid w:val="00F96BCA"/>
    <w:rsid w:val="00F975BD"/>
    <w:rsid w:val="00F979F2"/>
    <w:rsid w:val="00F97ADF"/>
    <w:rsid w:val="00FA0F48"/>
    <w:rsid w:val="00FA16A2"/>
    <w:rsid w:val="00FA2921"/>
    <w:rsid w:val="00FA4817"/>
    <w:rsid w:val="00FA5321"/>
    <w:rsid w:val="00FA5E55"/>
    <w:rsid w:val="00FA5F60"/>
    <w:rsid w:val="00FA601F"/>
    <w:rsid w:val="00FB00A7"/>
    <w:rsid w:val="00FB01EF"/>
    <w:rsid w:val="00FB0B72"/>
    <w:rsid w:val="00FB0E2E"/>
    <w:rsid w:val="00FB1415"/>
    <w:rsid w:val="00FB26EF"/>
    <w:rsid w:val="00FB2826"/>
    <w:rsid w:val="00FB2D2C"/>
    <w:rsid w:val="00FB2F30"/>
    <w:rsid w:val="00FB4777"/>
    <w:rsid w:val="00FB47CE"/>
    <w:rsid w:val="00FB5566"/>
    <w:rsid w:val="00FB6A0A"/>
    <w:rsid w:val="00FB6BBA"/>
    <w:rsid w:val="00FB7777"/>
    <w:rsid w:val="00FB777F"/>
    <w:rsid w:val="00FB7C3F"/>
    <w:rsid w:val="00FC138D"/>
    <w:rsid w:val="00FC1C4E"/>
    <w:rsid w:val="00FC42F6"/>
    <w:rsid w:val="00FC4D2D"/>
    <w:rsid w:val="00FC5096"/>
    <w:rsid w:val="00FC56C3"/>
    <w:rsid w:val="00FC6F73"/>
    <w:rsid w:val="00FD0A92"/>
    <w:rsid w:val="00FD1046"/>
    <w:rsid w:val="00FD3241"/>
    <w:rsid w:val="00FD4353"/>
    <w:rsid w:val="00FD50C4"/>
    <w:rsid w:val="00FD56F1"/>
    <w:rsid w:val="00FD6734"/>
    <w:rsid w:val="00FD6775"/>
    <w:rsid w:val="00FD682A"/>
    <w:rsid w:val="00FE1066"/>
    <w:rsid w:val="00FE213F"/>
    <w:rsid w:val="00FE5576"/>
    <w:rsid w:val="00FE5608"/>
    <w:rsid w:val="00FE6AE7"/>
    <w:rsid w:val="00FF1A31"/>
    <w:rsid w:val="00FF2421"/>
    <w:rsid w:val="00FF25D9"/>
    <w:rsid w:val="00FF2D43"/>
    <w:rsid w:val="00FF2E88"/>
    <w:rsid w:val="00FF3B75"/>
    <w:rsid w:val="00FF5A7E"/>
    <w:rsid w:val="00FF5DF8"/>
    <w:rsid w:val="00FF6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8DAD40"/>
  <w15:docId w15:val="{B44F9F03-FA0F-4C16-80ED-3C9650F7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link w:val="Heading1Char"/>
    <w:uiPriority w:val="9"/>
    <w:qFormat/>
    <w:rsid w:val="00B73562"/>
    <w:pPr>
      <w:numPr>
        <w:numId w:val="1"/>
      </w:numPr>
      <w:spacing w:after="0"/>
      <w:outlineLvl w:val="0"/>
    </w:pPr>
    <w:rPr>
      <w:rFonts w:ascii="Times New Roman" w:hAnsi="Times New Roman" w:cs="Times New Roman"/>
      <w:sz w:val="24"/>
      <w:szCs w:val="24"/>
    </w:rPr>
  </w:style>
  <w:style w:type="paragraph" w:styleId="Heading2">
    <w:name w:val="heading 2"/>
    <w:basedOn w:val="ListParagraph"/>
    <w:link w:val="Heading2Char"/>
    <w:uiPriority w:val="9"/>
    <w:unhideWhenUsed/>
    <w:qFormat/>
    <w:rsid w:val="00B73562"/>
    <w:pPr>
      <w:numPr>
        <w:ilvl w:val="1"/>
        <w:numId w:val="1"/>
      </w:numPr>
      <w:spacing w:after="0"/>
      <w:ind w:left="1170"/>
      <w:outlineLvl w:val="1"/>
    </w:pPr>
    <w:rPr>
      <w:rFonts w:ascii="Times New Roman" w:hAnsi="Times New Roman" w:cs="Times New Roman"/>
      <w:sz w:val="24"/>
      <w:szCs w:val="24"/>
    </w:rPr>
  </w:style>
  <w:style w:type="paragraph" w:styleId="Heading3">
    <w:name w:val="heading 3"/>
    <w:basedOn w:val="ListParagraph"/>
    <w:link w:val="Heading3Char"/>
    <w:uiPriority w:val="9"/>
    <w:unhideWhenUsed/>
    <w:qFormat/>
    <w:rsid w:val="00B73562"/>
    <w:pPr>
      <w:numPr>
        <w:ilvl w:val="2"/>
        <w:numId w:val="1"/>
      </w:numPr>
      <w:spacing w:after="0"/>
      <w:ind w:left="2174" w:hanging="187"/>
      <w:outlineLvl w:val="2"/>
    </w:pPr>
    <w:rPr>
      <w:rFonts w:ascii="Times New Roman" w:hAnsi="Times New Roman" w:cs="Times New Roman"/>
      <w:sz w:val="24"/>
      <w:szCs w:val="24"/>
    </w:rPr>
  </w:style>
  <w:style w:type="paragraph" w:styleId="Heading4">
    <w:name w:val="heading 4"/>
    <w:basedOn w:val="Heading3"/>
    <w:next w:val="Normal"/>
    <w:link w:val="Heading4Char"/>
    <w:uiPriority w:val="9"/>
    <w:unhideWhenUsed/>
    <w:qFormat/>
    <w:rsid w:val="00B73562"/>
    <w:pPr>
      <w:numPr>
        <w:ilvl w:val="3"/>
      </w:numPr>
      <w:ind w:left="252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2B36"/>
    <w:pPr>
      <w:ind w:left="720"/>
      <w:contextualSpacing/>
    </w:pPr>
  </w:style>
  <w:style w:type="character" w:customStyle="1" w:styleId="Heading1Char">
    <w:name w:val="Heading 1 Char"/>
    <w:basedOn w:val="DefaultParagraphFont"/>
    <w:link w:val="Heading1"/>
    <w:uiPriority w:val="9"/>
    <w:rsid w:val="00B73562"/>
    <w:rPr>
      <w:rFonts w:ascii="Times New Roman" w:hAnsi="Times New Roman" w:cs="Times New Roman"/>
      <w:sz w:val="24"/>
      <w:szCs w:val="24"/>
    </w:rPr>
  </w:style>
  <w:style w:type="character" w:customStyle="1" w:styleId="Heading2Char">
    <w:name w:val="Heading 2 Char"/>
    <w:basedOn w:val="DefaultParagraphFont"/>
    <w:link w:val="Heading2"/>
    <w:uiPriority w:val="9"/>
    <w:rsid w:val="00B73562"/>
    <w:rPr>
      <w:rFonts w:ascii="Times New Roman" w:hAnsi="Times New Roman" w:cs="Times New Roman"/>
      <w:sz w:val="24"/>
      <w:szCs w:val="24"/>
    </w:rPr>
  </w:style>
  <w:style w:type="character" w:customStyle="1" w:styleId="Heading3Char">
    <w:name w:val="Heading 3 Char"/>
    <w:basedOn w:val="DefaultParagraphFont"/>
    <w:link w:val="Heading3"/>
    <w:uiPriority w:val="9"/>
    <w:rsid w:val="00B73562"/>
    <w:rPr>
      <w:rFonts w:ascii="Times New Roman" w:hAnsi="Times New Roman" w:cs="Times New Roman"/>
      <w:sz w:val="24"/>
      <w:szCs w:val="24"/>
    </w:rPr>
  </w:style>
  <w:style w:type="character" w:customStyle="1" w:styleId="Heading4Char">
    <w:name w:val="Heading 4 Char"/>
    <w:basedOn w:val="DefaultParagraphFont"/>
    <w:link w:val="Heading4"/>
    <w:uiPriority w:val="9"/>
    <w:rsid w:val="00B73562"/>
    <w:rPr>
      <w:rFonts w:ascii="Times New Roman" w:hAnsi="Times New Roman" w:cs="Times New Roman"/>
      <w:sz w:val="24"/>
      <w:szCs w:val="24"/>
    </w:rPr>
  </w:style>
  <w:style w:type="table" w:styleId="TableGrid">
    <w:name w:val="Table Grid"/>
    <w:basedOn w:val="TableNormal"/>
    <w:uiPriority w:val="59"/>
    <w:rsid w:val="003D7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6345"/>
    <w:rPr>
      <w:sz w:val="18"/>
      <w:szCs w:val="18"/>
    </w:rPr>
  </w:style>
  <w:style w:type="paragraph" w:styleId="CommentText">
    <w:name w:val="annotation text"/>
    <w:basedOn w:val="Normal"/>
    <w:link w:val="CommentTextChar"/>
    <w:uiPriority w:val="99"/>
    <w:semiHidden/>
    <w:unhideWhenUsed/>
    <w:rsid w:val="00586345"/>
    <w:pPr>
      <w:spacing w:line="240" w:lineRule="auto"/>
    </w:pPr>
    <w:rPr>
      <w:sz w:val="24"/>
      <w:szCs w:val="24"/>
    </w:rPr>
  </w:style>
  <w:style w:type="character" w:customStyle="1" w:styleId="CommentTextChar">
    <w:name w:val="Comment Text Char"/>
    <w:basedOn w:val="DefaultParagraphFont"/>
    <w:link w:val="CommentText"/>
    <w:uiPriority w:val="99"/>
    <w:semiHidden/>
    <w:rsid w:val="00586345"/>
    <w:rPr>
      <w:sz w:val="24"/>
      <w:szCs w:val="24"/>
    </w:rPr>
  </w:style>
  <w:style w:type="paragraph" w:styleId="CommentSubject">
    <w:name w:val="annotation subject"/>
    <w:basedOn w:val="CommentText"/>
    <w:next w:val="CommentText"/>
    <w:link w:val="CommentSubjectChar"/>
    <w:uiPriority w:val="99"/>
    <w:semiHidden/>
    <w:unhideWhenUsed/>
    <w:rsid w:val="00586345"/>
    <w:rPr>
      <w:b/>
      <w:bCs/>
      <w:sz w:val="20"/>
      <w:szCs w:val="20"/>
    </w:rPr>
  </w:style>
  <w:style w:type="character" w:customStyle="1" w:styleId="CommentSubjectChar">
    <w:name w:val="Comment Subject Char"/>
    <w:basedOn w:val="CommentTextChar"/>
    <w:link w:val="CommentSubject"/>
    <w:uiPriority w:val="99"/>
    <w:semiHidden/>
    <w:rsid w:val="00586345"/>
    <w:rPr>
      <w:b/>
      <w:bCs/>
      <w:sz w:val="20"/>
      <w:szCs w:val="20"/>
    </w:rPr>
  </w:style>
  <w:style w:type="paragraph" w:styleId="BalloonText">
    <w:name w:val="Balloon Text"/>
    <w:basedOn w:val="Normal"/>
    <w:link w:val="BalloonTextChar"/>
    <w:uiPriority w:val="99"/>
    <w:semiHidden/>
    <w:unhideWhenUsed/>
    <w:rsid w:val="00586345"/>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86345"/>
    <w:rPr>
      <w:rFonts w:ascii="Lucida Grande" w:hAnsi="Lucida Grande"/>
      <w:sz w:val="18"/>
      <w:szCs w:val="18"/>
    </w:rPr>
  </w:style>
  <w:style w:type="paragraph" w:styleId="Bibliography">
    <w:name w:val="Bibliography"/>
    <w:basedOn w:val="Normal"/>
    <w:next w:val="Normal"/>
    <w:uiPriority w:val="37"/>
    <w:unhideWhenUsed/>
    <w:rsid w:val="00CE3E2E"/>
    <w:pPr>
      <w:spacing w:after="0" w:line="480" w:lineRule="auto"/>
      <w:ind w:left="720" w:hanging="720"/>
    </w:pPr>
  </w:style>
  <w:style w:type="character" w:styleId="Hyperlink">
    <w:name w:val="Hyperlink"/>
    <w:basedOn w:val="DefaultParagraphFont"/>
    <w:uiPriority w:val="99"/>
    <w:unhideWhenUsed/>
    <w:rsid w:val="00E50EE6"/>
    <w:rPr>
      <w:color w:val="0000FF" w:themeColor="hyperlink"/>
      <w:u w:val="single"/>
    </w:rPr>
  </w:style>
  <w:style w:type="paragraph" w:styleId="NoSpacing">
    <w:name w:val="No Spacing"/>
    <w:uiPriority w:val="1"/>
    <w:qFormat/>
    <w:rsid w:val="00103F86"/>
    <w:pPr>
      <w:spacing w:after="0" w:line="240" w:lineRule="auto"/>
    </w:pPr>
  </w:style>
  <w:style w:type="paragraph" w:styleId="Caption">
    <w:name w:val="caption"/>
    <w:basedOn w:val="Normal"/>
    <w:next w:val="Normal"/>
    <w:autoRedefine/>
    <w:uiPriority w:val="35"/>
    <w:unhideWhenUsed/>
    <w:qFormat/>
    <w:rsid w:val="00204C13"/>
    <w:pPr>
      <w:keepNext/>
      <w:spacing w:line="240" w:lineRule="auto"/>
      <w:jc w:val="center"/>
    </w:pPr>
    <w:rPr>
      <w:rFonts w:ascii="Times New Roman" w:hAnsi="Times New Roman" w:cs="Times New Roman"/>
      <w:b/>
      <w:sz w:val="20"/>
      <w:szCs w:val="20"/>
    </w:rPr>
  </w:style>
  <w:style w:type="paragraph" w:styleId="Footer">
    <w:name w:val="footer"/>
    <w:basedOn w:val="Normal"/>
    <w:link w:val="FooterChar"/>
    <w:uiPriority w:val="99"/>
    <w:unhideWhenUsed/>
    <w:rsid w:val="009674BE"/>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0"/>
      <w:szCs w:val="24"/>
      <w:lang w:eastAsia="en-US"/>
    </w:rPr>
  </w:style>
  <w:style w:type="character" w:customStyle="1" w:styleId="FooterChar">
    <w:name w:val="Footer Char"/>
    <w:basedOn w:val="DefaultParagraphFont"/>
    <w:link w:val="Footer"/>
    <w:uiPriority w:val="99"/>
    <w:rsid w:val="009674BE"/>
    <w:rPr>
      <w:rFonts w:ascii="Times New Roman" w:eastAsia="Times New Roman" w:hAnsi="Times New Roman" w:cs="Times New Roman"/>
      <w:sz w:val="20"/>
      <w:szCs w:val="24"/>
      <w:lang w:eastAsia="en-US"/>
    </w:rPr>
  </w:style>
  <w:style w:type="character" w:styleId="PageNumber">
    <w:name w:val="page number"/>
    <w:basedOn w:val="DefaultParagraphFont"/>
    <w:uiPriority w:val="99"/>
    <w:semiHidden/>
    <w:unhideWhenUsed/>
    <w:rsid w:val="009674BE"/>
  </w:style>
  <w:style w:type="paragraph" w:styleId="TOCHeading">
    <w:name w:val="TOC Heading"/>
    <w:basedOn w:val="Heading1"/>
    <w:next w:val="Normal"/>
    <w:uiPriority w:val="39"/>
    <w:unhideWhenUsed/>
    <w:qFormat/>
    <w:rsid w:val="00FA5321"/>
    <w:pPr>
      <w:keepNext/>
      <w:keepLines/>
      <w:numPr>
        <w:numId w:val="0"/>
      </w:numPr>
      <w:spacing w:before="240" w:line="259" w:lineRule="auto"/>
      <w:contextualSpacing w:val="0"/>
      <w:outlineLvl w:val="9"/>
    </w:pPr>
    <w:rPr>
      <w:rFonts w:asciiTheme="majorHAnsi" w:eastAsiaTheme="majorEastAsia" w:hAnsiTheme="majorHAnsi" w:cstheme="majorBidi"/>
      <w:color w:val="005585" w:themeColor="accent1" w:themeShade="BF"/>
      <w:sz w:val="32"/>
      <w:szCs w:val="32"/>
      <w:lang w:eastAsia="en-US"/>
    </w:rPr>
  </w:style>
  <w:style w:type="paragraph" w:styleId="TOC1">
    <w:name w:val="toc 1"/>
    <w:basedOn w:val="Normal"/>
    <w:next w:val="Normal"/>
    <w:autoRedefine/>
    <w:uiPriority w:val="39"/>
    <w:unhideWhenUsed/>
    <w:rsid w:val="00191270"/>
    <w:pPr>
      <w:tabs>
        <w:tab w:val="left" w:pos="660"/>
        <w:tab w:val="right" w:leader="dot" w:pos="9350"/>
      </w:tabs>
      <w:spacing w:after="100"/>
    </w:pPr>
  </w:style>
  <w:style w:type="paragraph" w:styleId="TOC2">
    <w:name w:val="toc 2"/>
    <w:basedOn w:val="Normal"/>
    <w:next w:val="Normal"/>
    <w:autoRedefine/>
    <w:uiPriority w:val="39"/>
    <w:unhideWhenUsed/>
    <w:rsid w:val="00FA5321"/>
    <w:pPr>
      <w:spacing w:after="100"/>
      <w:ind w:left="220"/>
    </w:pPr>
  </w:style>
  <w:style w:type="paragraph" w:styleId="TableofFigures">
    <w:name w:val="table of figures"/>
    <w:basedOn w:val="Normal"/>
    <w:next w:val="Normal"/>
    <w:uiPriority w:val="99"/>
    <w:unhideWhenUsed/>
    <w:rsid w:val="0037673C"/>
    <w:pPr>
      <w:spacing w:after="0"/>
    </w:pPr>
  </w:style>
  <w:style w:type="paragraph" w:styleId="Header">
    <w:name w:val="header"/>
    <w:basedOn w:val="Normal"/>
    <w:link w:val="HeaderChar"/>
    <w:uiPriority w:val="99"/>
    <w:unhideWhenUsed/>
    <w:rsid w:val="002C26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662"/>
  </w:style>
  <w:style w:type="character" w:styleId="PlaceholderText">
    <w:name w:val="Placeholder Text"/>
    <w:basedOn w:val="DefaultParagraphFont"/>
    <w:uiPriority w:val="99"/>
    <w:semiHidden/>
    <w:rsid w:val="00164B34"/>
    <w:rPr>
      <w:color w:val="808080"/>
    </w:rPr>
  </w:style>
  <w:style w:type="character" w:customStyle="1" w:styleId="xpoqfe">
    <w:name w:val="xpoqfe"/>
    <w:basedOn w:val="DefaultParagraphFont"/>
    <w:rsid w:val="009B4386"/>
  </w:style>
  <w:style w:type="character" w:customStyle="1" w:styleId="fe69if">
    <w:name w:val="fe69if"/>
    <w:basedOn w:val="DefaultParagraphFont"/>
    <w:rsid w:val="009B4386"/>
  </w:style>
  <w:style w:type="paragraph" w:styleId="Revision">
    <w:name w:val="Revision"/>
    <w:hidden/>
    <w:uiPriority w:val="99"/>
    <w:semiHidden/>
    <w:rsid w:val="0046521C"/>
    <w:pPr>
      <w:spacing w:after="0" w:line="240" w:lineRule="auto"/>
    </w:pPr>
  </w:style>
  <w:style w:type="character" w:styleId="FollowedHyperlink">
    <w:name w:val="FollowedHyperlink"/>
    <w:basedOn w:val="DefaultParagraphFont"/>
    <w:uiPriority w:val="99"/>
    <w:semiHidden/>
    <w:unhideWhenUsed/>
    <w:rsid w:val="00060232"/>
    <w:rPr>
      <w:color w:val="800080" w:themeColor="followedHyperlink"/>
      <w:u w:val="single"/>
    </w:rPr>
  </w:style>
  <w:style w:type="paragraph" w:styleId="TOC3">
    <w:name w:val="toc 3"/>
    <w:basedOn w:val="Normal"/>
    <w:next w:val="Normal"/>
    <w:autoRedefine/>
    <w:uiPriority w:val="39"/>
    <w:unhideWhenUsed/>
    <w:rsid w:val="0028662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574">
      <w:bodyDiv w:val="1"/>
      <w:marLeft w:val="0"/>
      <w:marRight w:val="0"/>
      <w:marTop w:val="0"/>
      <w:marBottom w:val="0"/>
      <w:divBdr>
        <w:top w:val="none" w:sz="0" w:space="0" w:color="auto"/>
        <w:left w:val="none" w:sz="0" w:space="0" w:color="auto"/>
        <w:bottom w:val="none" w:sz="0" w:space="0" w:color="auto"/>
        <w:right w:val="none" w:sz="0" w:space="0" w:color="auto"/>
      </w:divBdr>
    </w:div>
    <w:div w:id="20471258">
      <w:bodyDiv w:val="1"/>
      <w:marLeft w:val="0"/>
      <w:marRight w:val="0"/>
      <w:marTop w:val="0"/>
      <w:marBottom w:val="0"/>
      <w:divBdr>
        <w:top w:val="none" w:sz="0" w:space="0" w:color="auto"/>
        <w:left w:val="none" w:sz="0" w:space="0" w:color="auto"/>
        <w:bottom w:val="none" w:sz="0" w:space="0" w:color="auto"/>
        <w:right w:val="none" w:sz="0" w:space="0" w:color="auto"/>
      </w:divBdr>
    </w:div>
    <w:div w:id="27533904">
      <w:bodyDiv w:val="1"/>
      <w:marLeft w:val="0"/>
      <w:marRight w:val="0"/>
      <w:marTop w:val="0"/>
      <w:marBottom w:val="0"/>
      <w:divBdr>
        <w:top w:val="none" w:sz="0" w:space="0" w:color="auto"/>
        <w:left w:val="none" w:sz="0" w:space="0" w:color="auto"/>
        <w:bottom w:val="none" w:sz="0" w:space="0" w:color="auto"/>
        <w:right w:val="none" w:sz="0" w:space="0" w:color="auto"/>
      </w:divBdr>
    </w:div>
    <w:div w:id="40328837">
      <w:bodyDiv w:val="1"/>
      <w:marLeft w:val="0"/>
      <w:marRight w:val="0"/>
      <w:marTop w:val="0"/>
      <w:marBottom w:val="0"/>
      <w:divBdr>
        <w:top w:val="none" w:sz="0" w:space="0" w:color="auto"/>
        <w:left w:val="none" w:sz="0" w:space="0" w:color="auto"/>
        <w:bottom w:val="none" w:sz="0" w:space="0" w:color="auto"/>
        <w:right w:val="none" w:sz="0" w:space="0" w:color="auto"/>
      </w:divBdr>
    </w:div>
    <w:div w:id="42367463">
      <w:bodyDiv w:val="1"/>
      <w:marLeft w:val="0"/>
      <w:marRight w:val="0"/>
      <w:marTop w:val="0"/>
      <w:marBottom w:val="0"/>
      <w:divBdr>
        <w:top w:val="none" w:sz="0" w:space="0" w:color="auto"/>
        <w:left w:val="none" w:sz="0" w:space="0" w:color="auto"/>
        <w:bottom w:val="none" w:sz="0" w:space="0" w:color="auto"/>
        <w:right w:val="none" w:sz="0" w:space="0" w:color="auto"/>
      </w:divBdr>
    </w:div>
    <w:div w:id="53165607">
      <w:bodyDiv w:val="1"/>
      <w:marLeft w:val="0"/>
      <w:marRight w:val="0"/>
      <w:marTop w:val="0"/>
      <w:marBottom w:val="0"/>
      <w:divBdr>
        <w:top w:val="none" w:sz="0" w:space="0" w:color="auto"/>
        <w:left w:val="none" w:sz="0" w:space="0" w:color="auto"/>
        <w:bottom w:val="none" w:sz="0" w:space="0" w:color="auto"/>
        <w:right w:val="none" w:sz="0" w:space="0" w:color="auto"/>
      </w:divBdr>
    </w:div>
    <w:div w:id="67309912">
      <w:bodyDiv w:val="1"/>
      <w:marLeft w:val="0"/>
      <w:marRight w:val="0"/>
      <w:marTop w:val="0"/>
      <w:marBottom w:val="0"/>
      <w:divBdr>
        <w:top w:val="none" w:sz="0" w:space="0" w:color="auto"/>
        <w:left w:val="none" w:sz="0" w:space="0" w:color="auto"/>
        <w:bottom w:val="none" w:sz="0" w:space="0" w:color="auto"/>
        <w:right w:val="none" w:sz="0" w:space="0" w:color="auto"/>
      </w:divBdr>
    </w:div>
    <w:div w:id="96097962">
      <w:bodyDiv w:val="1"/>
      <w:marLeft w:val="0"/>
      <w:marRight w:val="0"/>
      <w:marTop w:val="0"/>
      <w:marBottom w:val="0"/>
      <w:divBdr>
        <w:top w:val="none" w:sz="0" w:space="0" w:color="auto"/>
        <w:left w:val="none" w:sz="0" w:space="0" w:color="auto"/>
        <w:bottom w:val="none" w:sz="0" w:space="0" w:color="auto"/>
        <w:right w:val="none" w:sz="0" w:space="0" w:color="auto"/>
      </w:divBdr>
    </w:div>
    <w:div w:id="104079098">
      <w:bodyDiv w:val="1"/>
      <w:marLeft w:val="0"/>
      <w:marRight w:val="0"/>
      <w:marTop w:val="0"/>
      <w:marBottom w:val="0"/>
      <w:divBdr>
        <w:top w:val="none" w:sz="0" w:space="0" w:color="auto"/>
        <w:left w:val="none" w:sz="0" w:space="0" w:color="auto"/>
        <w:bottom w:val="none" w:sz="0" w:space="0" w:color="auto"/>
        <w:right w:val="none" w:sz="0" w:space="0" w:color="auto"/>
      </w:divBdr>
    </w:div>
    <w:div w:id="128517737">
      <w:bodyDiv w:val="1"/>
      <w:marLeft w:val="0"/>
      <w:marRight w:val="0"/>
      <w:marTop w:val="0"/>
      <w:marBottom w:val="0"/>
      <w:divBdr>
        <w:top w:val="none" w:sz="0" w:space="0" w:color="auto"/>
        <w:left w:val="none" w:sz="0" w:space="0" w:color="auto"/>
        <w:bottom w:val="none" w:sz="0" w:space="0" w:color="auto"/>
        <w:right w:val="none" w:sz="0" w:space="0" w:color="auto"/>
      </w:divBdr>
    </w:div>
    <w:div w:id="144130323">
      <w:bodyDiv w:val="1"/>
      <w:marLeft w:val="0"/>
      <w:marRight w:val="0"/>
      <w:marTop w:val="0"/>
      <w:marBottom w:val="0"/>
      <w:divBdr>
        <w:top w:val="none" w:sz="0" w:space="0" w:color="auto"/>
        <w:left w:val="none" w:sz="0" w:space="0" w:color="auto"/>
        <w:bottom w:val="none" w:sz="0" w:space="0" w:color="auto"/>
        <w:right w:val="none" w:sz="0" w:space="0" w:color="auto"/>
      </w:divBdr>
    </w:div>
    <w:div w:id="237131688">
      <w:bodyDiv w:val="1"/>
      <w:marLeft w:val="0"/>
      <w:marRight w:val="0"/>
      <w:marTop w:val="0"/>
      <w:marBottom w:val="0"/>
      <w:divBdr>
        <w:top w:val="none" w:sz="0" w:space="0" w:color="auto"/>
        <w:left w:val="none" w:sz="0" w:space="0" w:color="auto"/>
        <w:bottom w:val="none" w:sz="0" w:space="0" w:color="auto"/>
        <w:right w:val="none" w:sz="0" w:space="0" w:color="auto"/>
      </w:divBdr>
    </w:div>
    <w:div w:id="307128527">
      <w:bodyDiv w:val="1"/>
      <w:marLeft w:val="0"/>
      <w:marRight w:val="0"/>
      <w:marTop w:val="0"/>
      <w:marBottom w:val="0"/>
      <w:divBdr>
        <w:top w:val="none" w:sz="0" w:space="0" w:color="auto"/>
        <w:left w:val="none" w:sz="0" w:space="0" w:color="auto"/>
        <w:bottom w:val="none" w:sz="0" w:space="0" w:color="auto"/>
        <w:right w:val="none" w:sz="0" w:space="0" w:color="auto"/>
      </w:divBdr>
    </w:div>
    <w:div w:id="310253495">
      <w:bodyDiv w:val="1"/>
      <w:marLeft w:val="0"/>
      <w:marRight w:val="0"/>
      <w:marTop w:val="0"/>
      <w:marBottom w:val="0"/>
      <w:divBdr>
        <w:top w:val="none" w:sz="0" w:space="0" w:color="auto"/>
        <w:left w:val="none" w:sz="0" w:space="0" w:color="auto"/>
        <w:bottom w:val="none" w:sz="0" w:space="0" w:color="auto"/>
        <w:right w:val="none" w:sz="0" w:space="0" w:color="auto"/>
      </w:divBdr>
    </w:div>
    <w:div w:id="320306928">
      <w:bodyDiv w:val="1"/>
      <w:marLeft w:val="0"/>
      <w:marRight w:val="0"/>
      <w:marTop w:val="0"/>
      <w:marBottom w:val="0"/>
      <w:divBdr>
        <w:top w:val="none" w:sz="0" w:space="0" w:color="auto"/>
        <w:left w:val="none" w:sz="0" w:space="0" w:color="auto"/>
        <w:bottom w:val="none" w:sz="0" w:space="0" w:color="auto"/>
        <w:right w:val="none" w:sz="0" w:space="0" w:color="auto"/>
      </w:divBdr>
    </w:div>
    <w:div w:id="370568568">
      <w:bodyDiv w:val="1"/>
      <w:marLeft w:val="0"/>
      <w:marRight w:val="0"/>
      <w:marTop w:val="0"/>
      <w:marBottom w:val="0"/>
      <w:divBdr>
        <w:top w:val="none" w:sz="0" w:space="0" w:color="auto"/>
        <w:left w:val="none" w:sz="0" w:space="0" w:color="auto"/>
        <w:bottom w:val="none" w:sz="0" w:space="0" w:color="auto"/>
        <w:right w:val="none" w:sz="0" w:space="0" w:color="auto"/>
      </w:divBdr>
    </w:div>
    <w:div w:id="375591215">
      <w:bodyDiv w:val="1"/>
      <w:marLeft w:val="0"/>
      <w:marRight w:val="0"/>
      <w:marTop w:val="0"/>
      <w:marBottom w:val="0"/>
      <w:divBdr>
        <w:top w:val="none" w:sz="0" w:space="0" w:color="auto"/>
        <w:left w:val="none" w:sz="0" w:space="0" w:color="auto"/>
        <w:bottom w:val="none" w:sz="0" w:space="0" w:color="auto"/>
        <w:right w:val="none" w:sz="0" w:space="0" w:color="auto"/>
      </w:divBdr>
    </w:div>
    <w:div w:id="387338964">
      <w:bodyDiv w:val="1"/>
      <w:marLeft w:val="0"/>
      <w:marRight w:val="0"/>
      <w:marTop w:val="0"/>
      <w:marBottom w:val="0"/>
      <w:divBdr>
        <w:top w:val="none" w:sz="0" w:space="0" w:color="auto"/>
        <w:left w:val="none" w:sz="0" w:space="0" w:color="auto"/>
        <w:bottom w:val="none" w:sz="0" w:space="0" w:color="auto"/>
        <w:right w:val="none" w:sz="0" w:space="0" w:color="auto"/>
      </w:divBdr>
    </w:div>
    <w:div w:id="388190563">
      <w:bodyDiv w:val="1"/>
      <w:marLeft w:val="0"/>
      <w:marRight w:val="0"/>
      <w:marTop w:val="0"/>
      <w:marBottom w:val="0"/>
      <w:divBdr>
        <w:top w:val="none" w:sz="0" w:space="0" w:color="auto"/>
        <w:left w:val="none" w:sz="0" w:space="0" w:color="auto"/>
        <w:bottom w:val="none" w:sz="0" w:space="0" w:color="auto"/>
        <w:right w:val="none" w:sz="0" w:space="0" w:color="auto"/>
      </w:divBdr>
    </w:div>
    <w:div w:id="389958264">
      <w:bodyDiv w:val="1"/>
      <w:marLeft w:val="0"/>
      <w:marRight w:val="0"/>
      <w:marTop w:val="0"/>
      <w:marBottom w:val="0"/>
      <w:divBdr>
        <w:top w:val="none" w:sz="0" w:space="0" w:color="auto"/>
        <w:left w:val="none" w:sz="0" w:space="0" w:color="auto"/>
        <w:bottom w:val="none" w:sz="0" w:space="0" w:color="auto"/>
        <w:right w:val="none" w:sz="0" w:space="0" w:color="auto"/>
      </w:divBdr>
    </w:div>
    <w:div w:id="423578272">
      <w:bodyDiv w:val="1"/>
      <w:marLeft w:val="0"/>
      <w:marRight w:val="0"/>
      <w:marTop w:val="0"/>
      <w:marBottom w:val="0"/>
      <w:divBdr>
        <w:top w:val="none" w:sz="0" w:space="0" w:color="auto"/>
        <w:left w:val="none" w:sz="0" w:space="0" w:color="auto"/>
        <w:bottom w:val="none" w:sz="0" w:space="0" w:color="auto"/>
        <w:right w:val="none" w:sz="0" w:space="0" w:color="auto"/>
      </w:divBdr>
    </w:div>
    <w:div w:id="447044050">
      <w:bodyDiv w:val="1"/>
      <w:marLeft w:val="0"/>
      <w:marRight w:val="0"/>
      <w:marTop w:val="0"/>
      <w:marBottom w:val="0"/>
      <w:divBdr>
        <w:top w:val="none" w:sz="0" w:space="0" w:color="auto"/>
        <w:left w:val="none" w:sz="0" w:space="0" w:color="auto"/>
        <w:bottom w:val="none" w:sz="0" w:space="0" w:color="auto"/>
        <w:right w:val="none" w:sz="0" w:space="0" w:color="auto"/>
      </w:divBdr>
    </w:div>
    <w:div w:id="457604816">
      <w:bodyDiv w:val="1"/>
      <w:marLeft w:val="0"/>
      <w:marRight w:val="0"/>
      <w:marTop w:val="0"/>
      <w:marBottom w:val="0"/>
      <w:divBdr>
        <w:top w:val="none" w:sz="0" w:space="0" w:color="auto"/>
        <w:left w:val="none" w:sz="0" w:space="0" w:color="auto"/>
        <w:bottom w:val="none" w:sz="0" w:space="0" w:color="auto"/>
        <w:right w:val="none" w:sz="0" w:space="0" w:color="auto"/>
      </w:divBdr>
    </w:div>
    <w:div w:id="463736596">
      <w:bodyDiv w:val="1"/>
      <w:marLeft w:val="0"/>
      <w:marRight w:val="0"/>
      <w:marTop w:val="0"/>
      <w:marBottom w:val="0"/>
      <w:divBdr>
        <w:top w:val="none" w:sz="0" w:space="0" w:color="auto"/>
        <w:left w:val="none" w:sz="0" w:space="0" w:color="auto"/>
        <w:bottom w:val="none" w:sz="0" w:space="0" w:color="auto"/>
        <w:right w:val="none" w:sz="0" w:space="0" w:color="auto"/>
      </w:divBdr>
    </w:div>
    <w:div w:id="480318998">
      <w:bodyDiv w:val="1"/>
      <w:marLeft w:val="0"/>
      <w:marRight w:val="0"/>
      <w:marTop w:val="0"/>
      <w:marBottom w:val="0"/>
      <w:divBdr>
        <w:top w:val="none" w:sz="0" w:space="0" w:color="auto"/>
        <w:left w:val="none" w:sz="0" w:space="0" w:color="auto"/>
        <w:bottom w:val="none" w:sz="0" w:space="0" w:color="auto"/>
        <w:right w:val="none" w:sz="0" w:space="0" w:color="auto"/>
      </w:divBdr>
    </w:div>
    <w:div w:id="509680871">
      <w:bodyDiv w:val="1"/>
      <w:marLeft w:val="0"/>
      <w:marRight w:val="0"/>
      <w:marTop w:val="0"/>
      <w:marBottom w:val="0"/>
      <w:divBdr>
        <w:top w:val="none" w:sz="0" w:space="0" w:color="auto"/>
        <w:left w:val="none" w:sz="0" w:space="0" w:color="auto"/>
        <w:bottom w:val="none" w:sz="0" w:space="0" w:color="auto"/>
        <w:right w:val="none" w:sz="0" w:space="0" w:color="auto"/>
      </w:divBdr>
    </w:div>
    <w:div w:id="520121305">
      <w:bodyDiv w:val="1"/>
      <w:marLeft w:val="0"/>
      <w:marRight w:val="0"/>
      <w:marTop w:val="0"/>
      <w:marBottom w:val="0"/>
      <w:divBdr>
        <w:top w:val="none" w:sz="0" w:space="0" w:color="auto"/>
        <w:left w:val="none" w:sz="0" w:space="0" w:color="auto"/>
        <w:bottom w:val="none" w:sz="0" w:space="0" w:color="auto"/>
        <w:right w:val="none" w:sz="0" w:space="0" w:color="auto"/>
      </w:divBdr>
    </w:div>
    <w:div w:id="596793604">
      <w:bodyDiv w:val="1"/>
      <w:marLeft w:val="0"/>
      <w:marRight w:val="0"/>
      <w:marTop w:val="0"/>
      <w:marBottom w:val="0"/>
      <w:divBdr>
        <w:top w:val="none" w:sz="0" w:space="0" w:color="auto"/>
        <w:left w:val="none" w:sz="0" w:space="0" w:color="auto"/>
        <w:bottom w:val="none" w:sz="0" w:space="0" w:color="auto"/>
        <w:right w:val="none" w:sz="0" w:space="0" w:color="auto"/>
      </w:divBdr>
    </w:div>
    <w:div w:id="628972028">
      <w:bodyDiv w:val="1"/>
      <w:marLeft w:val="0"/>
      <w:marRight w:val="0"/>
      <w:marTop w:val="0"/>
      <w:marBottom w:val="0"/>
      <w:divBdr>
        <w:top w:val="none" w:sz="0" w:space="0" w:color="auto"/>
        <w:left w:val="none" w:sz="0" w:space="0" w:color="auto"/>
        <w:bottom w:val="none" w:sz="0" w:space="0" w:color="auto"/>
        <w:right w:val="none" w:sz="0" w:space="0" w:color="auto"/>
      </w:divBdr>
    </w:div>
    <w:div w:id="636959410">
      <w:bodyDiv w:val="1"/>
      <w:marLeft w:val="0"/>
      <w:marRight w:val="0"/>
      <w:marTop w:val="0"/>
      <w:marBottom w:val="0"/>
      <w:divBdr>
        <w:top w:val="none" w:sz="0" w:space="0" w:color="auto"/>
        <w:left w:val="none" w:sz="0" w:space="0" w:color="auto"/>
        <w:bottom w:val="none" w:sz="0" w:space="0" w:color="auto"/>
        <w:right w:val="none" w:sz="0" w:space="0" w:color="auto"/>
      </w:divBdr>
    </w:div>
    <w:div w:id="655954400">
      <w:bodyDiv w:val="1"/>
      <w:marLeft w:val="0"/>
      <w:marRight w:val="0"/>
      <w:marTop w:val="0"/>
      <w:marBottom w:val="0"/>
      <w:divBdr>
        <w:top w:val="none" w:sz="0" w:space="0" w:color="auto"/>
        <w:left w:val="none" w:sz="0" w:space="0" w:color="auto"/>
        <w:bottom w:val="none" w:sz="0" w:space="0" w:color="auto"/>
        <w:right w:val="none" w:sz="0" w:space="0" w:color="auto"/>
      </w:divBdr>
    </w:div>
    <w:div w:id="657929110">
      <w:bodyDiv w:val="1"/>
      <w:marLeft w:val="0"/>
      <w:marRight w:val="0"/>
      <w:marTop w:val="0"/>
      <w:marBottom w:val="0"/>
      <w:divBdr>
        <w:top w:val="none" w:sz="0" w:space="0" w:color="auto"/>
        <w:left w:val="none" w:sz="0" w:space="0" w:color="auto"/>
        <w:bottom w:val="none" w:sz="0" w:space="0" w:color="auto"/>
        <w:right w:val="none" w:sz="0" w:space="0" w:color="auto"/>
      </w:divBdr>
    </w:div>
    <w:div w:id="659503548">
      <w:bodyDiv w:val="1"/>
      <w:marLeft w:val="0"/>
      <w:marRight w:val="0"/>
      <w:marTop w:val="0"/>
      <w:marBottom w:val="0"/>
      <w:divBdr>
        <w:top w:val="none" w:sz="0" w:space="0" w:color="auto"/>
        <w:left w:val="none" w:sz="0" w:space="0" w:color="auto"/>
        <w:bottom w:val="none" w:sz="0" w:space="0" w:color="auto"/>
        <w:right w:val="none" w:sz="0" w:space="0" w:color="auto"/>
      </w:divBdr>
    </w:div>
    <w:div w:id="673457632">
      <w:bodyDiv w:val="1"/>
      <w:marLeft w:val="0"/>
      <w:marRight w:val="0"/>
      <w:marTop w:val="0"/>
      <w:marBottom w:val="0"/>
      <w:divBdr>
        <w:top w:val="none" w:sz="0" w:space="0" w:color="auto"/>
        <w:left w:val="none" w:sz="0" w:space="0" w:color="auto"/>
        <w:bottom w:val="none" w:sz="0" w:space="0" w:color="auto"/>
        <w:right w:val="none" w:sz="0" w:space="0" w:color="auto"/>
      </w:divBdr>
    </w:div>
    <w:div w:id="679435132">
      <w:bodyDiv w:val="1"/>
      <w:marLeft w:val="0"/>
      <w:marRight w:val="0"/>
      <w:marTop w:val="0"/>
      <w:marBottom w:val="0"/>
      <w:divBdr>
        <w:top w:val="none" w:sz="0" w:space="0" w:color="auto"/>
        <w:left w:val="none" w:sz="0" w:space="0" w:color="auto"/>
        <w:bottom w:val="none" w:sz="0" w:space="0" w:color="auto"/>
        <w:right w:val="none" w:sz="0" w:space="0" w:color="auto"/>
      </w:divBdr>
    </w:div>
    <w:div w:id="679624869">
      <w:bodyDiv w:val="1"/>
      <w:marLeft w:val="0"/>
      <w:marRight w:val="0"/>
      <w:marTop w:val="0"/>
      <w:marBottom w:val="0"/>
      <w:divBdr>
        <w:top w:val="none" w:sz="0" w:space="0" w:color="auto"/>
        <w:left w:val="none" w:sz="0" w:space="0" w:color="auto"/>
        <w:bottom w:val="none" w:sz="0" w:space="0" w:color="auto"/>
        <w:right w:val="none" w:sz="0" w:space="0" w:color="auto"/>
      </w:divBdr>
    </w:div>
    <w:div w:id="728648060">
      <w:bodyDiv w:val="1"/>
      <w:marLeft w:val="0"/>
      <w:marRight w:val="0"/>
      <w:marTop w:val="0"/>
      <w:marBottom w:val="0"/>
      <w:divBdr>
        <w:top w:val="none" w:sz="0" w:space="0" w:color="auto"/>
        <w:left w:val="none" w:sz="0" w:space="0" w:color="auto"/>
        <w:bottom w:val="none" w:sz="0" w:space="0" w:color="auto"/>
        <w:right w:val="none" w:sz="0" w:space="0" w:color="auto"/>
      </w:divBdr>
    </w:div>
    <w:div w:id="792092805">
      <w:bodyDiv w:val="1"/>
      <w:marLeft w:val="0"/>
      <w:marRight w:val="0"/>
      <w:marTop w:val="0"/>
      <w:marBottom w:val="0"/>
      <w:divBdr>
        <w:top w:val="none" w:sz="0" w:space="0" w:color="auto"/>
        <w:left w:val="none" w:sz="0" w:space="0" w:color="auto"/>
        <w:bottom w:val="none" w:sz="0" w:space="0" w:color="auto"/>
        <w:right w:val="none" w:sz="0" w:space="0" w:color="auto"/>
      </w:divBdr>
    </w:div>
    <w:div w:id="799104423">
      <w:bodyDiv w:val="1"/>
      <w:marLeft w:val="0"/>
      <w:marRight w:val="0"/>
      <w:marTop w:val="0"/>
      <w:marBottom w:val="0"/>
      <w:divBdr>
        <w:top w:val="none" w:sz="0" w:space="0" w:color="auto"/>
        <w:left w:val="none" w:sz="0" w:space="0" w:color="auto"/>
        <w:bottom w:val="none" w:sz="0" w:space="0" w:color="auto"/>
        <w:right w:val="none" w:sz="0" w:space="0" w:color="auto"/>
      </w:divBdr>
      <w:divsChild>
        <w:div w:id="236870220">
          <w:marLeft w:val="0"/>
          <w:marRight w:val="0"/>
          <w:marTop w:val="0"/>
          <w:marBottom w:val="0"/>
          <w:divBdr>
            <w:top w:val="none" w:sz="0" w:space="0" w:color="auto"/>
            <w:left w:val="none" w:sz="0" w:space="0" w:color="auto"/>
            <w:bottom w:val="none" w:sz="0" w:space="0" w:color="auto"/>
            <w:right w:val="none" w:sz="0" w:space="0" w:color="auto"/>
          </w:divBdr>
          <w:divsChild>
            <w:div w:id="273371435">
              <w:marLeft w:val="0"/>
              <w:marRight w:val="0"/>
              <w:marTop w:val="0"/>
              <w:marBottom w:val="0"/>
              <w:divBdr>
                <w:top w:val="none" w:sz="0" w:space="0" w:color="auto"/>
                <w:left w:val="none" w:sz="0" w:space="0" w:color="auto"/>
                <w:bottom w:val="none" w:sz="0" w:space="0" w:color="auto"/>
                <w:right w:val="none" w:sz="0" w:space="0" w:color="auto"/>
              </w:divBdr>
              <w:divsChild>
                <w:div w:id="976300272">
                  <w:marLeft w:val="0"/>
                  <w:marRight w:val="0"/>
                  <w:marTop w:val="0"/>
                  <w:marBottom w:val="0"/>
                  <w:divBdr>
                    <w:top w:val="none" w:sz="0" w:space="0" w:color="auto"/>
                    <w:left w:val="none" w:sz="0" w:space="0" w:color="auto"/>
                    <w:bottom w:val="none" w:sz="0" w:space="0" w:color="auto"/>
                    <w:right w:val="none" w:sz="0" w:space="0" w:color="auto"/>
                  </w:divBdr>
                  <w:divsChild>
                    <w:div w:id="1165899835">
                      <w:marLeft w:val="0"/>
                      <w:marRight w:val="0"/>
                      <w:marTop w:val="0"/>
                      <w:marBottom w:val="0"/>
                      <w:divBdr>
                        <w:top w:val="none" w:sz="0" w:space="0" w:color="auto"/>
                        <w:left w:val="none" w:sz="0" w:space="0" w:color="auto"/>
                        <w:bottom w:val="none" w:sz="0" w:space="0" w:color="auto"/>
                        <w:right w:val="none" w:sz="0" w:space="0" w:color="auto"/>
                      </w:divBdr>
                      <w:divsChild>
                        <w:div w:id="901907368">
                          <w:marLeft w:val="0"/>
                          <w:marRight w:val="0"/>
                          <w:marTop w:val="0"/>
                          <w:marBottom w:val="0"/>
                          <w:divBdr>
                            <w:top w:val="none" w:sz="0" w:space="0" w:color="auto"/>
                            <w:left w:val="none" w:sz="0" w:space="0" w:color="auto"/>
                            <w:bottom w:val="none" w:sz="0" w:space="0" w:color="auto"/>
                            <w:right w:val="none" w:sz="0" w:space="0" w:color="auto"/>
                          </w:divBdr>
                          <w:divsChild>
                            <w:div w:id="1189248714">
                              <w:marLeft w:val="300"/>
                              <w:marRight w:val="0"/>
                              <w:marTop w:val="0"/>
                              <w:marBottom w:val="0"/>
                              <w:divBdr>
                                <w:top w:val="none" w:sz="0" w:space="0" w:color="auto"/>
                                <w:left w:val="none" w:sz="0" w:space="0" w:color="auto"/>
                                <w:bottom w:val="none" w:sz="0" w:space="0" w:color="auto"/>
                                <w:right w:val="none" w:sz="0" w:space="0" w:color="auto"/>
                              </w:divBdr>
                              <w:divsChild>
                                <w:div w:id="1807622492">
                                  <w:marLeft w:val="-300"/>
                                  <w:marRight w:val="0"/>
                                  <w:marTop w:val="0"/>
                                  <w:marBottom w:val="0"/>
                                  <w:divBdr>
                                    <w:top w:val="none" w:sz="0" w:space="0" w:color="auto"/>
                                    <w:left w:val="none" w:sz="0" w:space="0" w:color="auto"/>
                                    <w:bottom w:val="none" w:sz="0" w:space="0" w:color="auto"/>
                                    <w:right w:val="none" w:sz="0" w:space="0" w:color="auto"/>
                                  </w:divBdr>
                                  <w:divsChild>
                                    <w:div w:id="92537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240606">
                  <w:marLeft w:val="0"/>
                  <w:marRight w:val="0"/>
                  <w:marTop w:val="0"/>
                  <w:marBottom w:val="0"/>
                  <w:divBdr>
                    <w:top w:val="none" w:sz="0" w:space="0" w:color="auto"/>
                    <w:left w:val="none" w:sz="0" w:space="0" w:color="auto"/>
                    <w:bottom w:val="none" w:sz="0" w:space="0" w:color="auto"/>
                    <w:right w:val="none" w:sz="0" w:space="0" w:color="auto"/>
                  </w:divBdr>
                  <w:divsChild>
                    <w:div w:id="926034719">
                      <w:marLeft w:val="0"/>
                      <w:marRight w:val="0"/>
                      <w:marTop w:val="0"/>
                      <w:marBottom w:val="0"/>
                      <w:divBdr>
                        <w:top w:val="none" w:sz="0" w:space="0" w:color="auto"/>
                        <w:left w:val="none" w:sz="0" w:space="0" w:color="auto"/>
                        <w:bottom w:val="none" w:sz="0" w:space="0" w:color="auto"/>
                        <w:right w:val="none" w:sz="0" w:space="0" w:color="auto"/>
                      </w:divBdr>
                      <w:divsChild>
                        <w:div w:id="199652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109599">
          <w:marLeft w:val="0"/>
          <w:marRight w:val="0"/>
          <w:marTop w:val="0"/>
          <w:marBottom w:val="0"/>
          <w:divBdr>
            <w:top w:val="none" w:sz="0" w:space="0" w:color="auto"/>
            <w:left w:val="none" w:sz="0" w:space="0" w:color="auto"/>
            <w:bottom w:val="none" w:sz="0" w:space="0" w:color="auto"/>
            <w:right w:val="none" w:sz="0" w:space="0" w:color="auto"/>
          </w:divBdr>
        </w:div>
        <w:div w:id="1747997651">
          <w:marLeft w:val="0"/>
          <w:marRight w:val="0"/>
          <w:marTop w:val="0"/>
          <w:marBottom w:val="0"/>
          <w:divBdr>
            <w:top w:val="none" w:sz="0" w:space="0" w:color="auto"/>
            <w:left w:val="none" w:sz="0" w:space="0" w:color="auto"/>
            <w:bottom w:val="none" w:sz="0" w:space="0" w:color="auto"/>
            <w:right w:val="none" w:sz="0" w:space="0" w:color="auto"/>
          </w:divBdr>
          <w:divsChild>
            <w:div w:id="257758966">
              <w:marLeft w:val="0"/>
              <w:marRight w:val="0"/>
              <w:marTop w:val="0"/>
              <w:marBottom w:val="0"/>
              <w:divBdr>
                <w:top w:val="none" w:sz="0" w:space="0" w:color="auto"/>
                <w:left w:val="none" w:sz="0" w:space="0" w:color="auto"/>
                <w:bottom w:val="none" w:sz="0" w:space="0" w:color="auto"/>
                <w:right w:val="none" w:sz="0" w:space="0" w:color="auto"/>
              </w:divBdr>
            </w:div>
          </w:divsChild>
        </w:div>
        <w:div w:id="1877083776">
          <w:marLeft w:val="0"/>
          <w:marRight w:val="0"/>
          <w:marTop w:val="0"/>
          <w:marBottom w:val="0"/>
          <w:divBdr>
            <w:top w:val="none" w:sz="0" w:space="0" w:color="auto"/>
            <w:left w:val="none" w:sz="0" w:space="0" w:color="auto"/>
            <w:bottom w:val="none" w:sz="0" w:space="0" w:color="auto"/>
            <w:right w:val="none" w:sz="0" w:space="0" w:color="auto"/>
          </w:divBdr>
          <w:divsChild>
            <w:div w:id="1292054774">
              <w:marLeft w:val="0"/>
              <w:marRight w:val="0"/>
              <w:marTop w:val="0"/>
              <w:marBottom w:val="0"/>
              <w:divBdr>
                <w:top w:val="none" w:sz="0" w:space="0" w:color="auto"/>
                <w:left w:val="none" w:sz="0" w:space="0" w:color="auto"/>
                <w:bottom w:val="none" w:sz="0" w:space="0" w:color="auto"/>
                <w:right w:val="none" w:sz="0" w:space="0" w:color="auto"/>
              </w:divBdr>
              <w:divsChild>
                <w:div w:id="1135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977693">
      <w:bodyDiv w:val="1"/>
      <w:marLeft w:val="0"/>
      <w:marRight w:val="0"/>
      <w:marTop w:val="0"/>
      <w:marBottom w:val="0"/>
      <w:divBdr>
        <w:top w:val="none" w:sz="0" w:space="0" w:color="auto"/>
        <w:left w:val="none" w:sz="0" w:space="0" w:color="auto"/>
        <w:bottom w:val="none" w:sz="0" w:space="0" w:color="auto"/>
        <w:right w:val="none" w:sz="0" w:space="0" w:color="auto"/>
      </w:divBdr>
    </w:div>
    <w:div w:id="866136343">
      <w:bodyDiv w:val="1"/>
      <w:marLeft w:val="0"/>
      <w:marRight w:val="0"/>
      <w:marTop w:val="0"/>
      <w:marBottom w:val="0"/>
      <w:divBdr>
        <w:top w:val="none" w:sz="0" w:space="0" w:color="auto"/>
        <w:left w:val="none" w:sz="0" w:space="0" w:color="auto"/>
        <w:bottom w:val="none" w:sz="0" w:space="0" w:color="auto"/>
        <w:right w:val="none" w:sz="0" w:space="0" w:color="auto"/>
      </w:divBdr>
    </w:div>
    <w:div w:id="915167475">
      <w:bodyDiv w:val="1"/>
      <w:marLeft w:val="0"/>
      <w:marRight w:val="0"/>
      <w:marTop w:val="0"/>
      <w:marBottom w:val="0"/>
      <w:divBdr>
        <w:top w:val="none" w:sz="0" w:space="0" w:color="auto"/>
        <w:left w:val="none" w:sz="0" w:space="0" w:color="auto"/>
        <w:bottom w:val="none" w:sz="0" w:space="0" w:color="auto"/>
        <w:right w:val="none" w:sz="0" w:space="0" w:color="auto"/>
      </w:divBdr>
    </w:div>
    <w:div w:id="929853548">
      <w:bodyDiv w:val="1"/>
      <w:marLeft w:val="0"/>
      <w:marRight w:val="0"/>
      <w:marTop w:val="0"/>
      <w:marBottom w:val="0"/>
      <w:divBdr>
        <w:top w:val="none" w:sz="0" w:space="0" w:color="auto"/>
        <w:left w:val="none" w:sz="0" w:space="0" w:color="auto"/>
        <w:bottom w:val="none" w:sz="0" w:space="0" w:color="auto"/>
        <w:right w:val="none" w:sz="0" w:space="0" w:color="auto"/>
      </w:divBdr>
    </w:div>
    <w:div w:id="968976982">
      <w:bodyDiv w:val="1"/>
      <w:marLeft w:val="0"/>
      <w:marRight w:val="0"/>
      <w:marTop w:val="0"/>
      <w:marBottom w:val="0"/>
      <w:divBdr>
        <w:top w:val="none" w:sz="0" w:space="0" w:color="auto"/>
        <w:left w:val="none" w:sz="0" w:space="0" w:color="auto"/>
        <w:bottom w:val="none" w:sz="0" w:space="0" w:color="auto"/>
        <w:right w:val="none" w:sz="0" w:space="0" w:color="auto"/>
      </w:divBdr>
    </w:div>
    <w:div w:id="976568053">
      <w:bodyDiv w:val="1"/>
      <w:marLeft w:val="0"/>
      <w:marRight w:val="0"/>
      <w:marTop w:val="0"/>
      <w:marBottom w:val="0"/>
      <w:divBdr>
        <w:top w:val="none" w:sz="0" w:space="0" w:color="auto"/>
        <w:left w:val="none" w:sz="0" w:space="0" w:color="auto"/>
        <w:bottom w:val="none" w:sz="0" w:space="0" w:color="auto"/>
        <w:right w:val="none" w:sz="0" w:space="0" w:color="auto"/>
      </w:divBdr>
    </w:div>
    <w:div w:id="976685415">
      <w:bodyDiv w:val="1"/>
      <w:marLeft w:val="0"/>
      <w:marRight w:val="0"/>
      <w:marTop w:val="0"/>
      <w:marBottom w:val="0"/>
      <w:divBdr>
        <w:top w:val="none" w:sz="0" w:space="0" w:color="auto"/>
        <w:left w:val="none" w:sz="0" w:space="0" w:color="auto"/>
        <w:bottom w:val="none" w:sz="0" w:space="0" w:color="auto"/>
        <w:right w:val="none" w:sz="0" w:space="0" w:color="auto"/>
      </w:divBdr>
    </w:div>
    <w:div w:id="1006711443">
      <w:bodyDiv w:val="1"/>
      <w:marLeft w:val="0"/>
      <w:marRight w:val="0"/>
      <w:marTop w:val="0"/>
      <w:marBottom w:val="0"/>
      <w:divBdr>
        <w:top w:val="none" w:sz="0" w:space="0" w:color="auto"/>
        <w:left w:val="none" w:sz="0" w:space="0" w:color="auto"/>
        <w:bottom w:val="none" w:sz="0" w:space="0" w:color="auto"/>
        <w:right w:val="none" w:sz="0" w:space="0" w:color="auto"/>
      </w:divBdr>
    </w:div>
    <w:div w:id="1098408143">
      <w:bodyDiv w:val="1"/>
      <w:marLeft w:val="0"/>
      <w:marRight w:val="0"/>
      <w:marTop w:val="0"/>
      <w:marBottom w:val="0"/>
      <w:divBdr>
        <w:top w:val="none" w:sz="0" w:space="0" w:color="auto"/>
        <w:left w:val="none" w:sz="0" w:space="0" w:color="auto"/>
        <w:bottom w:val="none" w:sz="0" w:space="0" w:color="auto"/>
        <w:right w:val="none" w:sz="0" w:space="0" w:color="auto"/>
      </w:divBdr>
    </w:div>
    <w:div w:id="1124805888">
      <w:bodyDiv w:val="1"/>
      <w:marLeft w:val="0"/>
      <w:marRight w:val="0"/>
      <w:marTop w:val="0"/>
      <w:marBottom w:val="0"/>
      <w:divBdr>
        <w:top w:val="none" w:sz="0" w:space="0" w:color="auto"/>
        <w:left w:val="none" w:sz="0" w:space="0" w:color="auto"/>
        <w:bottom w:val="none" w:sz="0" w:space="0" w:color="auto"/>
        <w:right w:val="none" w:sz="0" w:space="0" w:color="auto"/>
      </w:divBdr>
    </w:div>
    <w:div w:id="1139301361">
      <w:bodyDiv w:val="1"/>
      <w:marLeft w:val="0"/>
      <w:marRight w:val="0"/>
      <w:marTop w:val="0"/>
      <w:marBottom w:val="0"/>
      <w:divBdr>
        <w:top w:val="none" w:sz="0" w:space="0" w:color="auto"/>
        <w:left w:val="none" w:sz="0" w:space="0" w:color="auto"/>
        <w:bottom w:val="none" w:sz="0" w:space="0" w:color="auto"/>
        <w:right w:val="none" w:sz="0" w:space="0" w:color="auto"/>
      </w:divBdr>
    </w:div>
    <w:div w:id="1149252545">
      <w:bodyDiv w:val="1"/>
      <w:marLeft w:val="0"/>
      <w:marRight w:val="0"/>
      <w:marTop w:val="0"/>
      <w:marBottom w:val="0"/>
      <w:divBdr>
        <w:top w:val="none" w:sz="0" w:space="0" w:color="auto"/>
        <w:left w:val="none" w:sz="0" w:space="0" w:color="auto"/>
        <w:bottom w:val="none" w:sz="0" w:space="0" w:color="auto"/>
        <w:right w:val="none" w:sz="0" w:space="0" w:color="auto"/>
      </w:divBdr>
    </w:div>
    <w:div w:id="1149441407">
      <w:bodyDiv w:val="1"/>
      <w:marLeft w:val="0"/>
      <w:marRight w:val="0"/>
      <w:marTop w:val="0"/>
      <w:marBottom w:val="0"/>
      <w:divBdr>
        <w:top w:val="none" w:sz="0" w:space="0" w:color="auto"/>
        <w:left w:val="none" w:sz="0" w:space="0" w:color="auto"/>
        <w:bottom w:val="none" w:sz="0" w:space="0" w:color="auto"/>
        <w:right w:val="none" w:sz="0" w:space="0" w:color="auto"/>
      </w:divBdr>
    </w:div>
    <w:div w:id="1180316173">
      <w:bodyDiv w:val="1"/>
      <w:marLeft w:val="0"/>
      <w:marRight w:val="0"/>
      <w:marTop w:val="0"/>
      <w:marBottom w:val="0"/>
      <w:divBdr>
        <w:top w:val="none" w:sz="0" w:space="0" w:color="auto"/>
        <w:left w:val="none" w:sz="0" w:space="0" w:color="auto"/>
        <w:bottom w:val="none" w:sz="0" w:space="0" w:color="auto"/>
        <w:right w:val="none" w:sz="0" w:space="0" w:color="auto"/>
      </w:divBdr>
    </w:div>
    <w:div w:id="1202088323">
      <w:bodyDiv w:val="1"/>
      <w:marLeft w:val="0"/>
      <w:marRight w:val="0"/>
      <w:marTop w:val="0"/>
      <w:marBottom w:val="0"/>
      <w:divBdr>
        <w:top w:val="none" w:sz="0" w:space="0" w:color="auto"/>
        <w:left w:val="none" w:sz="0" w:space="0" w:color="auto"/>
        <w:bottom w:val="none" w:sz="0" w:space="0" w:color="auto"/>
        <w:right w:val="none" w:sz="0" w:space="0" w:color="auto"/>
      </w:divBdr>
    </w:div>
    <w:div w:id="1239170175">
      <w:bodyDiv w:val="1"/>
      <w:marLeft w:val="0"/>
      <w:marRight w:val="0"/>
      <w:marTop w:val="0"/>
      <w:marBottom w:val="0"/>
      <w:divBdr>
        <w:top w:val="none" w:sz="0" w:space="0" w:color="auto"/>
        <w:left w:val="none" w:sz="0" w:space="0" w:color="auto"/>
        <w:bottom w:val="none" w:sz="0" w:space="0" w:color="auto"/>
        <w:right w:val="none" w:sz="0" w:space="0" w:color="auto"/>
      </w:divBdr>
    </w:div>
    <w:div w:id="1256280479">
      <w:bodyDiv w:val="1"/>
      <w:marLeft w:val="0"/>
      <w:marRight w:val="0"/>
      <w:marTop w:val="0"/>
      <w:marBottom w:val="0"/>
      <w:divBdr>
        <w:top w:val="none" w:sz="0" w:space="0" w:color="auto"/>
        <w:left w:val="none" w:sz="0" w:space="0" w:color="auto"/>
        <w:bottom w:val="none" w:sz="0" w:space="0" w:color="auto"/>
        <w:right w:val="none" w:sz="0" w:space="0" w:color="auto"/>
      </w:divBdr>
    </w:div>
    <w:div w:id="1257909554">
      <w:bodyDiv w:val="1"/>
      <w:marLeft w:val="0"/>
      <w:marRight w:val="0"/>
      <w:marTop w:val="0"/>
      <w:marBottom w:val="0"/>
      <w:divBdr>
        <w:top w:val="none" w:sz="0" w:space="0" w:color="auto"/>
        <w:left w:val="none" w:sz="0" w:space="0" w:color="auto"/>
        <w:bottom w:val="none" w:sz="0" w:space="0" w:color="auto"/>
        <w:right w:val="none" w:sz="0" w:space="0" w:color="auto"/>
      </w:divBdr>
    </w:div>
    <w:div w:id="1267731070">
      <w:bodyDiv w:val="1"/>
      <w:marLeft w:val="0"/>
      <w:marRight w:val="0"/>
      <w:marTop w:val="0"/>
      <w:marBottom w:val="0"/>
      <w:divBdr>
        <w:top w:val="none" w:sz="0" w:space="0" w:color="auto"/>
        <w:left w:val="none" w:sz="0" w:space="0" w:color="auto"/>
        <w:bottom w:val="none" w:sz="0" w:space="0" w:color="auto"/>
        <w:right w:val="none" w:sz="0" w:space="0" w:color="auto"/>
      </w:divBdr>
    </w:div>
    <w:div w:id="1275283767">
      <w:bodyDiv w:val="1"/>
      <w:marLeft w:val="0"/>
      <w:marRight w:val="0"/>
      <w:marTop w:val="0"/>
      <w:marBottom w:val="0"/>
      <w:divBdr>
        <w:top w:val="none" w:sz="0" w:space="0" w:color="auto"/>
        <w:left w:val="none" w:sz="0" w:space="0" w:color="auto"/>
        <w:bottom w:val="none" w:sz="0" w:space="0" w:color="auto"/>
        <w:right w:val="none" w:sz="0" w:space="0" w:color="auto"/>
      </w:divBdr>
    </w:div>
    <w:div w:id="1285308318">
      <w:bodyDiv w:val="1"/>
      <w:marLeft w:val="0"/>
      <w:marRight w:val="0"/>
      <w:marTop w:val="0"/>
      <w:marBottom w:val="0"/>
      <w:divBdr>
        <w:top w:val="none" w:sz="0" w:space="0" w:color="auto"/>
        <w:left w:val="none" w:sz="0" w:space="0" w:color="auto"/>
        <w:bottom w:val="none" w:sz="0" w:space="0" w:color="auto"/>
        <w:right w:val="none" w:sz="0" w:space="0" w:color="auto"/>
      </w:divBdr>
    </w:div>
    <w:div w:id="1292901998">
      <w:bodyDiv w:val="1"/>
      <w:marLeft w:val="0"/>
      <w:marRight w:val="0"/>
      <w:marTop w:val="0"/>
      <w:marBottom w:val="0"/>
      <w:divBdr>
        <w:top w:val="none" w:sz="0" w:space="0" w:color="auto"/>
        <w:left w:val="none" w:sz="0" w:space="0" w:color="auto"/>
        <w:bottom w:val="none" w:sz="0" w:space="0" w:color="auto"/>
        <w:right w:val="none" w:sz="0" w:space="0" w:color="auto"/>
      </w:divBdr>
    </w:div>
    <w:div w:id="1293100017">
      <w:bodyDiv w:val="1"/>
      <w:marLeft w:val="0"/>
      <w:marRight w:val="0"/>
      <w:marTop w:val="0"/>
      <w:marBottom w:val="0"/>
      <w:divBdr>
        <w:top w:val="none" w:sz="0" w:space="0" w:color="auto"/>
        <w:left w:val="none" w:sz="0" w:space="0" w:color="auto"/>
        <w:bottom w:val="none" w:sz="0" w:space="0" w:color="auto"/>
        <w:right w:val="none" w:sz="0" w:space="0" w:color="auto"/>
      </w:divBdr>
    </w:div>
    <w:div w:id="1306814090">
      <w:bodyDiv w:val="1"/>
      <w:marLeft w:val="0"/>
      <w:marRight w:val="0"/>
      <w:marTop w:val="0"/>
      <w:marBottom w:val="0"/>
      <w:divBdr>
        <w:top w:val="none" w:sz="0" w:space="0" w:color="auto"/>
        <w:left w:val="none" w:sz="0" w:space="0" w:color="auto"/>
        <w:bottom w:val="none" w:sz="0" w:space="0" w:color="auto"/>
        <w:right w:val="none" w:sz="0" w:space="0" w:color="auto"/>
      </w:divBdr>
    </w:div>
    <w:div w:id="1311448222">
      <w:bodyDiv w:val="1"/>
      <w:marLeft w:val="0"/>
      <w:marRight w:val="0"/>
      <w:marTop w:val="0"/>
      <w:marBottom w:val="0"/>
      <w:divBdr>
        <w:top w:val="none" w:sz="0" w:space="0" w:color="auto"/>
        <w:left w:val="none" w:sz="0" w:space="0" w:color="auto"/>
        <w:bottom w:val="none" w:sz="0" w:space="0" w:color="auto"/>
        <w:right w:val="none" w:sz="0" w:space="0" w:color="auto"/>
      </w:divBdr>
      <w:divsChild>
        <w:div w:id="1803112002">
          <w:marLeft w:val="0"/>
          <w:marRight w:val="0"/>
          <w:marTop w:val="0"/>
          <w:marBottom w:val="0"/>
          <w:divBdr>
            <w:top w:val="none" w:sz="0" w:space="0" w:color="auto"/>
            <w:left w:val="none" w:sz="0" w:space="0" w:color="auto"/>
            <w:bottom w:val="none" w:sz="0" w:space="0" w:color="auto"/>
            <w:right w:val="none" w:sz="0" w:space="0" w:color="auto"/>
          </w:divBdr>
        </w:div>
      </w:divsChild>
    </w:div>
    <w:div w:id="1323896221">
      <w:bodyDiv w:val="1"/>
      <w:marLeft w:val="0"/>
      <w:marRight w:val="0"/>
      <w:marTop w:val="0"/>
      <w:marBottom w:val="0"/>
      <w:divBdr>
        <w:top w:val="none" w:sz="0" w:space="0" w:color="auto"/>
        <w:left w:val="none" w:sz="0" w:space="0" w:color="auto"/>
        <w:bottom w:val="none" w:sz="0" w:space="0" w:color="auto"/>
        <w:right w:val="none" w:sz="0" w:space="0" w:color="auto"/>
      </w:divBdr>
    </w:div>
    <w:div w:id="1335647065">
      <w:bodyDiv w:val="1"/>
      <w:marLeft w:val="0"/>
      <w:marRight w:val="0"/>
      <w:marTop w:val="0"/>
      <w:marBottom w:val="0"/>
      <w:divBdr>
        <w:top w:val="none" w:sz="0" w:space="0" w:color="auto"/>
        <w:left w:val="none" w:sz="0" w:space="0" w:color="auto"/>
        <w:bottom w:val="none" w:sz="0" w:space="0" w:color="auto"/>
        <w:right w:val="none" w:sz="0" w:space="0" w:color="auto"/>
      </w:divBdr>
    </w:div>
    <w:div w:id="1339044033">
      <w:bodyDiv w:val="1"/>
      <w:marLeft w:val="0"/>
      <w:marRight w:val="0"/>
      <w:marTop w:val="0"/>
      <w:marBottom w:val="0"/>
      <w:divBdr>
        <w:top w:val="none" w:sz="0" w:space="0" w:color="auto"/>
        <w:left w:val="none" w:sz="0" w:space="0" w:color="auto"/>
        <w:bottom w:val="none" w:sz="0" w:space="0" w:color="auto"/>
        <w:right w:val="none" w:sz="0" w:space="0" w:color="auto"/>
      </w:divBdr>
    </w:div>
    <w:div w:id="1344434726">
      <w:bodyDiv w:val="1"/>
      <w:marLeft w:val="0"/>
      <w:marRight w:val="0"/>
      <w:marTop w:val="0"/>
      <w:marBottom w:val="0"/>
      <w:divBdr>
        <w:top w:val="none" w:sz="0" w:space="0" w:color="auto"/>
        <w:left w:val="none" w:sz="0" w:space="0" w:color="auto"/>
        <w:bottom w:val="none" w:sz="0" w:space="0" w:color="auto"/>
        <w:right w:val="none" w:sz="0" w:space="0" w:color="auto"/>
      </w:divBdr>
    </w:div>
    <w:div w:id="1386832641">
      <w:bodyDiv w:val="1"/>
      <w:marLeft w:val="0"/>
      <w:marRight w:val="0"/>
      <w:marTop w:val="0"/>
      <w:marBottom w:val="0"/>
      <w:divBdr>
        <w:top w:val="none" w:sz="0" w:space="0" w:color="auto"/>
        <w:left w:val="none" w:sz="0" w:space="0" w:color="auto"/>
        <w:bottom w:val="none" w:sz="0" w:space="0" w:color="auto"/>
        <w:right w:val="none" w:sz="0" w:space="0" w:color="auto"/>
      </w:divBdr>
    </w:div>
    <w:div w:id="1414621764">
      <w:bodyDiv w:val="1"/>
      <w:marLeft w:val="0"/>
      <w:marRight w:val="0"/>
      <w:marTop w:val="0"/>
      <w:marBottom w:val="0"/>
      <w:divBdr>
        <w:top w:val="none" w:sz="0" w:space="0" w:color="auto"/>
        <w:left w:val="none" w:sz="0" w:space="0" w:color="auto"/>
        <w:bottom w:val="none" w:sz="0" w:space="0" w:color="auto"/>
        <w:right w:val="none" w:sz="0" w:space="0" w:color="auto"/>
      </w:divBdr>
    </w:div>
    <w:div w:id="1435174035">
      <w:bodyDiv w:val="1"/>
      <w:marLeft w:val="0"/>
      <w:marRight w:val="0"/>
      <w:marTop w:val="0"/>
      <w:marBottom w:val="0"/>
      <w:divBdr>
        <w:top w:val="none" w:sz="0" w:space="0" w:color="auto"/>
        <w:left w:val="none" w:sz="0" w:space="0" w:color="auto"/>
        <w:bottom w:val="none" w:sz="0" w:space="0" w:color="auto"/>
        <w:right w:val="none" w:sz="0" w:space="0" w:color="auto"/>
      </w:divBdr>
    </w:div>
    <w:div w:id="1437097710">
      <w:bodyDiv w:val="1"/>
      <w:marLeft w:val="0"/>
      <w:marRight w:val="0"/>
      <w:marTop w:val="0"/>
      <w:marBottom w:val="0"/>
      <w:divBdr>
        <w:top w:val="none" w:sz="0" w:space="0" w:color="auto"/>
        <w:left w:val="none" w:sz="0" w:space="0" w:color="auto"/>
        <w:bottom w:val="none" w:sz="0" w:space="0" w:color="auto"/>
        <w:right w:val="none" w:sz="0" w:space="0" w:color="auto"/>
      </w:divBdr>
    </w:div>
    <w:div w:id="1460486890">
      <w:bodyDiv w:val="1"/>
      <w:marLeft w:val="0"/>
      <w:marRight w:val="0"/>
      <w:marTop w:val="0"/>
      <w:marBottom w:val="0"/>
      <w:divBdr>
        <w:top w:val="none" w:sz="0" w:space="0" w:color="auto"/>
        <w:left w:val="none" w:sz="0" w:space="0" w:color="auto"/>
        <w:bottom w:val="none" w:sz="0" w:space="0" w:color="auto"/>
        <w:right w:val="none" w:sz="0" w:space="0" w:color="auto"/>
      </w:divBdr>
    </w:div>
    <w:div w:id="1506019837">
      <w:bodyDiv w:val="1"/>
      <w:marLeft w:val="0"/>
      <w:marRight w:val="0"/>
      <w:marTop w:val="0"/>
      <w:marBottom w:val="0"/>
      <w:divBdr>
        <w:top w:val="none" w:sz="0" w:space="0" w:color="auto"/>
        <w:left w:val="none" w:sz="0" w:space="0" w:color="auto"/>
        <w:bottom w:val="none" w:sz="0" w:space="0" w:color="auto"/>
        <w:right w:val="none" w:sz="0" w:space="0" w:color="auto"/>
      </w:divBdr>
    </w:div>
    <w:div w:id="1531841930">
      <w:bodyDiv w:val="1"/>
      <w:marLeft w:val="0"/>
      <w:marRight w:val="0"/>
      <w:marTop w:val="0"/>
      <w:marBottom w:val="0"/>
      <w:divBdr>
        <w:top w:val="none" w:sz="0" w:space="0" w:color="auto"/>
        <w:left w:val="none" w:sz="0" w:space="0" w:color="auto"/>
        <w:bottom w:val="none" w:sz="0" w:space="0" w:color="auto"/>
        <w:right w:val="none" w:sz="0" w:space="0" w:color="auto"/>
      </w:divBdr>
    </w:div>
    <w:div w:id="1534420690">
      <w:bodyDiv w:val="1"/>
      <w:marLeft w:val="0"/>
      <w:marRight w:val="0"/>
      <w:marTop w:val="0"/>
      <w:marBottom w:val="0"/>
      <w:divBdr>
        <w:top w:val="none" w:sz="0" w:space="0" w:color="auto"/>
        <w:left w:val="none" w:sz="0" w:space="0" w:color="auto"/>
        <w:bottom w:val="none" w:sz="0" w:space="0" w:color="auto"/>
        <w:right w:val="none" w:sz="0" w:space="0" w:color="auto"/>
      </w:divBdr>
    </w:div>
    <w:div w:id="1548569837">
      <w:bodyDiv w:val="1"/>
      <w:marLeft w:val="0"/>
      <w:marRight w:val="0"/>
      <w:marTop w:val="0"/>
      <w:marBottom w:val="0"/>
      <w:divBdr>
        <w:top w:val="none" w:sz="0" w:space="0" w:color="auto"/>
        <w:left w:val="none" w:sz="0" w:space="0" w:color="auto"/>
        <w:bottom w:val="none" w:sz="0" w:space="0" w:color="auto"/>
        <w:right w:val="none" w:sz="0" w:space="0" w:color="auto"/>
      </w:divBdr>
    </w:div>
    <w:div w:id="1606304135">
      <w:bodyDiv w:val="1"/>
      <w:marLeft w:val="0"/>
      <w:marRight w:val="0"/>
      <w:marTop w:val="0"/>
      <w:marBottom w:val="0"/>
      <w:divBdr>
        <w:top w:val="none" w:sz="0" w:space="0" w:color="auto"/>
        <w:left w:val="none" w:sz="0" w:space="0" w:color="auto"/>
        <w:bottom w:val="none" w:sz="0" w:space="0" w:color="auto"/>
        <w:right w:val="none" w:sz="0" w:space="0" w:color="auto"/>
      </w:divBdr>
    </w:div>
    <w:div w:id="1626815847">
      <w:bodyDiv w:val="1"/>
      <w:marLeft w:val="0"/>
      <w:marRight w:val="0"/>
      <w:marTop w:val="0"/>
      <w:marBottom w:val="0"/>
      <w:divBdr>
        <w:top w:val="none" w:sz="0" w:space="0" w:color="auto"/>
        <w:left w:val="none" w:sz="0" w:space="0" w:color="auto"/>
        <w:bottom w:val="none" w:sz="0" w:space="0" w:color="auto"/>
        <w:right w:val="none" w:sz="0" w:space="0" w:color="auto"/>
      </w:divBdr>
    </w:div>
    <w:div w:id="1629430509">
      <w:bodyDiv w:val="1"/>
      <w:marLeft w:val="0"/>
      <w:marRight w:val="0"/>
      <w:marTop w:val="0"/>
      <w:marBottom w:val="0"/>
      <w:divBdr>
        <w:top w:val="none" w:sz="0" w:space="0" w:color="auto"/>
        <w:left w:val="none" w:sz="0" w:space="0" w:color="auto"/>
        <w:bottom w:val="none" w:sz="0" w:space="0" w:color="auto"/>
        <w:right w:val="none" w:sz="0" w:space="0" w:color="auto"/>
      </w:divBdr>
    </w:div>
    <w:div w:id="1643000427">
      <w:bodyDiv w:val="1"/>
      <w:marLeft w:val="0"/>
      <w:marRight w:val="0"/>
      <w:marTop w:val="0"/>
      <w:marBottom w:val="0"/>
      <w:divBdr>
        <w:top w:val="none" w:sz="0" w:space="0" w:color="auto"/>
        <w:left w:val="none" w:sz="0" w:space="0" w:color="auto"/>
        <w:bottom w:val="none" w:sz="0" w:space="0" w:color="auto"/>
        <w:right w:val="none" w:sz="0" w:space="0" w:color="auto"/>
      </w:divBdr>
    </w:div>
    <w:div w:id="1662585223">
      <w:bodyDiv w:val="1"/>
      <w:marLeft w:val="0"/>
      <w:marRight w:val="0"/>
      <w:marTop w:val="0"/>
      <w:marBottom w:val="0"/>
      <w:divBdr>
        <w:top w:val="none" w:sz="0" w:space="0" w:color="auto"/>
        <w:left w:val="none" w:sz="0" w:space="0" w:color="auto"/>
        <w:bottom w:val="none" w:sz="0" w:space="0" w:color="auto"/>
        <w:right w:val="none" w:sz="0" w:space="0" w:color="auto"/>
      </w:divBdr>
    </w:div>
    <w:div w:id="1675838185">
      <w:bodyDiv w:val="1"/>
      <w:marLeft w:val="0"/>
      <w:marRight w:val="0"/>
      <w:marTop w:val="0"/>
      <w:marBottom w:val="0"/>
      <w:divBdr>
        <w:top w:val="none" w:sz="0" w:space="0" w:color="auto"/>
        <w:left w:val="none" w:sz="0" w:space="0" w:color="auto"/>
        <w:bottom w:val="none" w:sz="0" w:space="0" w:color="auto"/>
        <w:right w:val="none" w:sz="0" w:space="0" w:color="auto"/>
      </w:divBdr>
    </w:div>
    <w:div w:id="1680544761">
      <w:bodyDiv w:val="1"/>
      <w:marLeft w:val="0"/>
      <w:marRight w:val="0"/>
      <w:marTop w:val="0"/>
      <w:marBottom w:val="0"/>
      <w:divBdr>
        <w:top w:val="none" w:sz="0" w:space="0" w:color="auto"/>
        <w:left w:val="none" w:sz="0" w:space="0" w:color="auto"/>
        <w:bottom w:val="none" w:sz="0" w:space="0" w:color="auto"/>
        <w:right w:val="none" w:sz="0" w:space="0" w:color="auto"/>
      </w:divBdr>
    </w:div>
    <w:div w:id="1727071447">
      <w:bodyDiv w:val="1"/>
      <w:marLeft w:val="0"/>
      <w:marRight w:val="0"/>
      <w:marTop w:val="0"/>
      <w:marBottom w:val="0"/>
      <w:divBdr>
        <w:top w:val="none" w:sz="0" w:space="0" w:color="auto"/>
        <w:left w:val="none" w:sz="0" w:space="0" w:color="auto"/>
        <w:bottom w:val="none" w:sz="0" w:space="0" w:color="auto"/>
        <w:right w:val="none" w:sz="0" w:space="0" w:color="auto"/>
      </w:divBdr>
    </w:div>
    <w:div w:id="1731070916">
      <w:bodyDiv w:val="1"/>
      <w:marLeft w:val="0"/>
      <w:marRight w:val="0"/>
      <w:marTop w:val="0"/>
      <w:marBottom w:val="0"/>
      <w:divBdr>
        <w:top w:val="none" w:sz="0" w:space="0" w:color="auto"/>
        <w:left w:val="none" w:sz="0" w:space="0" w:color="auto"/>
        <w:bottom w:val="none" w:sz="0" w:space="0" w:color="auto"/>
        <w:right w:val="none" w:sz="0" w:space="0" w:color="auto"/>
      </w:divBdr>
    </w:div>
    <w:div w:id="1765607064">
      <w:bodyDiv w:val="1"/>
      <w:marLeft w:val="0"/>
      <w:marRight w:val="0"/>
      <w:marTop w:val="0"/>
      <w:marBottom w:val="0"/>
      <w:divBdr>
        <w:top w:val="none" w:sz="0" w:space="0" w:color="auto"/>
        <w:left w:val="none" w:sz="0" w:space="0" w:color="auto"/>
        <w:bottom w:val="none" w:sz="0" w:space="0" w:color="auto"/>
        <w:right w:val="none" w:sz="0" w:space="0" w:color="auto"/>
      </w:divBdr>
    </w:div>
    <w:div w:id="1779981380">
      <w:bodyDiv w:val="1"/>
      <w:marLeft w:val="0"/>
      <w:marRight w:val="0"/>
      <w:marTop w:val="0"/>
      <w:marBottom w:val="0"/>
      <w:divBdr>
        <w:top w:val="none" w:sz="0" w:space="0" w:color="auto"/>
        <w:left w:val="none" w:sz="0" w:space="0" w:color="auto"/>
        <w:bottom w:val="none" w:sz="0" w:space="0" w:color="auto"/>
        <w:right w:val="none" w:sz="0" w:space="0" w:color="auto"/>
      </w:divBdr>
    </w:div>
    <w:div w:id="1806696912">
      <w:bodyDiv w:val="1"/>
      <w:marLeft w:val="0"/>
      <w:marRight w:val="0"/>
      <w:marTop w:val="0"/>
      <w:marBottom w:val="0"/>
      <w:divBdr>
        <w:top w:val="none" w:sz="0" w:space="0" w:color="auto"/>
        <w:left w:val="none" w:sz="0" w:space="0" w:color="auto"/>
        <w:bottom w:val="none" w:sz="0" w:space="0" w:color="auto"/>
        <w:right w:val="none" w:sz="0" w:space="0" w:color="auto"/>
      </w:divBdr>
    </w:div>
    <w:div w:id="1807965681">
      <w:bodyDiv w:val="1"/>
      <w:marLeft w:val="0"/>
      <w:marRight w:val="0"/>
      <w:marTop w:val="0"/>
      <w:marBottom w:val="0"/>
      <w:divBdr>
        <w:top w:val="none" w:sz="0" w:space="0" w:color="auto"/>
        <w:left w:val="none" w:sz="0" w:space="0" w:color="auto"/>
        <w:bottom w:val="none" w:sz="0" w:space="0" w:color="auto"/>
        <w:right w:val="none" w:sz="0" w:space="0" w:color="auto"/>
      </w:divBdr>
    </w:div>
    <w:div w:id="1840121941">
      <w:bodyDiv w:val="1"/>
      <w:marLeft w:val="0"/>
      <w:marRight w:val="0"/>
      <w:marTop w:val="0"/>
      <w:marBottom w:val="0"/>
      <w:divBdr>
        <w:top w:val="none" w:sz="0" w:space="0" w:color="auto"/>
        <w:left w:val="none" w:sz="0" w:space="0" w:color="auto"/>
        <w:bottom w:val="none" w:sz="0" w:space="0" w:color="auto"/>
        <w:right w:val="none" w:sz="0" w:space="0" w:color="auto"/>
      </w:divBdr>
    </w:div>
    <w:div w:id="1877548240">
      <w:bodyDiv w:val="1"/>
      <w:marLeft w:val="0"/>
      <w:marRight w:val="0"/>
      <w:marTop w:val="0"/>
      <w:marBottom w:val="0"/>
      <w:divBdr>
        <w:top w:val="none" w:sz="0" w:space="0" w:color="auto"/>
        <w:left w:val="none" w:sz="0" w:space="0" w:color="auto"/>
        <w:bottom w:val="none" w:sz="0" w:space="0" w:color="auto"/>
        <w:right w:val="none" w:sz="0" w:space="0" w:color="auto"/>
      </w:divBdr>
    </w:div>
    <w:div w:id="1908615031">
      <w:bodyDiv w:val="1"/>
      <w:marLeft w:val="0"/>
      <w:marRight w:val="0"/>
      <w:marTop w:val="0"/>
      <w:marBottom w:val="0"/>
      <w:divBdr>
        <w:top w:val="none" w:sz="0" w:space="0" w:color="auto"/>
        <w:left w:val="none" w:sz="0" w:space="0" w:color="auto"/>
        <w:bottom w:val="none" w:sz="0" w:space="0" w:color="auto"/>
        <w:right w:val="none" w:sz="0" w:space="0" w:color="auto"/>
      </w:divBdr>
    </w:div>
    <w:div w:id="1917976678">
      <w:bodyDiv w:val="1"/>
      <w:marLeft w:val="0"/>
      <w:marRight w:val="0"/>
      <w:marTop w:val="0"/>
      <w:marBottom w:val="0"/>
      <w:divBdr>
        <w:top w:val="none" w:sz="0" w:space="0" w:color="auto"/>
        <w:left w:val="none" w:sz="0" w:space="0" w:color="auto"/>
        <w:bottom w:val="none" w:sz="0" w:space="0" w:color="auto"/>
        <w:right w:val="none" w:sz="0" w:space="0" w:color="auto"/>
      </w:divBdr>
    </w:div>
    <w:div w:id="1930120746">
      <w:bodyDiv w:val="1"/>
      <w:marLeft w:val="0"/>
      <w:marRight w:val="0"/>
      <w:marTop w:val="0"/>
      <w:marBottom w:val="0"/>
      <w:divBdr>
        <w:top w:val="none" w:sz="0" w:space="0" w:color="auto"/>
        <w:left w:val="none" w:sz="0" w:space="0" w:color="auto"/>
        <w:bottom w:val="none" w:sz="0" w:space="0" w:color="auto"/>
        <w:right w:val="none" w:sz="0" w:space="0" w:color="auto"/>
      </w:divBdr>
    </w:div>
    <w:div w:id="1938825023">
      <w:bodyDiv w:val="1"/>
      <w:marLeft w:val="0"/>
      <w:marRight w:val="0"/>
      <w:marTop w:val="0"/>
      <w:marBottom w:val="0"/>
      <w:divBdr>
        <w:top w:val="none" w:sz="0" w:space="0" w:color="auto"/>
        <w:left w:val="none" w:sz="0" w:space="0" w:color="auto"/>
        <w:bottom w:val="none" w:sz="0" w:space="0" w:color="auto"/>
        <w:right w:val="none" w:sz="0" w:space="0" w:color="auto"/>
      </w:divBdr>
    </w:div>
    <w:div w:id="1966810002">
      <w:bodyDiv w:val="1"/>
      <w:marLeft w:val="0"/>
      <w:marRight w:val="0"/>
      <w:marTop w:val="0"/>
      <w:marBottom w:val="0"/>
      <w:divBdr>
        <w:top w:val="none" w:sz="0" w:space="0" w:color="auto"/>
        <w:left w:val="none" w:sz="0" w:space="0" w:color="auto"/>
        <w:bottom w:val="none" w:sz="0" w:space="0" w:color="auto"/>
        <w:right w:val="none" w:sz="0" w:space="0" w:color="auto"/>
      </w:divBdr>
    </w:div>
    <w:div w:id="1968316609">
      <w:bodyDiv w:val="1"/>
      <w:marLeft w:val="0"/>
      <w:marRight w:val="0"/>
      <w:marTop w:val="0"/>
      <w:marBottom w:val="0"/>
      <w:divBdr>
        <w:top w:val="none" w:sz="0" w:space="0" w:color="auto"/>
        <w:left w:val="none" w:sz="0" w:space="0" w:color="auto"/>
        <w:bottom w:val="none" w:sz="0" w:space="0" w:color="auto"/>
        <w:right w:val="none" w:sz="0" w:space="0" w:color="auto"/>
      </w:divBdr>
    </w:div>
    <w:div w:id="2099134536">
      <w:bodyDiv w:val="1"/>
      <w:marLeft w:val="0"/>
      <w:marRight w:val="0"/>
      <w:marTop w:val="0"/>
      <w:marBottom w:val="0"/>
      <w:divBdr>
        <w:top w:val="none" w:sz="0" w:space="0" w:color="auto"/>
        <w:left w:val="none" w:sz="0" w:space="0" w:color="auto"/>
        <w:bottom w:val="none" w:sz="0" w:space="0" w:color="auto"/>
        <w:right w:val="none" w:sz="0" w:space="0" w:color="auto"/>
      </w:divBdr>
    </w:div>
    <w:div w:id="2134321065">
      <w:bodyDiv w:val="1"/>
      <w:marLeft w:val="0"/>
      <w:marRight w:val="0"/>
      <w:marTop w:val="0"/>
      <w:marBottom w:val="0"/>
      <w:divBdr>
        <w:top w:val="none" w:sz="0" w:space="0" w:color="auto"/>
        <w:left w:val="none" w:sz="0" w:space="0" w:color="auto"/>
        <w:bottom w:val="none" w:sz="0" w:space="0" w:color="auto"/>
        <w:right w:val="none" w:sz="0" w:space="0" w:color="auto"/>
      </w:divBdr>
    </w:div>
    <w:div w:id="214211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117" Type="http://schemas.openxmlformats.org/officeDocument/2006/relationships/image" Target="media/image72.png"/><Relationship Id="rId21" Type="http://schemas.openxmlformats.org/officeDocument/2006/relationships/chart" Target="charts/chart4.xml"/><Relationship Id="rId42" Type="http://schemas.openxmlformats.org/officeDocument/2006/relationships/image" Target="media/image10.jpeg"/><Relationship Id="rId47" Type="http://schemas.openxmlformats.org/officeDocument/2006/relationships/image" Target="media/image13.png"/><Relationship Id="rId63" Type="http://schemas.openxmlformats.org/officeDocument/2006/relationships/chart" Target="charts/chart26.xml"/><Relationship Id="rId68" Type="http://schemas.openxmlformats.org/officeDocument/2006/relationships/chart" Target="charts/chart29.xml"/><Relationship Id="rId84" Type="http://schemas.openxmlformats.org/officeDocument/2006/relationships/image" Target="media/image39.png"/><Relationship Id="rId89" Type="http://schemas.openxmlformats.org/officeDocument/2006/relationships/image" Target="media/image44.png"/><Relationship Id="rId112" Type="http://schemas.openxmlformats.org/officeDocument/2006/relationships/image" Target="media/image67.png"/><Relationship Id="rId133" Type="http://schemas.openxmlformats.org/officeDocument/2006/relationships/image" Target="media/image88.png"/><Relationship Id="rId138" Type="http://schemas.openxmlformats.org/officeDocument/2006/relationships/image" Target="media/image93.png"/><Relationship Id="rId16" Type="http://schemas.openxmlformats.org/officeDocument/2006/relationships/chart" Target="charts/chart1.xml"/><Relationship Id="rId107" Type="http://schemas.openxmlformats.org/officeDocument/2006/relationships/image" Target="media/image62.png"/><Relationship Id="rId11" Type="http://schemas.openxmlformats.org/officeDocument/2006/relationships/footer" Target="footer1.xml"/><Relationship Id="rId32" Type="http://schemas.openxmlformats.org/officeDocument/2006/relationships/image" Target="media/image8.jpeg"/><Relationship Id="rId37" Type="http://schemas.openxmlformats.org/officeDocument/2006/relationships/chart" Target="charts/chart15.xml"/><Relationship Id="rId53" Type="http://schemas.openxmlformats.org/officeDocument/2006/relationships/image" Target="media/image19.png"/><Relationship Id="rId58" Type="http://schemas.openxmlformats.org/officeDocument/2006/relationships/image" Target="media/image22.png"/><Relationship Id="rId74" Type="http://schemas.openxmlformats.org/officeDocument/2006/relationships/image" Target="media/image29.png"/><Relationship Id="rId79" Type="http://schemas.openxmlformats.org/officeDocument/2006/relationships/image" Target="media/image34.png"/><Relationship Id="rId102" Type="http://schemas.openxmlformats.org/officeDocument/2006/relationships/image" Target="media/image57.png"/><Relationship Id="rId123" Type="http://schemas.openxmlformats.org/officeDocument/2006/relationships/image" Target="media/image78.png"/><Relationship Id="rId128" Type="http://schemas.openxmlformats.org/officeDocument/2006/relationships/image" Target="media/image83.png"/><Relationship Id="rId144" Type="http://schemas.openxmlformats.org/officeDocument/2006/relationships/image" Target="media/image99.png"/><Relationship Id="rId149" Type="http://schemas.microsoft.com/office/2018/08/relationships/commentsExtensible" Target="commentsExtensible.xml"/><Relationship Id="rId5" Type="http://schemas.openxmlformats.org/officeDocument/2006/relationships/numbering" Target="numbering.xml"/><Relationship Id="rId90" Type="http://schemas.openxmlformats.org/officeDocument/2006/relationships/image" Target="media/image45.png"/><Relationship Id="rId95" Type="http://schemas.openxmlformats.org/officeDocument/2006/relationships/image" Target="media/image50.png"/><Relationship Id="rId22" Type="http://schemas.openxmlformats.org/officeDocument/2006/relationships/chart" Target="charts/chart5.xml"/><Relationship Id="rId27" Type="http://schemas.openxmlformats.org/officeDocument/2006/relationships/chart" Target="charts/chart9.xml"/><Relationship Id="rId43" Type="http://schemas.openxmlformats.org/officeDocument/2006/relationships/chart" Target="charts/chart20.xml"/><Relationship Id="rId48" Type="http://schemas.openxmlformats.org/officeDocument/2006/relationships/image" Target="media/image14.png"/><Relationship Id="rId64" Type="http://schemas.openxmlformats.org/officeDocument/2006/relationships/chart" Target="charts/chart27.xml"/><Relationship Id="rId69" Type="http://schemas.openxmlformats.org/officeDocument/2006/relationships/chart" Target="charts/chart30.xml"/><Relationship Id="rId113" Type="http://schemas.openxmlformats.org/officeDocument/2006/relationships/image" Target="media/image68.png"/><Relationship Id="rId118" Type="http://schemas.openxmlformats.org/officeDocument/2006/relationships/image" Target="media/image73.png"/><Relationship Id="rId134" Type="http://schemas.openxmlformats.org/officeDocument/2006/relationships/image" Target="media/image89.png"/><Relationship Id="rId139" Type="http://schemas.openxmlformats.org/officeDocument/2006/relationships/image" Target="media/image94.png"/><Relationship Id="rId80" Type="http://schemas.openxmlformats.org/officeDocument/2006/relationships/image" Target="media/image35.png"/><Relationship Id="rId85" Type="http://schemas.openxmlformats.org/officeDocument/2006/relationships/image" Target="media/image40.png"/><Relationship Id="rId150" Type="http://schemas.microsoft.com/office/2016/09/relationships/commentsIds" Target="commentsId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chart" Target="charts/chart8.xml"/><Relationship Id="rId33" Type="http://schemas.openxmlformats.org/officeDocument/2006/relationships/image" Target="media/image9.jpeg"/><Relationship Id="rId38" Type="http://schemas.openxmlformats.org/officeDocument/2006/relationships/chart" Target="charts/chart16.xml"/><Relationship Id="rId46" Type="http://schemas.openxmlformats.org/officeDocument/2006/relationships/image" Target="media/image12.png"/><Relationship Id="rId59" Type="http://schemas.openxmlformats.org/officeDocument/2006/relationships/chart" Target="charts/chart24.xml"/><Relationship Id="rId67" Type="http://schemas.openxmlformats.org/officeDocument/2006/relationships/chart" Target="charts/chart28.xml"/><Relationship Id="rId103" Type="http://schemas.openxmlformats.org/officeDocument/2006/relationships/image" Target="media/image58.png"/><Relationship Id="rId108" Type="http://schemas.openxmlformats.org/officeDocument/2006/relationships/image" Target="media/image63.png"/><Relationship Id="rId116" Type="http://schemas.openxmlformats.org/officeDocument/2006/relationships/image" Target="media/image71.png"/><Relationship Id="rId124" Type="http://schemas.openxmlformats.org/officeDocument/2006/relationships/image" Target="media/image79.png"/><Relationship Id="rId129" Type="http://schemas.openxmlformats.org/officeDocument/2006/relationships/image" Target="media/image84.png"/><Relationship Id="rId137" Type="http://schemas.openxmlformats.org/officeDocument/2006/relationships/image" Target="media/image92.png"/><Relationship Id="rId20" Type="http://schemas.openxmlformats.org/officeDocument/2006/relationships/chart" Target="charts/chart3.xml"/><Relationship Id="rId41" Type="http://schemas.openxmlformats.org/officeDocument/2006/relationships/chart" Target="charts/chart19.xml"/><Relationship Id="rId54" Type="http://schemas.openxmlformats.org/officeDocument/2006/relationships/image" Target="media/image20.png"/><Relationship Id="rId62" Type="http://schemas.openxmlformats.org/officeDocument/2006/relationships/image" Target="media/image24.png"/><Relationship Id="rId70" Type="http://schemas.openxmlformats.org/officeDocument/2006/relationships/chart" Target="charts/chart31.xml"/><Relationship Id="rId75" Type="http://schemas.openxmlformats.org/officeDocument/2006/relationships/image" Target="media/image30.png"/><Relationship Id="rId83" Type="http://schemas.openxmlformats.org/officeDocument/2006/relationships/image" Target="media/image38.png"/><Relationship Id="rId88" Type="http://schemas.openxmlformats.org/officeDocument/2006/relationships/image" Target="media/image43.png"/><Relationship Id="rId91" Type="http://schemas.openxmlformats.org/officeDocument/2006/relationships/image" Target="media/image46.png"/><Relationship Id="rId96" Type="http://schemas.openxmlformats.org/officeDocument/2006/relationships/image" Target="media/image51.png"/><Relationship Id="rId111" Type="http://schemas.openxmlformats.org/officeDocument/2006/relationships/image" Target="media/image66.png"/><Relationship Id="rId132" Type="http://schemas.openxmlformats.org/officeDocument/2006/relationships/image" Target="media/image87.png"/><Relationship Id="rId140" Type="http://schemas.openxmlformats.org/officeDocument/2006/relationships/image" Target="media/image95.png"/><Relationship Id="rId145" Type="http://schemas.openxmlformats.org/officeDocument/2006/relationships/image" Target="media/image10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chart" Target="charts/chart6.xml"/><Relationship Id="rId28" Type="http://schemas.openxmlformats.org/officeDocument/2006/relationships/image" Target="media/image6.jpeg"/><Relationship Id="rId36" Type="http://schemas.openxmlformats.org/officeDocument/2006/relationships/chart" Target="charts/chart14.xml"/><Relationship Id="rId49" Type="http://schemas.openxmlformats.org/officeDocument/2006/relationships/image" Target="media/image15.png"/><Relationship Id="rId57" Type="http://schemas.openxmlformats.org/officeDocument/2006/relationships/image" Target="media/image21.png"/><Relationship Id="rId106" Type="http://schemas.openxmlformats.org/officeDocument/2006/relationships/image" Target="media/image61.png"/><Relationship Id="rId114" Type="http://schemas.openxmlformats.org/officeDocument/2006/relationships/image" Target="media/image69.png"/><Relationship Id="rId119" Type="http://schemas.openxmlformats.org/officeDocument/2006/relationships/image" Target="media/image74.png"/><Relationship Id="rId127" Type="http://schemas.openxmlformats.org/officeDocument/2006/relationships/image" Target="media/image82.png"/><Relationship Id="rId10" Type="http://schemas.openxmlformats.org/officeDocument/2006/relationships/endnotes" Target="endnotes.xml"/><Relationship Id="rId31" Type="http://schemas.openxmlformats.org/officeDocument/2006/relationships/chart" Target="charts/chart11.xml"/><Relationship Id="rId44" Type="http://schemas.openxmlformats.org/officeDocument/2006/relationships/chart" Target="charts/chart21.xml"/><Relationship Id="rId52" Type="http://schemas.openxmlformats.org/officeDocument/2006/relationships/image" Target="media/image18.png"/><Relationship Id="rId60" Type="http://schemas.openxmlformats.org/officeDocument/2006/relationships/chart" Target="charts/chart25.xml"/><Relationship Id="rId65" Type="http://schemas.openxmlformats.org/officeDocument/2006/relationships/image" Target="media/image25.png"/><Relationship Id="rId73" Type="http://schemas.openxmlformats.org/officeDocument/2006/relationships/image" Target="media/image28.png"/><Relationship Id="rId78" Type="http://schemas.openxmlformats.org/officeDocument/2006/relationships/image" Target="media/image33.png"/><Relationship Id="rId81" Type="http://schemas.openxmlformats.org/officeDocument/2006/relationships/image" Target="media/image36.png"/><Relationship Id="rId86" Type="http://schemas.openxmlformats.org/officeDocument/2006/relationships/image" Target="media/image41.png"/><Relationship Id="rId94" Type="http://schemas.openxmlformats.org/officeDocument/2006/relationships/image" Target="media/image49.png"/><Relationship Id="rId99" Type="http://schemas.openxmlformats.org/officeDocument/2006/relationships/image" Target="media/image54.png"/><Relationship Id="rId101" Type="http://schemas.openxmlformats.org/officeDocument/2006/relationships/image" Target="media/image56.png"/><Relationship Id="rId122" Type="http://schemas.openxmlformats.org/officeDocument/2006/relationships/image" Target="media/image77.png"/><Relationship Id="rId130" Type="http://schemas.openxmlformats.org/officeDocument/2006/relationships/image" Target="media/image85.png"/><Relationship Id="rId135" Type="http://schemas.openxmlformats.org/officeDocument/2006/relationships/image" Target="media/image90.png"/><Relationship Id="rId143" Type="http://schemas.openxmlformats.org/officeDocument/2006/relationships/image" Target="media/image98.png"/><Relationship Id="rId14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chart" Target="charts/chart2.xml"/><Relationship Id="rId39" Type="http://schemas.openxmlformats.org/officeDocument/2006/relationships/chart" Target="charts/chart17.xml"/><Relationship Id="rId109" Type="http://schemas.openxmlformats.org/officeDocument/2006/relationships/image" Target="media/image64.png"/><Relationship Id="rId34" Type="http://schemas.openxmlformats.org/officeDocument/2006/relationships/chart" Target="charts/chart12.xml"/><Relationship Id="rId50" Type="http://schemas.openxmlformats.org/officeDocument/2006/relationships/image" Target="media/image16.png"/><Relationship Id="rId55" Type="http://schemas.openxmlformats.org/officeDocument/2006/relationships/chart" Target="charts/chart22.xml"/><Relationship Id="rId76" Type="http://schemas.openxmlformats.org/officeDocument/2006/relationships/image" Target="media/image31.png"/><Relationship Id="rId97" Type="http://schemas.openxmlformats.org/officeDocument/2006/relationships/image" Target="media/image52.png"/><Relationship Id="rId104" Type="http://schemas.openxmlformats.org/officeDocument/2006/relationships/image" Target="media/image59.png"/><Relationship Id="rId120" Type="http://schemas.openxmlformats.org/officeDocument/2006/relationships/image" Target="media/image75.png"/><Relationship Id="rId125" Type="http://schemas.openxmlformats.org/officeDocument/2006/relationships/image" Target="media/image80.png"/><Relationship Id="rId141" Type="http://schemas.openxmlformats.org/officeDocument/2006/relationships/image" Target="media/image96.png"/><Relationship Id="rId146" Type="http://schemas.openxmlformats.org/officeDocument/2006/relationships/image" Target="media/image101.png"/><Relationship Id="rId7" Type="http://schemas.openxmlformats.org/officeDocument/2006/relationships/settings" Target="settings.xml"/><Relationship Id="rId71" Type="http://schemas.openxmlformats.org/officeDocument/2006/relationships/chart" Target="charts/chart32.xml"/><Relationship Id="rId92" Type="http://schemas.openxmlformats.org/officeDocument/2006/relationships/image" Target="media/image47.png"/><Relationship Id="rId2" Type="http://schemas.openxmlformats.org/officeDocument/2006/relationships/customXml" Target="../customXml/item2.xml"/><Relationship Id="rId29" Type="http://schemas.openxmlformats.org/officeDocument/2006/relationships/chart" Target="charts/chart10.xml"/><Relationship Id="rId24" Type="http://schemas.openxmlformats.org/officeDocument/2006/relationships/chart" Target="charts/chart7.xml"/><Relationship Id="rId40" Type="http://schemas.openxmlformats.org/officeDocument/2006/relationships/chart" Target="charts/chart18.xml"/><Relationship Id="rId45" Type="http://schemas.openxmlformats.org/officeDocument/2006/relationships/image" Target="media/image11.png"/><Relationship Id="rId66" Type="http://schemas.openxmlformats.org/officeDocument/2006/relationships/image" Target="media/image26.png"/><Relationship Id="rId87" Type="http://schemas.openxmlformats.org/officeDocument/2006/relationships/image" Target="media/image42.png"/><Relationship Id="rId110" Type="http://schemas.openxmlformats.org/officeDocument/2006/relationships/image" Target="media/image65.png"/><Relationship Id="rId115" Type="http://schemas.openxmlformats.org/officeDocument/2006/relationships/image" Target="media/image70.png"/><Relationship Id="rId131" Type="http://schemas.openxmlformats.org/officeDocument/2006/relationships/image" Target="media/image86.png"/><Relationship Id="rId136" Type="http://schemas.openxmlformats.org/officeDocument/2006/relationships/image" Target="media/image91.png"/><Relationship Id="rId61" Type="http://schemas.openxmlformats.org/officeDocument/2006/relationships/image" Target="media/image23.png"/><Relationship Id="rId82" Type="http://schemas.openxmlformats.org/officeDocument/2006/relationships/image" Target="media/image37.png"/><Relationship Id="rId19" Type="http://schemas.openxmlformats.org/officeDocument/2006/relationships/image" Target="media/image4.png"/><Relationship Id="rId14" Type="http://schemas.openxmlformats.org/officeDocument/2006/relationships/image" Target="media/image1.jpeg"/><Relationship Id="rId30" Type="http://schemas.openxmlformats.org/officeDocument/2006/relationships/image" Target="media/image7.jpeg"/><Relationship Id="rId35" Type="http://schemas.openxmlformats.org/officeDocument/2006/relationships/chart" Target="charts/chart13.xml"/><Relationship Id="rId56" Type="http://schemas.openxmlformats.org/officeDocument/2006/relationships/chart" Target="charts/chart23.xml"/><Relationship Id="rId77" Type="http://schemas.openxmlformats.org/officeDocument/2006/relationships/image" Target="media/image32.png"/><Relationship Id="rId100" Type="http://schemas.openxmlformats.org/officeDocument/2006/relationships/image" Target="media/image55.png"/><Relationship Id="rId105" Type="http://schemas.openxmlformats.org/officeDocument/2006/relationships/image" Target="media/image60.png"/><Relationship Id="rId126" Type="http://schemas.openxmlformats.org/officeDocument/2006/relationships/image" Target="media/image81.png"/><Relationship Id="rId14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7.png"/><Relationship Id="rId72" Type="http://schemas.openxmlformats.org/officeDocument/2006/relationships/image" Target="media/image27.png"/><Relationship Id="rId93" Type="http://schemas.openxmlformats.org/officeDocument/2006/relationships/image" Target="media/image48.png"/><Relationship Id="rId98" Type="http://schemas.openxmlformats.org/officeDocument/2006/relationships/image" Target="media/image53.png"/><Relationship Id="rId121" Type="http://schemas.openxmlformats.org/officeDocument/2006/relationships/image" Target="media/image76.png"/><Relationship Id="rId142" Type="http://schemas.openxmlformats.org/officeDocument/2006/relationships/image" Target="media/image97.png"/></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1" Type="http://schemas.openxmlformats.org/officeDocument/2006/relationships/oleObject" Target="file:///C:\Users\harper3663\Documents\School\_CREW\Irrigation%20Project\BACKYARD%20FULL%20SCALE.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harper3663\Documents\School\_CREW\Irrigation%20Project\BACKYARD%20FULL%20SCALE.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10.xml"/><Relationship Id="rId1" Type="http://schemas.microsoft.com/office/2011/relationships/chartStyle" Target="style10.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11.xml"/><Relationship Id="rId1" Type="http://schemas.microsoft.com/office/2011/relationships/chartStyle" Target="style11.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12.xml"/><Relationship Id="rId1" Type="http://schemas.microsoft.com/office/2011/relationships/chartStyle" Target="style12.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arper3663\Documents\School\_CREW\Irrigation%20Project\Greenhouse%20Proof%20of%20Concept.xlsx"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14.xml"/><Relationship Id="rId1" Type="http://schemas.microsoft.com/office/2011/relationships/chartStyle" Target="style14.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15.xml"/><Relationship Id="rId1" Type="http://schemas.microsoft.com/office/2011/relationships/chartStyle" Target="style15.xml"/></Relationships>
</file>

<file path=word/charts/_rels/chart22.xml.rels><?xml version="1.0" encoding="UTF-8" standalone="yes"?>
<Relationships xmlns="http://schemas.openxmlformats.org/package/2006/relationships"><Relationship Id="rId1" Type="http://schemas.openxmlformats.org/officeDocument/2006/relationships/oleObject" Target="file:///C:\Users\harper3663\Documents\School\_CREW\Irrigation%20Project\BACKYARD%20FULL%20SCALE.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harper3663\Documents\School\_CREW\Irrigation%20Project\BACKYARD%20FULL%20SCALE.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harper3663\Documents\School\_CREW\Irrigation%20Project\BACKYARD%20FULL%20SCALE.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harper3663\Documents\School\_CREW\Irrigation%20Project\BACKYARD%20FULL%20SCALE.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harper3663\Documents\School\_CREW\Irrigation%20Project\BACKYARD%20FULL%20SCALE.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harper3663\Documents\School\_CREW\Irrigation%20Project\BACKYARD%20FULL%20SCALE.xlsx" TargetMode="External"/></Relationships>
</file>

<file path=word/charts/_rels/chart28.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16.xml"/><Relationship Id="rId1" Type="http://schemas.microsoft.com/office/2011/relationships/chartStyle" Target="style16.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17.xml"/><Relationship Id="rId1" Type="http://schemas.microsoft.com/office/2011/relationships/chartStyle" Target="style17.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arper3663\Documents\School\_CREW\Irrigation%20Project\Greenhouse%20Proof%20of%20Concept.xlsx" TargetMode="External"/><Relationship Id="rId2" Type="http://schemas.microsoft.com/office/2011/relationships/chartColorStyle" Target="colors2.xml"/><Relationship Id="rId1" Type="http://schemas.microsoft.com/office/2011/relationships/chartStyle" Target="style2.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18.xml"/><Relationship Id="rId1" Type="http://schemas.microsoft.com/office/2011/relationships/chartStyle" Target="style18.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19.xml"/><Relationship Id="rId1" Type="http://schemas.microsoft.com/office/2011/relationships/chartStyle" Target="style19.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20.xml"/><Relationship Id="rId1" Type="http://schemas.microsoft.com/office/2011/relationships/chartStyle" Target="style20.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arper3663\Documents\School\_CREW\Irrigation%20Project\Greenhouse%20Proof%20of%20Concept.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arper3663\Documents\School\_CREW\Irrigation%20Project\Greenhouse%20Proof%20of%20Concept.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harper3663\Documents\School\_CREW\Irrigation%20Project\Greenhouse%20Proof%20of%20Concep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arper3663\Documents\School\_CREW\Irrigation%20Project\Greenhouse%20Proof%20of%20Concep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arper3663\Documents\School\_CREW\Irrigation%20Project\Greenhouse%20Proof%20of%20Concept.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harper3663\Documents\School\_CREW\Irrigation%20Project\BACKYARD%20FULL%20SCALE.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8073273786512"/>
          <c:y val="5.1400554097404488E-2"/>
          <c:w val="0.79854863103352514"/>
          <c:h val="0.79822506561679785"/>
        </c:manualLayout>
      </c:layout>
      <c:barChart>
        <c:barDir val="col"/>
        <c:grouping val="clustered"/>
        <c:varyColors val="1"/>
        <c:ser>
          <c:idx val="0"/>
          <c:order val="0"/>
          <c:tx>
            <c:strRef>
              <c:f>Sheet1!$B$1</c:f>
              <c:strCache>
                <c:ptCount val="1"/>
                <c:pt idx="0">
                  <c:v>Average Water Consumption</c:v>
                </c:pt>
              </c:strCache>
            </c:strRef>
          </c:tx>
          <c:invertIfNegative val="1"/>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Sheet1!$A$2:$A$5</c:f>
              <c:strCache>
                <c:ptCount val="4"/>
                <c:pt idx="0">
                  <c:v>Sheep</c:v>
                </c:pt>
                <c:pt idx="1">
                  <c:v>Swine</c:v>
                </c:pt>
                <c:pt idx="2">
                  <c:v>Poultry*</c:v>
                </c:pt>
                <c:pt idx="3">
                  <c:v>Cattle**</c:v>
                </c:pt>
              </c:strCache>
            </c:strRef>
          </c:cat>
          <c:val>
            <c:numRef>
              <c:f>Sheet1!$B$2:$B$5</c:f>
              <c:numCache>
                <c:formatCode>General</c:formatCode>
                <c:ptCount val="4"/>
                <c:pt idx="0">
                  <c:v>2.5</c:v>
                </c:pt>
                <c:pt idx="1">
                  <c:v>7</c:v>
                </c:pt>
                <c:pt idx="2">
                  <c:v>4</c:v>
                </c:pt>
                <c:pt idx="3">
                  <c:v>10</c:v>
                </c:pt>
              </c:numCache>
            </c:numRef>
          </c:val>
          <c:extLst xmlns:c16r2="http://schemas.microsoft.com/office/drawing/2015/06/chart">
            <c:ext xmlns:c16="http://schemas.microsoft.com/office/drawing/2014/chart" uri="{C3380CC4-5D6E-409C-BE32-E72D297353CC}">
              <c16:uniqueId val="{00000000-9DFC-49FA-90E8-B0ADB07B20D4}"/>
            </c:ext>
          </c:extLst>
        </c:ser>
        <c:ser>
          <c:idx val="1"/>
          <c:order val="1"/>
          <c:tx>
            <c:strRef>
              <c:f>Sheet1!$C$1</c:f>
              <c:strCache>
                <c:ptCount val="1"/>
                <c:pt idx="0">
                  <c:v>Hot Weather Water Consumption</c:v>
                </c:pt>
              </c:strCache>
            </c:strRef>
          </c:tx>
          <c:invertIfNegative val="1"/>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Sheet1!$A$2:$A$5</c:f>
              <c:strCache>
                <c:ptCount val="4"/>
                <c:pt idx="0">
                  <c:v>Sheep</c:v>
                </c:pt>
                <c:pt idx="1">
                  <c:v>Swine</c:v>
                </c:pt>
                <c:pt idx="2">
                  <c:v>Poultry*</c:v>
                </c:pt>
                <c:pt idx="3">
                  <c:v>Cattle**</c:v>
                </c:pt>
              </c:strCache>
            </c:strRef>
          </c:cat>
          <c:val>
            <c:numRef>
              <c:f>Sheet1!$C$2:$C$5</c:f>
              <c:numCache>
                <c:formatCode>General</c:formatCode>
                <c:ptCount val="4"/>
                <c:pt idx="0">
                  <c:v>3.5</c:v>
                </c:pt>
                <c:pt idx="1">
                  <c:v>10</c:v>
                </c:pt>
                <c:pt idx="2">
                  <c:v>7.2</c:v>
                </c:pt>
                <c:pt idx="3">
                  <c:v>22.5</c:v>
                </c:pt>
              </c:numCache>
            </c:numRef>
          </c:val>
          <c:extLst xmlns:c16r2="http://schemas.microsoft.com/office/drawing/2015/06/chart">
            <c:ext xmlns:c16="http://schemas.microsoft.com/office/drawing/2014/chart" uri="{C3380CC4-5D6E-409C-BE32-E72D297353CC}">
              <c16:uniqueId val="{00000001-9DFC-49FA-90E8-B0ADB07B20D4}"/>
            </c:ext>
          </c:extLst>
        </c:ser>
        <c:dLbls>
          <c:dLblPos val="outEnd"/>
          <c:showLegendKey val="0"/>
          <c:showVal val="1"/>
          <c:showCatName val="0"/>
          <c:showSerName val="0"/>
          <c:showPercent val="0"/>
          <c:showBubbleSize val="0"/>
        </c:dLbls>
        <c:gapWidth val="150"/>
        <c:axId val="613837152"/>
        <c:axId val="613835976"/>
      </c:barChart>
      <c:catAx>
        <c:axId val="613837152"/>
        <c:scaling>
          <c:orientation val="minMax"/>
        </c:scaling>
        <c:delete val="0"/>
        <c:axPos val="b"/>
        <c:numFmt formatCode="General" sourceLinked="0"/>
        <c:majorTickMark val="out"/>
        <c:minorTickMark val="cross"/>
        <c:tickLblPos val="nextTo"/>
        <c:crossAx val="613835976"/>
        <c:crosses val="autoZero"/>
        <c:auto val="1"/>
        <c:lblAlgn val="ctr"/>
        <c:lblOffset val="100"/>
        <c:noMultiLvlLbl val="1"/>
      </c:catAx>
      <c:valAx>
        <c:axId val="613835976"/>
        <c:scaling>
          <c:orientation val="minMax"/>
        </c:scaling>
        <c:delete val="0"/>
        <c:axPos val="l"/>
        <c:majorGridlines/>
        <c:title>
          <c:tx>
            <c:rich>
              <a:bodyPr rot="-5400000" vert="horz"/>
              <a:lstStyle/>
              <a:p>
                <a:pPr>
                  <a:defRPr/>
                </a:pPr>
                <a:r>
                  <a:rPr lang="en-US"/>
                  <a:t>Water</a:t>
                </a:r>
                <a:r>
                  <a:rPr lang="en-US" baseline="0"/>
                  <a:t> Consumption, gpd</a:t>
                </a:r>
                <a:endParaRPr lang="en-US"/>
              </a:p>
            </c:rich>
          </c:tx>
          <c:overlay val="1"/>
        </c:title>
        <c:numFmt formatCode="General" sourceLinked="1"/>
        <c:majorTickMark val="out"/>
        <c:minorTickMark val="cross"/>
        <c:tickLblPos val="nextTo"/>
        <c:crossAx val="613837152"/>
        <c:crosses val="autoZero"/>
        <c:crossBetween val="between"/>
      </c:valAx>
      <c:spPr>
        <a:noFill/>
        <a:ln w="25400">
          <a:noFill/>
        </a:ln>
      </c:spPr>
    </c:plotArea>
    <c:legend>
      <c:legendPos val="r"/>
      <c:layout>
        <c:manualLayout>
          <c:xMode val="edge"/>
          <c:yMode val="edge"/>
          <c:x val="0.12713612348843992"/>
          <c:y val="0.1196026538349374"/>
          <c:w val="0.63957428731813282"/>
          <c:h val="0.17359944590259596"/>
        </c:manualLayout>
      </c:layout>
      <c:overlay val="1"/>
    </c:legend>
    <c:plotVisOnly val="1"/>
    <c:dispBlanksAs val="zero"/>
    <c:showDLblsOverMax val="1"/>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'Air Temps'!$G$1</c:f>
              <c:strCache>
                <c:ptCount val="1"/>
                <c:pt idx="0">
                  <c:v>Maximum Daily T (℃)</c:v>
                </c:pt>
              </c:strCache>
            </c:strRef>
          </c:tx>
          <c:spPr>
            <a:ln w="28575" cap="rnd">
              <a:solidFill>
                <a:schemeClr val="accent1"/>
              </a:solidFill>
              <a:round/>
            </a:ln>
            <a:effectLst/>
          </c:spPr>
          <c:marker>
            <c:symbol val="none"/>
          </c:marker>
          <c:cat>
            <c:numRef>
              <c:f>'Air Temps'!$B$2:$B$109</c:f>
              <c:numCache>
                <c:formatCode>General</c:formatCode>
                <c:ptCount val="10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numCache>
            </c:numRef>
          </c:cat>
          <c:val>
            <c:numRef>
              <c:f>'Air Temps'!$G$2:$G$109</c:f>
              <c:numCache>
                <c:formatCode>0.00</c:formatCode>
                <c:ptCount val="108"/>
                <c:pt idx="0">
                  <c:v>29.388888888888893</c:v>
                </c:pt>
                <c:pt idx="1">
                  <c:v>31.577777777777779</c:v>
                </c:pt>
                <c:pt idx="2">
                  <c:v>32.572222222222216</c:v>
                </c:pt>
                <c:pt idx="3">
                  <c:v>33.249999999999993</c:v>
                </c:pt>
                <c:pt idx="4">
                  <c:v>32.861111111111114</c:v>
                </c:pt>
                <c:pt idx="5">
                  <c:v>33.211111111111109</c:v>
                </c:pt>
                <c:pt idx="6">
                  <c:v>33.861111111111114</c:v>
                </c:pt>
                <c:pt idx="7">
                  <c:v>33.122222222222227</c:v>
                </c:pt>
                <c:pt idx="8">
                  <c:v>33.35</c:v>
                </c:pt>
                <c:pt idx="9">
                  <c:v>30.011111111111109</c:v>
                </c:pt>
                <c:pt idx="10">
                  <c:v>31.322222222222219</c:v>
                </c:pt>
                <c:pt idx="11">
                  <c:v>29.511111111111113</c:v>
                </c:pt>
                <c:pt idx="12">
                  <c:v>31.172222222222221</c:v>
                </c:pt>
                <c:pt idx="13">
                  <c:v>29.099999999999998</c:v>
                </c:pt>
                <c:pt idx="14">
                  <c:v>30.627777777777773</c:v>
                </c:pt>
                <c:pt idx="15">
                  <c:v>32.049999999999997</c:v>
                </c:pt>
                <c:pt idx="16">
                  <c:v>33.411111111111111</c:v>
                </c:pt>
                <c:pt idx="17">
                  <c:v>32.18888888888889</c:v>
                </c:pt>
                <c:pt idx="18">
                  <c:v>31.149999999999995</c:v>
                </c:pt>
                <c:pt idx="19">
                  <c:v>33.072222222222223</c:v>
                </c:pt>
                <c:pt idx="20">
                  <c:v>33.672222222222224</c:v>
                </c:pt>
                <c:pt idx="21">
                  <c:v>35.1</c:v>
                </c:pt>
                <c:pt idx="22">
                  <c:v>35.588888888888889</c:v>
                </c:pt>
                <c:pt idx="23">
                  <c:v>35.277777777777779</c:v>
                </c:pt>
                <c:pt idx="24">
                  <c:v>32.588888888888889</c:v>
                </c:pt>
                <c:pt idx="25">
                  <c:v>32.461111111111116</c:v>
                </c:pt>
                <c:pt idx="26">
                  <c:v>32.722222222222221</c:v>
                </c:pt>
                <c:pt idx="27">
                  <c:v>32.788888888888884</c:v>
                </c:pt>
                <c:pt idx="28">
                  <c:v>34.538888888888891</c:v>
                </c:pt>
                <c:pt idx="29">
                  <c:v>32.849999999999994</c:v>
                </c:pt>
                <c:pt idx="30">
                  <c:v>29.827777777777776</c:v>
                </c:pt>
                <c:pt idx="31">
                  <c:v>37.911111111111104</c:v>
                </c:pt>
                <c:pt idx="32">
                  <c:v>34.499999999999993</c:v>
                </c:pt>
                <c:pt idx="33">
                  <c:v>34.18888888888889</c:v>
                </c:pt>
                <c:pt idx="34">
                  <c:v>35.511111111111113</c:v>
                </c:pt>
                <c:pt idx="35">
                  <c:v>32.177777777777777</c:v>
                </c:pt>
                <c:pt idx="36">
                  <c:v>33.722222222222221</c:v>
                </c:pt>
                <c:pt idx="37">
                  <c:v>36.199999999999996</c:v>
                </c:pt>
                <c:pt idx="38">
                  <c:v>34.099999999999994</c:v>
                </c:pt>
                <c:pt idx="39">
                  <c:v>34.627777777777773</c:v>
                </c:pt>
                <c:pt idx="40">
                  <c:v>35.349999999999994</c:v>
                </c:pt>
                <c:pt idx="41">
                  <c:v>33.227777777777781</c:v>
                </c:pt>
                <c:pt idx="42">
                  <c:v>33.92777777777777</c:v>
                </c:pt>
                <c:pt idx="43">
                  <c:v>33.1</c:v>
                </c:pt>
                <c:pt idx="44">
                  <c:v>34.672222222222217</c:v>
                </c:pt>
                <c:pt idx="45">
                  <c:v>32.62222222222222</c:v>
                </c:pt>
                <c:pt idx="46">
                  <c:v>34.027777777777779</c:v>
                </c:pt>
                <c:pt idx="47">
                  <c:v>32.699999999999996</c:v>
                </c:pt>
                <c:pt idx="48">
                  <c:v>27.777777777777779</c:v>
                </c:pt>
                <c:pt idx="49">
                  <c:v>31.761111111111113</c:v>
                </c:pt>
                <c:pt idx="50">
                  <c:v>33.62222222222222</c:v>
                </c:pt>
                <c:pt idx="51">
                  <c:v>29.911111111111111</c:v>
                </c:pt>
                <c:pt idx="52">
                  <c:v>30.172222222222224</c:v>
                </c:pt>
                <c:pt idx="53">
                  <c:v>31.950000000000003</c:v>
                </c:pt>
                <c:pt idx="54">
                  <c:v>28.000000000000004</c:v>
                </c:pt>
                <c:pt idx="55">
                  <c:v>27.849999999999998</c:v>
                </c:pt>
                <c:pt idx="56">
                  <c:v>30.027777777777775</c:v>
                </c:pt>
                <c:pt idx="57">
                  <c:v>31.761111111111113</c:v>
                </c:pt>
                <c:pt idx="58">
                  <c:v>33.338888888888889</c:v>
                </c:pt>
                <c:pt idx="59">
                  <c:v>35.088888888888889</c:v>
                </c:pt>
                <c:pt idx="60">
                  <c:v>35.672222222222217</c:v>
                </c:pt>
                <c:pt idx="61">
                  <c:v>35.37777777777778</c:v>
                </c:pt>
                <c:pt idx="62">
                  <c:v>33.888888888888886</c:v>
                </c:pt>
                <c:pt idx="63">
                  <c:v>34.538888888888891</c:v>
                </c:pt>
                <c:pt idx="64">
                  <c:v>35.17777777777777</c:v>
                </c:pt>
                <c:pt idx="65">
                  <c:v>34.9</c:v>
                </c:pt>
                <c:pt idx="66">
                  <c:v>34.75</c:v>
                </c:pt>
                <c:pt idx="67">
                  <c:v>33.088888888888889</c:v>
                </c:pt>
                <c:pt idx="68">
                  <c:v>33.1</c:v>
                </c:pt>
                <c:pt idx="69">
                  <c:v>32.288888888888891</c:v>
                </c:pt>
                <c:pt idx="70">
                  <c:v>31.06111111111111</c:v>
                </c:pt>
                <c:pt idx="71">
                  <c:v>32.4</c:v>
                </c:pt>
                <c:pt idx="72">
                  <c:v>33.127777777777773</c:v>
                </c:pt>
                <c:pt idx="73">
                  <c:v>33.62222222222222</c:v>
                </c:pt>
                <c:pt idx="74">
                  <c:v>34.272222222222219</c:v>
                </c:pt>
                <c:pt idx="75">
                  <c:v>34.627777777777773</c:v>
                </c:pt>
                <c:pt idx="76">
                  <c:v>34.799999999999997</c:v>
                </c:pt>
                <c:pt idx="77">
                  <c:v>33.527777777777771</c:v>
                </c:pt>
                <c:pt idx="78">
                  <c:v>32.572222222222216</c:v>
                </c:pt>
                <c:pt idx="79">
                  <c:v>38.477777777777781</c:v>
                </c:pt>
                <c:pt idx="80">
                  <c:v>33</c:v>
                </c:pt>
                <c:pt idx="81">
                  <c:v>33.161111111111111</c:v>
                </c:pt>
                <c:pt idx="82">
                  <c:v>32.4</c:v>
                </c:pt>
                <c:pt idx="83">
                  <c:v>24.172222222222224</c:v>
                </c:pt>
                <c:pt idx="84">
                  <c:v>29.788888888888891</c:v>
                </c:pt>
                <c:pt idx="85">
                  <c:v>31.811111111111114</c:v>
                </c:pt>
                <c:pt idx="86">
                  <c:v>32.138888888888886</c:v>
                </c:pt>
                <c:pt idx="87">
                  <c:v>31.45</c:v>
                </c:pt>
                <c:pt idx="88">
                  <c:v>31.62777777777778</c:v>
                </c:pt>
                <c:pt idx="89">
                  <c:v>32.299999999999997</c:v>
                </c:pt>
                <c:pt idx="90">
                  <c:v>31.138888888888886</c:v>
                </c:pt>
                <c:pt idx="91">
                  <c:v>13.861111111111112</c:v>
                </c:pt>
                <c:pt idx="92">
                  <c:v>18.527777777777775</c:v>
                </c:pt>
                <c:pt idx="93">
                  <c:v>19.188888888888894</c:v>
                </c:pt>
                <c:pt idx="94">
                  <c:v>25.672222222222217</c:v>
                </c:pt>
                <c:pt idx="95">
                  <c:v>27.261111111111106</c:v>
                </c:pt>
                <c:pt idx="96">
                  <c:v>26.277777777777775</c:v>
                </c:pt>
                <c:pt idx="97">
                  <c:v>27.800000000000004</c:v>
                </c:pt>
                <c:pt idx="98">
                  <c:v>28.672222222222221</c:v>
                </c:pt>
                <c:pt idx="99">
                  <c:v>28.35</c:v>
                </c:pt>
                <c:pt idx="100">
                  <c:v>25.349999999999998</c:v>
                </c:pt>
                <c:pt idx="101">
                  <c:v>25.338888888888889</c:v>
                </c:pt>
                <c:pt idx="102">
                  <c:v>25.300000000000004</c:v>
                </c:pt>
                <c:pt idx="103">
                  <c:v>26.799999999999997</c:v>
                </c:pt>
                <c:pt idx="104">
                  <c:v>20.961111111111112</c:v>
                </c:pt>
                <c:pt idx="105">
                  <c:v>21.222222222222225</c:v>
                </c:pt>
                <c:pt idx="106">
                  <c:v>27.011111111111113</c:v>
                </c:pt>
                <c:pt idx="107">
                  <c:v>28.188888888888886</c:v>
                </c:pt>
              </c:numCache>
            </c:numRef>
          </c:val>
          <c:smooth val="0"/>
          <c:extLst xmlns:c16r2="http://schemas.microsoft.com/office/drawing/2015/06/chart">
            <c:ext xmlns:c16="http://schemas.microsoft.com/office/drawing/2014/chart" uri="{C3380CC4-5D6E-409C-BE32-E72D297353CC}">
              <c16:uniqueId val="{00000000-9F64-40DF-8998-F5DABEC75FA0}"/>
            </c:ext>
          </c:extLst>
        </c:ser>
        <c:ser>
          <c:idx val="1"/>
          <c:order val="1"/>
          <c:tx>
            <c:strRef>
              <c:f>'Air Temps'!$H$1</c:f>
              <c:strCache>
                <c:ptCount val="1"/>
                <c:pt idx="0">
                  <c:v>Minimum Daily T (℃)</c:v>
                </c:pt>
              </c:strCache>
            </c:strRef>
          </c:tx>
          <c:spPr>
            <a:ln w="28575" cap="rnd">
              <a:solidFill>
                <a:schemeClr val="accent2"/>
              </a:solidFill>
              <a:round/>
            </a:ln>
            <a:effectLst/>
          </c:spPr>
          <c:marker>
            <c:symbol val="none"/>
          </c:marker>
          <c:cat>
            <c:numRef>
              <c:f>'Air Temps'!$B$2:$B$109</c:f>
              <c:numCache>
                <c:formatCode>General</c:formatCode>
                <c:ptCount val="10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numCache>
            </c:numRef>
          </c:cat>
          <c:val>
            <c:numRef>
              <c:f>'Air Temps'!$H$2:$H$109</c:f>
              <c:numCache>
                <c:formatCode>0.00</c:formatCode>
                <c:ptCount val="108"/>
                <c:pt idx="0">
                  <c:v>14.627777777777776</c:v>
                </c:pt>
                <c:pt idx="1">
                  <c:v>11.511111111111111</c:v>
                </c:pt>
                <c:pt idx="2">
                  <c:v>18.161111111111108</c:v>
                </c:pt>
                <c:pt idx="3">
                  <c:v>18.049999999999997</c:v>
                </c:pt>
                <c:pt idx="4">
                  <c:v>19.677777777777777</c:v>
                </c:pt>
                <c:pt idx="5">
                  <c:v>20.161111111111115</c:v>
                </c:pt>
                <c:pt idx="6">
                  <c:v>22.111111111111111</c:v>
                </c:pt>
                <c:pt idx="7">
                  <c:v>21.427777777777774</c:v>
                </c:pt>
                <c:pt idx="8">
                  <c:v>22.427777777777781</c:v>
                </c:pt>
                <c:pt idx="9">
                  <c:v>18.249999999999996</c:v>
                </c:pt>
                <c:pt idx="10">
                  <c:v>18.161111111111108</c:v>
                </c:pt>
                <c:pt idx="11">
                  <c:v>18.93888888888889</c:v>
                </c:pt>
                <c:pt idx="12">
                  <c:v>18.522222222222222</c:v>
                </c:pt>
                <c:pt idx="13">
                  <c:v>17.388888888888886</c:v>
                </c:pt>
                <c:pt idx="14">
                  <c:v>15.361111111111111</c:v>
                </c:pt>
                <c:pt idx="15">
                  <c:v>20.738888888888887</c:v>
                </c:pt>
                <c:pt idx="16">
                  <c:v>21.688888888888894</c:v>
                </c:pt>
                <c:pt idx="17">
                  <c:v>22.077777777777776</c:v>
                </c:pt>
                <c:pt idx="18">
                  <c:v>23.838888888888885</c:v>
                </c:pt>
                <c:pt idx="19">
                  <c:v>24.561111111111106</c:v>
                </c:pt>
                <c:pt idx="20">
                  <c:v>24.438888888888886</c:v>
                </c:pt>
                <c:pt idx="21">
                  <c:v>24.427777777777777</c:v>
                </c:pt>
                <c:pt idx="22">
                  <c:v>23.822222222222219</c:v>
                </c:pt>
                <c:pt idx="23">
                  <c:v>22.111111111111111</c:v>
                </c:pt>
                <c:pt idx="24">
                  <c:v>23.049999999999997</c:v>
                </c:pt>
                <c:pt idx="25">
                  <c:v>21.677777777777774</c:v>
                </c:pt>
                <c:pt idx="26">
                  <c:v>21.622222222222224</c:v>
                </c:pt>
                <c:pt idx="27">
                  <c:v>20.638888888888893</c:v>
                </c:pt>
                <c:pt idx="28">
                  <c:v>23.188888888888886</c:v>
                </c:pt>
                <c:pt idx="29">
                  <c:v>25.388888888888889</c:v>
                </c:pt>
                <c:pt idx="30">
                  <c:v>20.038888888888884</c:v>
                </c:pt>
                <c:pt idx="31">
                  <c:v>21.37222222222222</c:v>
                </c:pt>
                <c:pt idx="32">
                  <c:v>20.749999999999996</c:v>
                </c:pt>
                <c:pt idx="33">
                  <c:v>21.888888888888893</c:v>
                </c:pt>
                <c:pt idx="34">
                  <c:v>26.622222222222224</c:v>
                </c:pt>
                <c:pt idx="35">
                  <c:v>25.422222222222224</c:v>
                </c:pt>
                <c:pt idx="36">
                  <c:v>24.538888888888888</c:v>
                </c:pt>
                <c:pt idx="37">
                  <c:v>24.549999999999997</c:v>
                </c:pt>
                <c:pt idx="38">
                  <c:v>23.961111111111109</c:v>
                </c:pt>
                <c:pt idx="39">
                  <c:v>23.638888888888886</c:v>
                </c:pt>
                <c:pt idx="40">
                  <c:v>23.87222222222222</c:v>
                </c:pt>
                <c:pt idx="41">
                  <c:v>22.872222222222224</c:v>
                </c:pt>
                <c:pt idx="42">
                  <c:v>22.777777777777779</c:v>
                </c:pt>
                <c:pt idx="43">
                  <c:v>23.538888888888891</c:v>
                </c:pt>
                <c:pt idx="44">
                  <c:v>23.472222222222221</c:v>
                </c:pt>
                <c:pt idx="45">
                  <c:v>23.81111111111111</c:v>
                </c:pt>
                <c:pt idx="46">
                  <c:v>23.8</c:v>
                </c:pt>
                <c:pt idx="47">
                  <c:v>23.427777777777777</c:v>
                </c:pt>
                <c:pt idx="48">
                  <c:v>21.65</c:v>
                </c:pt>
                <c:pt idx="49">
                  <c:v>23.627777777777776</c:v>
                </c:pt>
                <c:pt idx="50">
                  <c:v>21.961111111111112</c:v>
                </c:pt>
                <c:pt idx="51">
                  <c:v>20.622222222222224</c:v>
                </c:pt>
                <c:pt idx="52">
                  <c:v>17.577777777777779</c:v>
                </c:pt>
                <c:pt idx="53">
                  <c:v>17.777777777777779</c:v>
                </c:pt>
                <c:pt idx="54">
                  <c:v>16.827777777777776</c:v>
                </c:pt>
                <c:pt idx="55">
                  <c:v>18.711111111111116</c:v>
                </c:pt>
                <c:pt idx="56">
                  <c:v>16.677777777777781</c:v>
                </c:pt>
                <c:pt idx="57">
                  <c:v>20.399999999999999</c:v>
                </c:pt>
                <c:pt idx="58">
                  <c:v>24.238888888888887</c:v>
                </c:pt>
                <c:pt idx="59">
                  <c:v>24.777777777777775</c:v>
                </c:pt>
                <c:pt idx="60">
                  <c:v>24.561111111111106</c:v>
                </c:pt>
                <c:pt idx="61">
                  <c:v>20.572222222222223</c:v>
                </c:pt>
                <c:pt idx="62">
                  <c:v>19.911111111111111</c:v>
                </c:pt>
                <c:pt idx="63">
                  <c:v>21.161111111111111</c:v>
                </c:pt>
                <c:pt idx="64">
                  <c:v>23.761111111111109</c:v>
                </c:pt>
                <c:pt idx="65">
                  <c:v>24.211111111111109</c:v>
                </c:pt>
                <c:pt idx="66">
                  <c:v>23.988888888888891</c:v>
                </c:pt>
                <c:pt idx="67">
                  <c:v>23.411111111111111</c:v>
                </c:pt>
                <c:pt idx="68">
                  <c:v>20.888888888888886</c:v>
                </c:pt>
                <c:pt idx="69">
                  <c:v>18.427777777777777</c:v>
                </c:pt>
                <c:pt idx="70">
                  <c:v>15.388888888888889</c:v>
                </c:pt>
                <c:pt idx="71">
                  <c:v>17.088888888888889</c:v>
                </c:pt>
                <c:pt idx="72">
                  <c:v>19.161111111111108</c:v>
                </c:pt>
                <c:pt idx="73">
                  <c:v>17.172222222222221</c:v>
                </c:pt>
                <c:pt idx="74">
                  <c:v>20.85</c:v>
                </c:pt>
                <c:pt idx="75">
                  <c:v>21.572222222222219</c:v>
                </c:pt>
                <c:pt idx="76">
                  <c:v>18.322222222222223</c:v>
                </c:pt>
                <c:pt idx="77">
                  <c:v>21.477777777777774</c:v>
                </c:pt>
                <c:pt idx="78">
                  <c:v>18.922222222222224</c:v>
                </c:pt>
                <c:pt idx="79">
                  <c:v>19.400000000000002</c:v>
                </c:pt>
                <c:pt idx="80">
                  <c:v>23.227777777777778</c:v>
                </c:pt>
                <c:pt idx="81">
                  <c:v>21.25</c:v>
                </c:pt>
                <c:pt idx="82">
                  <c:v>20.477777777777778</c:v>
                </c:pt>
                <c:pt idx="83">
                  <c:v>20.45</c:v>
                </c:pt>
                <c:pt idx="84">
                  <c:v>20.161111111111115</c:v>
                </c:pt>
                <c:pt idx="85">
                  <c:v>19.688888888888886</c:v>
                </c:pt>
                <c:pt idx="86">
                  <c:v>20.85</c:v>
                </c:pt>
                <c:pt idx="87">
                  <c:v>20.577777777777779</c:v>
                </c:pt>
                <c:pt idx="88">
                  <c:v>20.761111111111113</c:v>
                </c:pt>
                <c:pt idx="89">
                  <c:v>22.56111111111111</c:v>
                </c:pt>
                <c:pt idx="90">
                  <c:v>13.822222222222223</c:v>
                </c:pt>
                <c:pt idx="91">
                  <c:v>10.711111111111112</c:v>
                </c:pt>
                <c:pt idx="92">
                  <c:v>10.527777777777779</c:v>
                </c:pt>
                <c:pt idx="93">
                  <c:v>12.96111111111111</c:v>
                </c:pt>
                <c:pt idx="94">
                  <c:v>15.022222222222222</c:v>
                </c:pt>
                <c:pt idx="95">
                  <c:v>15.038888888888888</c:v>
                </c:pt>
                <c:pt idx="96">
                  <c:v>14.622222222222222</c:v>
                </c:pt>
                <c:pt idx="97">
                  <c:v>17.68888888888889</c:v>
                </c:pt>
                <c:pt idx="98">
                  <c:v>16.861111111111111</c:v>
                </c:pt>
                <c:pt idx="99">
                  <c:v>15.999999999999998</c:v>
                </c:pt>
                <c:pt idx="100">
                  <c:v>13.561111111111108</c:v>
                </c:pt>
                <c:pt idx="101">
                  <c:v>12.238888888888889</c:v>
                </c:pt>
                <c:pt idx="102">
                  <c:v>11.161111111111113</c:v>
                </c:pt>
                <c:pt idx="103">
                  <c:v>12.6</c:v>
                </c:pt>
                <c:pt idx="104">
                  <c:v>18.072222222222223</c:v>
                </c:pt>
                <c:pt idx="105">
                  <c:v>16.18888888888889</c:v>
                </c:pt>
                <c:pt idx="106">
                  <c:v>11.738888888888891</c:v>
                </c:pt>
                <c:pt idx="107">
                  <c:v>15.85</c:v>
                </c:pt>
              </c:numCache>
            </c:numRef>
          </c:val>
          <c:smooth val="0"/>
          <c:extLst xmlns:c16r2="http://schemas.microsoft.com/office/drawing/2015/06/chart">
            <c:ext xmlns:c16="http://schemas.microsoft.com/office/drawing/2014/chart" uri="{C3380CC4-5D6E-409C-BE32-E72D297353CC}">
              <c16:uniqueId val="{00000001-9F64-40DF-8998-F5DABEC75FA0}"/>
            </c:ext>
          </c:extLst>
        </c:ser>
        <c:ser>
          <c:idx val="2"/>
          <c:order val="2"/>
          <c:tx>
            <c:strRef>
              <c:f>'Air Temps'!$I$1</c:f>
              <c:strCache>
                <c:ptCount val="1"/>
                <c:pt idx="0">
                  <c:v>GDUs (℃)</c:v>
                </c:pt>
              </c:strCache>
            </c:strRef>
          </c:tx>
          <c:spPr>
            <a:ln w="28575" cap="rnd">
              <a:solidFill>
                <a:schemeClr val="accent3"/>
              </a:solidFill>
              <a:round/>
            </a:ln>
            <a:effectLst/>
          </c:spPr>
          <c:marker>
            <c:symbol val="none"/>
          </c:marker>
          <c:cat>
            <c:numRef>
              <c:f>'Air Temps'!$B$2:$B$109</c:f>
              <c:numCache>
                <c:formatCode>General</c:formatCode>
                <c:ptCount val="10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numCache>
            </c:numRef>
          </c:cat>
          <c:val>
            <c:numRef>
              <c:f>'Air Temps'!$I$2:$I$109</c:f>
              <c:numCache>
                <c:formatCode>0.00</c:formatCode>
                <c:ptCount val="108"/>
                <c:pt idx="0">
                  <c:v>12.008333333333333</c:v>
                </c:pt>
                <c:pt idx="1">
                  <c:v>10.755555555555556</c:v>
                </c:pt>
                <c:pt idx="2">
                  <c:v>14.080555555555556</c:v>
                </c:pt>
                <c:pt idx="3">
                  <c:v>14.024999999999999</c:v>
                </c:pt>
                <c:pt idx="4">
                  <c:v>14.838888888888889</c:v>
                </c:pt>
                <c:pt idx="5">
                  <c:v>15.080555555555556</c:v>
                </c:pt>
                <c:pt idx="6">
                  <c:v>16.055555555555557</c:v>
                </c:pt>
                <c:pt idx="7">
                  <c:v>15.713888888888889</c:v>
                </c:pt>
                <c:pt idx="8">
                  <c:v>16.213888888888889</c:v>
                </c:pt>
                <c:pt idx="9">
                  <c:v>14.125</c:v>
                </c:pt>
                <c:pt idx="10">
                  <c:v>14.080555555555556</c:v>
                </c:pt>
                <c:pt idx="11">
                  <c:v>14.225000000000001</c:v>
                </c:pt>
                <c:pt idx="12">
                  <c:v>14.261111111111113</c:v>
                </c:pt>
                <c:pt idx="13">
                  <c:v>13.24444444444444</c:v>
                </c:pt>
                <c:pt idx="14">
                  <c:v>12.680555555555557</c:v>
                </c:pt>
                <c:pt idx="15">
                  <c:v>15.369444444444444</c:v>
                </c:pt>
                <c:pt idx="16">
                  <c:v>15.844444444444449</c:v>
                </c:pt>
                <c:pt idx="17">
                  <c:v>16.038888888888888</c:v>
                </c:pt>
                <c:pt idx="18">
                  <c:v>16.919444444444444</c:v>
                </c:pt>
                <c:pt idx="19">
                  <c:v>17.280555555555551</c:v>
                </c:pt>
                <c:pt idx="20">
                  <c:v>17.219444444444441</c:v>
                </c:pt>
                <c:pt idx="21">
                  <c:v>17.213888888888889</c:v>
                </c:pt>
                <c:pt idx="22">
                  <c:v>16.911111111111111</c:v>
                </c:pt>
                <c:pt idx="23">
                  <c:v>16.055555555555557</c:v>
                </c:pt>
                <c:pt idx="24">
                  <c:v>16.524999999999999</c:v>
                </c:pt>
                <c:pt idx="25">
                  <c:v>15.838888888888889</c:v>
                </c:pt>
                <c:pt idx="26">
                  <c:v>15.81111111111111</c:v>
                </c:pt>
                <c:pt idx="27">
                  <c:v>15.319444444444446</c:v>
                </c:pt>
                <c:pt idx="28">
                  <c:v>16.594444444444441</c:v>
                </c:pt>
                <c:pt idx="29">
                  <c:v>17.694444444444443</c:v>
                </c:pt>
                <c:pt idx="30">
                  <c:v>14.93333333333333</c:v>
                </c:pt>
                <c:pt idx="31">
                  <c:v>15.68611111111111</c:v>
                </c:pt>
                <c:pt idx="32">
                  <c:v>15.375</c:v>
                </c:pt>
                <c:pt idx="33">
                  <c:v>15.944444444444446</c:v>
                </c:pt>
                <c:pt idx="34">
                  <c:v>18.31111111111111</c:v>
                </c:pt>
                <c:pt idx="35">
                  <c:v>17.711111111111112</c:v>
                </c:pt>
                <c:pt idx="36">
                  <c:v>17.269444444444446</c:v>
                </c:pt>
                <c:pt idx="37">
                  <c:v>17.274999999999999</c:v>
                </c:pt>
                <c:pt idx="38">
                  <c:v>16.980555555555554</c:v>
                </c:pt>
                <c:pt idx="39">
                  <c:v>16.819444444444443</c:v>
                </c:pt>
                <c:pt idx="40">
                  <c:v>16.93611111111111</c:v>
                </c:pt>
                <c:pt idx="41">
                  <c:v>16.43611111111111</c:v>
                </c:pt>
                <c:pt idx="42">
                  <c:v>16.388888888888889</c:v>
                </c:pt>
                <c:pt idx="43">
                  <c:v>16.769444444444446</c:v>
                </c:pt>
                <c:pt idx="44">
                  <c:v>16.736111111111111</c:v>
                </c:pt>
                <c:pt idx="45">
                  <c:v>16.905555555555555</c:v>
                </c:pt>
                <c:pt idx="46">
                  <c:v>16.899999999999999</c:v>
                </c:pt>
                <c:pt idx="47">
                  <c:v>16.713888888888889</c:v>
                </c:pt>
                <c:pt idx="48">
                  <c:v>14.713888888888889</c:v>
                </c:pt>
                <c:pt idx="49">
                  <c:v>16.81388888888889</c:v>
                </c:pt>
                <c:pt idx="50">
                  <c:v>15.980555555555554</c:v>
                </c:pt>
                <c:pt idx="51">
                  <c:v>15.266666666666666</c:v>
                </c:pt>
                <c:pt idx="52">
                  <c:v>13.788888888888891</c:v>
                </c:pt>
                <c:pt idx="53">
                  <c:v>13.888888888888889</c:v>
                </c:pt>
                <c:pt idx="54">
                  <c:v>12.413888888888891</c:v>
                </c:pt>
                <c:pt idx="55">
                  <c:v>13.280555555555559</c:v>
                </c:pt>
                <c:pt idx="56">
                  <c:v>13.338888888888889</c:v>
                </c:pt>
                <c:pt idx="57">
                  <c:v>15.2</c:v>
                </c:pt>
                <c:pt idx="58">
                  <c:v>17.119444444444444</c:v>
                </c:pt>
                <c:pt idx="59">
                  <c:v>17.388888888888886</c:v>
                </c:pt>
                <c:pt idx="60">
                  <c:v>17.280555555555551</c:v>
                </c:pt>
                <c:pt idx="61">
                  <c:v>15.286111111111111</c:v>
                </c:pt>
                <c:pt idx="62">
                  <c:v>14.955555555555556</c:v>
                </c:pt>
                <c:pt idx="63">
                  <c:v>15.580555555555556</c:v>
                </c:pt>
                <c:pt idx="64">
                  <c:v>16.880555555555553</c:v>
                </c:pt>
                <c:pt idx="65">
                  <c:v>17.105555555555554</c:v>
                </c:pt>
                <c:pt idx="66">
                  <c:v>16.994444444444447</c:v>
                </c:pt>
                <c:pt idx="67">
                  <c:v>16.705555555555556</c:v>
                </c:pt>
                <c:pt idx="68">
                  <c:v>15.444444444444443</c:v>
                </c:pt>
                <c:pt idx="69">
                  <c:v>14.213888888888889</c:v>
                </c:pt>
                <c:pt idx="70">
                  <c:v>12.694444444444443</c:v>
                </c:pt>
                <c:pt idx="71">
                  <c:v>13.544444444444444</c:v>
                </c:pt>
                <c:pt idx="72">
                  <c:v>14.580555555555556</c:v>
                </c:pt>
                <c:pt idx="73">
                  <c:v>13.586111111111109</c:v>
                </c:pt>
                <c:pt idx="74">
                  <c:v>15.425000000000001</c:v>
                </c:pt>
                <c:pt idx="75">
                  <c:v>15.786111111111111</c:v>
                </c:pt>
                <c:pt idx="76">
                  <c:v>14.161111111111111</c:v>
                </c:pt>
                <c:pt idx="77">
                  <c:v>15.738888888888887</c:v>
                </c:pt>
                <c:pt idx="78">
                  <c:v>14.461111111111112</c:v>
                </c:pt>
                <c:pt idx="79">
                  <c:v>14.700000000000003</c:v>
                </c:pt>
                <c:pt idx="80">
                  <c:v>16.613888888888887</c:v>
                </c:pt>
                <c:pt idx="81">
                  <c:v>15.625</c:v>
                </c:pt>
                <c:pt idx="82">
                  <c:v>15.238888888888887</c:v>
                </c:pt>
                <c:pt idx="83">
                  <c:v>12.31111111111111</c:v>
                </c:pt>
                <c:pt idx="84">
                  <c:v>14.975000000000001</c:v>
                </c:pt>
                <c:pt idx="85">
                  <c:v>14.844444444444441</c:v>
                </c:pt>
                <c:pt idx="86">
                  <c:v>15.425000000000001</c:v>
                </c:pt>
                <c:pt idx="87">
                  <c:v>15.288888888888891</c:v>
                </c:pt>
                <c:pt idx="88">
                  <c:v>15.380555555555556</c:v>
                </c:pt>
                <c:pt idx="89">
                  <c:v>16.280555555555555</c:v>
                </c:pt>
                <c:pt idx="90">
                  <c:v>11.911111111111111</c:v>
                </c:pt>
                <c:pt idx="91">
                  <c:v>2.2861111111111114</c:v>
                </c:pt>
                <c:pt idx="92">
                  <c:v>4.5277777777777768</c:v>
                </c:pt>
                <c:pt idx="93">
                  <c:v>6.0750000000000028</c:v>
                </c:pt>
                <c:pt idx="94">
                  <c:v>10.347222222222221</c:v>
                </c:pt>
                <c:pt idx="95">
                  <c:v>11.149999999999999</c:v>
                </c:pt>
                <c:pt idx="96">
                  <c:v>10.45</c:v>
                </c:pt>
                <c:pt idx="97">
                  <c:v>12.744444444444447</c:v>
                </c:pt>
                <c:pt idx="98">
                  <c:v>12.766666666666666</c:v>
                </c:pt>
                <c:pt idx="99">
                  <c:v>12.175000000000001</c:v>
                </c:pt>
                <c:pt idx="100">
                  <c:v>9.4555555555555522</c:v>
                </c:pt>
                <c:pt idx="101">
                  <c:v>8.7888888888888879</c:v>
                </c:pt>
                <c:pt idx="102">
                  <c:v>8.2305555555555578</c:v>
                </c:pt>
                <c:pt idx="103">
                  <c:v>9.6999999999999993</c:v>
                </c:pt>
                <c:pt idx="104">
                  <c:v>9.5166666666666657</c:v>
                </c:pt>
                <c:pt idx="105">
                  <c:v>8.7055555555555557</c:v>
                </c:pt>
                <c:pt idx="106">
                  <c:v>9.375</c:v>
                </c:pt>
                <c:pt idx="107">
                  <c:v>12.019444444444442</c:v>
                </c:pt>
              </c:numCache>
            </c:numRef>
          </c:val>
          <c:smooth val="0"/>
          <c:extLst xmlns:c16r2="http://schemas.microsoft.com/office/drawing/2015/06/chart">
            <c:ext xmlns:c16="http://schemas.microsoft.com/office/drawing/2014/chart" uri="{C3380CC4-5D6E-409C-BE32-E72D297353CC}">
              <c16:uniqueId val="{00000002-9F64-40DF-8998-F5DABEC75FA0}"/>
            </c:ext>
          </c:extLst>
        </c:ser>
        <c:dLbls>
          <c:showLegendKey val="0"/>
          <c:showVal val="0"/>
          <c:showCatName val="0"/>
          <c:showSerName val="0"/>
          <c:showPercent val="0"/>
          <c:showBubbleSize val="0"/>
        </c:dLbls>
        <c:smooth val="0"/>
        <c:axId val="707469688"/>
        <c:axId val="707474784"/>
      </c:lineChart>
      <c:catAx>
        <c:axId val="707469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a:t>
                </a:r>
                <a:r>
                  <a:rPr lang="en-US" baseline="0"/>
                  <a:t> after planting</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474784"/>
        <c:crosses val="autoZero"/>
        <c:auto val="1"/>
        <c:lblAlgn val="ctr"/>
        <c:lblOffset val="100"/>
        <c:tickLblSkip val="20"/>
        <c:noMultiLvlLbl val="1"/>
      </c:catAx>
      <c:valAx>
        <c:axId val="70747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Temperature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4696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'C&amp;S Emergence'!$A$39</c:f>
              <c:strCache>
                <c:ptCount val="1"/>
                <c:pt idx="0">
                  <c:v>% emergence corn</c:v>
                </c:pt>
              </c:strCache>
            </c:strRef>
          </c:tx>
          <c:spPr>
            <a:ln w="19050" cap="rnd">
              <a:solidFill>
                <a:srgbClr val="FFC000"/>
              </a:solidFill>
              <a:round/>
            </a:ln>
            <a:effectLst/>
          </c:spPr>
          <c:marker>
            <c:symbol val="triangle"/>
            <c:size val="5"/>
            <c:spPr>
              <a:solidFill>
                <a:srgbClr val="FFC000"/>
              </a:solidFill>
              <a:ln w="9525">
                <a:solidFill>
                  <a:srgbClr val="FFC000"/>
                </a:solidFill>
              </a:ln>
              <a:effectLst/>
            </c:spPr>
          </c:marker>
          <c:xVal>
            <c:numRef>
              <c:f>'C&amp;S Emergence'!$B$27:$K$27</c:f>
              <c:numCache>
                <c:formatCode>General</c:formatCode>
                <c:ptCount val="10"/>
                <c:pt idx="0">
                  <c:v>0</c:v>
                </c:pt>
                <c:pt idx="1">
                  <c:v>1</c:v>
                </c:pt>
                <c:pt idx="2">
                  <c:v>2</c:v>
                </c:pt>
                <c:pt idx="3">
                  <c:v>3</c:v>
                </c:pt>
                <c:pt idx="4">
                  <c:v>4</c:v>
                </c:pt>
                <c:pt idx="5">
                  <c:v>5</c:v>
                </c:pt>
                <c:pt idx="6">
                  <c:v>6</c:v>
                </c:pt>
                <c:pt idx="7">
                  <c:v>7</c:v>
                </c:pt>
                <c:pt idx="8">
                  <c:v>9</c:v>
                </c:pt>
                <c:pt idx="9">
                  <c:v>11</c:v>
                </c:pt>
              </c:numCache>
            </c:numRef>
          </c:xVal>
          <c:yVal>
            <c:numRef>
              <c:f>'C&amp;S Emergence'!$B$39:$K$39</c:f>
              <c:numCache>
                <c:formatCode>0%</c:formatCode>
                <c:ptCount val="10"/>
                <c:pt idx="0">
                  <c:v>0</c:v>
                </c:pt>
                <c:pt idx="1">
                  <c:v>0</c:v>
                </c:pt>
                <c:pt idx="2">
                  <c:v>0</c:v>
                </c:pt>
                <c:pt idx="3">
                  <c:v>0</c:v>
                </c:pt>
                <c:pt idx="4">
                  <c:v>0</c:v>
                </c:pt>
                <c:pt idx="5">
                  <c:v>0.58333333333333337</c:v>
                </c:pt>
                <c:pt idx="6">
                  <c:v>0.80555555555555558</c:v>
                </c:pt>
                <c:pt idx="7">
                  <c:v>0.91666666666666663</c:v>
                </c:pt>
                <c:pt idx="8">
                  <c:v>0.94444444444444442</c:v>
                </c:pt>
                <c:pt idx="9">
                  <c:v>0.97222222222222221</c:v>
                </c:pt>
              </c:numCache>
            </c:numRef>
          </c:yVal>
          <c:smooth val="0"/>
          <c:extLst xmlns:c16r2="http://schemas.microsoft.com/office/drawing/2015/06/chart">
            <c:ext xmlns:c16="http://schemas.microsoft.com/office/drawing/2014/chart" uri="{C3380CC4-5D6E-409C-BE32-E72D297353CC}">
              <c16:uniqueId val="{00000000-682B-493C-AC7D-E2EBF57F35EF}"/>
            </c:ext>
          </c:extLst>
        </c:ser>
        <c:ser>
          <c:idx val="1"/>
          <c:order val="1"/>
          <c:tx>
            <c:strRef>
              <c:f>'C&amp;S Emergence'!$A$45</c:f>
              <c:strCache>
                <c:ptCount val="1"/>
                <c:pt idx="0">
                  <c:v>% emergence sorghum</c:v>
                </c:pt>
              </c:strCache>
            </c:strRef>
          </c:tx>
          <c:spPr>
            <a:ln w="19050" cap="rnd">
              <a:solidFill>
                <a:schemeClr val="accent3">
                  <a:lumMod val="75000"/>
                </a:schemeClr>
              </a:solidFill>
              <a:round/>
            </a:ln>
            <a:effectLst/>
          </c:spPr>
          <c:marker>
            <c:symbol val="circle"/>
            <c:size val="5"/>
            <c:spPr>
              <a:solidFill>
                <a:schemeClr val="accent3">
                  <a:lumMod val="75000"/>
                </a:schemeClr>
              </a:solidFill>
              <a:ln w="9525">
                <a:solidFill>
                  <a:schemeClr val="accent3">
                    <a:lumMod val="75000"/>
                  </a:schemeClr>
                </a:solidFill>
              </a:ln>
              <a:effectLst/>
            </c:spPr>
          </c:marker>
          <c:xVal>
            <c:numRef>
              <c:f>'C&amp;S Emergence'!$B$27:$K$27</c:f>
              <c:numCache>
                <c:formatCode>General</c:formatCode>
                <c:ptCount val="10"/>
                <c:pt idx="0">
                  <c:v>0</c:v>
                </c:pt>
                <c:pt idx="1">
                  <c:v>1</c:v>
                </c:pt>
                <c:pt idx="2">
                  <c:v>2</c:v>
                </c:pt>
                <c:pt idx="3">
                  <c:v>3</c:v>
                </c:pt>
                <c:pt idx="4">
                  <c:v>4</c:v>
                </c:pt>
                <c:pt idx="5">
                  <c:v>5</c:v>
                </c:pt>
                <c:pt idx="6">
                  <c:v>6</c:v>
                </c:pt>
                <c:pt idx="7">
                  <c:v>7</c:v>
                </c:pt>
                <c:pt idx="8">
                  <c:v>9</c:v>
                </c:pt>
                <c:pt idx="9">
                  <c:v>11</c:v>
                </c:pt>
              </c:numCache>
            </c:numRef>
          </c:xVal>
          <c:yVal>
            <c:numRef>
              <c:f>'C&amp;S Emergence'!$B$45:$K$45</c:f>
              <c:numCache>
                <c:formatCode>0%</c:formatCode>
                <c:ptCount val="10"/>
                <c:pt idx="0">
                  <c:v>0</c:v>
                </c:pt>
                <c:pt idx="1">
                  <c:v>0</c:v>
                </c:pt>
                <c:pt idx="2">
                  <c:v>0</c:v>
                </c:pt>
                <c:pt idx="3">
                  <c:v>0</c:v>
                </c:pt>
                <c:pt idx="4">
                  <c:v>0.64864864864864868</c:v>
                </c:pt>
                <c:pt idx="5">
                  <c:v>0.81081081081081086</c:v>
                </c:pt>
                <c:pt idx="6">
                  <c:v>0.81081081081081086</c:v>
                </c:pt>
                <c:pt idx="7">
                  <c:v>0.86486486486486491</c:v>
                </c:pt>
                <c:pt idx="8">
                  <c:v>0.86486486486486491</c:v>
                </c:pt>
                <c:pt idx="9">
                  <c:v>0.91891891891891897</c:v>
                </c:pt>
              </c:numCache>
            </c:numRef>
          </c:yVal>
          <c:smooth val="0"/>
          <c:extLst xmlns:c16r2="http://schemas.microsoft.com/office/drawing/2015/06/chart">
            <c:ext xmlns:c16="http://schemas.microsoft.com/office/drawing/2014/chart" uri="{C3380CC4-5D6E-409C-BE32-E72D297353CC}">
              <c16:uniqueId val="{00000001-682B-493C-AC7D-E2EBF57F35EF}"/>
            </c:ext>
          </c:extLst>
        </c:ser>
        <c:dLbls>
          <c:showLegendKey val="0"/>
          <c:showVal val="0"/>
          <c:showCatName val="0"/>
          <c:showSerName val="0"/>
          <c:showPercent val="0"/>
          <c:showBubbleSize val="0"/>
        </c:dLbls>
        <c:axId val="707470864"/>
        <c:axId val="707471256"/>
      </c:scatterChart>
      <c:valAx>
        <c:axId val="7074708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planting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471256"/>
        <c:crosses val="autoZero"/>
        <c:crossBetween val="midCat"/>
      </c:valAx>
      <c:valAx>
        <c:axId val="70747125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r>
                  <a:rPr lang="en-US" baseline="0"/>
                  <a:t> </a:t>
                </a:r>
                <a:r>
                  <a:rPr lang="en-US" sz="1000" b="0" i="0" u="none" strike="noStrike" baseline="0">
                    <a:effectLst/>
                  </a:rPr>
                  <a:t>Seedlings </a:t>
                </a:r>
                <a:r>
                  <a:rPr lang="en-US"/>
                  <a:t>Emerged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470864"/>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'C&amp;S Emergence'!$A$63</c:f>
              <c:strCache>
                <c:ptCount val="1"/>
                <c:pt idx="0">
                  <c:v>% emergence CG</c:v>
                </c:pt>
              </c:strCache>
            </c:strRef>
          </c:tx>
          <c:spPr>
            <a:ln w="19050" cap="rnd">
              <a:solidFill>
                <a:schemeClr val="accent1"/>
              </a:solidFill>
              <a:round/>
            </a:ln>
            <a:effectLst/>
          </c:spPr>
          <c:marker>
            <c:symbol val="triangle"/>
            <c:size val="5"/>
            <c:spPr>
              <a:solidFill>
                <a:schemeClr val="accent1"/>
              </a:solidFill>
              <a:ln w="9525">
                <a:solidFill>
                  <a:schemeClr val="accent1"/>
                </a:solidFill>
              </a:ln>
              <a:effectLst/>
            </c:spPr>
          </c:marker>
          <c:xVal>
            <c:numRef>
              <c:f>'C&amp;S Emergence'!$B$27:$K$27</c:f>
              <c:numCache>
                <c:formatCode>General</c:formatCode>
                <c:ptCount val="10"/>
                <c:pt idx="0">
                  <c:v>0</c:v>
                </c:pt>
                <c:pt idx="1">
                  <c:v>1</c:v>
                </c:pt>
                <c:pt idx="2">
                  <c:v>2</c:v>
                </c:pt>
                <c:pt idx="3">
                  <c:v>3</c:v>
                </c:pt>
                <c:pt idx="4">
                  <c:v>4</c:v>
                </c:pt>
                <c:pt idx="5">
                  <c:v>5</c:v>
                </c:pt>
                <c:pt idx="6">
                  <c:v>6</c:v>
                </c:pt>
                <c:pt idx="7">
                  <c:v>7</c:v>
                </c:pt>
                <c:pt idx="8">
                  <c:v>9</c:v>
                </c:pt>
                <c:pt idx="9">
                  <c:v>11</c:v>
                </c:pt>
              </c:numCache>
            </c:numRef>
          </c:xVal>
          <c:yVal>
            <c:numRef>
              <c:f>'C&amp;S Emergence'!$B$63:$K$63</c:f>
              <c:numCache>
                <c:formatCode>0%</c:formatCode>
                <c:ptCount val="10"/>
                <c:pt idx="0">
                  <c:v>0</c:v>
                </c:pt>
                <c:pt idx="1">
                  <c:v>0</c:v>
                </c:pt>
                <c:pt idx="2">
                  <c:v>0</c:v>
                </c:pt>
                <c:pt idx="3">
                  <c:v>0</c:v>
                </c:pt>
                <c:pt idx="4">
                  <c:v>0</c:v>
                </c:pt>
                <c:pt idx="5">
                  <c:v>0.61111111111111116</c:v>
                </c:pt>
                <c:pt idx="6">
                  <c:v>0.72222222222222221</c:v>
                </c:pt>
                <c:pt idx="7">
                  <c:v>0.83333333333333337</c:v>
                </c:pt>
                <c:pt idx="8">
                  <c:v>0.88888888888888884</c:v>
                </c:pt>
                <c:pt idx="9">
                  <c:v>0.94444444444444442</c:v>
                </c:pt>
              </c:numCache>
            </c:numRef>
          </c:yVal>
          <c:smooth val="0"/>
          <c:extLst xmlns:c16r2="http://schemas.microsoft.com/office/drawing/2015/06/chart">
            <c:ext xmlns:c16="http://schemas.microsoft.com/office/drawing/2014/chart" uri="{C3380CC4-5D6E-409C-BE32-E72D297353CC}">
              <c16:uniqueId val="{00000000-2366-4147-8C1B-B998314CF294}"/>
            </c:ext>
          </c:extLst>
        </c:ser>
        <c:ser>
          <c:idx val="1"/>
          <c:order val="1"/>
          <c:tx>
            <c:strRef>
              <c:f>'C&amp;S Emergence'!$A$68</c:f>
              <c:strCache>
                <c:ptCount val="1"/>
                <c:pt idx="0">
                  <c:v>% emergence CM</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'C&amp;S Emergence'!$B$27:$K$27</c:f>
              <c:numCache>
                <c:formatCode>General</c:formatCode>
                <c:ptCount val="10"/>
                <c:pt idx="0">
                  <c:v>0</c:v>
                </c:pt>
                <c:pt idx="1">
                  <c:v>1</c:v>
                </c:pt>
                <c:pt idx="2">
                  <c:v>2</c:v>
                </c:pt>
                <c:pt idx="3">
                  <c:v>3</c:v>
                </c:pt>
                <c:pt idx="4">
                  <c:v>4</c:v>
                </c:pt>
                <c:pt idx="5">
                  <c:v>5</c:v>
                </c:pt>
                <c:pt idx="6">
                  <c:v>6</c:v>
                </c:pt>
                <c:pt idx="7">
                  <c:v>7</c:v>
                </c:pt>
                <c:pt idx="8">
                  <c:v>9</c:v>
                </c:pt>
                <c:pt idx="9">
                  <c:v>11</c:v>
                </c:pt>
              </c:numCache>
            </c:numRef>
          </c:xVal>
          <c:yVal>
            <c:numRef>
              <c:f>'C&amp;S Emergence'!$B$68:$K$68</c:f>
              <c:numCache>
                <c:formatCode>0%</c:formatCode>
                <c:ptCount val="10"/>
                <c:pt idx="0">
                  <c:v>0</c:v>
                </c:pt>
                <c:pt idx="1">
                  <c:v>0</c:v>
                </c:pt>
                <c:pt idx="2">
                  <c:v>0</c:v>
                </c:pt>
                <c:pt idx="3">
                  <c:v>0</c:v>
                </c:pt>
                <c:pt idx="4">
                  <c:v>0</c:v>
                </c:pt>
                <c:pt idx="5">
                  <c:v>0.55555555555555558</c:v>
                </c:pt>
                <c:pt idx="6">
                  <c:v>0.88888888888888884</c:v>
                </c:pt>
                <c:pt idx="7">
                  <c:v>1</c:v>
                </c:pt>
                <c:pt idx="8">
                  <c:v>1</c:v>
                </c:pt>
                <c:pt idx="9">
                  <c:v>1</c:v>
                </c:pt>
              </c:numCache>
            </c:numRef>
          </c:yVal>
          <c:smooth val="0"/>
          <c:extLst xmlns:c16r2="http://schemas.microsoft.com/office/drawing/2015/06/chart">
            <c:ext xmlns:c16="http://schemas.microsoft.com/office/drawing/2014/chart" uri="{C3380CC4-5D6E-409C-BE32-E72D297353CC}">
              <c16:uniqueId val="{00000001-2366-4147-8C1B-B998314CF294}"/>
            </c:ext>
          </c:extLst>
        </c:ser>
        <c:dLbls>
          <c:showLegendKey val="0"/>
          <c:showVal val="0"/>
          <c:showCatName val="0"/>
          <c:showSerName val="0"/>
          <c:showPercent val="0"/>
          <c:showBubbleSize val="0"/>
        </c:dLbls>
        <c:axId val="707472432"/>
        <c:axId val="707471648"/>
      </c:scatterChart>
      <c:valAx>
        <c:axId val="7074724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planting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471648"/>
        <c:crosses val="autoZero"/>
        <c:crossBetween val="midCat"/>
      </c:valAx>
      <c:valAx>
        <c:axId val="70747164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r>
                  <a:rPr lang="en-US" i="0"/>
                  <a:t>Seedlings </a:t>
                </a:r>
                <a:r>
                  <a:rPr lang="en-US"/>
                  <a:t>Emerged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472432"/>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'C&amp;S Emergence'!$A$74</c:f>
              <c:strCache>
                <c:ptCount val="1"/>
                <c:pt idx="0">
                  <c:v>% emergence SG</c:v>
                </c:pt>
              </c:strCache>
            </c:strRef>
          </c:tx>
          <c:spPr>
            <a:ln w="19050" cap="rnd">
              <a:solidFill>
                <a:schemeClr val="accent1"/>
              </a:solidFill>
              <a:round/>
            </a:ln>
            <a:effectLst/>
          </c:spPr>
          <c:marker>
            <c:symbol val="triangle"/>
            <c:size val="5"/>
            <c:spPr>
              <a:solidFill>
                <a:schemeClr val="accent1"/>
              </a:solidFill>
              <a:ln w="9525">
                <a:solidFill>
                  <a:schemeClr val="accent1"/>
                </a:solidFill>
              </a:ln>
              <a:effectLst/>
            </c:spPr>
          </c:marker>
          <c:xVal>
            <c:numRef>
              <c:f>'C&amp;S Emergence'!$B$27:$K$27</c:f>
              <c:numCache>
                <c:formatCode>General</c:formatCode>
                <c:ptCount val="10"/>
                <c:pt idx="0">
                  <c:v>0</c:v>
                </c:pt>
                <c:pt idx="1">
                  <c:v>1</c:v>
                </c:pt>
                <c:pt idx="2">
                  <c:v>2</c:v>
                </c:pt>
                <c:pt idx="3">
                  <c:v>3</c:v>
                </c:pt>
                <c:pt idx="4">
                  <c:v>4</c:v>
                </c:pt>
                <c:pt idx="5">
                  <c:v>5</c:v>
                </c:pt>
                <c:pt idx="6">
                  <c:v>6</c:v>
                </c:pt>
                <c:pt idx="7">
                  <c:v>7</c:v>
                </c:pt>
                <c:pt idx="8">
                  <c:v>9</c:v>
                </c:pt>
                <c:pt idx="9">
                  <c:v>11</c:v>
                </c:pt>
              </c:numCache>
            </c:numRef>
          </c:xVal>
          <c:yVal>
            <c:numRef>
              <c:f>'C&amp;S Emergence'!$B$74:$K$74</c:f>
              <c:numCache>
                <c:formatCode>0%</c:formatCode>
                <c:ptCount val="10"/>
                <c:pt idx="0">
                  <c:v>0</c:v>
                </c:pt>
                <c:pt idx="1">
                  <c:v>0</c:v>
                </c:pt>
                <c:pt idx="2">
                  <c:v>0</c:v>
                </c:pt>
                <c:pt idx="3">
                  <c:v>0</c:v>
                </c:pt>
                <c:pt idx="4">
                  <c:v>0.5</c:v>
                </c:pt>
                <c:pt idx="5">
                  <c:v>0.77777777777777779</c:v>
                </c:pt>
                <c:pt idx="6">
                  <c:v>0.77777777777777779</c:v>
                </c:pt>
                <c:pt idx="7">
                  <c:v>0.83333333333333337</c:v>
                </c:pt>
                <c:pt idx="8">
                  <c:v>0.83333333333333337</c:v>
                </c:pt>
                <c:pt idx="9">
                  <c:v>0.88888888888888884</c:v>
                </c:pt>
              </c:numCache>
            </c:numRef>
          </c:yVal>
          <c:smooth val="0"/>
          <c:extLst xmlns:c16r2="http://schemas.microsoft.com/office/drawing/2015/06/chart">
            <c:ext xmlns:c16="http://schemas.microsoft.com/office/drawing/2014/chart" uri="{C3380CC4-5D6E-409C-BE32-E72D297353CC}">
              <c16:uniqueId val="{00000000-C1AE-412A-A3D2-A5DE61EE6CC0}"/>
            </c:ext>
          </c:extLst>
        </c:ser>
        <c:ser>
          <c:idx val="1"/>
          <c:order val="1"/>
          <c:tx>
            <c:strRef>
              <c:f>'C&amp;S Emergence'!$A$79</c:f>
              <c:strCache>
                <c:ptCount val="1"/>
                <c:pt idx="0">
                  <c:v>% emergence SM</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'C&amp;S Emergence'!$B$27:$K$27</c:f>
              <c:numCache>
                <c:formatCode>General</c:formatCode>
                <c:ptCount val="10"/>
                <c:pt idx="0">
                  <c:v>0</c:v>
                </c:pt>
                <c:pt idx="1">
                  <c:v>1</c:v>
                </c:pt>
                <c:pt idx="2">
                  <c:v>2</c:v>
                </c:pt>
                <c:pt idx="3">
                  <c:v>3</c:v>
                </c:pt>
                <c:pt idx="4">
                  <c:v>4</c:v>
                </c:pt>
                <c:pt idx="5">
                  <c:v>5</c:v>
                </c:pt>
                <c:pt idx="6">
                  <c:v>6</c:v>
                </c:pt>
                <c:pt idx="7">
                  <c:v>7</c:v>
                </c:pt>
                <c:pt idx="8">
                  <c:v>9</c:v>
                </c:pt>
                <c:pt idx="9">
                  <c:v>11</c:v>
                </c:pt>
              </c:numCache>
            </c:numRef>
          </c:xVal>
          <c:yVal>
            <c:numRef>
              <c:f>'C&amp;S Emergence'!$B$79:$K$79</c:f>
              <c:numCache>
                <c:formatCode>0%</c:formatCode>
                <c:ptCount val="10"/>
                <c:pt idx="0">
                  <c:v>0</c:v>
                </c:pt>
                <c:pt idx="1">
                  <c:v>0</c:v>
                </c:pt>
                <c:pt idx="2">
                  <c:v>0</c:v>
                </c:pt>
                <c:pt idx="3">
                  <c:v>0</c:v>
                </c:pt>
                <c:pt idx="4">
                  <c:v>0.78947368421052633</c:v>
                </c:pt>
                <c:pt idx="5">
                  <c:v>0.84210526315789469</c:v>
                </c:pt>
                <c:pt idx="6">
                  <c:v>0.84210526315789469</c:v>
                </c:pt>
                <c:pt idx="7">
                  <c:v>0.89473684210526316</c:v>
                </c:pt>
                <c:pt idx="8">
                  <c:v>0.89473684210526316</c:v>
                </c:pt>
                <c:pt idx="9">
                  <c:v>0.94736842105263153</c:v>
                </c:pt>
              </c:numCache>
            </c:numRef>
          </c:yVal>
          <c:smooth val="0"/>
          <c:extLst xmlns:c16r2="http://schemas.microsoft.com/office/drawing/2015/06/chart">
            <c:ext xmlns:c16="http://schemas.microsoft.com/office/drawing/2014/chart" uri="{C3380CC4-5D6E-409C-BE32-E72D297353CC}">
              <c16:uniqueId val="{00000001-C1AE-412A-A3D2-A5DE61EE6CC0}"/>
            </c:ext>
          </c:extLst>
        </c:ser>
        <c:dLbls>
          <c:showLegendKey val="0"/>
          <c:showVal val="0"/>
          <c:showCatName val="0"/>
          <c:showSerName val="0"/>
          <c:showPercent val="0"/>
          <c:showBubbleSize val="0"/>
        </c:dLbls>
        <c:axId val="707473216"/>
        <c:axId val="707474000"/>
      </c:scatterChart>
      <c:valAx>
        <c:axId val="7074732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planting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474000"/>
        <c:crosses val="autoZero"/>
        <c:crossBetween val="midCat"/>
      </c:valAx>
      <c:valAx>
        <c:axId val="70747400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Percent Seedlings </a:t>
                </a:r>
                <a:r>
                  <a:rPr lang="en-US"/>
                  <a:t>Emerged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473216"/>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CG</c:v>
          </c:tx>
          <c:marker>
            <c:symbol val="triangle"/>
            <c:size val="7"/>
          </c:marker>
          <c:xVal>
            <c:numLit>
              <c:formatCode>General</c:formatCode>
              <c:ptCount val="11"/>
              <c:pt idx="0">
                <c:v>0</c:v>
              </c:pt>
              <c:pt idx="1">
                <c:v>5</c:v>
              </c:pt>
              <c:pt idx="2">
                <c:v>5</c:v>
              </c:pt>
              <c:pt idx="3">
                <c:v>6</c:v>
              </c:pt>
              <c:pt idx="4">
                <c:v>6</c:v>
              </c:pt>
              <c:pt idx="5">
                <c:v>7</c:v>
              </c:pt>
              <c:pt idx="6">
                <c:v>7</c:v>
              </c:pt>
              <c:pt idx="7">
                <c:v>8</c:v>
              </c:pt>
              <c:pt idx="8">
                <c:v>8</c:v>
              </c:pt>
              <c:pt idx="9">
                <c:v>11</c:v>
              </c:pt>
              <c:pt idx="10">
                <c:v>11</c:v>
              </c:pt>
            </c:numLit>
          </c:xVal>
          <c:yVal>
            <c:numLit>
              <c:formatCode>General</c:formatCode>
              <c:ptCount val="11"/>
              <c:pt idx="0">
                <c:v>1</c:v>
              </c:pt>
              <c:pt idx="1">
                <c:v>1</c:v>
              </c:pt>
              <c:pt idx="2">
                <c:v>0.38888888888888884</c:v>
              </c:pt>
              <c:pt idx="3">
                <c:v>0.38888888888888884</c:v>
              </c:pt>
              <c:pt idx="4">
                <c:v>0.27777777777777773</c:v>
              </c:pt>
              <c:pt idx="5">
                <c:v>0.27777777777777773</c:v>
              </c:pt>
              <c:pt idx="6">
                <c:v>0.16666666666666663</c:v>
              </c:pt>
              <c:pt idx="7">
                <c:v>0.16666666666666663</c:v>
              </c:pt>
              <c:pt idx="8">
                <c:v>0.1111111111111111</c:v>
              </c:pt>
              <c:pt idx="9">
                <c:v>0.1111111111111111</c:v>
              </c:pt>
              <c:pt idx="10">
                <c:v>5.5555555555555552E-2</c:v>
              </c:pt>
            </c:numLit>
          </c:yVal>
          <c:smooth val="0"/>
          <c:extLst xmlns:c16r2="http://schemas.microsoft.com/office/drawing/2015/06/chart">
            <c:ext xmlns:c16="http://schemas.microsoft.com/office/drawing/2014/chart" uri="{C3380CC4-5D6E-409C-BE32-E72D297353CC}">
              <c16:uniqueId val="{00000000-2563-44BA-ACA6-5D4CCB74171F}"/>
            </c:ext>
          </c:extLst>
        </c:ser>
        <c:ser>
          <c:idx val="1"/>
          <c:order val="1"/>
          <c:tx>
            <c:v>CM</c:v>
          </c:tx>
          <c:spPr>
            <a:ln>
              <a:prstDash val="sysDash"/>
            </a:ln>
          </c:spPr>
          <c:marker>
            <c:symbol val="circle"/>
            <c:size val="7"/>
          </c:marker>
          <c:xVal>
            <c:numLit>
              <c:formatCode>General</c:formatCode>
              <c:ptCount val="11"/>
              <c:pt idx="0">
                <c:v>0</c:v>
              </c:pt>
              <c:pt idx="1">
                <c:v>5</c:v>
              </c:pt>
              <c:pt idx="2">
                <c:v>5</c:v>
              </c:pt>
              <c:pt idx="3">
                <c:v>6</c:v>
              </c:pt>
              <c:pt idx="4">
                <c:v>6</c:v>
              </c:pt>
              <c:pt idx="5">
                <c:v>7</c:v>
              </c:pt>
              <c:pt idx="6">
                <c:v>7</c:v>
              </c:pt>
              <c:pt idx="7">
                <c:v>8</c:v>
              </c:pt>
              <c:pt idx="8">
                <c:v>8</c:v>
              </c:pt>
              <c:pt idx="9">
                <c:v>11</c:v>
              </c:pt>
              <c:pt idx="10">
                <c:v>11</c:v>
              </c:pt>
            </c:numLit>
          </c:xVal>
          <c:yVal>
            <c:numLit>
              <c:formatCode>General</c:formatCode>
              <c:ptCount val="11"/>
              <c:pt idx="0">
                <c:v>1</c:v>
              </c:pt>
              <c:pt idx="1">
                <c:v>1</c:v>
              </c:pt>
              <c:pt idx="2">
                <c:v>0.44444444444444442</c:v>
              </c:pt>
              <c:pt idx="3">
                <c:v>0.44444444444444442</c:v>
              </c:pt>
              <c:pt idx="4">
                <c:v>0.1111111111111111</c:v>
              </c:pt>
              <c:pt idx="5">
                <c:v>0.1111111111111111</c:v>
              </c:pt>
              <c:pt idx="6">
                <c:v>0</c:v>
              </c:pt>
              <c:pt idx="7">
                <c:v>0</c:v>
              </c:pt>
              <c:pt idx="8">
                <c:v>0</c:v>
              </c:pt>
              <c:pt idx="9">
                <c:v>0</c:v>
              </c:pt>
              <c:pt idx="10">
                <c:v>0</c:v>
              </c:pt>
            </c:numLit>
          </c:yVal>
          <c:smooth val="0"/>
          <c:extLst xmlns:c16r2="http://schemas.microsoft.com/office/drawing/2015/06/chart">
            <c:ext xmlns:c16="http://schemas.microsoft.com/office/drawing/2014/chart" uri="{C3380CC4-5D6E-409C-BE32-E72D297353CC}">
              <c16:uniqueId val="{00000001-2563-44BA-ACA6-5D4CCB74171F}"/>
            </c:ext>
          </c:extLst>
        </c:ser>
        <c:dLbls>
          <c:showLegendKey val="0"/>
          <c:showVal val="0"/>
          <c:showCatName val="0"/>
          <c:showSerName val="0"/>
          <c:showPercent val="0"/>
          <c:showBubbleSize val="0"/>
        </c:dLbls>
        <c:axId val="707469296"/>
        <c:axId val="626405272"/>
      </c:scatterChart>
      <c:valAx>
        <c:axId val="707469296"/>
        <c:scaling>
          <c:orientation val="minMax"/>
        </c:scaling>
        <c:delete val="0"/>
        <c:axPos val="b"/>
        <c:title>
          <c:tx>
            <c:rich>
              <a:bodyPr/>
              <a:lstStyle/>
              <a:p>
                <a:pPr>
                  <a:defRPr b="0"/>
                </a:pPr>
                <a:r>
                  <a:rPr lang="en-US" b="0"/>
                  <a:t>Days after planting</a:t>
                </a:r>
              </a:p>
            </c:rich>
          </c:tx>
          <c:overlay val="0"/>
        </c:title>
        <c:numFmt formatCode="General" sourceLinked="1"/>
        <c:majorTickMark val="out"/>
        <c:minorTickMark val="none"/>
        <c:tickLblPos val="nextTo"/>
        <c:crossAx val="626405272"/>
        <c:crosses val="autoZero"/>
        <c:crossBetween val="midCat"/>
      </c:valAx>
      <c:valAx>
        <c:axId val="626405272"/>
        <c:scaling>
          <c:orientation val="minMax"/>
        </c:scaling>
        <c:delete val="0"/>
        <c:axPos val="l"/>
        <c:majorGridlines/>
        <c:title>
          <c:tx>
            <c:rich>
              <a:bodyPr/>
              <a:lstStyle/>
              <a:p>
                <a:pPr>
                  <a:defRPr/>
                </a:pPr>
                <a:r>
                  <a:rPr lang="en-US" b="0"/>
                  <a:t>Probability of not germinating</a:t>
                </a:r>
              </a:p>
            </c:rich>
          </c:tx>
          <c:overlay val="0"/>
        </c:title>
        <c:numFmt formatCode="General" sourceLinked="1"/>
        <c:majorTickMark val="out"/>
        <c:minorTickMark val="none"/>
        <c:tickLblPos val="nextTo"/>
        <c:crossAx val="707469296"/>
        <c:crosses val="autoZero"/>
        <c:crossBetween val="midCat"/>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SG</c:v>
          </c:tx>
          <c:marker>
            <c:symbol val="triangle"/>
            <c:size val="7"/>
          </c:marker>
          <c:xVal>
            <c:numLit>
              <c:formatCode>General</c:formatCode>
              <c:ptCount val="9"/>
              <c:pt idx="0">
                <c:v>0</c:v>
              </c:pt>
              <c:pt idx="1">
                <c:v>4</c:v>
              </c:pt>
              <c:pt idx="2">
                <c:v>4</c:v>
              </c:pt>
              <c:pt idx="3">
                <c:v>5</c:v>
              </c:pt>
              <c:pt idx="4">
                <c:v>5</c:v>
              </c:pt>
              <c:pt idx="5">
                <c:v>7</c:v>
              </c:pt>
              <c:pt idx="6">
                <c:v>7</c:v>
              </c:pt>
              <c:pt idx="7">
                <c:v>11</c:v>
              </c:pt>
              <c:pt idx="8">
                <c:v>11</c:v>
              </c:pt>
            </c:numLit>
          </c:xVal>
          <c:yVal>
            <c:numLit>
              <c:formatCode>General</c:formatCode>
              <c:ptCount val="9"/>
              <c:pt idx="0">
                <c:v>1</c:v>
              </c:pt>
              <c:pt idx="1">
                <c:v>1</c:v>
              </c:pt>
              <c:pt idx="2">
                <c:v>0.5</c:v>
              </c:pt>
              <c:pt idx="3">
                <c:v>0.5</c:v>
              </c:pt>
              <c:pt idx="4">
                <c:v>0.22222222222222221</c:v>
              </c:pt>
              <c:pt idx="5">
                <c:v>0.22222222222222221</c:v>
              </c:pt>
              <c:pt idx="6">
                <c:v>0.16666666666666666</c:v>
              </c:pt>
              <c:pt idx="7">
                <c:v>0.16666666666666666</c:v>
              </c:pt>
              <c:pt idx="8">
                <c:v>0.11111111111111112</c:v>
              </c:pt>
            </c:numLit>
          </c:yVal>
          <c:smooth val="0"/>
          <c:extLst xmlns:c16r2="http://schemas.microsoft.com/office/drawing/2015/06/chart">
            <c:ext xmlns:c16="http://schemas.microsoft.com/office/drawing/2014/chart" uri="{C3380CC4-5D6E-409C-BE32-E72D297353CC}">
              <c16:uniqueId val="{00000000-B344-44FD-8BD3-78FAF0A1C6FA}"/>
            </c:ext>
          </c:extLst>
        </c:ser>
        <c:ser>
          <c:idx val="1"/>
          <c:order val="1"/>
          <c:tx>
            <c:v>SM</c:v>
          </c:tx>
          <c:spPr>
            <a:ln>
              <a:prstDash val="sysDash"/>
            </a:ln>
          </c:spPr>
          <c:marker>
            <c:symbol val="circle"/>
            <c:size val="7"/>
          </c:marker>
          <c:xVal>
            <c:numLit>
              <c:formatCode>General</c:formatCode>
              <c:ptCount val="9"/>
              <c:pt idx="0">
                <c:v>0</c:v>
              </c:pt>
              <c:pt idx="1">
                <c:v>4</c:v>
              </c:pt>
              <c:pt idx="2">
                <c:v>4</c:v>
              </c:pt>
              <c:pt idx="3">
                <c:v>5</c:v>
              </c:pt>
              <c:pt idx="4">
                <c:v>5</c:v>
              </c:pt>
              <c:pt idx="5">
                <c:v>7</c:v>
              </c:pt>
              <c:pt idx="6">
                <c:v>7</c:v>
              </c:pt>
              <c:pt idx="7">
                <c:v>11</c:v>
              </c:pt>
              <c:pt idx="8">
                <c:v>11</c:v>
              </c:pt>
            </c:numLit>
          </c:xVal>
          <c:yVal>
            <c:numLit>
              <c:formatCode>General</c:formatCode>
              <c:ptCount val="9"/>
              <c:pt idx="0">
                <c:v>1</c:v>
              </c:pt>
              <c:pt idx="1">
                <c:v>1</c:v>
              </c:pt>
              <c:pt idx="2">
                <c:v>0.21052631578947367</c:v>
              </c:pt>
              <c:pt idx="3">
                <c:v>0.21052631578947367</c:v>
              </c:pt>
              <c:pt idx="4">
                <c:v>0.15789473684210525</c:v>
              </c:pt>
              <c:pt idx="5">
                <c:v>0.15789473684210525</c:v>
              </c:pt>
              <c:pt idx="6">
                <c:v>0.10526315789473685</c:v>
              </c:pt>
              <c:pt idx="7">
                <c:v>0.10526315789473685</c:v>
              </c:pt>
              <c:pt idx="8">
                <c:v>5.2631578947368425E-2</c:v>
              </c:pt>
            </c:numLit>
          </c:yVal>
          <c:smooth val="0"/>
          <c:extLst xmlns:c16r2="http://schemas.microsoft.com/office/drawing/2015/06/chart">
            <c:ext xmlns:c16="http://schemas.microsoft.com/office/drawing/2014/chart" uri="{C3380CC4-5D6E-409C-BE32-E72D297353CC}">
              <c16:uniqueId val="{00000001-B344-44FD-8BD3-78FAF0A1C6FA}"/>
            </c:ext>
          </c:extLst>
        </c:ser>
        <c:dLbls>
          <c:showLegendKey val="0"/>
          <c:showVal val="0"/>
          <c:showCatName val="0"/>
          <c:showSerName val="0"/>
          <c:showPercent val="0"/>
          <c:showBubbleSize val="0"/>
        </c:dLbls>
        <c:axId val="626401744"/>
        <c:axId val="626407232"/>
      </c:scatterChart>
      <c:valAx>
        <c:axId val="626401744"/>
        <c:scaling>
          <c:orientation val="minMax"/>
        </c:scaling>
        <c:delete val="0"/>
        <c:axPos val="b"/>
        <c:title>
          <c:tx>
            <c:rich>
              <a:bodyPr/>
              <a:lstStyle/>
              <a:p>
                <a:pPr>
                  <a:defRPr/>
                </a:pPr>
                <a:r>
                  <a:rPr lang="en-US" b="0"/>
                  <a:t>Days after planting</a:t>
                </a:r>
              </a:p>
            </c:rich>
          </c:tx>
          <c:overlay val="0"/>
        </c:title>
        <c:numFmt formatCode="General" sourceLinked="1"/>
        <c:majorTickMark val="out"/>
        <c:minorTickMark val="none"/>
        <c:tickLblPos val="nextTo"/>
        <c:crossAx val="626407232"/>
        <c:crosses val="autoZero"/>
        <c:crossBetween val="midCat"/>
      </c:valAx>
      <c:valAx>
        <c:axId val="626407232"/>
        <c:scaling>
          <c:orientation val="minMax"/>
        </c:scaling>
        <c:delete val="0"/>
        <c:axPos val="l"/>
        <c:majorGridlines/>
        <c:title>
          <c:tx>
            <c:rich>
              <a:bodyPr/>
              <a:lstStyle/>
              <a:p>
                <a:pPr>
                  <a:defRPr/>
                </a:pPr>
                <a:r>
                  <a:rPr lang="en-US" b="0"/>
                  <a:t>Probability</a:t>
                </a:r>
                <a:r>
                  <a:rPr lang="en-US" b="0" baseline="0"/>
                  <a:t> of not germinating</a:t>
                </a:r>
                <a:endParaRPr lang="en-US" b="0"/>
              </a:p>
            </c:rich>
          </c:tx>
          <c:overlay val="0"/>
        </c:title>
        <c:numFmt formatCode="General" sourceLinked="1"/>
        <c:majorTickMark val="out"/>
        <c:minorTickMark val="none"/>
        <c:tickLblPos val="nextTo"/>
        <c:crossAx val="626401744"/>
        <c:crosses val="autoZero"/>
        <c:crossBetween val="midCat"/>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'Corn Growth'!$A$29</c:f>
              <c:strCache>
                <c:ptCount val="1"/>
                <c:pt idx="0">
                  <c:v>CG Mean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'Corn Growth'!$B$31:$R$31</c:f>
                <c:numCache>
                  <c:formatCode>General</c:formatCode>
                  <c:ptCount val="17"/>
                  <c:pt idx="0">
                    <c:v>2.8722813232690148E-3</c:v>
                  </c:pt>
                  <c:pt idx="1">
                    <c:v>1.3765899897936189E-2</c:v>
                  </c:pt>
                  <c:pt idx="2">
                    <c:v>2.1294130646729869E-2</c:v>
                  </c:pt>
                  <c:pt idx="3">
                    <c:v>1.5869467539901858E-2</c:v>
                  </c:pt>
                  <c:pt idx="4">
                    <c:v>4.2030412269635879E-2</c:v>
                  </c:pt>
                  <c:pt idx="5">
                    <c:v>2.6830745216801011E-2</c:v>
                  </c:pt>
                  <c:pt idx="6">
                    <c:v>3.7431789816797352E-2</c:v>
                  </c:pt>
                  <c:pt idx="7">
                    <c:v>7.0499211973531317E-2</c:v>
                  </c:pt>
                  <c:pt idx="8">
                    <c:v>7.0336492820030058E-2</c:v>
                  </c:pt>
                  <c:pt idx="9">
                    <c:v>0.11813363431112876</c:v>
                  </c:pt>
                  <c:pt idx="10">
                    <c:v>8.5440037453175341E-2</c:v>
                  </c:pt>
                  <c:pt idx="11">
                    <c:v>8.137703743822472E-2</c:v>
                  </c:pt>
                  <c:pt idx="12">
                    <c:v>9.1043335224984395E-2</c:v>
                  </c:pt>
                  <c:pt idx="13">
                    <c:v>8.3416625041614678E-2</c:v>
                  </c:pt>
                  <c:pt idx="14">
                    <c:v>0.11972189997378643</c:v>
                  </c:pt>
                  <c:pt idx="15">
                    <c:v>9.6540653857440928E-2</c:v>
                  </c:pt>
                  <c:pt idx="16">
                    <c:v>8.6135590785690844E-2</c:v>
                  </c:pt>
                </c:numCache>
              </c:numRef>
            </c:plus>
            <c:minus>
              <c:numRef>
                <c:f>'Corn Growth'!$B$31:$R$31</c:f>
                <c:numCache>
                  <c:formatCode>General</c:formatCode>
                  <c:ptCount val="17"/>
                  <c:pt idx="0">
                    <c:v>2.8722813232690148E-3</c:v>
                  </c:pt>
                  <c:pt idx="1">
                    <c:v>1.3765899897936189E-2</c:v>
                  </c:pt>
                  <c:pt idx="2">
                    <c:v>2.1294130646729869E-2</c:v>
                  </c:pt>
                  <c:pt idx="3">
                    <c:v>1.5869467539901858E-2</c:v>
                  </c:pt>
                  <c:pt idx="4">
                    <c:v>4.2030412269635879E-2</c:v>
                  </c:pt>
                  <c:pt idx="5">
                    <c:v>2.6830745216801011E-2</c:v>
                  </c:pt>
                  <c:pt idx="6">
                    <c:v>3.7431789816797352E-2</c:v>
                  </c:pt>
                  <c:pt idx="7">
                    <c:v>7.0499211973531317E-2</c:v>
                  </c:pt>
                  <c:pt idx="8">
                    <c:v>7.0336492820030058E-2</c:v>
                  </c:pt>
                  <c:pt idx="9">
                    <c:v>0.11813363431112876</c:v>
                  </c:pt>
                  <c:pt idx="10">
                    <c:v>8.5440037453175341E-2</c:v>
                  </c:pt>
                  <c:pt idx="11">
                    <c:v>8.137703743822472E-2</c:v>
                  </c:pt>
                  <c:pt idx="12">
                    <c:v>9.1043335224984395E-2</c:v>
                  </c:pt>
                  <c:pt idx="13">
                    <c:v>8.3416625041614678E-2</c:v>
                  </c:pt>
                  <c:pt idx="14">
                    <c:v>0.11972189997378643</c:v>
                  </c:pt>
                  <c:pt idx="15">
                    <c:v>9.6540653857440928E-2</c:v>
                  </c:pt>
                  <c:pt idx="16">
                    <c:v>8.6135590785690844E-2</c:v>
                  </c:pt>
                </c:numCache>
              </c:numRef>
            </c:minus>
            <c:spPr>
              <a:noFill/>
              <a:ln w="9525" cap="flat" cmpd="sng" algn="ctr">
                <a:solidFill>
                  <a:schemeClr val="accent1"/>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'Corn Growth'!$B$33:$R$33</c:f>
              <c:numCache>
                <c:formatCode>General</c:formatCode>
                <c:ptCount val="17"/>
                <c:pt idx="0">
                  <c:v>5</c:v>
                </c:pt>
                <c:pt idx="1">
                  <c:v>6</c:v>
                </c:pt>
                <c:pt idx="2">
                  <c:v>7</c:v>
                </c:pt>
                <c:pt idx="3">
                  <c:v>9</c:v>
                </c:pt>
                <c:pt idx="4">
                  <c:v>11</c:v>
                </c:pt>
                <c:pt idx="5">
                  <c:v>19</c:v>
                </c:pt>
                <c:pt idx="6">
                  <c:v>26</c:v>
                </c:pt>
                <c:pt idx="7">
                  <c:v>34</c:v>
                </c:pt>
                <c:pt idx="8">
                  <c:v>43</c:v>
                </c:pt>
                <c:pt idx="9">
                  <c:v>50</c:v>
                </c:pt>
                <c:pt idx="10">
                  <c:v>57</c:v>
                </c:pt>
                <c:pt idx="11">
                  <c:v>65</c:v>
                </c:pt>
                <c:pt idx="12">
                  <c:v>73</c:v>
                </c:pt>
                <c:pt idx="13">
                  <c:v>79</c:v>
                </c:pt>
                <c:pt idx="14">
                  <c:v>90</c:v>
                </c:pt>
                <c:pt idx="15">
                  <c:v>96</c:v>
                </c:pt>
                <c:pt idx="16">
                  <c:v>106</c:v>
                </c:pt>
              </c:numCache>
            </c:numRef>
          </c:xVal>
          <c:yVal>
            <c:numRef>
              <c:f>'Corn Growth'!$B$29:$R$29</c:f>
              <c:numCache>
                <c:formatCode>0.000</c:formatCode>
                <c:ptCount val="17"/>
                <c:pt idx="0">
                  <c:v>8.5000000000000006E-3</c:v>
                </c:pt>
                <c:pt idx="1">
                  <c:v>3.3000000000000002E-2</c:v>
                </c:pt>
                <c:pt idx="2">
                  <c:v>4.2599999999999999E-2</c:v>
                </c:pt>
                <c:pt idx="3">
                  <c:v>9.9599999999999994E-2</c:v>
                </c:pt>
                <c:pt idx="4">
                  <c:v>0.11233333333333333</c:v>
                </c:pt>
                <c:pt idx="5">
                  <c:v>0.16733333333333333</c:v>
                </c:pt>
                <c:pt idx="6">
                  <c:v>0.22116666666666665</c:v>
                </c:pt>
                <c:pt idx="7">
                  <c:v>0.3758333333333333</c:v>
                </c:pt>
                <c:pt idx="8">
                  <c:v>0.59166666666666667</c:v>
                </c:pt>
                <c:pt idx="9">
                  <c:v>0.75666666666666671</c:v>
                </c:pt>
                <c:pt idx="10">
                  <c:v>0.95000000000000007</c:v>
                </c:pt>
                <c:pt idx="11">
                  <c:v>1.0166666666666668</c:v>
                </c:pt>
                <c:pt idx="12">
                  <c:v>1.0766666666666669</c:v>
                </c:pt>
                <c:pt idx="13">
                  <c:v>1.2350000000000001</c:v>
                </c:pt>
                <c:pt idx="14">
                  <c:v>1.3699999999999999</c:v>
                </c:pt>
                <c:pt idx="15">
                  <c:v>1.3472583333333332</c:v>
                </c:pt>
                <c:pt idx="16">
                  <c:v>1.3589</c:v>
                </c:pt>
              </c:numCache>
            </c:numRef>
          </c:yVal>
          <c:smooth val="0"/>
          <c:extLst xmlns:c16r2="http://schemas.microsoft.com/office/drawing/2015/06/chart">
            <c:ext xmlns:c16="http://schemas.microsoft.com/office/drawing/2014/chart" uri="{C3380CC4-5D6E-409C-BE32-E72D297353CC}">
              <c16:uniqueId val="{00000000-FE1A-4C58-A02A-7B3BB94F2B38}"/>
            </c:ext>
          </c:extLst>
        </c:ser>
        <c:ser>
          <c:idx val="1"/>
          <c:order val="1"/>
          <c:tx>
            <c:strRef>
              <c:f>'Corn Growth'!$A$30</c:f>
              <c:strCache>
                <c:ptCount val="1"/>
                <c:pt idx="0">
                  <c:v>CM Mean</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'Corn Growth'!$B$32:$R$32</c:f>
                <c:numCache>
                  <c:formatCode>General</c:formatCode>
                  <c:ptCount val="17"/>
                  <c:pt idx="0">
                    <c:v>3.3911649915626344E-3</c:v>
                  </c:pt>
                  <c:pt idx="1">
                    <c:v>1.3007690033207276E-2</c:v>
                  </c:pt>
                  <c:pt idx="2">
                    <c:v>2.333392856383644E-2</c:v>
                  </c:pt>
                  <c:pt idx="3">
                    <c:v>2.5816123299640097E-2</c:v>
                  </c:pt>
                  <c:pt idx="4">
                    <c:v>2.6136925773489281E-2</c:v>
                  </c:pt>
                  <c:pt idx="5">
                    <c:v>5.0387388192769896E-2</c:v>
                  </c:pt>
                  <c:pt idx="6">
                    <c:v>4.3380743295716756E-2</c:v>
                  </c:pt>
                  <c:pt idx="7">
                    <c:v>5.9587470718823539E-2</c:v>
                  </c:pt>
                  <c:pt idx="8">
                    <c:v>0.10930334954713057</c:v>
                  </c:pt>
                  <c:pt idx="9">
                    <c:v>0.15084944665313033</c:v>
                  </c:pt>
                  <c:pt idx="10">
                    <c:v>0.11818065267490564</c:v>
                  </c:pt>
                  <c:pt idx="11">
                    <c:v>0.17735714125897403</c:v>
                  </c:pt>
                  <c:pt idx="12">
                    <c:v>0.22012622641465357</c:v>
                  </c:pt>
                  <c:pt idx="13">
                    <c:v>7.6739096221475581E-2</c:v>
                  </c:pt>
                  <c:pt idx="14">
                    <c:v>0.11585431464655178</c:v>
                  </c:pt>
                  <c:pt idx="15">
                    <c:v>0.1265228536668376</c:v>
                  </c:pt>
                  <c:pt idx="16">
                    <c:v>0.15890514640991277</c:v>
                  </c:pt>
                </c:numCache>
              </c:numRef>
            </c:plus>
            <c:minus>
              <c:numRef>
                <c:f>'Corn Growth'!$B$32:$R$32</c:f>
                <c:numCache>
                  <c:formatCode>General</c:formatCode>
                  <c:ptCount val="17"/>
                  <c:pt idx="0">
                    <c:v>3.3911649915626344E-3</c:v>
                  </c:pt>
                  <c:pt idx="1">
                    <c:v>1.3007690033207276E-2</c:v>
                  </c:pt>
                  <c:pt idx="2">
                    <c:v>2.333392856383644E-2</c:v>
                  </c:pt>
                  <c:pt idx="3">
                    <c:v>2.5816123299640097E-2</c:v>
                  </c:pt>
                  <c:pt idx="4">
                    <c:v>2.6136925773489281E-2</c:v>
                  </c:pt>
                  <c:pt idx="5">
                    <c:v>5.0387388192769896E-2</c:v>
                  </c:pt>
                  <c:pt idx="6">
                    <c:v>4.3380743295716756E-2</c:v>
                  </c:pt>
                  <c:pt idx="7">
                    <c:v>5.9587470718823539E-2</c:v>
                  </c:pt>
                  <c:pt idx="8">
                    <c:v>0.10930334954713057</c:v>
                  </c:pt>
                  <c:pt idx="9">
                    <c:v>0.15084944665313033</c:v>
                  </c:pt>
                  <c:pt idx="10">
                    <c:v>0.11818065267490564</c:v>
                  </c:pt>
                  <c:pt idx="11">
                    <c:v>0.17735714125897403</c:v>
                  </c:pt>
                  <c:pt idx="12">
                    <c:v>0.22012622641465357</c:v>
                  </c:pt>
                  <c:pt idx="13">
                    <c:v>7.6739096221475581E-2</c:v>
                  </c:pt>
                  <c:pt idx="14">
                    <c:v>0.11585431464655178</c:v>
                  </c:pt>
                  <c:pt idx="15">
                    <c:v>0.1265228536668376</c:v>
                  </c:pt>
                  <c:pt idx="16">
                    <c:v>0.15890514640991277</c:v>
                  </c:pt>
                </c:numCache>
              </c:numRef>
            </c:minus>
            <c:spPr>
              <a:noFill/>
              <a:ln w="9525" cap="flat" cmpd="sng" algn="ctr">
                <a:solidFill>
                  <a:schemeClr val="accent2"/>
                </a:solidFill>
                <a:round/>
                <a:headEnd type="none"/>
                <a:tailEnd type="none"/>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'Corn Growth'!$B$33:$R$33</c:f>
              <c:numCache>
                <c:formatCode>General</c:formatCode>
                <c:ptCount val="17"/>
                <c:pt idx="0">
                  <c:v>5</c:v>
                </c:pt>
                <c:pt idx="1">
                  <c:v>6</c:v>
                </c:pt>
                <c:pt idx="2">
                  <c:v>7</c:v>
                </c:pt>
                <c:pt idx="3">
                  <c:v>9</c:v>
                </c:pt>
                <c:pt idx="4">
                  <c:v>11</c:v>
                </c:pt>
                <c:pt idx="5">
                  <c:v>19</c:v>
                </c:pt>
                <c:pt idx="6">
                  <c:v>26</c:v>
                </c:pt>
                <c:pt idx="7">
                  <c:v>34</c:v>
                </c:pt>
                <c:pt idx="8">
                  <c:v>43</c:v>
                </c:pt>
                <c:pt idx="9">
                  <c:v>50</c:v>
                </c:pt>
                <c:pt idx="10">
                  <c:v>57</c:v>
                </c:pt>
                <c:pt idx="11">
                  <c:v>65</c:v>
                </c:pt>
                <c:pt idx="12">
                  <c:v>73</c:v>
                </c:pt>
                <c:pt idx="13">
                  <c:v>79</c:v>
                </c:pt>
                <c:pt idx="14">
                  <c:v>90</c:v>
                </c:pt>
                <c:pt idx="15">
                  <c:v>96</c:v>
                </c:pt>
                <c:pt idx="16">
                  <c:v>106</c:v>
                </c:pt>
              </c:numCache>
            </c:numRef>
          </c:xVal>
          <c:yVal>
            <c:numRef>
              <c:f>'Corn Growth'!$B$30:$R$30</c:f>
              <c:numCache>
                <c:formatCode>0.000</c:formatCode>
                <c:ptCount val="17"/>
                <c:pt idx="0">
                  <c:v>6.0000000000000001E-3</c:v>
                </c:pt>
                <c:pt idx="1">
                  <c:v>3.5999999999999997E-2</c:v>
                </c:pt>
                <c:pt idx="2">
                  <c:v>4.6833333333333338E-2</c:v>
                </c:pt>
                <c:pt idx="3">
                  <c:v>9.4166666666666676E-2</c:v>
                </c:pt>
                <c:pt idx="4">
                  <c:v>0.12883333333333333</c:v>
                </c:pt>
                <c:pt idx="5">
                  <c:v>0.17433333333333334</c:v>
                </c:pt>
                <c:pt idx="6">
                  <c:v>0.22733333333333336</c:v>
                </c:pt>
                <c:pt idx="7">
                  <c:v>0.34600000000000003</c:v>
                </c:pt>
                <c:pt idx="8">
                  <c:v>0.49833333333333335</c:v>
                </c:pt>
                <c:pt idx="9">
                  <c:v>0.66666666666666663</c:v>
                </c:pt>
                <c:pt idx="10">
                  <c:v>0.84</c:v>
                </c:pt>
                <c:pt idx="11">
                  <c:v>0.95666666666666667</c:v>
                </c:pt>
                <c:pt idx="12">
                  <c:v>1.1233333333333335</c:v>
                </c:pt>
                <c:pt idx="13">
                  <c:v>1.3033333333333335</c:v>
                </c:pt>
                <c:pt idx="14">
                  <c:v>1.4266666666666667</c:v>
                </c:pt>
                <c:pt idx="15">
                  <c:v>1.42875</c:v>
                </c:pt>
                <c:pt idx="16">
                  <c:v>1.4647333333333332</c:v>
                </c:pt>
              </c:numCache>
            </c:numRef>
          </c:yVal>
          <c:smooth val="0"/>
          <c:extLst xmlns:c16r2="http://schemas.microsoft.com/office/drawing/2015/06/chart">
            <c:ext xmlns:c16="http://schemas.microsoft.com/office/drawing/2014/chart" uri="{C3380CC4-5D6E-409C-BE32-E72D297353CC}">
              <c16:uniqueId val="{00000001-FE1A-4C58-A02A-7B3BB94F2B38}"/>
            </c:ext>
          </c:extLst>
        </c:ser>
        <c:dLbls>
          <c:showLegendKey val="0"/>
          <c:showVal val="0"/>
          <c:showCatName val="0"/>
          <c:showSerName val="0"/>
          <c:showPercent val="0"/>
          <c:showBubbleSize val="0"/>
        </c:dLbls>
        <c:axId val="626403704"/>
        <c:axId val="626402528"/>
      </c:scatterChart>
      <c:valAx>
        <c:axId val="6264037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planting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402528"/>
        <c:crosses val="autoZero"/>
        <c:crossBetween val="midCat"/>
      </c:valAx>
      <c:valAx>
        <c:axId val="626402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Height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403704"/>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'Sorghum Growth'!$A$31</c:f>
              <c:strCache>
                <c:ptCount val="1"/>
                <c:pt idx="0">
                  <c:v>SG Mean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'Sorghum Growth'!$B$33:$Q$33</c:f>
                <c:numCache>
                  <c:formatCode>General</c:formatCode>
                  <c:ptCount val="16"/>
                  <c:pt idx="0">
                    <c:v>5.0552502960343679E-3</c:v>
                  </c:pt>
                  <c:pt idx="1">
                    <c:v>1.2188336865854809E-2</c:v>
                  </c:pt>
                  <c:pt idx="2">
                    <c:v>9.1408728005347214E-3</c:v>
                  </c:pt>
                  <c:pt idx="3">
                    <c:v>1.9128222313871412E-2</c:v>
                  </c:pt>
                  <c:pt idx="4">
                    <c:v>1.5496415356103762E-2</c:v>
                  </c:pt>
                  <c:pt idx="5">
                    <c:v>2.8583211855912793E-2</c:v>
                  </c:pt>
                  <c:pt idx="6">
                    <c:v>6.8048185541978501E-2</c:v>
                  </c:pt>
                  <c:pt idx="7">
                    <c:v>0.11604596790352827</c:v>
                  </c:pt>
                  <c:pt idx="8">
                    <c:v>9.255628917943251E-2</c:v>
                  </c:pt>
                  <c:pt idx="9">
                    <c:v>0.13056501147789237</c:v>
                  </c:pt>
                  <c:pt idx="10">
                    <c:v>9.6162478245010841E-2</c:v>
                  </c:pt>
                  <c:pt idx="11">
                    <c:v>6.8007352543677221E-2</c:v>
                  </c:pt>
                  <c:pt idx="12">
                    <c:v>4.4347115652166896E-2</c:v>
                  </c:pt>
                  <c:pt idx="13">
                    <c:v>7.3181661333665493E-2</c:v>
                  </c:pt>
                  <c:pt idx="14">
                    <c:v>6.8718427093627701E-2</c:v>
                  </c:pt>
                  <c:pt idx="15">
                    <c:v>7.0900434883480953E-2</c:v>
                  </c:pt>
                </c:numCache>
              </c:numRef>
            </c:plus>
            <c:minus>
              <c:numRef>
                <c:f>'Sorghum Growth'!$B$33:$Q$33</c:f>
                <c:numCache>
                  <c:formatCode>General</c:formatCode>
                  <c:ptCount val="16"/>
                  <c:pt idx="0">
                    <c:v>5.0552502960343679E-3</c:v>
                  </c:pt>
                  <c:pt idx="1">
                    <c:v>1.2188336865854809E-2</c:v>
                  </c:pt>
                  <c:pt idx="2">
                    <c:v>9.1408728005347214E-3</c:v>
                  </c:pt>
                  <c:pt idx="3">
                    <c:v>1.9128222313871412E-2</c:v>
                  </c:pt>
                  <c:pt idx="4">
                    <c:v>1.5496415356103762E-2</c:v>
                  </c:pt>
                  <c:pt idx="5">
                    <c:v>2.8583211855912793E-2</c:v>
                  </c:pt>
                  <c:pt idx="6">
                    <c:v>6.8048185541978501E-2</c:v>
                  </c:pt>
                  <c:pt idx="7">
                    <c:v>0.11604596790352827</c:v>
                  </c:pt>
                  <c:pt idx="8">
                    <c:v>9.255628917943251E-2</c:v>
                  </c:pt>
                  <c:pt idx="9">
                    <c:v>0.13056501147789237</c:v>
                  </c:pt>
                  <c:pt idx="10">
                    <c:v>9.6162478245010841E-2</c:v>
                  </c:pt>
                  <c:pt idx="11">
                    <c:v>6.8007352543677221E-2</c:v>
                  </c:pt>
                  <c:pt idx="12">
                    <c:v>4.4347115652166896E-2</c:v>
                  </c:pt>
                  <c:pt idx="13">
                    <c:v>7.3181661333665493E-2</c:v>
                  </c:pt>
                  <c:pt idx="14">
                    <c:v>6.8718427093627701E-2</c:v>
                  </c:pt>
                  <c:pt idx="15">
                    <c:v>7.0900434883480953E-2</c:v>
                  </c:pt>
                </c:numCache>
              </c:numRef>
            </c:minus>
            <c:spPr>
              <a:noFill/>
              <a:ln w="9525" cap="flat" cmpd="sng" algn="ctr">
                <a:solidFill>
                  <a:schemeClr val="accent1"/>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'Sorghum Growth'!$B$35:$Q$35</c:f>
              <c:numCache>
                <c:formatCode>General</c:formatCode>
                <c:ptCount val="16"/>
                <c:pt idx="0">
                  <c:v>5</c:v>
                </c:pt>
                <c:pt idx="1">
                  <c:v>6</c:v>
                </c:pt>
                <c:pt idx="2">
                  <c:v>7</c:v>
                </c:pt>
                <c:pt idx="3">
                  <c:v>9</c:v>
                </c:pt>
                <c:pt idx="4">
                  <c:v>11</c:v>
                </c:pt>
                <c:pt idx="5">
                  <c:v>26</c:v>
                </c:pt>
                <c:pt idx="6">
                  <c:v>34</c:v>
                </c:pt>
                <c:pt idx="7">
                  <c:v>43</c:v>
                </c:pt>
                <c:pt idx="8">
                  <c:v>50</c:v>
                </c:pt>
                <c:pt idx="9">
                  <c:v>57</c:v>
                </c:pt>
                <c:pt idx="10">
                  <c:v>65</c:v>
                </c:pt>
                <c:pt idx="11">
                  <c:v>73</c:v>
                </c:pt>
                <c:pt idx="12">
                  <c:v>79</c:v>
                </c:pt>
                <c:pt idx="13">
                  <c:v>90</c:v>
                </c:pt>
                <c:pt idx="14">
                  <c:v>96</c:v>
                </c:pt>
                <c:pt idx="15">
                  <c:v>106</c:v>
                </c:pt>
              </c:numCache>
            </c:numRef>
          </c:xVal>
          <c:yVal>
            <c:numRef>
              <c:f>'Sorghum Growth'!$B$31:$Q$31</c:f>
              <c:numCache>
                <c:formatCode>0.000</c:formatCode>
                <c:ptCount val="16"/>
                <c:pt idx="0">
                  <c:v>9.6666666666666672E-3</c:v>
                </c:pt>
                <c:pt idx="1">
                  <c:v>2.3333333333333334E-2</c:v>
                </c:pt>
                <c:pt idx="2">
                  <c:v>2.6333333333333337E-2</c:v>
                </c:pt>
                <c:pt idx="3">
                  <c:v>4.5666666666666668E-2</c:v>
                </c:pt>
                <c:pt idx="4">
                  <c:v>6.2833333333333338E-2</c:v>
                </c:pt>
                <c:pt idx="5">
                  <c:v>0.16800000000000001</c:v>
                </c:pt>
                <c:pt idx="6">
                  <c:v>0.31666666666666665</c:v>
                </c:pt>
                <c:pt idx="7">
                  <c:v>0.48999999999999994</c:v>
                </c:pt>
                <c:pt idx="8">
                  <c:v>0.70000000000000007</c:v>
                </c:pt>
                <c:pt idx="9">
                  <c:v>0.78833333333333344</c:v>
                </c:pt>
                <c:pt idx="10">
                  <c:v>0.76166666666666671</c:v>
                </c:pt>
                <c:pt idx="11">
                  <c:v>0.76500000000000001</c:v>
                </c:pt>
                <c:pt idx="12">
                  <c:v>0.78999999999999992</c:v>
                </c:pt>
                <c:pt idx="13">
                  <c:v>0.72333333333333349</c:v>
                </c:pt>
                <c:pt idx="14">
                  <c:v>0.70666666666666667</c:v>
                </c:pt>
                <c:pt idx="15">
                  <c:v>0.70484999999999998</c:v>
                </c:pt>
              </c:numCache>
            </c:numRef>
          </c:yVal>
          <c:smooth val="0"/>
          <c:extLst xmlns:c16r2="http://schemas.microsoft.com/office/drawing/2015/06/chart">
            <c:ext xmlns:c16="http://schemas.microsoft.com/office/drawing/2014/chart" uri="{C3380CC4-5D6E-409C-BE32-E72D297353CC}">
              <c16:uniqueId val="{00000000-7993-48A7-9A80-7C6EC609E4E8}"/>
            </c:ext>
          </c:extLst>
        </c:ser>
        <c:ser>
          <c:idx val="1"/>
          <c:order val="1"/>
          <c:tx>
            <c:strRef>
              <c:f>'Sorghum Growth'!$A$32</c:f>
              <c:strCache>
                <c:ptCount val="1"/>
                <c:pt idx="0">
                  <c:v>SM Mean</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'Sorghum Growth'!$B$34:$Q$34</c:f>
                <c:numCache>
                  <c:formatCode>General</c:formatCode>
                  <c:ptCount val="16"/>
                  <c:pt idx="0">
                    <c:v>3.2145502536643188E-3</c:v>
                  </c:pt>
                  <c:pt idx="1">
                    <c:v>7.5369460363966592E-3</c:v>
                  </c:pt>
                  <c:pt idx="2">
                    <c:v>3.9015666369065418E-3</c:v>
                  </c:pt>
                  <c:pt idx="3">
                    <c:v>6.1101009266077855E-3</c:v>
                  </c:pt>
                  <c:pt idx="4">
                    <c:v>1.0667968670536862E-2</c:v>
                  </c:pt>
                  <c:pt idx="5">
                    <c:v>3.901993792352261E-2</c:v>
                  </c:pt>
                  <c:pt idx="6">
                    <c:v>4.6806932060207598E-2</c:v>
                  </c:pt>
                  <c:pt idx="7">
                    <c:v>7.1647284200682448E-2</c:v>
                  </c:pt>
                  <c:pt idx="8">
                    <c:v>0.12064640713902562</c:v>
                  </c:pt>
                  <c:pt idx="9">
                    <c:v>7.4554230821149967E-2</c:v>
                  </c:pt>
                  <c:pt idx="10">
                    <c:v>5.4974741674902135E-2</c:v>
                  </c:pt>
                  <c:pt idx="11">
                    <c:v>4.8304589153964808E-2</c:v>
                  </c:pt>
                  <c:pt idx="12">
                    <c:v>6.020797289396148E-2</c:v>
                  </c:pt>
                  <c:pt idx="13">
                    <c:v>8.2546283313599256E-2</c:v>
                  </c:pt>
                  <c:pt idx="14">
                    <c:v>7.3352270282217955E-2</c:v>
                  </c:pt>
                  <c:pt idx="15">
                    <c:v>6.8921799990198193E-2</c:v>
                  </c:pt>
                </c:numCache>
              </c:numRef>
            </c:plus>
            <c:minus>
              <c:numRef>
                <c:f>'Sorghum Growth'!$B$34:$Q$34</c:f>
                <c:numCache>
                  <c:formatCode>General</c:formatCode>
                  <c:ptCount val="16"/>
                  <c:pt idx="0">
                    <c:v>3.2145502536643188E-3</c:v>
                  </c:pt>
                  <c:pt idx="1">
                    <c:v>7.5369460363966592E-3</c:v>
                  </c:pt>
                  <c:pt idx="2">
                    <c:v>3.9015666369065418E-3</c:v>
                  </c:pt>
                  <c:pt idx="3">
                    <c:v>6.1101009266077855E-3</c:v>
                  </c:pt>
                  <c:pt idx="4">
                    <c:v>1.0667968670536862E-2</c:v>
                  </c:pt>
                  <c:pt idx="5">
                    <c:v>3.901993792352261E-2</c:v>
                  </c:pt>
                  <c:pt idx="6">
                    <c:v>4.6806932060207598E-2</c:v>
                  </c:pt>
                  <c:pt idx="7">
                    <c:v>7.1647284200682448E-2</c:v>
                  </c:pt>
                  <c:pt idx="8">
                    <c:v>0.12064640713902562</c:v>
                  </c:pt>
                  <c:pt idx="9">
                    <c:v>7.4554230821149967E-2</c:v>
                  </c:pt>
                  <c:pt idx="10">
                    <c:v>5.4974741674902135E-2</c:v>
                  </c:pt>
                  <c:pt idx="11">
                    <c:v>4.8304589153964808E-2</c:v>
                  </c:pt>
                  <c:pt idx="12">
                    <c:v>6.020797289396148E-2</c:v>
                  </c:pt>
                  <c:pt idx="13">
                    <c:v>8.2546283313599256E-2</c:v>
                  </c:pt>
                  <c:pt idx="14">
                    <c:v>7.3352270282217955E-2</c:v>
                  </c:pt>
                  <c:pt idx="15">
                    <c:v>6.8921799990198193E-2</c:v>
                  </c:pt>
                </c:numCache>
              </c:numRef>
            </c:minus>
            <c:spPr>
              <a:noFill/>
              <a:ln w="9525" cap="flat" cmpd="sng" algn="ctr">
                <a:solidFill>
                  <a:schemeClr val="accent2"/>
                </a:solidFill>
                <a:round/>
                <a:headEnd type="none"/>
                <a:tailEnd type="none"/>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'Sorghum Growth'!$B$35:$Q$35</c:f>
              <c:numCache>
                <c:formatCode>General</c:formatCode>
                <c:ptCount val="16"/>
                <c:pt idx="0">
                  <c:v>5</c:v>
                </c:pt>
                <c:pt idx="1">
                  <c:v>6</c:v>
                </c:pt>
                <c:pt idx="2">
                  <c:v>7</c:v>
                </c:pt>
                <c:pt idx="3">
                  <c:v>9</c:v>
                </c:pt>
                <c:pt idx="4">
                  <c:v>11</c:v>
                </c:pt>
                <c:pt idx="5">
                  <c:v>26</c:v>
                </c:pt>
                <c:pt idx="6">
                  <c:v>34</c:v>
                </c:pt>
                <c:pt idx="7">
                  <c:v>43</c:v>
                </c:pt>
                <c:pt idx="8">
                  <c:v>50</c:v>
                </c:pt>
                <c:pt idx="9">
                  <c:v>57</c:v>
                </c:pt>
                <c:pt idx="10">
                  <c:v>65</c:v>
                </c:pt>
                <c:pt idx="11">
                  <c:v>73</c:v>
                </c:pt>
                <c:pt idx="12">
                  <c:v>79</c:v>
                </c:pt>
                <c:pt idx="13">
                  <c:v>90</c:v>
                </c:pt>
                <c:pt idx="14">
                  <c:v>96</c:v>
                </c:pt>
                <c:pt idx="15">
                  <c:v>106</c:v>
                </c:pt>
              </c:numCache>
            </c:numRef>
          </c:xVal>
          <c:yVal>
            <c:numRef>
              <c:f>'Sorghum Growth'!$A$32:$Q$32</c:f>
              <c:numCache>
                <c:formatCode>0.000</c:formatCode>
                <c:ptCount val="17"/>
                <c:pt idx="0" formatCode="General">
                  <c:v>0</c:v>
                </c:pt>
                <c:pt idx="1">
                  <c:v>1.1999999999999999E-2</c:v>
                </c:pt>
                <c:pt idx="2">
                  <c:v>2.6166666666666671E-2</c:v>
                </c:pt>
                <c:pt idx="3">
                  <c:v>3.5333333333333335E-2</c:v>
                </c:pt>
                <c:pt idx="4">
                  <c:v>4.2000000000000003E-2</c:v>
                </c:pt>
                <c:pt idx="5">
                  <c:v>5.9166666666666666E-2</c:v>
                </c:pt>
                <c:pt idx="6">
                  <c:v>0.15766666666666668</c:v>
                </c:pt>
                <c:pt idx="7">
                  <c:v>0.25566666666666665</c:v>
                </c:pt>
                <c:pt idx="8">
                  <c:v>0.41</c:v>
                </c:pt>
                <c:pt idx="9">
                  <c:v>0.52666666666666673</c:v>
                </c:pt>
                <c:pt idx="10">
                  <c:v>0.66500000000000004</c:v>
                </c:pt>
                <c:pt idx="11">
                  <c:v>0.70666666666666667</c:v>
                </c:pt>
                <c:pt idx="12">
                  <c:v>0.75</c:v>
                </c:pt>
                <c:pt idx="13">
                  <c:v>0.79499999999999993</c:v>
                </c:pt>
                <c:pt idx="14">
                  <c:v>0.78166666666666662</c:v>
                </c:pt>
                <c:pt idx="15">
                  <c:v>0.77166666666666661</c:v>
                </c:pt>
                <c:pt idx="16">
                  <c:v>0.76729166666666659</c:v>
                </c:pt>
              </c:numCache>
            </c:numRef>
          </c:yVal>
          <c:smooth val="0"/>
          <c:extLst xmlns:c16r2="http://schemas.microsoft.com/office/drawing/2015/06/chart">
            <c:ext xmlns:c16="http://schemas.microsoft.com/office/drawing/2014/chart" uri="{C3380CC4-5D6E-409C-BE32-E72D297353CC}">
              <c16:uniqueId val="{00000001-7993-48A7-9A80-7C6EC609E4E8}"/>
            </c:ext>
          </c:extLst>
        </c:ser>
        <c:dLbls>
          <c:showLegendKey val="0"/>
          <c:showVal val="0"/>
          <c:showCatName val="0"/>
          <c:showSerName val="0"/>
          <c:showPercent val="0"/>
          <c:showBubbleSize val="0"/>
        </c:dLbls>
        <c:axId val="626404096"/>
        <c:axId val="626408800"/>
      </c:scatterChart>
      <c:valAx>
        <c:axId val="6264040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planting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408800"/>
        <c:crosses val="autoZero"/>
        <c:crossBetween val="midCat"/>
      </c:valAx>
      <c:valAx>
        <c:axId val="6264088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Height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404096"/>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'Bermuda Growth'!$A$16</c:f>
              <c:strCache>
                <c:ptCount val="1"/>
                <c:pt idx="0">
                  <c:v>BG Mean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'Bermuda Growth'!$B$18:$H$18</c:f>
                <c:numCache>
                  <c:formatCode>General</c:formatCode>
                  <c:ptCount val="7"/>
                  <c:pt idx="0">
                    <c:v>25.235006549544533</c:v>
                  </c:pt>
                  <c:pt idx="1">
                    <c:v>25.124689052802225</c:v>
                  </c:pt>
                  <c:pt idx="2">
                    <c:v>26.140645235596871</c:v>
                  </c:pt>
                  <c:pt idx="3">
                    <c:v>19.507833184532707</c:v>
                  </c:pt>
                  <c:pt idx="4">
                    <c:v>19.238993967691993</c:v>
                  </c:pt>
                  <c:pt idx="5">
                    <c:v>15.456030825826172</c:v>
                  </c:pt>
                  <c:pt idx="6">
                    <c:v>14.930394055974098</c:v>
                  </c:pt>
                </c:numCache>
              </c:numRef>
            </c:plus>
            <c:minus>
              <c:numRef>
                <c:f>'Bermuda Growth'!$B$18:$H$18</c:f>
                <c:numCache>
                  <c:formatCode>General</c:formatCode>
                  <c:ptCount val="7"/>
                  <c:pt idx="0">
                    <c:v>25.235006549544533</c:v>
                  </c:pt>
                  <c:pt idx="1">
                    <c:v>25.124689052802225</c:v>
                  </c:pt>
                  <c:pt idx="2">
                    <c:v>26.140645235596871</c:v>
                  </c:pt>
                  <c:pt idx="3">
                    <c:v>19.507833184532707</c:v>
                  </c:pt>
                  <c:pt idx="4">
                    <c:v>19.238993967691993</c:v>
                  </c:pt>
                  <c:pt idx="5">
                    <c:v>15.456030825826172</c:v>
                  </c:pt>
                  <c:pt idx="6">
                    <c:v>14.930394055974098</c:v>
                  </c:pt>
                </c:numCache>
              </c:numRef>
            </c:minus>
            <c:spPr>
              <a:noFill/>
              <a:ln w="9525" cap="flat" cmpd="sng" algn="ctr">
                <a:solidFill>
                  <a:schemeClr val="accent1"/>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'Bermuda Growth'!$B$19:$H$19</c:f>
              <c:numCache>
                <c:formatCode>General</c:formatCode>
                <c:ptCount val="7"/>
                <c:pt idx="0">
                  <c:v>50</c:v>
                </c:pt>
                <c:pt idx="1">
                  <c:v>57</c:v>
                </c:pt>
                <c:pt idx="2">
                  <c:v>65</c:v>
                </c:pt>
                <c:pt idx="3">
                  <c:v>73</c:v>
                </c:pt>
                <c:pt idx="4">
                  <c:v>90</c:v>
                </c:pt>
                <c:pt idx="5">
                  <c:v>96</c:v>
                </c:pt>
                <c:pt idx="6">
                  <c:v>106</c:v>
                </c:pt>
              </c:numCache>
            </c:numRef>
          </c:xVal>
          <c:yVal>
            <c:numRef>
              <c:f>'Bermuda Growth'!$B$16:$H$16</c:f>
              <c:numCache>
                <c:formatCode>0</c:formatCode>
                <c:ptCount val="7"/>
                <c:pt idx="0">
                  <c:v>54.166666666666664</c:v>
                </c:pt>
                <c:pt idx="1">
                  <c:v>52.5</c:v>
                </c:pt>
                <c:pt idx="2">
                  <c:v>65</c:v>
                </c:pt>
                <c:pt idx="3">
                  <c:v>48.333333333333336</c:v>
                </c:pt>
                <c:pt idx="4">
                  <c:v>70.833333333333329</c:v>
                </c:pt>
                <c:pt idx="5">
                  <c:v>71.666666666666671</c:v>
                </c:pt>
                <c:pt idx="6">
                  <c:v>72.5</c:v>
                </c:pt>
              </c:numCache>
            </c:numRef>
          </c:yVal>
          <c:smooth val="0"/>
          <c:extLst xmlns:c16r2="http://schemas.microsoft.com/office/drawing/2015/06/chart">
            <c:ext xmlns:c16="http://schemas.microsoft.com/office/drawing/2014/chart" uri="{C3380CC4-5D6E-409C-BE32-E72D297353CC}">
              <c16:uniqueId val="{00000000-B0EB-4646-88D0-C7587659EABF}"/>
            </c:ext>
          </c:extLst>
        </c:ser>
        <c:ser>
          <c:idx val="1"/>
          <c:order val="1"/>
          <c:tx>
            <c:strRef>
              <c:f>'Bermuda Growth'!$A$15</c:f>
              <c:strCache>
                <c:ptCount val="1"/>
                <c:pt idx="0">
                  <c:v>BM Mean</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'Bermuda Growth'!$B$17:$H$17</c:f>
                <c:numCache>
                  <c:formatCode>General</c:formatCode>
                  <c:ptCount val="7"/>
                  <c:pt idx="0">
                    <c:v>14.696938456699069</c:v>
                  </c:pt>
                  <c:pt idx="1">
                    <c:v>14.696938456699069</c:v>
                  </c:pt>
                  <c:pt idx="2">
                    <c:v>11.135528725660043</c:v>
                  </c:pt>
                  <c:pt idx="3">
                    <c:v>9.7979589711327115</c:v>
                  </c:pt>
                  <c:pt idx="4">
                    <c:v>10.198039027185569</c:v>
                  </c:pt>
                  <c:pt idx="5">
                    <c:v>10.295630140987001</c:v>
                  </c:pt>
                  <c:pt idx="6">
                    <c:v>6</c:v>
                  </c:pt>
                </c:numCache>
              </c:numRef>
            </c:plus>
            <c:minus>
              <c:numRef>
                <c:f>'Bermuda Growth'!$B$17:$H$17</c:f>
                <c:numCache>
                  <c:formatCode>General</c:formatCode>
                  <c:ptCount val="7"/>
                  <c:pt idx="0">
                    <c:v>14.696938456699069</c:v>
                  </c:pt>
                  <c:pt idx="1">
                    <c:v>14.696938456699069</c:v>
                  </c:pt>
                  <c:pt idx="2">
                    <c:v>11.135528725660043</c:v>
                  </c:pt>
                  <c:pt idx="3">
                    <c:v>9.7979589711327115</c:v>
                  </c:pt>
                  <c:pt idx="4">
                    <c:v>10.198039027185569</c:v>
                  </c:pt>
                  <c:pt idx="5">
                    <c:v>10.295630140987001</c:v>
                  </c:pt>
                  <c:pt idx="6">
                    <c:v>6</c:v>
                  </c:pt>
                </c:numCache>
              </c:numRef>
            </c:minus>
            <c:spPr>
              <a:noFill/>
              <a:ln w="9525" cap="flat" cmpd="sng" algn="ctr">
                <a:solidFill>
                  <a:schemeClr val="accent2"/>
                </a:solidFill>
                <a:round/>
                <a:headEnd type="none"/>
                <a:tailEnd type="none"/>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'Bermuda Growth'!$B$19:$H$19</c:f>
              <c:numCache>
                <c:formatCode>General</c:formatCode>
                <c:ptCount val="7"/>
                <c:pt idx="0">
                  <c:v>50</c:v>
                </c:pt>
                <c:pt idx="1">
                  <c:v>57</c:v>
                </c:pt>
                <c:pt idx="2">
                  <c:v>65</c:v>
                </c:pt>
                <c:pt idx="3">
                  <c:v>73</c:v>
                </c:pt>
                <c:pt idx="4">
                  <c:v>90</c:v>
                </c:pt>
                <c:pt idx="5">
                  <c:v>96</c:v>
                </c:pt>
                <c:pt idx="6">
                  <c:v>106</c:v>
                </c:pt>
              </c:numCache>
            </c:numRef>
          </c:xVal>
          <c:yVal>
            <c:numRef>
              <c:f>'Bermuda Growth'!$B$15:$H$15</c:f>
              <c:numCache>
                <c:formatCode>0</c:formatCode>
                <c:ptCount val="7"/>
                <c:pt idx="0">
                  <c:v>56.666666666666664</c:v>
                </c:pt>
                <c:pt idx="1">
                  <c:v>65</c:v>
                </c:pt>
                <c:pt idx="2">
                  <c:v>80.833333333333329</c:v>
                </c:pt>
                <c:pt idx="3">
                  <c:v>60</c:v>
                </c:pt>
                <c:pt idx="4">
                  <c:v>80.833333333333329</c:v>
                </c:pt>
                <c:pt idx="5">
                  <c:v>84.166666666666671</c:v>
                </c:pt>
                <c:pt idx="6">
                  <c:v>88.333333333333329</c:v>
                </c:pt>
              </c:numCache>
            </c:numRef>
          </c:yVal>
          <c:smooth val="0"/>
          <c:extLst xmlns:c16r2="http://schemas.microsoft.com/office/drawing/2015/06/chart">
            <c:ext xmlns:c16="http://schemas.microsoft.com/office/drawing/2014/chart" uri="{C3380CC4-5D6E-409C-BE32-E72D297353CC}">
              <c16:uniqueId val="{00000001-B0EB-4646-88D0-C7587659EABF}"/>
            </c:ext>
          </c:extLst>
        </c:ser>
        <c:dLbls>
          <c:showLegendKey val="0"/>
          <c:showVal val="0"/>
          <c:showCatName val="0"/>
          <c:showSerName val="0"/>
          <c:showPercent val="0"/>
          <c:showBubbleSize val="0"/>
        </c:dLbls>
        <c:axId val="626407624"/>
        <c:axId val="626406056"/>
      </c:scatterChart>
      <c:valAx>
        <c:axId val="6264076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planting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406056"/>
        <c:crosses val="autoZero"/>
        <c:crossBetween val="midCat"/>
      </c:valAx>
      <c:valAx>
        <c:axId val="62640605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Coverage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407624"/>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'Corn Biomass'!$AA$31</c:f>
              <c:strCache>
                <c:ptCount val="1"/>
                <c:pt idx="0">
                  <c:v>Roots</c:v>
                </c:pt>
              </c:strCache>
            </c:strRef>
          </c:tx>
          <c:spPr>
            <a:solidFill>
              <a:schemeClr val="accent1"/>
            </a:solidFill>
            <a:ln>
              <a:noFill/>
            </a:ln>
            <a:effectLst/>
          </c:spPr>
          <c:invertIfNegative val="0"/>
          <c:errBars>
            <c:errBarType val="both"/>
            <c:errValType val="stdErr"/>
            <c:noEndCap val="0"/>
            <c:spPr>
              <a:noFill/>
              <a:ln w="9525" cap="flat" cmpd="sng" algn="ctr">
                <a:noFill/>
                <a:round/>
              </a:ln>
              <a:effectLst/>
            </c:spPr>
          </c:errBars>
          <c:cat>
            <c:strRef>
              <c:f>'Corn Biomass'!$Z$32:$Z$37</c:f>
              <c:strCache>
                <c:ptCount val="6"/>
                <c:pt idx="0">
                  <c:v>CG</c:v>
                </c:pt>
                <c:pt idx="1">
                  <c:v>CM</c:v>
                </c:pt>
                <c:pt idx="2">
                  <c:v>SG</c:v>
                </c:pt>
                <c:pt idx="3">
                  <c:v>SM</c:v>
                </c:pt>
                <c:pt idx="4">
                  <c:v>BG</c:v>
                </c:pt>
                <c:pt idx="5">
                  <c:v>BM</c:v>
                </c:pt>
              </c:strCache>
            </c:strRef>
          </c:cat>
          <c:val>
            <c:numRef>
              <c:f>'Corn Biomass'!$AA$32:$AA$37</c:f>
              <c:numCache>
                <c:formatCode>General</c:formatCode>
                <c:ptCount val="6"/>
                <c:pt idx="0">
                  <c:v>12.379116666666667</c:v>
                </c:pt>
                <c:pt idx="1">
                  <c:v>11.437683333333332</c:v>
                </c:pt>
                <c:pt idx="2">
                  <c:v>9.6325333333333329</c:v>
                </c:pt>
                <c:pt idx="3">
                  <c:v>6.1664000000000003</c:v>
                </c:pt>
                <c:pt idx="4">
                  <c:v>4.0135166666666668</c:v>
                </c:pt>
                <c:pt idx="5">
                  <c:v>5.1211500000000001</c:v>
                </c:pt>
              </c:numCache>
            </c:numRef>
          </c:val>
          <c:extLst xmlns:c16r2="http://schemas.microsoft.com/office/drawing/2015/06/chart">
            <c:ext xmlns:c16="http://schemas.microsoft.com/office/drawing/2014/chart" uri="{C3380CC4-5D6E-409C-BE32-E72D297353CC}">
              <c16:uniqueId val="{00000000-3160-413C-AD78-96AD60AE3604}"/>
            </c:ext>
          </c:extLst>
        </c:ser>
        <c:ser>
          <c:idx val="1"/>
          <c:order val="1"/>
          <c:tx>
            <c:strRef>
              <c:f>'Corn Biomass'!$AB$31</c:f>
              <c:strCache>
                <c:ptCount val="1"/>
                <c:pt idx="0">
                  <c:v>Stalk</c:v>
                </c:pt>
              </c:strCache>
            </c:strRef>
          </c:tx>
          <c:spPr>
            <a:solidFill>
              <a:schemeClr val="accent2"/>
            </a:solidFill>
            <a:ln>
              <a:noFill/>
            </a:ln>
            <a:effectLst/>
          </c:spPr>
          <c:invertIfNegative val="0"/>
          <c:errBars>
            <c:errBarType val="both"/>
            <c:errValType val="stdErr"/>
            <c:noEndCap val="0"/>
            <c:spPr>
              <a:noFill/>
              <a:ln w="9525" cap="flat" cmpd="sng" algn="ctr">
                <a:noFill/>
                <a:round/>
              </a:ln>
              <a:effectLst/>
            </c:spPr>
          </c:errBars>
          <c:cat>
            <c:strRef>
              <c:f>'Corn Biomass'!$Z$32:$Z$37</c:f>
              <c:strCache>
                <c:ptCount val="6"/>
                <c:pt idx="0">
                  <c:v>CG</c:v>
                </c:pt>
                <c:pt idx="1">
                  <c:v>CM</c:v>
                </c:pt>
                <c:pt idx="2">
                  <c:v>SG</c:v>
                </c:pt>
                <c:pt idx="3">
                  <c:v>SM</c:v>
                </c:pt>
                <c:pt idx="4">
                  <c:v>BG</c:v>
                </c:pt>
                <c:pt idx="5">
                  <c:v>BM</c:v>
                </c:pt>
              </c:strCache>
            </c:strRef>
          </c:cat>
          <c:val>
            <c:numRef>
              <c:f>'Corn Biomass'!$AB$32:$AB$37</c:f>
              <c:numCache>
                <c:formatCode>General</c:formatCode>
                <c:ptCount val="6"/>
                <c:pt idx="0">
                  <c:v>28.682666666666666</c:v>
                </c:pt>
                <c:pt idx="1">
                  <c:v>25.013166666666667</c:v>
                </c:pt>
                <c:pt idx="2">
                  <c:v>21.313533333333336</c:v>
                </c:pt>
                <c:pt idx="3">
                  <c:v>15.491016666666667</c:v>
                </c:pt>
              </c:numCache>
            </c:numRef>
          </c:val>
          <c:extLst xmlns:c16r2="http://schemas.microsoft.com/office/drawing/2015/06/chart">
            <c:ext xmlns:c16="http://schemas.microsoft.com/office/drawing/2014/chart" uri="{C3380CC4-5D6E-409C-BE32-E72D297353CC}">
              <c16:uniqueId val="{00000001-3160-413C-AD78-96AD60AE3604}"/>
            </c:ext>
          </c:extLst>
        </c:ser>
        <c:ser>
          <c:idx val="2"/>
          <c:order val="2"/>
          <c:tx>
            <c:strRef>
              <c:f>'Corn Biomass'!$AC$31</c:f>
              <c:strCache>
                <c:ptCount val="1"/>
                <c:pt idx="0">
                  <c:v>Leaves</c:v>
                </c:pt>
              </c:strCache>
            </c:strRef>
          </c:tx>
          <c:spPr>
            <a:solidFill>
              <a:schemeClr val="accent3"/>
            </a:solidFill>
            <a:ln>
              <a:noFill/>
            </a:ln>
            <a:effectLst/>
          </c:spPr>
          <c:invertIfNegative val="0"/>
          <c:errBars>
            <c:errBarType val="both"/>
            <c:errValType val="stdErr"/>
            <c:noEndCap val="0"/>
            <c:spPr>
              <a:noFill/>
              <a:ln w="9525" cap="flat" cmpd="sng" algn="ctr">
                <a:noFill/>
                <a:round/>
              </a:ln>
              <a:effectLst/>
            </c:spPr>
          </c:errBars>
          <c:cat>
            <c:strRef>
              <c:f>'Corn Biomass'!$Z$32:$Z$37</c:f>
              <c:strCache>
                <c:ptCount val="6"/>
                <c:pt idx="0">
                  <c:v>CG</c:v>
                </c:pt>
                <c:pt idx="1">
                  <c:v>CM</c:v>
                </c:pt>
                <c:pt idx="2">
                  <c:v>SG</c:v>
                </c:pt>
                <c:pt idx="3">
                  <c:v>SM</c:v>
                </c:pt>
                <c:pt idx="4">
                  <c:v>BG</c:v>
                </c:pt>
                <c:pt idx="5">
                  <c:v>BM</c:v>
                </c:pt>
              </c:strCache>
            </c:strRef>
          </c:cat>
          <c:val>
            <c:numRef>
              <c:f>'Corn Biomass'!$AC$32:$AC$37</c:f>
              <c:numCache>
                <c:formatCode>General</c:formatCode>
                <c:ptCount val="6"/>
                <c:pt idx="0">
                  <c:v>22.364583333333332</c:v>
                </c:pt>
                <c:pt idx="1">
                  <c:v>18.936449999999997</c:v>
                </c:pt>
                <c:pt idx="2">
                  <c:v>13.992399999999998</c:v>
                </c:pt>
                <c:pt idx="3">
                  <c:v>8.9751166666666666</c:v>
                </c:pt>
              </c:numCache>
            </c:numRef>
          </c:val>
          <c:extLst xmlns:c16r2="http://schemas.microsoft.com/office/drawing/2015/06/chart">
            <c:ext xmlns:c16="http://schemas.microsoft.com/office/drawing/2014/chart" uri="{C3380CC4-5D6E-409C-BE32-E72D297353CC}">
              <c16:uniqueId val="{00000002-3160-413C-AD78-96AD60AE3604}"/>
            </c:ext>
          </c:extLst>
        </c:ser>
        <c:ser>
          <c:idx val="3"/>
          <c:order val="3"/>
          <c:tx>
            <c:strRef>
              <c:f>'Corn Biomass'!$AD$31</c:f>
              <c:strCache>
                <c:ptCount val="1"/>
                <c:pt idx="0">
                  <c:v>Husk</c:v>
                </c:pt>
              </c:strCache>
            </c:strRef>
          </c:tx>
          <c:spPr>
            <a:solidFill>
              <a:schemeClr val="accent4"/>
            </a:solidFill>
            <a:ln>
              <a:noFill/>
            </a:ln>
            <a:effectLst/>
          </c:spPr>
          <c:invertIfNegative val="0"/>
          <c:errBars>
            <c:errBarType val="both"/>
            <c:errValType val="stdErr"/>
            <c:noEndCap val="0"/>
            <c:spPr>
              <a:noFill/>
              <a:ln w="9525" cap="flat" cmpd="sng" algn="ctr">
                <a:noFill/>
                <a:round/>
              </a:ln>
              <a:effectLst/>
            </c:spPr>
          </c:errBars>
          <c:cat>
            <c:strRef>
              <c:f>'Corn Biomass'!$Z$32:$Z$37</c:f>
              <c:strCache>
                <c:ptCount val="6"/>
                <c:pt idx="0">
                  <c:v>CG</c:v>
                </c:pt>
                <c:pt idx="1">
                  <c:v>CM</c:v>
                </c:pt>
                <c:pt idx="2">
                  <c:v>SG</c:v>
                </c:pt>
                <c:pt idx="3">
                  <c:v>SM</c:v>
                </c:pt>
                <c:pt idx="4">
                  <c:v>BG</c:v>
                </c:pt>
                <c:pt idx="5">
                  <c:v>BM</c:v>
                </c:pt>
              </c:strCache>
            </c:strRef>
          </c:cat>
          <c:val>
            <c:numRef>
              <c:f>'Corn Biomass'!$AD$32:$AD$37</c:f>
              <c:numCache>
                <c:formatCode>General</c:formatCode>
                <c:ptCount val="6"/>
                <c:pt idx="0">
                  <c:v>3.8491</c:v>
                </c:pt>
                <c:pt idx="1">
                  <c:v>5.022966666666667</c:v>
                </c:pt>
              </c:numCache>
            </c:numRef>
          </c:val>
          <c:extLst xmlns:c16r2="http://schemas.microsoft.com/office/drawing/2015/06/chart">
            <c:ext xmlns:c16="http://schemas.microsoft.com/office/drawing/2014/chart" uri="{C3380CC4-5D6E-409C-BE32-E72D297353CC}">
              <c16:uniqueId val="{00000003-3160-413C-AD78-96AD60AE3604}"/>
            </c:ext>
          </c:extLst>
        </c:ser>
        <c:ser>
          <c:idx val="4"/>
          <c:order val="4"/>
          <c:tx>
            <c:strRef>
              <c:f>'Corn Biomass'!$AE$31</c:f>
              <c:strCache>
                <c:ptCount val="1"/>
                <c:pt idx="0">
                  <c:v>Cob</c:v>
                </c:pt>
              </c:strCache>
            </c:strRef>
          </c:tx>
          <c:spPr>
            <a:solidFill>
              <a:schemeClr val="accent5"/>
            </a:solidFill>
            <a:ln>
              <a:noFill/>
            </a:ln>
            <a:effectLst/>
          </c:spPr>
          <c:invertIfNegative val="0"/>
          <c:errBars>
            <c:errBarType val="both"/>
            <c:errValType val="stdErr"/>
            <c:noEndCap val="0"/>
            <c:spPr>
              <a:noFill/>
              <a:ln w="9525" cap="flat" cmpd="sng" algn="ctr">
                <a:noFill/>
                <a:round/>
              </a:ln>
              <a:effectLst/>
            </c:spPr>
          </c:errBars>
          <c:cat>
            <c:strRef>
              <c:f>'Corn Biomass'!$Z$32:$Z$37</c:f>
              <c:strCache>
                <c:ptCount val="6"/>
                <c:pt idx="0">
                  <c:v>CG</c:v>
                </c:pt>
                <c:pt idx="1">
                  <c:v>CM</c:v>
                </c:pt>
                <c:pt idx="2">
                  <c:v>SG</c:v>
                </c:pt>
                <c:pt idx="3">
                  <c:v>SM</c:v>
                </c:pt>
                <c:pt idx="4">
                  <c:v>BG</c:v>
                </c:pt>
                <c:pt idx="5">
                  <c:v>BM</c:v>
                </c:pt>
              </c:strCache>
            </c:strRef>
          </c:cat>
          <c:val>
            <c:numRef>
              <c:f>'Corn Biomass'!$AE$32:$AE$37</c:f>
              <c:numCache>
                <c:formatCode>General</c:formatCode>
                <c:ptCount val="6"/>
                <c:pt idx="0">
                  <c:v>1.5176166666666668</c:v>
                </c:pt>
                <c:pt idx="1">
                  <c:v>3.29705</c:v>
                </c:pt>
              </c:numCache>
            </c:numRef>
          </c:val>
          <c:extLst xmlns:c16r2="http://schemas.microsoft.com/office/drawing/2015/06/chart">
            <c:ext xmlns:c16="http://schemas.microsoft.com/office/drawing/2014/chart" uri="{C3380CC4-5D6E-409C-BE32-E72D297353CC}">
              <c16:uniqueId val="{00000004-3160-413C-AD78-96AD60AE3604}"/>
            </c:ext>
          </c:extLst>
        </c:ser>
        <c:ser>
          <c:idx val="5"/>
          <c:order val="5"/>
          <c:tx>
            <c:strRef>
              <c:f>'Corn Biomass'!$AF$31</c:f>
              <c:strCache>
                <c:ptCount val="1"/>
                <c:pt idx="0">
                  <c:v>Grain</c:v>
                </c:pt>
              </c:strCache>
            </c:strRef>
          </c:tx>
          <c:spPr>
            <a:solidFill>
              <a:schemeClr val="accent6"/>
            </a:solidFill>
            <a:ln>
              <a:noFill/>
            </a:ln>
            <a:effectLst/>
          </c:spPr>
          <c:invertIfNegative val="0"/>
          <c:errBars>
            <c:errBarType val="both"/>
            <c:errValType val="cust"/>
            <c:noEndCap val="1"/>
            <c:plus>
              <c:numRef>
                <c:f>'Corn Biomass'!$AL$17:$AL$20</c:f>
                <c:numCache>
                  <c:formatCode>General</c:formatCode>
                  <c:ptCount val="4"/>
                  <c:pt idx="0">
                    <c:v>0</c:v>
                  </c:pt>
                  <c:pt idx="1">
                    <c:v>0</c:v>
                  </c:pt>
                  <c:pt idx="2">
                    <c:v>0</c:v>
                  </c:pt>
                  <c:pt idx="3">
                    <c:v>8.3493771486859636</c:v>
                  </c:pt>
                </c:numCache>
              </c:numRef>
            </c:plus>
            <c:minus>
              <c:numRef>
                <c:f>'Corn Biomass'!$AL$17:$AL$20</c:f>
                <c:numCache>
                  <c:formatCode>General</c:formatCode>
                  <c:ptCount val="4"/>
                  <c:pt idx="0">
                    <c:v>0</c:v>
                  </c:pt>
                  <c:pt idx="1">
                    <c:v>0</c:v>
                  </c:pt>
                  <c:pt idx="2">
                    <c:v>0</c:v>
                  </c:pt>
                  <c:pt idx="3">
                    <c:v>8.3493771486859636</c:v>
                  </c:pt>
                </c:numCache>
              </c:numRef>
            </c:minus>
            <c:spPr>
              <a:noFill/>
              <a:ln w="9525" cap="flat" cmpd="sng" algn="ctr">
                <a:solidFill>
                  <a:schemeClr val="tx1">
                    <a:lumMod val="65000"/>
                    <a:lumOff val="35000"/>
                  </a:schemeClr>
                </a:solidFill>
                <a:round/>
              </a:ln>
              <a:effectLst/>
            </c:spPr>
          </c:errBars>
          <c:cat>
            <c:strRef>
              <c:f>'Corn Biomass'!$Z$32:$Z$37</c:f>
              <c:strCache>
                <c:ptCount val="6"/>
                <c:pt idx="0">
                  <c:v>CG</c:v>
                </c:pt>
                <c:pt idx="1">
                  <c:v>CM</c:v>
                </c:pt>
                <c:pt idx="2">
                  <c:v>SG</c:v>
                </c:pt>
                <c:pt idx="3">
                  <c:v>SM</c:v>
                </c:pt>
                <c:pt idx="4">
                  <c:v>BG</c:v>
                </c:pt>
                <c:pt idx="5">
                  <c:v>BM</c:v>
                </c:pt>
              </c:strCache>
            </c:strRef>
          </c:cat>
          <c:val>
            <c:numRef>
              <c:f>'Corn Biomass'!$AF$32:$AF$37</c:f>
              <c:numCache>
                <c:formatCode>General</c:formatCode>
                <c:ptCount val="6"/>
                <c:pt idx="0">
                  <c:v>3.0763666666666665</c:v>
                </c:pt>
                <c:pt idx="1">
                  <c:v>6.3147833333333336</c:v>
                </c:pt>
                <c:pt idx="2">
                  <c:v>9.9630500000000008</c:v>
                </c:pt>
                <c:pt idx="3">
                  <c:v>13.175516666666667</c:v>
                </c:pt>
              </c:numCache>
            </c:numRef>
          </c:val>
          <c:extLst xmlns:c16r2="http://schemas.microsoft.com/office/drawing/2015/06/chart">
            <c:ext xmlns:c16="http://schemas.microsoft.com/office/drawing/2014/chart" uri="{C3380CC4-5D6E-409C-BE32-E72D297353CC}">
              <c16:uniqueId val="{00000005-3160-413C-AD78-96AD60AE3604}"/>
            </c:ext>
          </c:extLst>
        </c:ser>
        <c:ser>
          <c:idx val="6"/>
          <c:order val="6"/>
          <c:tx>
            <c:strRef>
              <c:f>'Corn Biomass'!$AG$31</c:f>
              <c:strCache>
                <c:ptCount val="1"/>
                <c:pt idx="0">
                  <c:v>Tassel</c:v>
                </c:pt>
              </c:strCache>
            </c:strRef>
          </c:tx>
          <c:spPr>
            <a:solidFill>
              <a:schemeClr val="accent1">
                <a:lumMod val="60000"/>
              </a:schemeClr>
            </a:solidFill>
            <a:ln>
              <a:noFill/>
            </a:ln>
            <a:effectLst/>
          </c:spPr>
          <c:invertIfNegative val="0"/>
          <c:errBars>
            <c:errBarType val="both"/>
            <c:errValType val="cust"/>
            <c:noEndCap val="1"/>
            <c:plus>
              <c:numRef>
                <c:f>'Corn Biomass'!$AK$17:$AK$18</c:f>
                <c:numCache>
                  <c:formatCode>General</c:formatCode>
                  <c:ptCount val="2"/>
                  <c:pt idx="0">
                    <c:v>6.6583935196612254</c:v>
                  </c:pt>
                  <c:pt idx="1">
                    <c:v>23.079690564512926</c:v>
                  </c:pt>
                </c:numCache>
              </c:numRef>
            </c:plus>
            <c:minus>
              <c:numRef>
                <c:f>'Corn Biomass'!$AK$17:$AK$18</c:f>
                <c:numCache>
                  <c:formatCode>General</c:formatCode>
                  <c:ptCount val="2"/>
                  <c:pt idx="0">
                    <c:v>6.6583935196612254</c:v>
                  </c:pt>
                  <c:pt idx="1">
                    <c:v>23.079690564512926</c:v>
                  </c:pt>
                </c:numCache>
              </c:numRef>
            </c:minus>
            <c:spPr>
              <a:noFill/>
              <a:ln w="9525" cap="flat" cmpd="sng" algn="ctr">
                <a:solidFill>
                  <a:schemeClr val="tx1">
                    <a:lumMod val="65000"/>
                    <a:lumOff val="35000"/>
                  </a:schemeClr>
                </a:solidFill>
                <a:round/>
              </a:ln>
              <a:effectLst/>
            </c:spPr>
          </c:errBars>
          <c:cat>
            <c:strRef>
              <c:f>'Corn Biomass'!$Z$32:$Z$37</c:f>
              <c:strCache>
                <c:ptCount val="6"/>
                <c:pt idx="0">
                  <c:v>CG</c:v>
                </c:pt>
                <c:pt idx="1">
                  <c:v>CM</c:v>
                </c:pt>
                <c:pt idx="2">
                  <c:v>SG</c:v>
                </c:pt>
                <c:pt idx="3">
                  <c:v>SM</c:v>
                </c:pt>
                <c:pt idx="4">
                  <c:v>BG</c:v>
                </c:pt>
                <c:pt idx="5">
                  <c:v>BM</c:v>
                </c:pt>
              </c:strCache>
            </c:strRef>
          </c:cat>
          <c:val>
            <c:numRef>
              <c:f>'Corn Biomass'!$AG$32:$AG$37</c:f>
              <c:numCache>
                <c:formatCode>General</c:formatCode>
                <c:ptCount val="6"/>
                <c:pt idx="0">
                  <c:v>1.7670833333333331</c:v>
                </c:pt>
                <c:pt idx="1">
                  <c:v>1.1918166666666663</c:v>
                </c:pt>
              </c:numCache>
            </c:numRef>
          </c:val>
          <c:extLst xmlns:c16r2="http://schemas.microsoft.com/office/drawing/2015/06/chart">
            <c:ext xmlns:c16="http://schemas.microsoft.com/office/drawing/2014/chart" uri="{C3380CC4-5D6E-409C-BE32-E72D297353CC}">
              <c16:uniqueId val="{00000006-3160-413C-AD78-96AD60AE3604}"/>
            </c:ext>
          </c:extLst>
        </c:ser>
        <c:ser>
          <c:idx val="7"/>
          <c:order val="7"/>
          <c:tx>
            <c:strRef>
              <c:f>'Corn Biomass'!$AH$31</c:f>
              <c:strCache>
                <c:ptCount val="1"/>
                <c:pt idx="0">
                  <c:v>Tillers</c:v>
                </c:pt>
              </c:strCache>
            </c:strRef>
          </c:tx>
          <c:spPr>
            <a:solidFill>
              <a:schemeClr val="accent2">
                <a:lumMod val="60000"/>
              </a:schemeClr>
            </a:solidFill>
            <a:ln>
              <a:noFill/>
            </a:ln>
            <a:effectLst/>
          </c:spPr>
          <c:invertIfNegative val="0"/>
          <c:errBars>
            <c:errBarType val="both"/>
            <c:errValType val="cust"/>
            <c:noEndCap val="1"/>
            <c:plus>
              <c:numRef>
                <c:f>'Corn Biomass'!$AK$19</c:f>
                <c:numCache>
                  <c:formatCode>General</c:formatCode>
                  <c:ptCount val="1"/>
                  <c:pt idx="0">
                    <c:v>11.659922756119206</c:v>
                  </c:pt>
                </c:numCache>
              </c:numRef>
            </c:plus>
            <c:minus>
              <c:numRef>
                <c:f>'Corn Biomass'!$AK$19</c:f>
                <c:numCache>
                  <c:formatCode>General</c:formatCode>
                  <c:ptCount val="1"/>
                  <c:pt idx="0">
                    <c:v>11.659922756119206</c:v>
                  </c:pt>
                </c:numCache>
              </c:numRef>
            </c:minus>
            <c:spPr>
              <a:noFill/>
              <a:ln w="9525" cap="flat" cmpd="sng" algn="ctr">
                <a:solidFill>
                  <a:schemeClr val="tx1">
                    <a:lumMod val="65000"/>
                    <a:lumOff val="35000"/>
                  </a:schemeClr>
                </a:solidFill>
                <a:round/>
              </a:ln>
              <a:effectLst/>
            </c:spPr>
          </c:errBars>
          <c:cat>
            <c:strRef>
              <c:f>'Corn Biomass'!$Z$32:$Z$37</c:f>
              <c:strCache>
                <c:ptCount val="6"/>
                <c:pt idx="0">
                  <c:v>CG</c:v>
                </c:pt>
                <c:pt idx="1">
                  <c:v>CM</c:v>
                </c:pt>
                <c:pt idx="2">
                  <c:v>SG</c:v>
                </c:pt>
                <c:pt idx="3">
                  <c:v>SM</c:v>
                </c:pt>
                <c:pt idx="4">
                  <c:v>BG</c:v>
                </c:pt>
                <c:pt idx="5">
                  <c:v>BM</c:v>
                </c:pt>
              </c:strCache>
            </c:strRef>
          </c:cat>
          <c:val>
            <c:numRef>
              <c:f>'Corn Biomass'!$AH$32:$AH$37</c:f>
              <c:numCache>
                <c:formatCode>General</c:formatCode>
                <c:ptCount val="6"/>
                <c:pt idx="2">
                  <c:v>4.3660999999999994</c:v>
                </c:pt>
              </c:numCache>
            </c:numRef>
          </c:val>
          <c:extLst xmlns:c16r2="http://schemas.microsoft.com/office/drawing/2015/06/chart">
            <c:ext xmlns:c16="http://schemas.microsoft.com/office/drawing/2014/chart" uri="{C3380CC4-5D6E-409C-BE32-E72D297353CC}">
              <c16:uniqueId val="{00000007-3160-413C-AD78-96AD60AE3604}"/>
            </c:ext>
          </c:extLst>
        </c:ser>
        <c:ser>
          <c:idx val="8"/>
          <c:order val="8"/>
          <c:tx>
            <c:strRef>
              <c:f>'Corn Biomass'!$AI$31</c:f>
              <c:strCache>
                <c:ptCount val="1"/>
                <c:pt idx="0">
                  <c:v>Grass Harvest 1</c:v>
                </c:pt>
              </c:strCache>
            </c:strRef>
          </c:tx>
          <c:spPr>
            <a:solidFill>
              <a:schemeClr val="accent3">
                <a:lumMod val="60000"/>
              </a:schemeClr>
            </a:solidFill>
            <a:ln>
              <a:noFill/>
            </a:ln>
            <a:effectLst/>
          </c:spPr>
          <c:invertIfNegative val="0"/>
          <c:errBars>
            <c:errBarType val="both"/>
            <c:errValType val="stdErr"/>
            <c:noEndCap val="0"/>
            <c:spPr>
              <a:noFill/>
              <a:ln w="9525" cap="flat" cmpd="sng" algn="ctr">
                <a:noFill/>
                <a:round/>
              </a:ln>
              <a:effectLst/>
            </c:spPr>
          </c:errBars>
          <c:cat>
            <c:strRef>
              <c:f>'Corn Biomass'!$Z$32:$Z$37</c:f>
              <c:strCache>
                <c:ptCount val="6"/>
                <c:pt idx="0">
                  <c:v>CG</c:v>
                </c:pt>
                <c:pt idx="1">
                  <c:v>CM</c:v>
                </c:pt>
                <c:pt idx="2">
                  <c:v>SG</c:v>
                </c:pt>
                <c:pt idx="3">
                  <c:v>SM</c:v>
                </c:pt>
                <c:pt idx="4">
                  <c:v>BG</c:v>
                </c:pt>
                <c:pt idx="5">
                  <c:v>BM</c:v>
                </c:pt>
              </c:strCache>
            </c:strRef>
          </c:cat>
          <c:val>
            <c:numRef>
              <c:f>'Corn Biomass'!$AI$32:$AI$37</c:f>
              <c:numCache>
                <c:formatCode>General</c:formatCode>
                <c:ptCount val="6"/>
                <c:pt idx="4">
                  <c:v>3.3791833333333323</c:v>
                </c:pt>
                <c:pt idx="5">
                  <c:v>4.0417666666666667</c:v>
                </c:pt>
              </c:numCache>
            </c:numRef>
          </c:val>
          <c:extLst xmlns:c16r2="http://schemas.microsoft.com/office/drawing/2015/06/chart">
            <c:ext xmlns:c16="http://schemas.microsoft.com/office/drawing/2014/chart" uri="{C3380CC4-5D6E-409C-BE32-E72D297353CC}">
              <c16:uniqueId val="{00000008-3160-413C-AD78-96AD60AE3604}"/>
            </c:ext>
          </c:extLst>
        </c:ser>
        <c:ser>
          <c:idx val="9"/>
          <c:order val="9"/>
          <c:tx>
            <c:strRef>
              <c:f>'Corn Biomass'!$AJ$31</c:f>
              <c:strCache>
                <c:ptCount val="1"/>
                <c:pt idx="0">
                  <c:v>Grass Harvest 2</c:v>
                </c:pt>
              </c:strCache>
            </c:strRef>
          </c:tx>
          <c:spPr>
            <a:solidFill>
              <a:schemeClr val="accent4">
                <a:lumMod val="60000"/>
              </a:schemeClr>
            </a:solidFill>
            <a:ln>
              <a:noFill/>
            </a:ln>
            <a:effectLst/>
          </c:spPr>
          <c:invertIfNegative val="0"/>
          <c:errBars>
            <c:errBarType val="both"/>
            <c:errValType val="cust"/>
            <c:noEndCap val="1"/>
            <c:plus>
              <c:numRef>
                <c:f>'Corn Biomass'!$AM$17:$AM$22</c:f>
                <c:numCache>
                  <c:formatCode>General</c:formatCode>
                  <c:ptCount val="6"/>
                  <c:pt idx="0">
                    <c:v>0</c:v>
                  </c:pt>
                  <c:pt idx="1">
                    <c:v>0</c:v>
                  </c:pt>
                  <c:pt idx="2">
                    <c:v>0</c:v>
                  </c:pt>
                  <c:pt idx="3">
                    <c:v>0</c:v>
                  </c:pt>
                  <c:pt idx="4">
                    <c:v>4.6592865998991746</c:v>
                  </c:pt>
                  <c:pt idx="5">
                    <c:v>2.1494401367953033</c:v>
                  </c:pt>
                </c:numCache>
              </c:numRef>
            </c:plus>
            <c:minus>
              <c:numRef>
                <c:f>'Corn Biomass'!$AM$17:$AM$22</c:f>
                <c:numCache>
                  <c:formatCode>General</c:formatCode>
                  <c:ptCount val="6"/>
                  <c:pt idx="0">
                    <c:v>0</c:v>
                  </c:pt>
                  <c:pt idx="1">
                    <c:v>0</c:v>
                  </c:pt>
                  <c:pt idx="2">
                    <c:v>0</c:v>
                  </c:pt>
                  <c:pt idx="3">
                    <c:v>0</c:v>
                  </c:pt>
                  <c:pt idx="4">
                    <c:v>4.6592865998991746</c:v>
                  </c:pt>
                  <c:pt idx="5">
                    <c:v>2.1494401367953033</c:v>
                  </c:pt>
                </c:numCache>
              </c:numRef>
            </c:minus>
            <c:spPr>
              <a:noFill/>
              <a:ln w="9525" cap="flat" cmpd="sng" algn="ctr">
                <a:solidFill>
                  <a:schemeClr val="tx1">
                    <a:lumMod val="65000"/>
                    <a:lumOff val="35000"/>
                  </a:schemeClr>
                </a:solidFill>
                <a:round/>
              </a:ln>
              <a:effectLst/>
            </c:spPr>
          </c:errBars>
          <c:cat>
            <c:strRef>
              <c:f>'Corn Biomass'!$Z$32:$Z$37</c:f>
              <c:strCache>
                <c:ptCount val="6"/>
                <c:pt idx="0">
                  <c:v>CG</c:v>
                </c:pt>
                <c:pt idx="1">
                  <c:v>CM</c:v>
                </c:pt>
                <c:pt idx="2">
                  <c:v>SG</c:v>
                </c:pt>
                <c:pt idx="3">
                  <c:v>SM</c:v>
                </c:pt>
                <c:pt idx="4">
                  <c:v>BG</c:v>
                </c:pt>
                <c:pt idx="5">
                  <c:v>BM</c:v>
                </c:pt>
              </c:strCache>
            </c:strRef>
          </c:cat>
          <c:val>
            <c:numRef>
              <c:f>'Corn Biomass'!$AJ$32:$AJ$37</c:f>
              <c:numCache>
                <c:formatCode>General</c:formatCode>
                <c:ptCount val="6"/>
                <c:pt idx="4">
                  <c:v>7.5877999999999988</c:v>
                </c:pt>
                <c:pt idx="5">
                  <c:v>10.200666666666667</c:v>
                </c:pt>
              </c:numCache>
            </c:numRef>
          </c:val>
          <c:extLst xmlns:c16r2="http://schemas.microsoft.com/office/drawing/2015/06/chart">
            <c:ext xmlns:c16="http://schemas.microsoft.com/office/drawing/2014/chart" uri="{C3380CC4-5D6E-409C-BE32-E72D297353CC}">
              <c16:uniqueId val="{00000009-3160-413C-AD78-96AD60AE3604}"/>
            </c:ext>
          </c:extLst>
        </c:ser>
        <c:dLbls>
          <c:showLegendKey val="0"/>
          <c:showVal val="0"/>
          <c:showCatName val="0"/>
          <c:showSerName val="0"/>
          <c:showPercent val="0"/>
          <c:showBubbleSize val="0"/>
        </c:dLbls>
        <c:gapWidth val="150"/>
        <c:overlap val="100"/>
        <c:axId val="626401352"/>
        <c:axId val="626402136"/>
      </c:barChart>
      <c:catAx>
        <c:axId val="626401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402136"/>
        <c:crosses val="autoZero"/>
        <c:auto val="1"/>
        <c:lblAlgn val="ctr"/>
        <c:lblOffset val="100"/>
        <c:noMultiLvlLbl val="0"/>
      </c:catAx>
      <c:valAx>
        <c:axId val="626402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Dry</a:t>
                </a:r>
                <a:r>
                  <a:rPr lang="en-US" baseline="0"/>
                  <a:t> Biomass (g)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4013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 emergence corn</c:v>
          </c:tx>
          <c:spPr>
            <a:ln w="19050" cap="rnd">
              <a:solidFill>
                <a:srgbClr val="FFC000"/>
              </a:solidFill>
              <a:round/>
            </a:ln>
            <a:effectLst/>
          </c:spPr>
          <c:marker>
            <c:symbol val="circle"/>
            <c:size val="5"/>
            <c:spPr>
              <a:solidFill>
                <a:srgbClr val="FFC000"/>
              </a:solidFill>
              <a:ln w="9525">
                <a:solidFill>
                  <a:srgbClr val="FFC000"/>
                </a:solidFill>
              </a:ln>
              <a:effectLst/>
            </c:spPr>
          </c:marker>
          <c:xVal>
            <c:numRef>
              <c:f>'Results - Sprouts per Pot'!$B$39:$I$39</c:f>
              <c:numCache>
                <c:formatCode>General</c:formatCode>
                <c:ptCount val="8"/>
                <c:pt idx="0">
                  <c:v>0</c:v>
                </c:pt>
                <c:pt idx="1">
                  <c:v>4</c:v>
                </c:pt>
                <c:pt idx="2">
                  <c:v>5</c:v>
                </c:pt>
                <c:pt idx="3">
                  <c:v>7</c:v>
                </c:pt>
                <c:pt idx="4">
                  <c:v>8</c:v>
                </c:pt>
                <c:pt idx="5">
                  <c:v>9</c:v>
                </c:pt>
                <c:pt idx="6">
                  <c:v>11</c:v>
                </c:pt>
                <c:pt idx="7">
                  <c:v>13</c:v>
                </c:pt>
              </c:numCache>
            </c:numRef>
          </c:xVal>
          <c:yVal>
            <c:numRef>
              <c:f>'Results - Sprouts per Pot'!$B$46:$I$46</c:f>
              <c:numCache>
                <c:formatCode>0%</c:formatCode>
                <c:ptCount val="8"/>
                <c:pt idx="0">
                  <c:v>0</c:v>
                </c:pt>
                <c:pt idx="1">
                  <c:v>0</c:v>
                </c:pt>
                <c:pt idx="2">
                  <c:v>0.22222222222222221</c:v>
                </c:pt>
                <c:pt idx="3">
                  <c:v>0.66666666666666663</c:v>
                </c:pt>
                <c:pt idx="4">
                  <c:v>0.72222222222222221</c:v>
                </c:pt>
                <c:pt idx="5">
                  <c:v>0.77777777777777779</c:v>
                </c:pt>
                <c:pt idx="6">
                  <c:v>0.80555555555555558</c:v>
                </c:pt>
                <c:pt idx="7">
                  <c:v>0.80555555555555558</c:v>
                </c:pt>
              </c:numCache>
            </c:numRef>
          </c:yVal>
          <c:smooth val="0"/>
          <c:extLst xmlns:c16r2="http://schemas.microsoft.com/office/drawing/2015/06/chart">
            <c:ext xmlns:c16="http://schemas.microsoft.com/office/drawing/2014/chart" uri="{C3380CC4-5D6E-409C-BE32-E72D297353CC}">
              <c16:uniqueId val="{00000000-9F53-47E6-A9CA-44A4991E589E}"/>
            </c:ext>
          </c:extLst>
        </c:ser>
        <c:ser>
          <c:idx val="1"/>
          <c:order val="1"/>
          <c:tx>
            <c:v>% emergence sorghum</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'Results - Sprouts per Pot'!$B$39:$I$39</c:f>
              <c:numCache>
                <c:formatCode>General</c:formatCode>
                <c:ptCount val="8"/>
                <c:pt idx="0">
                  <c:v>0</c:v>
                </c:pt>
                <c:pt idx="1">
                  <c:v>4</c:v>
                </c:pt>
                <c:pt idx="2">
                  <c:v>5</c:v>
                </c:pt>
                <c:pt idx="3">
                  <c:v>7</c:v>
                </c:pt>
                <c:pt idx="4">
                  <c:v>8</c:v>
                </c:pt>
                <c:pt idx="5">
                  <c:v>9</c:v>
                </c:pt>
                <c:pt idx="6">
                  <c:v>11</c:v>
                </c:pt>
                <c:pt idx="7">
                  <c:v>13</c:v>
                </c:pt>
              </c:numCache>
            </c:numRef>
          </c:xVal>
          <c:yVal>
            <c:numRef>
              <c:f>'Results - Sprouts per Pot'!$B$51:$I$51</c:f>
              <c:numCache>
                <c:formatCode>0%</c:formatCode>
                <c:ptCount val="8"/>
                <c:pt idx="0">
                  <c:v>0</c:v>
                </c:pt>
                <c:pt idx="1">
                  <c:v>2.7777777777777776E-2</c:v>
                </c:pt>
                <c:pt idx="2">
                  <c:v>0.44444444444444442</c:v>
                </c:pt>
                <c:pt idx="3">
                  <c:v>0.86111111111111116</c:v>
                </c:pt>
                <c:pt idx="4">
                  <c:v>0.91666666666666663</c:v>
                </c:pt>
                <c:pt idx="5">
                  <c:v>0.91666666666666663</c:v>
                </c:pt>
                <c:pt idx="6">
                  <c:v>0.91666666666666663</c:v>
                </c:pt>
                <c:pt idx="7">
                  <c:v>0.91666666666666663</c:v>
                </c:pt>
              </c:numCache>
            </c:numRef>
          </c:yVal>
          <c:smooth val="0"/>
          <c:extLst xmlns:c16r2="http://schemas.microsoft.com/office/drawing/2015/06/chart">
            <c:ext xmlns:c16="http://schemas.microsoft.com/office/drawing/2014/chart" uri="{C3380CC4-5D6E-409C-BE32-E72D297353CC}">
              <c16:uniqueId val="{00000001-9F53-47E6-A9CA-44A4991E589E}"/>
            </c:ext>
          </c:extLst>
        </c:ser>
        <c:ser>
          <c:idx val="2"/>
          <c:order val="2"/>
          <c:tx>
            <c:v>% emergence Indiangrass</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'Results - Sprouts per Pot'!$B$39:$I$39</c:f>
              <c:numCache>
                <c:formatCode>General</c:formatCode>
                <c:ptCount val="8"/>
                <c:pt idx="0">
                  <c:v>0</c:v>
                </c:pt>
                <c:pt idx="1">
                  <c:v>4</c:v>
                </c:pt>
                <c:pt idx="2">
                  <c:v>5</c:v>
                </c:pt>
                <c:pt idx="3">
                  <c:v>7</c:v>
                </c:pt>
                <c:pt idx="4">
                  <c:v>8</c:v>
                </c:pt>
                <c:pt idx="5">
                  <c:v>9</c:v>
                </c:pt>
                <c:pt idx="6">
                  <c:v>11</c:v>
                </c:pt>
                <c:pt idx="7">
                  <c:v>13</c:v>
                </c:pt>
              </c:numCache>
            </c:numRef>
          </c:xVal>
          <c:yVal>
            <c:numRef>
              <c:f>'Results - Sprouts per Pot'!$B$56:$I$56</c:f>
              <c:numCache>
                <c:formatCode>0%</c:formatCode>
                <c:ptCount val="8"/>
                <c:pt idx="0">
                  <c:v>0</c:v>
                </c:pt>
                <c:pt idx="1">
                  <c:v>0</c:v>
                </c:pt>
                <c:pt idx="2">
                  <c:v>0</c:v>
                </c:pt>
                <c:pt idx="3">
                  <c:v>0</c:v>
                </c:pt>
                <c:pt idx="4">
                  <c:v>9.2592592592592587E-3</c:v>
                </c:pt>
                <c:pt idx="5">
                  <c:v>9.2592592592592587E-3</c:v>
                </c:pt>
                <c:pt idx="6">
                  <c:v>1.8518518518518517E-2</c:v>
                </c:pt>
                <c:pt idx="7">
                  <c:v>1.8518518518518517E-2</c:v>
                </c:pt>
              </c:numCache>
            </c:numRef>
          </c:yVal>
          <c:smooth val="0"/>
          <c:extLst xmlns:c16r2="http://schemas.microsoft.com/office/drawing/2015/06/chart">
            <c:ext xmlns:c16="http://schemas.microsoft.com/office/drawing/2014/chart" uri="{C3380CC4-5D6E-409C-BE32-E72D297353CC}">
              <c16:uniqueId val="{00000002-9F53-47E6-A9CA-44A4991E589E}"/>
            </c:ext>
          </c:extLst>
        </c:ser>
        <c:dLbls>
          <c:showLegendKey val="0"/>
          <c:showVal val="0"/>
          <c:showCatName val="0"/>
          <c:showSerName val="0"/>
          <c:showPercent val="0"/>
          <c:showBubbleSize val="0"/>
        </c:dLbls>
        <c:axId val="613836760"/>
        <c:axId val="613837936"/>
      </c:scatterChart>
      <c:valAx>
        <c:axId val="6138367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a:t>
                </a:r>
                <a:r>
                  <a:rPr lang="en-US" baseline="0"/>
                  <a:t> p</a:t>
                </a:r>
                <a:r>
                  <a:rPr lang="en-US"/>
                  <a:t>lanting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3837936"/>
        <c:crosses val="autoZero"/>
        <c:crossBetween val="midCat"/>
      </c:valAx>
      <c:valAx>
        <c:axId val="61383793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Seeds Germinated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3836760"/>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'Corn Biomass'!$AA$17</c:f>
              <c:strCache>
                <c:ptCount val="1"/>
                <c:pt idx="0">
                  <c:v>Roots</c:v>
                </c:pt>
              </c:strCache>
            </c:strRef>
          </c:tx>
          <c:spPr>
            <a:solidFill>
              <a:schemeClr val="accent1"/>
            </a:solidFill>
            <a:ln>
              <a:noFill/>
            </a:ln>
            <a:effectLst/>
          </c:spPr>
          <c:invertIfNegative val="0"/>
          <c:cat>
            <c:strRef>
              <c:f>'Corn Biomass'!$Z$18:$Z$29</c:f>
              <c:strCache>
                <c:ptCount val="12"/>
                <c:pt idx="0">
                  <c:v>CG2a</c:v>
                </c:pt>
                <c:pt idx="1">
                  <c:v>CG3a</c:v>
                </c:pt>
                <c:pt idx="2">
                  <c:v>CG4a</c:v>
                </c:pt>
                <c:pt idx="3">
                  <c:v>CG3b</c:v>
                </c:pt>
                <c:pt idx="4">
                  <c:v>CG2c</c:v>
                </c:pt>
                <c:pt idx="5">
                  <c:v>CG3c</c:v>
                </c:pt>
                <c:pt idx="6">
                  <c:v>CM1a</c:v>
                </c:pt>
                <c:pt idx="7">
                  <c:v>CM1b</c:v>
                </c:pt>
                <c:pt idx="8">
                  <c:v>CM2b</c:v>
                </c:pt>
                <c:pt idx="9">
                  <c:v>CM4b</c:v>
                </c:pt>
                <c:pt idx="10">
                  <c:v>CM1c</c:v>
                </c:pt>
                <c:pt idx="11">
                  <c:v>CM4c</c:v>
                </c:pt>
              </c:strCache>
            </c:strRef>
          </c:cat>
          <c:val>
            <c:numRef>
              <c:f>'Corn Biomass'!$AA$18:$AA$29</c:f>
              <c:numCache>
                <c:formatCode>General</c:formatCode>
                <c:ptCount val="12"/>
                <c:pt idx="0">
                  <c:v>13.965699999999998</c:v>
                </c:pt>
                <c:pt idx="1">
                  <c:v>10.6152</c:v>
                </c:pt>
                <c:pt idx="2">
                  <c:v>16.251300000000001</c:v>
                </c:pt>
                <c:pt idx="3">
                  <c:v>11.518799999999999</c:v>
                </c:pt>
                <c:pt idx="4">
                  <c:v>10.758900000000001</c:v>
                </c:pt>
                <c:pt idx="5">
                  <c:v>11.1648</c:v>
                </c:pt>
                <c:pt idx="6">
                  <c:v>8.3478999999999992</c:v>
                </c:pt>
                <c:pt idx="7">
                  <c:v>10.4817</c:v>
                </c:pt>
                <c:pt idx="8">
                  <c:v>16.311199999999999</c:v>
                </c:pt>
                <c:pt idx="9">
                  <c:v>15.286799999999999</c:v>
                </c:pt>
                <c:pt idx="10">
                  <c:v>5.8433000000000002</c:v>
                </c:pt>
                <c:pt idx="11">
                  <c:v>12.3552</c:v>
                </c:pt>
              </c:numCache>
            </c:numRef>
          </c:val>
          <c:extLst xmlns:c16r2="http://schemas.microsoft.com/office/drawing/2015/06/chart">
            <c:ext xmlns:c16="http://schemas.microsoft.com/office/drawing/2014/chart" uri="{C3380CC4-5D6E-409C-BE32-E72D297353CC}">
              <c16:uniqueId val="{00000000-F05F-468A-BA30-E82391C438FE}"/>
            </c:ext>
          </c:extLst>
        </c:ser>
        <c:ser>
          <c:idx val="1"/>
          <c:order val="1"/>
          <c:tx>
            <c:strRef>
              <c:f>'Corn Biomass'!$AB$17</c:f>
              <c:strCache>
                <c:ptCount val="1"/>
                <c:pt idx="0">
                  <c:v>Stalk</c:v>
                </c:pt>
              </c:strCache>
            </c:strRef>
          </c:tx>
          <c:spPr>
            <a:solidFill>
              <a:schemeClr val="accent2"/>
            </a:solidFill>
            <a:ln>
              <a:noFill/>
            </a:ln>
            <a:effectLst/>
          </c:spPr>
          <c:invertIfNegative val="0"/>
          <c:cat>
            <c:strRef>
              <c:f>'Corn Biomass'!$Z$18:$Z$29</c:f>
              <c:strCache>
                <c:ptCount val="12"/>
                <c:pt idx="0">
                  <c:v>CG2a</c:v>
                </c:pt>
                <c:pt idx="1">
                  <c:v>CG3a</c:v>
                </c:pt>
                <c:pt idx="2">
                  <c:v>CG4a</c:v>
                </c:pt>
                <c:pt idx="3">
                  <c:v>CG3b</c:v>
                </c:pt>
                <c:pt idx="4">
                  <c:v>CG2c</c:v>
                </c:pt>
                <c:pt idx="5">
                  <c:v>CG3c</c:v>
                </c:pt>
                <c:pt idx="6">
                  <c:v>CM1a</c:v>
                </c:pt>
                <c:pt idx="7">
                  <c:v>CM1b</c:v>
                </c:pt>
                <c:pt idx="8">
                  <c:v>CM2b</c:v>
                </c:pt>
                <c:pt idx="9">
                  <c:v>CM4b</c:v>
                </c:pt>
                <c:pt idx="10">
                  <c:v>CM1c</c:v>
                </c:pt>
                <c:pt idx="11">
                  <c:v>CM4c</c:v>
                </c:pt>
              </c:strCache>
            </c:strRef>
          </c:cat>
          <c:val>
            <c:numRef>
              <c:f>'Corn Biomass'!$AB$18:$AB$29</c:f>
              <c:numCache>
                <c:formatCode>General</c:formatCode>
                <c:ptCount val="12"/>
                <c:pt idx="0">
                  <c:v>27.964700000000001</c:v>
                </c:pt>
                <c:pt idx="1">
                  <c:v>23.4968</c:v>
                </c:pt>
                <c:pt idx="2">
                  <c:v>30.105399999999999</c:v>
                </c:pt>
                <c:pt idx="3">
                  <c:v>26.636099999999999</c:v>
                </c:pt>
                <c:pt idx="4">
                  <c:v>30.5152</c:v>
                </c:pt>
                <c:pt idx="5">
                  <c:v>33.377800000000001</c:v>
                </c:pt>
                <c:pt idx="6">
                  <c:v>18.899199999999997</c:v>
                </c:pt>
                <c:pt idx="7">
                  <c:v>23.0396</c:v>
                </c:pt>
                <c:pt idx="8">
                  <c:v>41.051900000000003</c:v>
                </c:pt>
                <c:pt idx="9">
                  <c:v>30.936300000000003</c:v>
                </c:pt>
                <c:pt idx="10">
                  <c:v>10.893699999999999</c:v>
                </c:pt>
                <c:pt idx="11">
                  <c:v>25.258300000000002</c:v>
                </c:pt>
              </c:numCache>
            </c:numRef>
          </c:val>
          <c:extLst xmlns:c16r2="http://schemas.microsoft.com/office/drawing/2015/06/chart">
            <c:ext xmlns:c16="http://schemas.microsoft.com/office/drawing/2014/chart" uri="{C3380CC4-5D6E-409C-BE32-E72D297353CC}">
              <c16:uniqueId val="{00000001-F05F-468A-BA30-E82391C438FE}"/>
            </c:ext>
          </c:extLst>
        </c:ser>
        <c:ser>
          <c:idx val="2"/>
          <c:order val="2"/>
          <c:tx>
            <c:strRef>
              <c:f>'Corn Biomass'!$AC$17</c:f>
              <c:strCache>
                <c:ptCount val="1"/>
                <c:pt idx="0">
                  <c:v>Leaves</c:v>
                </c:pt>
              </c:strCache>
            </c:strRef>
          </c:tx>
          <c:spPr>
            <a:solidFill>
              <a:schemeClr val="accent3"/>
            </a:solidFill>
            <a:ln>
              <a:noFill/>
            </a:ln>
            <a:effectLst/>
          </c:spPr>
          <c:invertIfNegative val="0"/>
          <c:cat>
            <c:strRef>
              <c:f>'Corn Biomass'!$Z$18:$Z$29</c:f>
              <c:strCache>
                <c:ptCount val="12"/>
                <c:pt idx="0">
                  <c:v>CG2a</c:v>
                </c:pt>
                <c:pt idx="1">
                  <c:v>CG3a</c:v>
                </c:pt>
                <c:pt idx="2">
                  <c:v>CG4a</c:v>
                </c:pt>
                <c:pt idx="3">
                  <c:v>CG3b</c:v>
                </c:pt>
                <c:pt idx="4">
                  <c:v>CG2c</c:v>
                </c:pt>
                <c:pt idx="5">
                  <c:v>CG3c</c:v>
                </c:pt>
                <c:pt idx="6">
                  <c:v>CM1a</c:v>
                </c:pt>
                <c:pt idx="7">
                  <c:v>CM1b</c:v>
                </c:pt>
                <c:pt idx="8">
                  <c:v>CM2b</c:v>
                </c:pt>
                <c:pt idx="9">
                  <c:v>CM4b</c:v>
                </c:pt>
                <c:pt idx="10">
                  <c:v>CM1c</c:v>
                </c:pt>
                <c:pt idx="11">
                  <c:v>CM4c</c:v>
                </c:pt>
              </c:strCache>
            </c:strRef>
          </c:cat>
          <c:val>
            <c:numRef>
              <c:f>'Corn Biomass'!$AC$18:$AC$29</c:f>
              <c:numCache>
                <c:formatCode>General</c:formatCode>
                <c:ptCount val="12"/>
                <c:pt idx="0">
                  <c:v>25.093</c:v>
                </c:pt>
                <c:pt idx="1">
                  <c:v>19.879800000000003</c:v>
                </c:pt>
                <c:pt idx="2">
                  <c:v>25.220000000000002</c:v>
                </c:pt>
                <c:pt idx="3">
                  <c:v>23.764600000000002</c:v>
                </c:pt>
                <c:pt idx="4">
                  <c:v>22.707900000000002</c:v>
                </c:pt>
                <c:pt idx="5">
                  <c:v>17.522199999999998</c:v>
                </c:pt>
                <c:pt idx="6">
                  <c:v>12.6121</c:v>
                </c:pt>
                <c:pt idx="7">
                  <c:v>17.516999999999999</c:v>
                </c:pt>
                <c:pt idx="8">
                  <c:v>26.808499999999995</c:v>
                </c:pt>
                <c:pt idx="9">
                  <c:v>32.226799999999997</c:v>
                </c:pt>
                <c:pt idx="10">
                  <c:v>8.1364000000000001</c:v>
                </c:pt>
                <c:pt idx="11">
                  <c:v>16.317900000000002</c:v>
                </c:pt>
              </c:numCache>
            </c:numRef>
          </c:val>
          <c:extLst xmlns:c16r2="http://schemas.microsoft.com/office/drawing/2015/06/chart">
            <c:ext xmlns:c16="http://schemas.microsoft.com/office/drawing/2014/chart" uri="{C3380CC4-5D6E-409C-BE32-E72D297353CC}">
              <c16:uniqueId val="{00000002-F05F-468A-BA30-E82391C438FE}"/>
            </c:ext>
          </c:extLst>
        </c:ser>
        <c:ser>
          <c:idx val="3"/>
          <c:order val="3"/>
          <c:tx>
            <c:strRef>
              <c:f>'Corn Biomass'!$AD$17</c:f>
              <c:strCache>
                <c:ptCount val="1"/>
                <c:pt idx="0">
                  <c:v>Husk</c:v>
                </c:pt>
              </c:strCache>
            </c:strRef>
          </c:tx>
          <c:spPr>
            <a:solidFill>
              <a:schemeClr val="accent4"/>
            </a:solidFill>
            <a:ln>
              <a:noFill/>
            </a:ln>
            <a:effectLst/>
          </c:spPr>
          <c:invertIfNegative val="0"/>
          <c:cat>
            <c:strRef>
              <c:f>'Corn Biomass'!$Z$18:$Z$29</c:f>
              <c:strCache>
                <c:ptCount val="12"/>
                <c:pt idx="0">
                  <c:v>CG2a</c:v>
                </c:pt>
                <c:pt idx="1">
                  <c:v>CG3a</c:v>
                </c:pt>
                <c:pt idx="2">
                  <c:v>CG4a</c:v>
                </c:pt>
                <c:pt idx="3">
                  <c:v>CG3b</c:v>
                </c:pt>
                <c:pt idx="4">
                  <c:v>CG2c</c:v>
                </c:pt>
                <c:pt idx="5">
                  <c:v>CG3c</c:v>
                </c:pt>
                <c:pt idx="6">
                  <c:v>CM1a</c:v>
                </c:pt>
                <c:pt idx="7">
                  <c:v>CM1b</c:v>
                </c:pt>
                <c:pt idx="8">
                  <c:v>CM2b</c:v>
                </c:pt>
                <c:pt idx="9">
                  <c:v>CM4b</c:v>
                </c:pt>
                <c:pt idx="10">
                  <c:v>CM1c</c:v>
                </c:pt>
                <c:pt idx="11">
                  <c:v>CM4c</c:v>
                </c:pt>
              </c:strCache>
            </c:strRef>
          </c:cat>
          <c:val>
            <c:numRef>
              <c:f>'Corn Biomass'!$AD$18:$AD$29</c:f>
              <c:numCache>
                <c:formatCode>General</c:formatCode>
                <c:ptCount val="12"/>
                <c:pt idx="0">
                  <c:v>2.2099000000000002</c:v>
                </c:pt>
                <c:pt idx="1">
                  <c:v>5.7364999999999995</c:v>
                </c:pt>
                <c:pt idx="2">
                  <c:v>4.2513000000000005</c:v>
                </c:pt>
                <c:pt idx="3">
                  <c:v>5.8630000000000004</c:v>
                </c:pt>
                <c:pt idx="4">
                  <c:v>2.2360000000000002</c:v>
                </c:pt>
                <c:pt idx="5">
                  <c:v>2.7978999999999998</c:v>
                </c:pt>
                <c:pt idx="6">
                  <c:v>3.5308000000000002</c:v>
                </c:pt>
                <c:pt idx="7">
                  <c:v>3.4779</c:v>
                </c:pt>
                <c:pt idx="8">
                  <c:v>5.9384999999999994</c:v>
                </c:pt>
                <c:pt idx="9">
                  <c:v>10.520200000000003</c:v>
                </c:pt>
                <c:pt idx="10">
                  <c:v>1.3816000000000002</c:v>
                </c:pt>
                <c:pt idx="11">
                  <c:v>5.2888000000000011</c:v>
                </c:pt>
              </c:numCache>
            </c:numRef>
          </c:val>
          <c:extLst xmlns:c16r2="http://schemas.microsoft.com/office/drawing/2015/06/chart">
            <c:ext xmlns:c16="http://schemas.microsoft.com/office/drawing/2014/chart" uri="{C3380CC4-5D6E-409C-BE32-E72D297353CC}">
              <c16:uniqueId val="{00000003-F05F-468A-BA30-E82391C438FE}"/>
            </c:ext>
          </c:extLst>
        </c:ser>
        <c:ser>
          <c:idx val="4"/>
          <c:order val="4"/>
          <c:tx>
            <c:strRef>
              <c:f>'Corn Biomass'!$AE$17</c:f>
              <c:strCache>
                <c:ptCount val="1"/>
                <c:pt idx="0">
                  <c:v>Cob</c:v>
                </c:pt>
              </c:strCache>
            </c:strRef>
          </c:tx>
          <c:spPr>
            <a:solidFill>
              <a:schemeClr val="accent5"/>
            </a:solidFill>
            <a:ln>
              <a:noFill/>
            </a:ln>
            <a:effectLst/>
          </c:spPr>
          <c:invertIfNegative val="0"/>
          <c:cat>
            <c:strRef>
              <c:f>'Corn Biomass'!$Z$18:$Z$29</c:f>
              <c:strCache>
                <c:ptCount val="12"/>
                <c:pt idx="0">
                  <c:v>CG2a</c:v>
                </c:pt>
                <c:pt idx="1">
                  <c:v>CG3a</c:v>
                </c:pt>
                <c:pt idx="2">
                  <c:v>CG4a</c:v>
                </c:pt>
                <c:pt idx="3">
                  <c:v>CG3b</c:v>
                </c:pt>
                <c:pt idx="4">
                  <c:v>CG2c</c:v>
                </c:pt>
                <c:pt idx="5">
                  <c:v>CG3c</c:v>
                </c:pt>
                <c:pt idx="6">
                  <c:v>CM1a</c:v>
                </c:pt>
                <c:pt idx="7">
                  <c:v>CM1b</c:v>
                </c:pt>
                <c:pt idx="8">
                  <c:v>CM2b</c:v>
                </c:pt>
                <c:pt idx="9">
                  <c:v>CM4b</c:v>
                </c:pt>
                <c:pt idx="10">
                  <c:v>CM1c</c:v>
                </c:pt>
                <c:pt idx="11">
                  <c:v>CM4c</c:v>
                </c:pt>
              </c:strCache>
            </c:strRef>
          </c:cat>
          <c:val>
            <c:numRef>
              <c:f>'Corn Biomass'!$AE$18:$AE$29</c:f>
              <c:numCache>
                <c:formatCode>General</c:formatCode>
                <c:ptCount val="12"/>
                <c:pt idx="0">
                  <c:v>0.70599999999999996</c:v>
                </c:pt>
                <c:pt idx="1">
                  <c:v>1.4525000000000001</c:v>
                </c:pt>
                <c:pt idx="2">
                  <c:v>1.8041999999999998</c:v>
                </c:pt>
                <c:pt idx="3">
                  <c:v>2.2114000000000003</c:v>
                </c:pt>
                <c:pt idx="4">
                  <c:v>0.48409999999999975</c:v>
                </c:pt>
                <c:pt idx="5">
                  <c:v>2.4475000000000002</c:v>
                </c:pt>
                <c:pt idx="6">
                  <c:v>1.0895999999999999</c:v>
                </c:pt>
                <c:pt idx="7">
                  <c:v>2.8911000000000002</c:v>
                </c:pt>
                <c:pt idx="8">
                  <c:v>4.3941999999999997</c:v>
                </c:pt>
                <c:pt idx="9">
                  <c:v>2.1618000000000004</c:v>
                </c:pt>
                <c:pt idx="10">
                  <c:v>5.6311</c:v>
                </c:pt>
                <c:pt idx="11">
                  <c:v>3.6145000000000005</c:v>
                </c:pt>
              </c:numCache>
            </c:numRef>
          </c:val>
          <c:extLst xmlns:c16r2="http://schemas.microsoft.com/office/drawing/2015/06/chart">
            <c:ext xmlns:c16="http://schemas.microsoft.com/office/drawing/2014/chart" uri="{C3380CC4-5D6E-409C-BE32-E72D297353CC}">
              <c16:uniqueId val="{00000004-F05F-468A-BA30-E82391C438FE}"/>
            </c:ext>
          </c:extLst>
        </c:ser>
        <c:ser>
          <c:idx val="5"/>
          <c:order val="5"/>
          <c:tx>
            <c:strRef>
              <c:f>'Corn Biomass'!$AF$17</c:f>
              <c:strCache>
                <c:ptCount val="1"/>
                <c:pt idx="0">
                  <c:v>Grain</c:v>
                </c:pt>
              </c:strCache>
            </c:strRef>
          </c:tx>
          <c:spPr>
            <a:solidFill>
              <a:schemeClr val="accent6"/>
            </a:solidFill>
            <a:ln>
              <a:noFill/>
            </a:ln>
            <a:effectLst/>
          </c:spPr>
          <c:invertIfNegative val="0"/>
          <c:cat>
            <c:strRef>
              <c:f>'Corn Biomass'!$Z$18:$Z$29</c:f>
              <c:strCache>
                <c:ptCount val="12"/>
                <c:pt idx="0">
                  <c:v>CG2a</c:v>
                </c:pt>
                <c:pt idx="1">
                  <c:v>CG3a</c:v>
                </c:pt>
                <c:pt idx="2">
                  <c:v>CG4a</c:v>
                </c:pt>
                <c:pt idx="3">
                  <c:v>CG3b</c:v>
                </c:pt>
                <c:pt idx="4">
                  <c:v>CG2c</c:v>
                </c:pt>
                <c:pt idx="5">
                  <c:v>CG3c</c:v>
                </c:pt>
                <c:pt idx="6">
                  <c:v>CM1a</c:v>
                </c:pt>
                <c:pt idx="7">
                  <c:v>CM1b</c:v>
                </c:pt>
                <c:pt idx="8">
                  <c:v>CM2b</c:v>
                </c:pt>
                <c:pt idx="9">
                  <c:v>CM4b</c:v>
                </c:pt>
                <c:pt idx="10">
                  <c:v>CM1c</c:v>
                </c:pt>
                <c:pt idx="11">
                  <c:v>CM4c</c:v>
                </c:pt>
              </c:strCache>
            </c:strRef>
          </c:cat>
          <c:val>
            <c:numRef>
              <c:f>'Corn Biomass'!$AF$18:$AF$29</c:f>
              <c:numCache>
                <c:formatCode>General</c:formatCode>
                <c:ptCount val="12"/>
                <c:pt idx="0">
                  <c:v>1.5827999999999998</c:v>
                </c:pt>
                <c:pt idx="1">
                  <c:v>1.7667000000000002</c:v>
                </c:pt>
                <c:pt idx="2">
                  <c:v>2.6095999999999999</c:v>
                </c:pt>
                <c:pt idx="3">
                  <c:v>7.6480999999999995</c:v>
                </c:pt>
                <c:pt idx="4">
                  <c:v>1.5219999999999998</c:v>
                </c:pt>
                <c:pt idx="5">
                  <c:v>3.3289999999999997</c:v>
                </c:pt>
                <c:pt idx="6">
                  <c:v>1.5417000000000001</c:v>
                </c:pt>
                <c:pt idx="7">
                  <c:v>2.5624000000000002</c:v>
                </c:pt>
                <c:pt idx="8">
                  <c:v>4.8458000000000006</c:v>
                </c:pt>
                <c:pt idx="9">
                  <c:v>2.8600000000000003</c:v>
                </c:pt>
                <c:pt idx="10">
                  <c:v>16.815799999999999</c:v>
                </c:pt>
                <c:pt idx="11">
                  <c:v>9.2629999999999999</c:v>
                </c:pt>
              </c:numCache>
            </c:numRef>
          </c:val>
          <c:extLst xmlns:c16r2="http://schemas.microsoft.com/office/drawing/2015/06/chart">
            <c:ext xmlns:c16="http://schemas.microsoft.com/office/drawing/2014/chart" uri="{C3380CC4-5D6E-409C-BE32-E72D297353CC}">
              <c16:uniqueId val="{00000005-F05F-468A-BA30-E82391C438FE}"/>
            </c:ext>
          </c:extLst>
        </c:ser>
        <c:ser>
          <c:idx val="6"/>
          <c:order val="6"/>
          <c:tx>
            <c:strRef>
              <c:f>'Corn Biomass'!$AG$17</c:f>
              <c:strCache>
                <c:ptCount val="1"/>
                <c:pt idx="0">
                  <c:v>Tassel</c:v>
                </c:pt>
              </c:strCache>
            </c:strRef>
          </c:tx>
          <c:spPr>
            <a:solidFill>
              <a:schemeClr val="accent1">
                <a:lumMod val="60000"/>
              </a:schemeClr>
            </a:solidFill>
            <a:ln>
              <a:noFill/>
            </a:ln>
            <a:effectLst/>
          </c:spPr>
          <c:invertIfNegative val="0"/>
          <c:cat>
            <c:strRef>
              <c:f>'Corn Biomass'!$Z$18:$Z$29</c:f>
              <c:strCache>
                <c:ptCount val="12"/>
                <c:pt idx="0">
                  <c:v>CG2a</c:v>
                </c:pt>
                <c:pt idx="1">
                  <c:v>CG3a</c:v>
                </c:pt>
                <c:pt idx="2">
                  <c:v>CG4a</c:v>
                </c:pt>
                <c:pt idx="3">
                  <c:v>CG3b</c:v>
                </c:pt>
                <c:pt idx="4">
                  <c:v>CG2c</c:v>
                </c:pt>
                <c:pt idx="5">
                  <c:v>CG3c</c:v>
                </c:pt>
                <c:pt idx="6">
                  <c:v>CM1a</c:v>
                </c:pt>
                <c:pt idx="7">
                  <c:v>CM1b</c:v>
                </c:pt>
                <c:pt idx="8">
                  <c:v>CM2b</c:v>
                </c:pt>
                <c:pt idx="9">
                  <c:v>CM4b</c:v>
                </c:pt>
                <c:pt idx="10">
                  <c:v>CM1c</c:v>
                </c:pt>
                <c:pt idx="11">
                  <c:v>CM4c</c:v>
                </c:pt>
              </c:strCache>
            </c:strRef>
          </c:cat>
          <c:val>
            <c:numRef>
              <c:f>'Corn Biomass'!$AG$18:$AG$29</c:f>
              <c:numCache>
                <c:formatCode>General</c:formatCode>
                <c:ptCount val="12"/>
                <c:pt idx="0">
                  <c:v>2.0048999999999997</c:v>
                </c:pt>
                <c:pt idx="1">
                  <c:v>1.0430999999999999</c:v>
                </c:pt>
                <c:pt idx="2">
                  <c:v>3.0701000000000001</c:v>
                </c:pt>
                <c:pt idx="3">
                  <c:v>0.75629999999999997</c:v>
                </c:pt>
                <c:pt idx="4">
                  <c:v>2.2442999999999995</c:v>
                </c:pt>
                <c:pt idx="5">
                  <c:v>1.4838</c:v>
                </c:pt>
                <c:pt idx="6">
                  <c:v>0.55819999999999981</c:v>
                </c:pt>
                <c:pt idx="7">
                  <c:v>1.5466000000000002</c:v>
                </c:pt>
                <c:pt idx="8">
                  <c:v>2.0066000000000002</c:v>
                </c:pt>
                <c:pt idx="9">
                  <c:v>1.0848</c:v>
                </c:pt>
                <c:pt idx="10">
                  <c:v>0.61459999999999981</c:v>
                </c:pt>
                <c:pt idx="11">
                  <c:v>1.3401000000000001</c:v>
                </c:pt>
              </c:numCache>
            </c:numRef>
          </c:val>
          <c:extLst xmlns:c16r2="http://schemas.microsoft.com/office/drawing/2015/06/chart">
            <c:ext xmlns:c16="http://schemas.microsoft.com/office/drawing/2014/chart" uri="{C3380CC4-5D6E-409C-BE32-E72D297353CC}">
              <c16:uniqueId val="{00000006-F05F-468A-BA30-E82391C438FE}"/>
            </c:ext>
          </c:extLst>
        </c:ser>
        <c:dLbls>
          <c:showLegendKey val="0"/>
          <c:showVal val="0"/>
          <c:showCatName val="0"/>
          <c:showSerName val="0"/>
          <c:showPercent val="0"/>
          <c:showBubbleSize val="0"/>
        </c:dLbls>
        <c:gapWidth val="150"/>
        <c:overlap val="100"/>
        <c:axId val="626404880"/>
        <c:axId val="626402920"/>
      </c:barChart>
      <c:catAx>
        <c:axId val="62640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402920"/>
        <c:crosses val="autoZero"/>
        <c:auto val="1"/>
        <c:lblAlgn val="ctr"/>
        <c:lblOffset val="100"/>
        <c:noMultiLvlLbl val="0"/>
      </c:catAx>
      <c:valAx>
        <c:axId val="626402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Biomass (g)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404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'Sorghum Biomass'!$T$2</c:f>
              <c:strCache>
                <c:ptCount val="1"/>
                <c:pt idx="0">
                  <c:v>Roots</c:v>
                </c:pt>
              </c:strCache>
            </c:strRef>
          </c:tx>
          <c:spPr>
            <a:solidFill>
              <a:schemeClr val="accent1"/>
            </a:solidFill>
            <a:ln>
              <a:noFill/>
            </a:ln>
            <a:effectLst/>
          </c:spPr>
          <c:invertIfNegative val="0"/>
          <c:cat>
            <c:strRef>
              <c:f>'Sorghum Biomass'!$S$3:$S$14</c:f>
              <c:strCache>
                <c:ptCount val="12"/>
                <c:pt idx="0">
                  <c:v>SG1a</c:v>
                </c:pt>
                <c:pt idx="1">
                  <c:v>SG2a</c:v>
                </c:pt>
                <c:pt idx="2">
                  <c:v>SG3b</c:v>
                </c:pt>
                <c:pt idx="3">
                  <c:v>SG4b</c:v>
                </c:pt>
                <c:pt idx="4">
                  <c:v>SG1c</c:v>
                </c:pt>
                <c:pt idx="5">
                  <c:v>SG4c</c:v>
                </c:pt>
                <c:pt idx="6">
                  <c:v>SM3a</c:v>
                </c:pt>
                <c:pt idx="7">
                  <c:v>SM4a</c:v>
                </c:pt>
                <c:pt idx="8">
                  <c:v>SM1b</c:v>
                </c:pt>
                <c:pt idx="9">
                  <c:v>SM2b</c:v>
                </c:pt>
                <c:pt idx="10">
                  <c:v>SM2c</c:v>
                </c:pt>
                <c:pt idx="11">
                  <c:v>SM3c</c:v>
                </c:pt>
              </c:strCache>
            </c:strRef>
          </c:cat>
          <c:val>
            <c:numRef>
              <c:f>'Sorghum Biomass'!$T$3:$T$14</c:f>
              <c:numCache>
                <c:formatCode>General</c:formatCode>
                <c:ptCount val="12"/>
                <c:pt idx="0">
                  <c:v>9.9604999999999997</c:v>
                </c:pt>
                <c:pt idx="1">
                  <c:v>8.6895000000000007</c:v>
                </c:pt>
                <c:pt idx="2">
                  <c:v>8.2826000000000004</c:v>
                </c:pt>
                <c:pt idx="3">
                  <c:v>10.4605</c:v>
                </c:pt>
                <c:pt idx="4">
                  <c:v>6.8771000000000004</c:v>
                </c:pt>
                <c:pt idx="5">
                  <c:v>13.525</c:v>
                </c:pt>
                <c:pt idx="6">
                  <c:v>4.8315999999999999</c:v>
                </c:pt>
                <c:pt idx="7">
                  <c:v>8.4194000000000013</c:v>
                </c:pt>
                <c:pt idx="8">
                  <c:v>6.0043000000000006</c:v>
                </c:pt>
                <c:pt idx="9">
                  <c:v>5.5355999999999996</c:v>
                </c:pt>
                <c:pt idx="10">
                  <c:v>5.8936000000000011</c:v>
                </c:pt>
                <c:pt idx="11">
                  <c:v>6.3139000000000003</c:v>
                </c:pt>
              </c:numCache>
            </c:numRef>
          </c:val>
          <c:extLst xmlns:c16r2="http://schemas.microsoft.com/office/drawing/2015/06/chart">
            <c:ext xmlns:c16="http://schemas.microsoft.com/office/drawing/2014/chart" uri="{C3380CC4-5D6E-409C-BE32-E72D297353CC}">
              <c16:uniqueId val="{00000000-CC24-4284-B38D-EA143DCF0A7D}"/>
            </c:ext>
          </c:extLst>
        </c:ser>
        <c:ser>
          <c:idx val="1"/>
          <c:order val="1"/>
          <c:tx>
            <c:strRef>
              <c:f>'Sorghum Biomass'!$U$2</c:f>
              <c:strCache>
                <c:ptCount val="1"/>
                <c:pt idx="0">
                  <c:v>Stalk</c:v>
                </c:pt>
              </c:strCache>
            </c:strRef>
          </c:tx>
          <c:spPr>
            <a:solidFill>
              <a:schemeClr val="accent2"/>
            </a:solidFill>
            <a:ln>
              <a:noFill/>
            </a:ln>
            <a:effectLst/>
          </c:spPr>
          <c:invertIfNegative val="0"/>
          <c:cat>
            <c:strRef>
              <c:f>'Sorghum Biomass'!$S$3:$S$14</c:f>
              <c:strCache>
                <c:ptCount val="12"/>
                <c:pt idx="0">
                  <c:v>SG1a</c:v>
                </c:pt>
                <c:pt idx="1">
                  <c:v>SG2a</c:v>
                </c:pt>
                <c:pt idx="2">
                  <c:v>SG3b</c:v>
                </c:pt>
                <c:pt idx="3">
                  <c:v>SG4b</c:v>
                </c:pt>
                <c:pt idx="4">
                  <c:v>SG1c</c:v>
                </c:pt>
                <c:pt idx="5">
                  <c:v>SG4c</c:v>
                </c:pt>
                <c:pt idx="6">
                  <c:v>SM3a</c:v>
                </c:pt>
                <c:pt idx="7">
                  <c:v>SM4a</c:v>
                </c:pt>
                <c:pt idx="8">
                  <c:v>SM1b</c:v>
                </c:pt>
                <c:pt idx="9">
                  <c:v>SM2b</c:v>
                </c:pt>
                <c:pt idx="10">
                  <c:v>SM2c</c:v>
                </c:pt>
                <c:pt idx="11">
                  <c:v>SM3c</c:v>
                </c:pt>
              </c:strCache>
            </c:strRef>
          </c:cat>
          <c:val>
            <c:numRef>
              <c:f>'Sorghum Biomass'!$U$3:$U$14</c:f>
              <c:numCache>
                <c:formatCode>General</c:formatCode>
                <c:ptCount val="12"/>
                <c:pt idx="0">
                  <c:v>20.02</c:v>
                </c:pt>
                <c:pt idx="1">
                  <c:v>11.3161</c:v>
                </c:pt>
                <c:pt idx="2">
                  <c:v>25.604199999999999</c:v>
                </c:pt>
                <c:pt idx="3">
                  <c:v>23.3278</c:v>
                </c:pt>
                <c:pt idx="4">
                  <c:v>17.1708</c:v>
                </c:pt>
                <c:pt idx="5">
                  <c:v>30.442299999999996</c:v>
                </c:pt>
                <c:pt idx="6">
                  <c:v>11.575099999999999</c:v>
                </c:pt>
                <c:pt idx="7">
                  <c:v>20.619600000000002</c:v>
                </c:pt>
                <c:pt idx="8">
                  <c:v>15.371299999999998</c:v>
                </c:pt>
                <c:pt idx="9">
                  <c:v>14.7285</c:v>
                </c:pt>
                <c:pt idx="10">
                  <c:v>13.997499999999999</c:v>
                </c:pt>
                <c:pt idx="11">
                  <c:v>16.6541</c:v>
                </c:pt>
              </c:numCache>
            </c:numRef>
          </c:val>
          <c:extLst xmlns:c16r2="http://schemas.microsoft.com/office/drawing/2015/06/chart">
            <c:ext xmlns:c16="http://schemas.microsoft.com/office/drawing/2014/chart" uri="{C3380CC4-5D6E-409C-BE32-E72D297353CC}">
              <c16:uniqueId val="{00000001-CC24-4284-B38D-EA143DCF0A7D}"/>
            </c:ext>
          </c:extLst>
        </c:ser>
        <c:ser>
          <c:idx val="2"/>
          <c:order val="2"/>
          <c:tx>
            <c:strRef>
              <c:f>'Sorghum Biomass'!$V$2</c:f>
              <c:strCache>
                <c:ptCount val="1"/>
                <c:pt idx="0">
                  <c:v>Leaves</c:v>
                </c:pt>
              </c:strCache>
            </c:strRef>
          </c:tx>
          <c:spPr>
            <a:solidFill>
              <a:schemeClr val="accent3"/>
            </a:solidFill>
            <a:ln>
              <a:noFill/>
            </a:ln>
            <a:effectLst/>
          </c:spPr>
          <c:invertIfNegative val="0"/>
          <c:cat>
            <c:strRef>
              <c:f>'Sorghum Biomass'!$S$3:$S$14</c:f>
              <c:strCache>
                <c:ptCount val="12"/>
                <c:pt idx="0">
                  <c:v>SG1a</c:v>
                </c:pt>
                <c:pt idx="1">
                  <c:v>SG2a</c:v>
                </c:pt>
                <c:pt idx="2">
                  <c:v>SG3b</c:v>
                </c:pt>
                <c:pt idx="3">
                  <c:v>SG4b</c:v>
                </c:pt>
                <c:pt idx="4">
                  <c:v>SG1c</c:v>
                </c:pt>
                <c:pt idx="5">
                  <c:v>SG4c</c:v>
                </c:pt>
                <c:pt idx="6">
                  <c:v>SM3a</c:v>
                </c:pt>
                <c:pt idx="7">
                  <c:v>SM4a</c:v>
                </c:pt>
                <c:pt idx="8">
                  <c:v>SM1b</c:v>
                </c:pt>
                <c:pt idx="9">
                  <c:v>SM2b</c:v>
                </c:pt>
                <c:pt idx="10">
                  <c:v>SM2c</c:v>
                </c:pt>
                <c:pt idx="11">
                  <c:v>SM3c</c:v>
                </c:pt>
              </c:strCache>
            </c:strRef>
          </c:cat>
          <c:val>
            <c:numRef>
              <c:f>'Sorghum Biomass'!$V$3:$V$14</c:f>
              <c:numCache>
                <c:formatCode>General</c:formatCode>
                <c:ptCount val="12"/>
                <c:pt idx="0">
                  <c:v>19.693200000000001</c:v>
                </c:pt>
                <c:pt idx="1">
                  <c:v>7.446699999999999</c:v>
                </c:pt>
                <c:pt idx="2">
                  <c:v>17.5398</c:v>
                </c:pt>
                <c:pt idx="3">
                  <c:v>12.368399999999999</c:v>
                </c:pt>
                <c:pt idx="4">
                  <c:v>6.9557000000000002</c:v>
                </c:pt>
                <c:pt idx="5">
                  <c:v>19.950600000000001</c:v>
                </c:pt>
                <c:pt idx="6">
                  <c:v>6.3315000000000001</c:v>
                </c:pt>
                <c:pt idx="7">
                  <c:v>14.592400000000001</c:v>
                </c:pt>
                <c:pt idx="8">
                  <c:v>6.2980999999999998</c:v>
                </c:pt>
                <c:pt idx="9">
                  <c:v>9.327300000000001</c:v>
                </c:pt>
                <c:pt idx="10">
                  <c:v>8.8286000000000016</c:v>
                </c:pt>
                <c:pt idx="11">
                  <c:v>8.4728000000000012</c:v>
                </c:pt>
              </c:numCache>
            </c:numRef>
          </c:val>
          <c:extLst xmlns:c16r2="http://schemas.microsoft.com/office/drawing/2015/06/chart">
            <c:ext xmlns:c16="http://schemas.microsoft.com/office/drawing/2014/chart" uri="{C3380CC4-5D6E-409C-BE32-E72D297353CC}">
              <c16:uniqueId val="{00000002-CC24-4284-B38D-EA143DCF0A7D}"/>
            </c:ext>
          </c:extLst>
        </c:ser>
        <c:ser>
          <c:idx val="3"/>
          <c:order val="3"/>
          <c:tx>
            <c:strRef>
              <c:f>'Sorghum Biomass'!$W$2</c:f>
              <c:strCache>
                <c:ptCount val="1"/>
                <c:pt idx="0">
                  <c:v>Grain</c:v>
                </c:pt>
              </c:strCache>
            </c:strRef>
          </c:tx>
          <c:spPr>
            <a:solidFill>
              <a:schemeClr val="accent4"/>
            </a:solidFill>
            <a:ln>
              <a:noFill/>
            </a:ln>
            <a:effectLst/>
          </c:spPr>
          <c:invertIfNegative val="0"/>
          <c:cat>
            <c:strRef>
              <c:f>'Sorghum Biomass'!$S$3:$S$14</c:f>
              <c:strCache>
                <c:ptCount val="12"/>
                <c:pt idx="0">
                  <c:v>SG1a</c:v>
                </c:pt>
                <c:pt idx="1">
                  <c:v>SG2a</c:v>
                </c:pt>
                <c:pt idx="2">
                  <c:v>SG3b</c:v>
                </c:pt>
                <c:pt idx="3">
                  <c:v>SG4b</c:v>
                </c:pt>
                <c:pt idx="4">
                  <c:v>SG1c</c:v>
                </c:pt>
                <c:pt idx="5">
                  <c:v>SG4c</c:v>
                </c:pt>
                <c:pt idx="6">
                  <c:v>SM3a</c:v>
                </c:pt>
                <c:pt idx="7">
                  <c:v>SM4a</c:v>
                </c:pt>
                <c:pt idx="8">
                  <c:v>SM1b</c:v>
                </c:pt>
                <c:pt idx="9">
                  <c:v>SM2b</c:v>
                </c:pt>
                <c:pt idx="10">
                  <c:v>SM2c</c:v>
                </c:pt>
                <c:pt idx="11">
                  <c:v>SM3c</c:v>
                </c:pt>
              </c:strCache>
            </c:strRef>
          </c:cat>
          <c:val>
            <c:numRef>
              <c:f>'Sorghum Biomass'!$W$3:$W$14</c:f>
              <c:numCache>
                <c:formatCode>General</c:formatCode>
                <c:ptCount val="12"/>
                <c:pt idx="0">
                  <c:v>9.2126000000000001</c:v>
                </c:pt>
                <c:pt idx="1">
                  <c:v>9.3016000000000005</c:v>
                </c:pt>
                <c:pt idx="2">
                  <c:v>11.298</c:v>
                </c:pt>
                <c:pt idx="3">
                  <c:v>15.393899999999999</c:v>
                </c:pt>
                <c:pt idx="4">
                  <c:v>8.7213999999999992</c:v>
                </c:pt>
                <c:pt idx="5">
                  <c:v>5.8507999999999996</c:v>
                </c:pt>
                <c:pt idx="6">
                  <c:v>9.8317000000000014</c:v>
                </c:pt>
                <c:pt idx="7">
                  <c:v>12.053599999999999</c:v>
                </c:pt>
                <c:pt idx="8">
                  <c:v>9.7477999999999998</c:v>
                </c:pt>
                <c:pt idx="9">
                  <c:v>18.909200000000002</c:v>
                </c:pt>
                <c:pt idx="10">
                  <c:v>18.602400000000003</c:v>
                </c:pt>
                <c:pt idx="11">
                  <c:v>9.9084000000000003</c:v>
                </c:pt>
              </c:numCache>
            </c:numRef>
          </c:val>
          <c:extLst xmlns:c16r2="http://schemas.microsoft.com/office/drawing/2015/06/chart">
            <c:ext xmlns:c16="http://schemas.microsoft.com/office/drawing/2014/chart" uri="{C3380CC4-5D6E-409C-BE32-E72D297353CC}">
              <c16:uniqueId val="{00000003-CC24-4284-B38D-EA143DCF0A7D}"/>
            </c:ext>
          </c:extLst>
        </c:ser>
        <c:ser>
          <c:idx val="4"/>
          <c:order val="4"/>
          <c:tx>
            <c:strRef>
              <c:f>'Sorghum Biomass'!$X$2</c:f>
              <c:strCache>
                <c:ptCount val="1"/>
                <c:pt idx="0">
                  <c:v>Tillers</c:v>
                </c:pt>
              </c:strCache>
            </c:strRef>
          </c:tx>
          <c:spPr>
            <a:solidFill>
              <a:schemeClr val="accent5"/>
            </a:solidFill>
            <a:ln>
              <a:noFill/>
            </a:ln>
            <a:effectLst/>
          </c:spPr>
          <c:invertIfNegative val="0"/>
          <c:cat>
            <c:strRef>
              <c:f>'Sorghum Biomass'!$S$3:$S$14</c:f>
              <c:strCache>
                <c:ptCount val="12"/>
                <c:pt idx="0">
                  <c:v>SG1a</c:v>
                </c:pt>
                <c:pt idx="1">
                  <c:v>SG2a</c:v>
                </c:pt>
                <c:pt idx="2">
                  <c:v>SG3b</c:v>
                </c:pt>
                <c:pt idx="3">
                  <c:v>SG4b</c:v>
                </c:pt>
                <c:pt idx="4">
                  <c:v>SG1c</c:v>
                </c:pt>
                <c:pt idx="5">
                  <c:v>SG4c</c:v>
                </c:pt>
                <c:pt idx="6">
                  <c:v>SM3a</c:v>
                </c:pt>
                <c:pt idx="7">
                  <c:v>SM4a</c:v>
                </c:pt>
                <c:pt idx="8">
                  <c:v>SM1b</c:v>
                </c:pt>
                <c:pt idx="9">
                  <c:v>SM2b</c:v>
                </c:pt>
                <c:pt idx="10">
                  <c:v>SM2c</c:v>
                </c:pt>
                <c:pt idx="11">
                  <c:v>SM3c</c:v>
                </c:pt>
              </c:strCache>
            </c:strRef>
          </c:cat>
          <c:val>
            <c:numRef>
              <c:f>'Sorghum Biomass'!$X$3:$X$14</c:f>
              <c:numCache>
                <c:formatCode>General</c:formatCode>
                <c:ptCount val="12"/>
                <c:pt idx="0">
                  <c:v>1.4897</c:v>
                </c:pt>
                <c:pt idx="1">
                  <c:v>9.9024999999999999</c:v>
                </c:pt>
                <c:pt idx="5">
                  <c:v>1.7061000000000002</c:v>
                </c:pt>
              </c:numCache>
            </c:numRef>
          </c:val>
          <c:extLst xmlns:c16r2="http://schemas.microsoft.com/office/drawing/2015/06/chart">
            <c:ext xmlns:c16="http://schemas.microsoft.com/office/drawing/2014/chart" uri="{C3380CC4-5D6E-409C-BE32-E72D297353CC}">
              <c16:uniqueId val="{00000004-CC24-4284-B38D-EA143DCF0A7D}"/>
            </c:ext>
          </c:extLst>
        </c:ser>
        <c:dLbls>
          <c:showLegendKey val="0"/>
          <c:showVal val="0"/>
          <c:showCatName val="0"/>
          <c:showSerName val="0"/>
          <c:showPercent val="0"/>
          <c:showBubbleSize val="0"/>
        </c:dLbls>
        <c:gapWidth val="150"/>
        <c:overlap val="100"/>
        <c:axId val="707467336"/>
        <c:axId val="636739672"/>
      </c:barChart>
      <c:catAx>
        <c:axId val="707467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739672"/>
        <c:crosses val="autoZero"/>
        <c:auto val="1"/>
        <c:lblAlgn val="ctr"/>
        <c:lblOffset val="100"/>
        <c:noMultiLvlLbl val="0"/>
      </c:catAx>
      <c:valAx>
        <c:axId val="636739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Biomass (g)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467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'Growth 2F ANOVA'!$AF$21</c:f>
              <c:strCache>
                <c:ptCount val="1"/>
                <c:pt idx="0">
                  <c:v>Min</c:v>
                </c:pt>
              </c:strCache>
            </c:strRef>
          </c:tx>
          <c:spPr>
            <a:noFill/>
            <a:extLst>
              <a:ext uri="{909E8E84-426E-40DD-AFC4-6F175D3DCCD1}">
                <a14:hiddenFill xmlns:a14="http://schemas.microsoft.com/office/drawing/2010/main">
                  <a:solidFill>
                    <a:srgbClr val="4F81BD"/>
                  </a:solidFill>
                </a14:hiddenFill>
              </a:ext>
            </a:extLst>
          </c:spPr>
          <c:invertIfNegative val="0"/>
          <c:cat>
            <c:strRef>
              <c:f>'Growth 2F ANOVA'!$AG$20:$AH$20</c:f>
              <c:strCache>
                <c:ptCount val="2"/>
                <c:pt idx="0">
                  <c:v>CG</c:v>
                </c:pt>
                <c:pt idx="1">
                  <c:v>CM</c:v>
                </c:pt>
              </c:strCache>
            </c:strRef>
          </c:cat>
          <c:val>
            <c:numRef>
              <c:f>'Growth 2F ANOVA'!$AG$21:$AH$21</c:f>
              <c:numCache>
                <c:formatCode>General</c:formatCode>
                <c:ptCount val="2"/>
                <c:pt idx="0">
                  <c:v>5.6666666666666671E-3</c:v>
                </c:pt>
                <c:pt idx="1">
                  <c:v>4.0000000000000001E-3</c:v>
                </c:pt>
              </c:numCache>
            </c:numRef>
          </c:val>
          <c:extLst xmlns:c16r2="http://schemas.microsoft.com/office/drawing/2015/06/chart">
            <c:ext xmlns:c16="http://schemas.microsoft.com/office/drawing/2014/chart" uri="{C3380CC4-5D6E-409C-BE32-E72D297353CC}">
              <c16:uniqueId val="{00000000-F403-41D9-B67C-E622638A62BF}"/>
            </c:ext>
          </c:extLst>
        </c:ser>
        <c:ser>
          <c:idx val="1"/>
          <c:order val="1"/>
          <c:tx>
            <c:strRef>
              <c:f>'Growth 2F ANOVA'!$AF$22</c:f>
              <c:strCache>
                <c:ptCount val="1"/>
                <c:pt idx="0">
                  <c:v>Q1-Min</c:v>
                </c:pt>
              </c:strCache>
            </c:strRef>
          </c:tx>
          <c:spPr>
            <a:noFill/>
            <a:extLst>
              <a:ext uri="{909E8E84-426E-40DD-AFC4-6F175D3DCCD1}">
                <a14:hiddenFill xmlns:a14="http://schemas.microsoft.com/office/drawing/2010/main">
                  <a:solidFill>
                    <a:srgbClr val="C0504D"/>
                  </a:solidFill>
                </a14:hiddenFill>
              </a:ext>
            </a:extLst>
          </c:spPr>
          <c:invertIfNegative val="0"/>
          <c:errBars>
            <c:errBarType val="minus"/>
            <c:errValType val="percentage"/>
            <c:noEndCap val="0"/>
            <c:val val="100"/>
          </c:errBars>
          <c:cat>
            <c:strRef>
              <c:f>'Growth 2F ANOVA'!$AG$20:$AH$20</c:f>
              <c:strCache>
                <c:ptCount val="2"/>
                <c:pt idx="0">
                  <c:v>CG</c:v>
                </c:pt>
                <c:pt idx="1">
                  <c:v>CM</c:v>
                </c:pt>
              </c:strCache>
            </c:strRef>
          </c:cat>
          <c:val>
            <c:numRef>
              <c:f>'Growth 2F ANOVA'!$AG$22:$AH$22</c:f>
              <c:numCache>
                <c:formatCode>General</c:formatCode>
                <c:ptCount val="2"/>
                <c:pt idx="0">
                  <c:v>0.10666666666666666</c:v>
                </c:pt>
                <c:pt idx="1">
                  <c:v>0.12483333333333332</c:v>
                </c:pt>
              </c:numCache>
            </c:numRef>
          </c:val>
          <c:extLst xmlns:c16r2="http://schemas.microsoft.com/office/drawing/2015/06/chart">
            <c:ext xmlns:c16="http://schemas.microsoft.com/office/drawing/2014/chart" uri="{C3380CC4-5D6E-409C-BE32-E72D297353CC}">
              <c16:uniqueId val="{00000001-F403-41D9-B67C-E622638A62BF}"/>
            </c:ext>
          </c:extLst>
        </c:ser>
        <c:ser>
          <c:idx val="2"/>
          <c:order val="2"/>
          <c:tx>
            <c:strRef>
              <c:f>'Growth 2F ANOVA'!$AF$23</c:f>
              <c:strCache>
                <c:ptCount val="1"/>
                <c:pt idx="0">
                  <c:v>Med-Q1</c:v>
                </c:pt>
              </c:strCache>
            </c:strRef>
          </c:tx>
          <c:invertIfNegative val="0"/>
          <c:cat>
            <c:strRef>
              <c:f>'Growth 2F ANOVA'!$AG$20:$AH$20</c:f>
              <c:strCache>
                <c:ptCount val="2"/>
                <c:pt idx="0">
                  <c:v>CG</c:v>
                </c:pt>
                <c:pt idx="1">
                  <c:v>CM</c:v>
                </c:pt>
              </c:strCache>
            </c:strRef>
          </c:cat>
          <c:val>
            <c:numRef>
              <c:f>'Growth 2F ANOVA'!$AG$23:$AH$23</c:f>
              <c:numCache>
                <c:formatCode>General</c:formatCode>
                <c:ptCount val="2"/>
                <c:pt idx="0">
                  <c:v>0.47933333333333333</c:v>
                </c:pt>
                <c:pt idx="1">
                  <c:v>0.36950000000000005</c:v>
                </c:pt>
              </c:numCache>
            </c:numRef>
          </c:val>
          <c:extLst xmlns:c16r2="http://schemas.microsoft.com/office/drawing/2015/06/chart">
            <c:ext xmlns:c16="http://schemas.microsoft.com/office/drawing/2014/chart" uri="{C3380CC4-5D6E-409C-BE32-E72D297353CC}">
              <c16:uniqueId val="{00000002-F403-41D9-B67C-E622638A62BF}"/>
            </c:ext>
          </c:extLst>
        </c:ser>
        <c:ser>
          <c:idx val="3"/>
          <c:order val="3"/>
          <c:tx>
            <c:strRef>
              <c:f>'Growth 2F ANOVA'!$AF$24</c:f>
              <c:strCache>
                <c:ptCount val="1"/>
                <c:pt idx="0">
                  <c:v>Q3-Med</c:v>
                </c:pt>
              </c:strCache>
            </c:strRef>
          </c:tx>
          <c:invertIfNegative val="0"/>
          <c:errBars>
            <c:errBarType val="plus"/>
            <c:errValType val="cust"/>
            <c:noEndCap val="0"/>
            <c:plus>
              <c:numRef>
                <c:f>'Growth 2F ANOVA'!$AG$25:$AH$25</c:f>
                <c:numCache>
                  <c:formatCode>General</c:formatCode>
                  <c:ptCount val="2"/>
                  <c:pt idx="0">
                    <c:v>0.293333333333333</c:v>
                  </c:pt>
                  <c:pt idx="1">
                    <c:v>0.3413999999999997</c:v>
                  </c:pt>
                </c:numCache>
              </c:numRef>
            </c:plus>
          </c:errBars>
          <c:cat>
            <c:strRef>
              <c:f>'Growth 2F ANOVA'!$AG$20:$AH$20</c:f>
              <c:strCache>
                <c:ptCount val="2"/>
                <c:pt idx="0">
                  <c:v>CG</c:v>
                </c:pt>
                <c:pt idx="1">
                  <c:v>CM</c:v>
                </c:pt>
              </c:strCache>
            </c:strRef>
          </c:cat>
          <c:val>
            <c:numRef>
              <c:f>'Growth 2F ANOVA'!$AG$24:$AH$24</c:f>
              <c:numCache>
                <c:formatCode>General</c:formatCode>
                <c:ptCount val="2"/>
                <c:pt idx="0">
                  <c:v>0.48500000000000021</c:v>
                </c:pt>
                <c:pt idx="1">
                  <c:v>0.62500000000000022</c:v>
                </c:pt>
              </c:numCache>
            </c:numRef>
          </c:val>
          <c:extLst xmlns:c16r2="http://schemas.microsoft.com/office/drawing/2015/06/chart">
            <c:ext xmlns:c16="http://schemas.microsoft.com/office/drawing/2014/chart" uri="{C3380CC4-5D6E-409C-BE32-E72D297353CC}">
              <c16:uniqueId val="{00000003-F403-41D9-B67C-E622638A62BF}"/>
            </c:ext>
          </c:extLst>
        </c:ser>
        <c:dLbls>
          <c:showLegendKey val="0"/>
          <c:showVal val="0"/>
          <c:showCatName val="0"/>
          <c:showSerName val="0"/>
          <c:showPercent val="0"/>
          <c:showBubbleSize val="0"/>
        </c:dLbls>
        <c:gapWidth val="150"/>
        <c:overlap val="100"/>
        <c:axId val="636735752"/>
        <c:axId val="636740064"/>
      </c:barChart>
      <c:scatterChart>
        <c:scatterStyle val="lineMarker"/>
        <c:varyColors val="0"/>
        <c:ser>
          <c:idx val="4"/>
          <c:order val="4"/>
          <c:tx>
            <c:v>m</c:v>
          </c:tx>
          <c:spPr>
            <a:ln w="28575">
              <a:noFill/>
            </a:ln>
          </c:spPr>
          <c:marker>
            <c:symbol val="x"/>
            <c:size val="5"/>
            <c:spPr>
              <a:ln>
                <a:solidFill>
                  <a:srgbClr val="000000"/>
                </a:solidFill>
                <a:prstDash val="solid"/>
              </a:ln>
            </c:spPr>
          </c:marker>
          <c:yVal>
            <c:numRef>
              <c:f>'Growth 2F ANOVA'!$AG$26:$AH$26</c:f>
              <c:numCache>
                <c:formatCode>General</c:formatCode>
                <c:ptCount val="2"/>
                <c:pt idx="0">
                  <c:v>0.63092107843137257</c:v>
                </c:pt>
                <c:pt idx="1">
                  <c:v>0.63294019607843133</c:v>
                </c:pt>
              </c:numCache>
            </c:numRef>
          </c:yVal>
          <c:smooth val="0"/>
          <c:extLst xmlns:c16r2="http://schemas.microsoft.com/office/drawing/2015/06/chart">
            <c:ext xmlns:c16="http://schemas.microsoft.com/office/drawing/2014/chart" uri="{C3380CC4-5D6E-409C-BE32-E72D297353CC}">
              <c16:uniqueId val="{00000004-F403-41D9-B67C-E622638A62BF}"/>
            </c:ext>
          </c:extLst>
        </c:ser>
        <c:dLbls>
          <c:showLegendKey val="0"/>
          <c:showVal val="0"/>
          <c:showCatName val="0"/>
          <c:showSerName val="0"/>
          <c:showPercent val="0"/>
          <c:showBubbleSize val="0"/>
        </c:dLbls>
        <c:axId val="636735752"/>
        <c:axId val="636740064"/>
      </c:scatterChart>
      <c:catAx>
        <c:axId val="636735752"/>
        <c:scaling>
          <c:orientation val="minMax"/>
        </c:scaling>
        <c:delete val="0"/>
        <c:axPos val="b"/>
        <c:numFmt formatCode="General" sourceLinked="1"/>
        <c:majorTickMark val="out"/>
        <c:minorTickMark val="none"/>
        <c:tickLblPos val="nextTo"/>
        <c:crossAx val="636740064"/>
        <c:crosses val="autoZero"/>
        <c:auto val="1"/>
        <c:lblAlgn val="ctr"/>
        <c:lblOffset val="100"/>
        <c:noMultiLvlLbl val="0"/>
      </c:catAx>
      <c:valAx>
        <c:axId val="636740064"/>
        <c:scaling>
          <c:orientation val="minMax"/>
        </c:scaling>
        <c:delete val="0"/>
        <c:axPos val="l"/>
        <c:majorGridlines/>
        <c:title>
          <c:tx>
            <c:rich>
              <a:bodyPr/>
              <a:lstStyle/>
              <a:p>
                <a:pPr>
                  <a:defRPr/>
                </a:pPr>
                <a:r>
                  <a:rPr lang="en-US"/>
                  <a:t>Height (m)</a:t>
                </a:r>
              </a:p>
            </c:rich>
          </c:tx>
          <c:overlay val="0"/>
        </c:title>
        <c:numFmt formatCode="General" sourceLinked="1"/>
        <c:majorTickMark val="out"/>
        <c:minorTickMark val="none"/>
        <c:tickLblPos val="nextTo"/>
        <c:crossAx val="636735752"/>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'Growth 2F ANOVA'!$AS$29</c:f>
              <c:strCache>
                <c:ptCount val="1"/>
                <c:pt idx="0">
                  <c:v>Min</c:v>
                </c:pt>
              </c:strCache>
            </c:strRef>
          </c:tx>
          <c:spPr>
            <a:noFill/>
            <a:extLst>
              <a:ext uri="{909E8E84-426E-40DD-AFC4-6F175D3DCCD1}">
                <a14:hiddenFill xmlns:a14="http://schemas.microsoft.com/office/drawing/2010/main">
                  <a:solidFill>
                    <a:srgbClr val="4F81BD"/>
                  </a:solidFill>
                </a14:hiddenFill>
              </a:ext>
            </a:extLst>
          </c:spPr>
          <c:invertIfNegative val="0"/>
          <c:cat>
            <c:strRef>
              <c:f>'Growth 2F ANOVA'!$AT$28:$CA$28</c:f>
              <c:strCache>
                <c:ptCount val="34"/>
                <c:pt idx="0">
                  <c:v>CG5</c:v>
                </c:pt>
                <c:pt idx="1">
                  <c:v>CG6</c:v>
                </c:pt>
                <c:pt idx="2">
                  <c:v>CG7</c:v>
                </c:pt>
                <c:pt idx="3">
                  <c:v>CG9</c:v>
                </c:pt>
                <c:pt idx="4">
                  <c:v>CG11</c:v>
                </c:pt>
                <c:pt idx="5">
                  <c:v>CG19</c:v>
                </c:pt>
                <c:pt idx="6">
                  <c:v>CG26</c:v>
                </c:pt>
                <c:pt idx="7">
                  <c:v>CG34</c:v>
                </c:pt>
                <c:pt idx="8">
                  <c:v>CG43</c:v>
                </c:pt>
                <c:pt idx="9">
                  <c:v>CG50</c:v>
                </c:pt>
                <c:pt idx="10">
                  <c:v>CG57</c:v>
                </c:pt>
                <c:pt idx="11">
                  <c:v>CG65</c:v>
                </c:pt>
                <c:pt idx="12">
                  <c:v>CG73</c:v>
                </c:pt>
                <c:pt idx="13">
                  <c:v>CG79</c:v>
                </c:pt>
                <c:pt idx="14">
                  <c:v>CG90</c:v>
                </c:pt>
                <c:pt idx="15">
                  <c:v>CG96</c:v>
                </c:pt>
                <c:pt idx="16">
                  <c:v>CG106</c:v>
                </c:pt>
                <c:pt idx="17">
                  <c:v>CM5</c:v>
                </c:pt>
                <c:pt idx="18">
                  <c:v>CM6</c:v>
                </c:pt>
                <c:pt idx="19">
                  <c:v>CM7</c:v>
                </c:pt>
                <c:pt idx="20">
                  <c:v>CM9</c:v>
                </c:pt>
                <c:pt idx="21">
                  <c:v>CM11</c:v>
                </c:pt>
                <c:pt idx="22">
                  <c:v>CM19</c:v>
                </c:pt>
                <c:pt idx="23">
                  <c:v>CM26</c:v>
                </c:pt>
                <c:pt idx="24">
                  <c:v>CM34</c:v>
                </c:pt>
                <c:pt idx="25">
                  <c:v>CM43</c:v>
                </c:pt>
                <c:pt idx="26">
                  <c:v>CM50</c:v>
                </c:pt>
                <c:pt idx="27">
                  <c:v>CM57</c:v>
                </c:pt>
                <c:pt idx="28">
                  <c:v>CM65</c:v>
                </c:pt>
                <c:pt idx="29">
                  <c:v>CM73</c:v>
                </c:pt>
                <c:pt idx="30">
                  <c:v>CM79</c:v>
                </c:pt>
                <c:pt idx="31">
                  <c:v>CM90</c:v>
                </c:pt>
                <c:pt idx="32">
                  <c:v>CM96</c:v>
                </c:pt>
                <c:pt idx="33">
                  <c:v>CM106</c:v>
                </c:pt>
              </c:strCache>
            </c:strRef>
          </c:cat>
          <c:val>
            <c:numRef>
              <c:f>'Growth 2F ANOVA'!$AT$29:$CA$29</c:f>
              <c:numCache>
                <c:formatCode>General</c:formatCode>
                <c:ptCount val="34"/>
                <c:pt idx="0">
                  <c:v>0</c:v>
                </c:pt>
                <c:pt idx="1">
                  <c:v>0</c:v>
                </c:pt>
                <c:pt idx="2">
                  <c:v>0</c:v>
                </c:pt>
                <c:pt idx="3">
                  <c:v>7.0999999999999994E-2</c:v>
                </c:pt>
                <c:pt idx="4">
                  <c:v>0.11</c:v>
                </c:pt>
                <c:pt idx="5">
                  <c:v>0.13400000000000001</c:v>
                </c:pt>
                <c:pt idx="6">
                  <c:v>0.155</c:v>
                </c:pt>
                <c:pt idx="7">
                  <c:v>0.245</c:v>
                </c:pt>
                <c:pt idx="8">
                  <c:v>0.5</c:v>
                </c:pt>
                <c:pt idx="9">
                  <c:v>0.62</c:v>
                </c:pt>
                <c:pt idx="10">
                  <c:v>0.86</c:v>
                </c:pt>
                <c:pt idx="11">
                  <c:v>0.93</c:v>
                </c:pt>
                <c:pt idx="12">
                  <c:v>0.95000000000000007</c:v>
                </c:pt>
                <c:pt idx="13">
                  <c:v>1.0900000000000001</c:v>
                </c:pt>
                <c:pt idx="14">
                  <c:v>1.1400000000000001</c:v>
                </c:pt>
                <c:pt idx="15">
                  <c:v>1.33985</c:v>
                </c:pt>
                <c:pt idx="16">
                  <c:v>1.3462000000000001</c:v>
                </c:pt>
                <c:pt idx="17">
                  <c:v>0</c:v>
                </c:pt>
                <c:pt idx="18">
                  <c:v>0</c:v>
                </c:pt>
                <c:pt idx="19">
                  <c:v>2E-3</c:v>
                </c:pt>
                <c:pt idx="20">
                  <c:v>4.9000000000000002E-2</c:v>
                </c:pt>
                <c:pt idx="21">
                  <c:v>8.199999999999999E-2</c:v>
                </c:pt>
                <c:pt idx="22">
                  <c:v>9.9000000000000005E-2</c:v>
                </c:pt>
                <c:pt idx="23">
                  <c:v>0.16600000000000001</c:v>
                </c:pt>
                <c:pt idx="24">
                  <c:v>0.27</c:v>
                </c:pt>
                <c:pt idx="25">
                  <c:v>0.31</c:v>
                </c:pt>
                <c:pt idx="26">
                  <c:v>0.42</c:v>
                </c:pt>
                <c:pt idx="27">
                  <c:v>0.63</c:v>
                </c:pt>
                <c:pt idx="28">
                  <c:v>0.63</c:v>
                </c:pt>
                <c:pt idx="29">
                  <c:v>0.71</c:v>
                </c:pt>
                <c:pt idx="30">
                  <c:v>1.3</c:v>
                </c:pt>
                <c:pt idx="31">
                  <c:v>1.27</c:v>
                </c:pt>
                <c:pt idx="32">
                  <c:v>1.27</c:v>
                </c:pt>
                <c:pt idx="33">
                  <c:v>1.27</c:v>
                </c:pt>
              </c:numCache>
            </c:numRef>
          </c:val>
          <c:extLst xmlns:c16r2="http://schemas.microsoft.com/office/drawing/2015/06/chart">
            <c:ext xmlns:c16="http://schemas.microsoft.com/office/drawing/2014/chart" uri="{C3380CC4-5D6E-409C-BE32-E72D297353CC}">
              <c16:uniqueId val="{00000000-4A6B-47DC-A9A7-3F119F779476}"/>
            </c:ext>
          </c:extLst>
        </c:ser>
        <c:ser>
          <c:idx val="1"/>
          <c:order val="1"/>
          <c:tx>
            <c:strRef>
              <c:f>'Growth 2F ANOVA'!$AS$30</c:f>
              <c:strCache>
                <c:ptCount val="1"/>
                <c:pt idx="0">
                  <c:v>Q1-Min</c:v>
                </c:pt>
              </c:strCache>
            </c:strRef>
          </c:tx>
          <c:spPr>
            <a:noFill/>
            <a:extLst>
              <a:ext uri="{909E8E84-426E-40DD-AFC4-6F175D3DCCD1}">
                <a14:hiddenFill xmlns:a14="http://schemas.microsoft.com/office/drawing/2010/main">
                  <a:solidFill>
                    <a:srgbClr val="C0504D"/>
                  </a:solidFill>
                </a14:hiddenFill>
              </a:ext>
            </a:extLst>
          </c:spPr>
          <c:invertIfNegative val="0"/>
          <c:errBars>
            <c:errBarType val="minus"/>
            <c:errValType val="percentage"/>
            <c:noEndCap val="0"/>
            <c:val val="100"/>
          </c:errBars>
          <c:cat>
            <c:strRef>
              <c:f>'Growth 2F ANOVA'!$AT$28:$CA$28</c:f>
              <c:strCache>
                <c:ptCount val="34"/>
                <c:pt idx="0">
                  <c:v>CG5</c:v>
                </c:pt>
                <c:pt idx="1">
                  <c:v>CG6</c:v>
                </c:pt>
                <c:pt idx="2">
                  <c:v>CG7</c:v>
                </c:pt>
                <c:pt idx="3">
                  <c:v>CG9</c:v>
                </c:pt>
                <c:pt idx="4">
                  <c:v>CG11</c:v>
                </c:pt>
                <c:pt idx="5">
                  <c:v>CG19</c:v>
                </c:pt>
                <c:pt idx="6">
                  <c:v>CG26</c:v>
                </c:pt>
                <c:pt idx="7">
                  <c:v>CG34</c:v>
                </c:pt>
                <c:pt idx="8">
                  <c:v>CG43</c:v>
                </c:pt>
                <c:pt idx="9">
                  <c:v>CG50</c:v>
                </c:pt>
                <c:pt idx="10">
                  <c:v>CG57</c:v>
                </c:pt>
                <c:pt idx="11">
                  <c:v>CG65</c:v>
                </c:pt>
                <c:pt idx="12">
                  <c:v>CG73</c:v>
                </c:pt>
                <c:pt idx="13">
                  <c:v>CG79</c:v>
                </c:pt>
                <c:pt idx="14">
                  <c:v>CG90</c:v>
                </c:pt>
                <c:pt idx="15">
                  <c:v>CG96</c:v>
                </c:pt>
                <c:pt idx="16">
                  <c:v>CG106</c:v>
                </c:pt>
                <c:pt idx="17">
                  <c:v>CM5</c:v>
                </c:pt>
                <c:pt idx="18">
                  <c:v>CM6</c:v>
                </c:pt>
                <c:pt idx="19">
                  <c:v>CM7</c:v>
                </c:pt>
                <c:pt idx="20">
                  <c:v>CM9</c:v>
                </c:pt>
                <c:pt idx="21">
                  <c:v>CM11</c:v>
                </c:pt>
                <c:pt idx="22">
                  <c:v>CM19</c:v>
                </c:pt>
                <c:pt idx="23">
                  <c:v>CM26</c:v>
                </c:pt>
                <c:pt idx="24">
                  <c:v>CM34</c:v>
                </c:pt>
                <c:pt idx="25">
                  <c:v>CM43</c:v>
                </c:pt>
                <c:pt idx="26">
                  <c:v>CM50</c:v>
                </c:pt>
                <c:pt idx="27">
                  <c:v>CM57</c:v>
                </c:pt>
                <c:pt idx="28">
                  <c:v>CM65</c:v>
                </c:pt>
                <c:pt idx="29">
                  <c:v>CM73</c:v>
                </c:pt>
                <c:pt idx="30">
                  <c:v>CM79</c:v>
                </c:pt>
                <c:pt idx="31">
                  <c:v>CM90</c:v>
                </c:pt>
                <c:pt idx="32">
                  <c:v>CM96</c:v>
                </c:pt>
                <c:pt idx="33">
                  <c:v>CM106</c:v>
                </c:pt>
              </c:strCache>
            </c:strRef>
          </c:cat>
          <c:val>
            <c:numRef>
              <c:f>'Growth 2F ANOVA'!$AT$30:$CA$30</c:f>
              <c:numCache>
                <c:formatCode>General</c:formatCode>
                <c:ptCount val="34"/>
                <c:pt idx="0">
                  <c:v>1.25E-3</c:v>
                </c:pt>
                <c:pt idx="1">
                  <c:v>3.2500000000000003E-3</c:v>
                </c:pt>
                <c:pt idx="2">
                  <c:v>1.225E-2</c:v>
                </c:pt>
                <c:pt idx="3">
                  <c:v>6.0000000000000053E-3</c:v>
                </c:pt>
                <c:pt idx="4">
                  <c:v>1.2500000000000011E-3</c:v>
                </c:pt>
                <c:pt idx="5">
                  <c:v>1.8749999999999989E-2</c:v>
                </c:pt>
                <c:pt idx="6">
                  <c:v>4.9249999999999988E-2</c:v>
                </c:pt>
                <c:pt idx="7">
                  <c:v>0.10500000000000004</c:v>
                </c:pt>
                <c:pt idx="8">
                  <c:v>3.7500000000000089E-2</c:v>
                </c:pt>
                <c:pt idx="9">
                  <c:v>4.500000000000004E-2</c:v>
                </c:pt>
                <c:pt idx="10">
                  <c:v>2.0000000000000018E-2</c:v>
                </c:pt>
                <c:pt idx="11">
                  <c:v>2.0000000000000018E-2</c:v>
                </c:pt>
                <c:pt idx="12">
                  <c:v>4.9999999999999933E-2</c:v>
                </c:pt>
                <c:pt idx="13">
                  <c:v>0.11249999999999982</c:v>
                </c:pt>
                <c:pt idx="14">
                  <c:v>0.19999999999999996</c:v>
                </c:pt>
                <c:pt idx="15">
                  <c:v>1.587500000000075E-3</c:v>
                </c:pt>
                <c:pt idx="16">
                  <c:v>0</c:v>
                </c:pt>
                <c:pt idx="17">
                  <c:v>2.5000000000000001E-4</c:v>
                </c:pt>
                <c:pt idx="18">
                  <c:v>1.8749999999999999E-2</c:v>
                </c:pt>
                <c:pt idx="19">
                  <c:v>3.8250000000000006E-2</c:v>
                </c:pt>
                <c:pt idx="20">
                  <c:v>3.1E-2</c:v>
                </c:pt>
                <c:pt idx="21">
                  <c:v>3.3500000000000016E-2</c:v>
                </c:pt>
                <c:pt idx="22">
                  <c:v>4.200000000000001E-2</c:v>
                </c:pt>
                <c:pt idx="23">
                  <c:v>3.1E-2</c:v>
                </c:pt>
                <c:pt idx="24">
                  <c:v>1.8499999999999961E-2</c:v>
                </c:pt>
                <c:pt idx="25">
                  <c:v>0.13750000000000001</c:v>
                </c:pt>
                <c:pt idx="26">
                  <c:v>0.18749999999999994</c:v>
                </c:pt>
                <c:pt idx="27">
                  <c:v>0.17500000000000004</c:v>
                </c:pt>
                <c:pt idx="28">
                  <c:v>0.29250000000000009</c:v>
                </c:pt>
                <c:pt idx="29">
                  <c:v>0.33000000000000007</c:v>
                </c:pt>
                <c:pt idx="30">
                  <c:v>0</c:v>
                </c:pt>
                <c:pt idx="31">
                  <c:v>7.0000000000000062E-2</c:v>
                </c:pt>
                <c:pt idx="32">
                  <c:v>7.3024999999999896E-2</c:v>
                </c:pt>
                <c:pt idx="33">
                  <c:v>7.3024999999999896E-2</c:v>
                </c:pt>
              </c:numCache>
            </c:numRef>
          </c:val>
          <c:extLst xmlns:c16r2="http://schemas.microsoft.com/office/drawing/2015/06/chart">
            <c:ext xmlns:c16="http://schemas.microsoft.com/office/drawing/2014/chart" uri="{C3380CC4-5D6E-409C-BE32-E72D297353CC}">
              <c16:uniqueId val="{00000001-4A6B-47DC-A9A7-3F119F779476}"/>
            </c:ext>
          </c:extLst>
        </c:ser>
        <c:ser>
          <c:idx val="2"/>
          <c:order val="2"/>
          <c:tx>
            <c:strRef>
              <c:f>'Growth 2F ANOVA'!$AS$31</c:f>
              <c:strCache>
                <c:ptCount val="1"/>
                <c:pt idx="0">
                  <c:v>Med-Q1</c:v>
                </c:pt>
              </c:strCache>
            </c:strRef>
          </c:tx>
          <c:invertIfNegative val="0"/>
          <c:cat>
            <c:strRef>
              <c:f>'Growth 2F ANOVA'!$AT$28:$CA$28</c:f>
              <c:strCache>
                <c:ptCount val="34"/>
                <c:pt idx="0">
                  <c:v>CG5</c:v>
                </c:pt>
                <c:pt idx="1">
                  <c:v>CG6</c:v>
                </c:pt>
                <c:pt idx="2">
                  <c:v>CG7</c:v>
                </c:pt>
                <c:pt idx="3">
                  <c:v>CG9</c:v>
                </c:pt>
                <c:pt idx="4">
                  <c:v>CG11</c:v>
                </c:pt>
                <c:pt idx="5">
                  <c:v>CG19</c:v>
                </c:pt>
                <c:pt idx="6">
                  <c:v>CG26</c:v>
                </c:pt>
                <c:pt idx="7">
                  <c:v>CG34</c:v>
                </c:pt>
                <c:pt idx="8">
                  <c:v>CG43</c:v>
                </c:pt>
                <c:pt idx="9">
                  <c:v>CG50</c:v>
                </c:pt>
                <c:pt idx="10">
                  <c:v>CG57</c:v>
                </c:pt>
                <c:pt idx="11">
                  <c:v>CG65</c:v>
                </c:pt>
                <c:pt idx="12">
                  <c:v>CG73</c:v>
                </c:pt>
                <c:pt idx="13">
                  <c:v>CG79</c:v>
                </c:pt>
                <c:pt idx="14">
                  <c:v>CG90</c:v>
                </c:pt>
                <c:pt idx="15">
                  <c:v>CG96</c:v>
                </c:pt>
                <c:pt idx="16">
                  <c:v>CG106</c:v>
                </c:pt>
                <c:pt idx="17">
                  <c:v>CM5</c:v>
                </c:pt>
                <c:pt idx="18">
                  <c:v>CM6</c:v>
                </c:pt>
                <c:pt idx="19">
                  <c:v>CM7</c:v>
                </c:pt>
                <c:pt idx="20">
                  <c:v>CM9</c:v>
                </c:pt>
                <c:pt idx="21">
                  <c:v>CM11</c:v>
                </c:pt>
                <c:pt idx="22">
                  <c:v>CM19</c:v>
                </c:pt>
                <c:pt idx="23">
                  <c:v>CM26</c:v>
                </c:pt>
                <c:pt idx="24">
                  <c:v>CM34</c:v>
                </c:pt>
                <c:pt idx="25">
                  <c:v>CM43</c:v>
                </c:pt>
                <c:pt idx="26">
                  <c:v>CM50</c:v>
                </c:pt>
                <c:pt idx="27">
                  <c:v>CM57</c:v>
                </c:pt>
                <c:pt idx="28">
                  <c:v>CM65</c:v>
                </c:pt>
                <c:pt idx="29">
                  <c:v>CM73</c:v>
                </c:pt>
                <c:pt idx="30">
                  <c:v>CM79</c:v>
                </c:pt>
                <c:pt idx="31">
                  <c:v>CM90</c:v>
                </c:pt>
                <c:pt idx="32">
                  <c:v>CM96</c:v>
                </c:pt>
                <c:pt idx="33">
                  <c:v>CM106</c:v>
                </c:pt>
              </c:strCache>
            </c:strRef>
          </c:cat>
          <c:val>
            <c:numRef>
              <c:f>'Growth 2F ANOVA'!$AT$31:$CA$31</c:f>
              <c:numCache>
                <c:formatCode>General</c:formatCode>
                <c:ptCount val="34"/>
                <c:pt idx="0">
                  <c:v>5.2500000000000003E-3</c:v>
                </c:pt>
                <c:pt idx="1">
                  <c:v>1.8249999999999999E-2</c:v>
                </c:pt>
                <c:pt idx="2">
                  <c:v>3.2750000000000001E-2</c:v>
                </c:pt>
                <c:pt idx="3">
                  <c:v>2.3000000000000007E-2</c:v>
                </c:pt>
                <c:pt idx="4">
                  <c:v>5.7500000000000051E-3</c:v>
                </c:pt>
                <c:pt idx="5">
                  <c:v>8.7500000000000078E-3</c:v>
                </c:pt>
                <c:pt idx="6">
                  <c:v>2.4750000000000022E-2</c:v>
                </c:pt>
                <c:pt idx="7">
                  <c:v>3.4999999999999976E-2</c:v>
                </c:pt>
                <c:pt idx="8">
                  <c:v>4.2499999999999982E-2</c:v>
                </c:pt>
                <c:pt idx="9">
                  <c:v>8.9999999999999969E-2</c:v>
                </c:pt>
                <c:pt idx="10">
                  <c:v>4.9999999999999933E-2</c:v>
                </c:pt>
                <c:pt idx="11">
                  <c:v>3.9999999999999925E-2</c:v>
                </c:pt>
                <c:pt idx="12">
                  <c:v>8.0000000000000071E-2</c:v>
                </c:pt>
                <c:pt idx="13">
                  <c:v>3.7500000000000089E-2</c:v>
                </c:pt>
                <c:pt idx="14">
                  <c:v>4.5000000000000151E-2</c:v>
                </c:pt>
                <c:pt idx="15">
                  <c:v>1.1112499999999859E-2</c:v>
                </c:pt>
                <c:pt idx="16">
                  <c:v>6.3499999999998558E-3</c:v>
                </c:pt>
                <c:pt idx="17">
                  <c:v>2.7499999999999998E-3</c:v>
                </c:pt>
                <c:pt idx="18">
                  <c:v>1.4250000000000002E-2</c:v>
                </c:pt>
                <c:pt idx="19">
                  <c:v>1.0749999999999996E-2</c:v>
                </c:pt>
                <c:pt idx="20">
                  <c:v>1.8500000000000003E-2</c:v>
                </c:pt>
                <c:pt idx="21">
                  <c:v>1.9000000000000003E-2</c:v>
                </c:pt>
                <c:pt idx="22">
                  <c:v>3.0999999999999972E-2</c:v>
                </c:pt>
                <c:pt idx="23">
                  <c:v>2.9499999999999998E-2</c:v>
                </c:pt>
                <c:pt idx="24">
                  <c:v>6.25E-2</c:v>
                </c:pt>
                <c:pt idx="25">
                  <c:v>5.7499999999999996E-2</c:v>
                </c:pt>
                <c:pt idx="26">
                  <c:v>4.2500000000000093E-2</c:v>
                </c:pt>
                <c:pt idx="27">
                  <c:v>2.5000000000000022E-2</c:v>
                </c:pt>
                <c:pt idx="28">
                  <c:v>1.749999999999996E-2</c:v>
                </c:pt>
                <c:pt idx="29">
                  <c:v>0.13500000000000001</c:v>
                </c:pt>
                <c:pt idx="30">
                  <c:v>1.0000000000000009E-2</c:v>
                </c:pt>
                <c:pt idx="31">
                  <c:v>7.0000000000000062E-2</c:v>
                </c:pt>
                <c:pt idx="32">
                  <c:v>5.3975000000000106E-2</c:v>
                </c:pt>
                <c:pt idx="33">
                  <c:v>8.5725000000000051E-2</c:v>
                </c:pt>
              </c:numCache>
            </c:numRef>
          </c:val>
          <c:extLst xmlns:c16r2="http://schemas.microsoft.com/office/drawing/2015/06/chart">
            <c:ext xmlns:c16="http://schemas.microsoft.com/office/drawing/2014/chart" uri="{C3380CC4-5D6E-409C-BE32-E72D297353CC}">
              <c16:uniqueId val="{00000002-4A6B-47DC-A9A7-3F119F779476}"/>
            </c:ext>
          </c:extLst>
        </c:ser>
        <c:ser>
          <c:idx val="3"/>
          <c:order val="3"/>
          <c:tx>
            <c:strRef>
              <c:f>'Growth 2F ANOVA'!$AS$32</c:f>
              <c:strCache>
                <c:ptCount val="1"/>
                <c:pt idx="0">
                  <c:v>Q3-Med</c:v>
                </c:pt>
              </c:strCache>
            </c:strRef>
          </c:tx>
          <c:invertIfNegative val="0"/>
          <c:errBars>
            <c:errBarType val="plus"/>
            <c:errValType val="cust"/>
            <c:noEndCap val="0"/>
            <c:plus>
              <c:numRef>
                <c:f>'Growth 2F ANOVA'!$AT$33:$CA$33</c:f>
                <c:numCache>
                  <c:formatCode>General</c:formatCode>
                  <c:ptCount val="34"/>
                  <c:pt idx="0">
                    <c:v>5.000000000000001E-3</c:v>
                  </c:pt>
                  <c:pt idx="1">
                    <c:v>1.4999999999999999E-2</c:v>
                  </c:pt>
                  <c:pt idx="2">
                    <c:v>9.5000000000000084E-3</c:v>
                  </c:pt>
                  <c:pt idx="3">
                    <c:v>4.7500000000000181E-3</c:v>
                  </c:pt>
                  <c:pt idx="4">
                    <c:v>3.2500000000000029E-3</c:v>
                  </c:pt>
                  <c:pt idx="5">
                    <c:v>2.7500000000000024E-3</c:v>
                  </c:pt>
                  <c:pt idx="6">
                    <c:v>3.5500000000000032E-2</c:v>
                  </c:pt>
                  <c:pt idx="7">
                    <c:v>3.2500000000000029E-2</c:v>
                  </c:pt>
                  <c:pt idx="8">
                    <c:v>5.5000000000000049E-2</c:v>
                  </c:pt>
                  <c:pt idx="9">
                    <c:v>0.19499999999999995</c:v>
                  </c:pt>
                  <c:pt idx="10">
                    <c:v>0.10500000000000009</c:v>
                  </c:pt>
                  <c:pt idx="11">
                    <c:v>7.4999999999999956E-2</c:v>
                  </c:pt>
                  <c:pt idx="12">
                    <c:v>3.0000000000000027E-2</c:v>
                  </c:pt>
                  <c:pt idx="13">
                    <c:v>8.2500000000000018E-2</c:v>
                  </c:pt>
                  <c:pt idx="14">
                    <c:v>7.4999999999999956E-2</c:v>
                  </c:pt>
                  <c:pt idx="15">
                    <c:v>6.5087499999999965E-2</c:v>
                  </c:pt>
                  <c:pt idx="16">
                    <c:v>9.5250000000000057E-3</c:v>
                  </c:pt>
                  <c:pt idx="17">
                    <c:v>2.7499999999999998E-3</c:v>
                  </c:pt>
                  <c:pt idx="18">
                    <c:v>5.9999999999999984E-3</c:v>
                  </c:pt>
                  <c:pt idx="19">
                    <c:v>1.3249999999999998E-2</c:v>
                  </c:pt>
                  <c:pt idx="20">
                    <c:v>8.5000000000000075E-3</c:v>
                  </c:pt>
                  <c:pt idx="21">
                    <c:v>1.175000000000001E-2</c:v>
                  </c:pt>
                  <c:pt idx="22">
                    <c:v>4.0250000000000008E-2</c:v>
                  </c:pt>
                  <c:pt idx="23">
                    <c:v>3.2499999999999973E-2</c:v>
                  </c:pt>
                  <c:pt idx="24">
                    <c:v>1.9999999999999962E-2</c:v>
                  </c:pt>
                  <c:pt idx="25">
                    <c:v>8.0000000000000071E-2</c:v>
                  </c:pt>
                  <c:pt idx="26">
                    <c:v>0.16500000000000004</c:v>
                  </c:pt>
                  <c:pt idx="27">
                    <c:v>7.7499999999999902E-2</c:v>
                  </c:pt>
                  <c:pt idx="28">
                    <c:v>9.4999999999999751E-2</c:v>
                  </c:pt>
                  <c:pt idx="29">
                    <c:v>7.2500000000000009E-2</c:v>
                  </c:pt>
                  <c:pt idx="30">
                    <c:v>5.7500000000000107E-2</c:v>
                  </c:pt>
                  <c:pt idx="31">
                    <c:v>8.2500000000000018E-2</c:v>
                  </c:pt>
                  <c:pt idx="32">
                    <c:v>0.15239999999999987</c:v>
                  </c:pt>
                  <c:pt idx="33">
                    <c:v>0.15557500000000002</c:v>
                  </c:pt>
                </c:numCache>
              </c:numRef>
            </c:plus>
          </c:errBars>
          <c:cat>
            <c:strRef>
              <c:f>'Growth 2F ANOVA'!$AT$28:$CA$28</c:f>
              <c:strCache>
                <c:ptCount val="34"/>
                <c:pt idx="0">
                  <c:v>CG5</c:v>
                </c:pt>
                <c:pt idx="1">
                  <c:v>CG6</c:v>
                </c:pt>
                <c:pt idx="2">
                  <c:v>CG7</c:v>
                </c:pt>
                <c:pt idx="3">
                  <c:v>CG9</c:v>
                </c:pt>
                <c:pt idx="4">
                  <c:v>CG11</c:v>
                </c:pt>
                <c:pt idx="5">
                  <c:v>CG19</c:v>
                </c:pt>
                <c:pt idx="6">
                  <c:v>CG26</c:v>
                </c:pt>
                <c:pt idx="7">
                  <c:v>CG34</c:v>
                </c:pt>
                <c:pt idx="8">
                  <c:v>CG43</c:v>
                </c:pt>
                <c:pt idx="9">
                  <c:v>CG50</c:v>
                </c:pt>
                <c:pt idx="10">
                  <c:v>CG57</c:v>
                </c:pt>
                <c:pt idx="11">
                  <c:v>CG65</c:v>
                </c:pt>
                <c:pt idx="12">
                  <c:v>CG73</c:v>
                </c:pt>
                <c:pt idx="13">
                  <c:v>CG79</c:v>
                </c:pt>
                <c:pt idx="14">
                  <c:v>CG90</c:v>
                </c:pt>
                <c:pt idx="15">
                  <c:v>CG96</c:v>
                </c:pt>
                <c:pt idx="16">
                  <c:v>CG106</c:v>
                </c:pt>
                <c:pt idx="17">
                  <c:v>CM5</c:v>
                </c:pt>
                <c:pt idx="18">
                  <c:v>CM6</c:v>
                </c:pt>
                <c:pt idx="19">
                  <c:v>CM7</c:v>
                </c:pt>
                <c:pt idx="20">
                  <c:v>CM9</c:v>
                </c:pt>
                <c:pt idx="21">
                  <c:v>CM11</c:v>
                </c:pt>
                <c:pt idx="22">
                  <c:v>CM19</c:v>
                </c:pt>
                <c:pt idx="23">
                  <c:v>CM26</c:v>
                </c:pt>
                <c:pt idx="24">
                  <c:v>CM34</c:v>
                </c:pt>
                <c:pt idx="25">
                  <c:v>CM43</c:v>
                </c:pt>
                <c:pt idx="26">
                  <c:v>CM50</c:v>
                </c:pt>
                <c:pt idx="27">
                  <c:v>CM57</c:v>
                </c:pt>
                <c:pt idx="28">
                  <c:v>CM65</c:v>
                </c:pt>
                <c:pt idx="29">
                  <c:v>CM73</c:v>
                </c:pt>
                <c:pt idx="30">
                  <c:v>CM79</c:v>
                </c:pt>
                <c:pt idx="31">
                  <c:v>CM90</c:v>
                </c:pt>
                <c:pt idx="32">
                  <c:v>CM96</c:v>
                </c:pt>
                <c:pt idx="33">
                  <c:v>CM106</c:v>
                </c:pt>
              </c:strCache>
            </c:strRef>
          </c:cat>
          <c:val>
            <c:numRef>
              <c:f>'Growth 2F ANOVA'!$AT$32:$CA$32</c:f>
              <c:numCache>
                <c:formatCode>General</c:formatCode>
                <c:ptCount val="34"/>
                <c:pt idx="0">
                  <c:v>1.4999999999999996E-3</c:v>
                </c:pt>
                <c:pt idx="1">
                  <c:v>1.4499999999999999E-2</c:v>
                </c:pt>
                <c:pt idx="2">
                  <c:v>9.4999999999999946E-3</c:v>
                </c:pt>
                <c:pt idx="3">
                  <c:v>1.0249999999999981E-2</c:v>
                </c:pt>
                <c:pt idx="4">
                  <c:v>1.1749999999999997E-2</c:v>
                </c:pt>
                <c:pt idx="5">
                  <c:v>1.175000000000001E-2</c:v>
                </c:pt>
                <c:pt idx="6">
                  <c:v>1.0499999999999982E-2</c:v>
                </c:pt>
                <c:pt idx="7">
                  <c:v>4.2499999999999982E-2</c:v>
                </c:pt>
                <c:pt idx="8">
                  <c:v>6.4999999999999947E-2</c:v>
                </c:pt>
                <c:pt idx="9">
                  <c:v>3.0000000000000027E-2</c:v>
                </c:pt>
                <c:pt idx="10">
                  <c:v>6.5000000000000058E-2</c:v>
                </c:pt>
                <c:pt idx="11">
                  <c:v>8.5000000000000187E-2</c:v>
                </c:pt>
                <c:pt idx="12">
                  <c:v>7.9999999999999849E-2</c:v>
                </c:pt>
                <c:pt idx="13">
                  <c:v>3.7500000000000089E-2</c:v>
                </c:pt>
                <c:pt idx="14">
                  <c:v>5.9999999999999831E-2</c:v>
                </c:pt>
                <c:pt idx="15">
                  <c:v>4.9212500000000103E-2</c:v>
                </c:pt>
                <c:pt idx="16">
                  <c:v>3.4925000000000095E-2</c:v>
                </c:pt>
                <c:pt idx="17">
                  <c:v>4.2500000000000003E-3</c:v>
                </c:pt>
                <c:pt idx="18">
                  <c:v>1.1999999999999997E-2</c:v>
                </c:pt>
                <c:pt idx="19">
                  <c:v>1.0749999999999996E-2</c:v>
                </c:pt>
                <c:pt idx="20">
                  <c:v>1.7000000000000001E-2</c:v>
                </c:pt>
                <c:pt idx="21">
                  <c:v>1.3749999999999984E-2</c:v>
                </c:pt>
                <c:pt idx="22">
                  <c:v>3.7750000000000006E-2</c:v>
                </c:pt>
                <c:pt idx="23">
                  <c:v>3.1E-2</c:v>
                </c:pt>
                <c:pt idx="24">
                  <c:v>4.9000000000000044E-2</c:v>
                </c:pt>
                <c:pt idx="25">
                  <c:v>6.4999999999999947E-2</c:v>
                </c:pt>
                <c:pt idx="26">
                  <c:v>9.4999999999999973E-2</c:v>
                </c:pt>
                <c:pt idx="27">
                  <c:v>9.2500000000000027E-2</c:v>
                </c:pt>
                <c:pt idx="28">
                  <c:v>0.14500000000000013</c:v>
                </c:pt>
                <c:pt idx="29">
                  <c:v>0.11250000000000004</c:v>
                </c:pt>
                <c:pt idx="30">
                  <c:v>3.2499999999999973E-2</c:v>
                </c:pt>
                <c:pt idx="31">
                  <c:v>0.10749999999999993</c:v>
                </c:pt>
                <c:pt idx="32">
                  <c:v>0.10160000000000013</c:v>
                </c:pt>
                <c:pt idx="33">
                  <c:v>0.14287500000000009</c:v>
                </c:pt>
              </c:numCache>
            </c:numRef>
          </c:val>
          <c:extLst xmlns:c16r2="http://schemas.microsoft.com/office/drawing/2015/06/chart">
            <c:ext xmlns:c16="http://schemas.microsoft.com/office/drawing/2014/chart" uri="{C3380CC4-5D6E-409C-BE32-E72D297353CC}">
              <c16:uniqueId val="{00000003-4A6B-47DC-A9A7-3F119F779476}"/>
            </c:ext>
          </c:extLst>
        </c:ser>
        <c:dLbls>
          <c:showLegendKey val="0"/>
          <c:showVal val="0"/>
          <c:showCatName val="0"/>
          <c:showSerName val="0"/>
          <c:showPercent val="0"/>
          <c:showBubbleSize val="0"/>
        </c:dLbls>
        <c:gapWidth val="150"/>
        <c:overlap val="100"/>
        <c:axId val="636734576"/>
        <c:axId val="636735360"/>
      </c:barChart>
      <c:scatterChart>
        <c:scatterStyle val="lineMarker"/>
        <c:varyColors val="0"/>
        <c:ser>
          <c:idx val="4"/>
          <c:order val="4"/>
          <c:tx>
            <c:v>m</c:v>
          </c:tx>
          <c:spPr>
            <a:ln w="28575">
              <a:noFill/>
            </a:ln>
          </c:spPr>
          <c:marker>
            <c:symbol val="x"/>
            <c:size val="5"/>
            <c:spPr>
              <a:ln>
                <a:solidFill>
                  <a:srgbClr val="000000"/>
                </a:solidFill>
                <a:prstDash val="solid"/>
              </a:ln>
            </c:spPr>
          </c:marker>
          <c:yVal>
            <c:numRef>
              <c:f>'Growth 2F ANOVA'!$AT$34:$CA$34</c:f>
              <c:numCache>
                <c:formatCode>0.000</c:formatCode>
                <c:ptCount val="34"/>
                <c:pt idx="0">
                  <c:v>5.6666666666666671E-3</c:v>
                </c:pt>
                <c:pt idx="1">
                  <c:v>2.2000000000000002E-2</c:v>
                </c:pt>
                <c:pt idx="2">
                  <c:v>3.5499999999999997E-2</c:v>
                </c:pt>
                <c:pt idx="3">
                  <c:v>8.3000000000000004E-2</c:v>
                </c:pt>
                <c:pt idx="4">
                  <c:v>0.11233333333333333</c:v>
                </c:pt>
                <c:pt idx="5">
                  <c:v>0.16733333333333333</c:v>
                </c:pt>
                <c:pt idx="6">
                  <c:v>0.22116666666666665</c:v>
                </c:pt>
                <c:pt idx="7">
                  <c:v>0.3758333333333333</c:v>
                </c:pt>
                <c:pt idx="8">
                  <c:v>0.59166666666666667</c:v>
                </c:pt>
                <c:pt idx="9">
                  <c:v>0.75666666666666671</c:v>
                </c:pt>
                <c:pt idx="10">
                  <c:v>0.95000000000000007</c:v>
                </c:pt>
                <c:pt idx="11">
                  <c:v>1.0166666666666668</c:v>
                </c:pt>
                <c:pt idx="12">
                  <c:v>1.0766666666666669</c:v>
                </c:pt>
                <c:pt idx="13">
                  <c:v>1.2350000000000001</c:v>
                </c:pt>
                <c:pt idx="14">
                  <c:v>1.3699999999999999</c:v>
                </c:pt>
                <c:pt idx="15">
                  <c:v>1.3472583333333332</c:v>
                </c:pt>
                <c:pt idx="16">
                  <c:v>1.3589</c:v>
                </c:pt>
                <c:pt idx="17">
                  <c:v>4.0000000000000001E-3</c:v>
                </c:pt>
                <c:pt idx="18">
                  <c:v>0.03</c:v>
                </c:pt>
                <c:pt idx="19">
                  <c:v>4.6833333333333338E-2</c:v>
                </c:pt>
                <c:pt idx="20">
                  <c:v>9.4166666666666676E-2</c:v>
                </c:pt>
                <c:pt idx="21">
                  <c:v>0.12883333333333333</c:v>
                </c:pt>
                <c:pt idx="22">
                  <c:v>0.17433333333333334</c:v>
                </c:pt>
                <c:pt idx="23">
                  <c:v>0.22733333333333336</c:v>
                </c:pt>
                <c:pt idx="24">
                  <c:v>0.34600000000000003</c:v>
                </c:pt>
                <c:pt idx="25">
                  <c:v>0.49833333333333335</c:v>
                </c:pt>
                <c:pt idx="26">
                  <c:v>0.66666666666666663</c:v>
                </c:pt>
                <c:pt idx="27">
                  <c:v>0.84</c:v>
                </c:pt>
                <c:pt idx="28">
                  <c:v>0.95666666666666667</c:v>
                </c:pt>
                <c:pt idx="29">
                  <c:v>1.1233333333333335</c:v>
                </c:pt>
                <c:pt idx="30">
                  <c:v>1.3033333333333335</c:v>
                </c:pt>
                <c:pt idx="31">
                  <c:v>1.4266666666666667</c:v>
                </c:pt>
                <c:pt idx="32">
                  <c:v>1.42875</c:v>
                </c:pt>
                <c:pt idx="33">
                  <c:v>1.4647333333333332</c:v>
                </c:pt>
              </c:numCache>
            </c:numRef>
          </c:yVal>
          <c:smooth val="0"/>
          <c:extLst xmlns:c16r2="http://schemas.microsoft.com/office/drawing/2015/06/chart">
            <c:ext xmlns:c16="http://schemas.microsoft.com/office/drawing/2014/chart" uri="{C3380CC4-5D6E-409C-BE32-E72D297353CC}">
              <c16:uniqueId val="{00000004-4A6B-47DC-A9A7-3F119F779476}"/>
            </c:ext>
          </c:extLst>
        </c:ser>
        <c:ser>
          <c:idx val="5"/>
          <c:order val="5"/>
          <c:tx>
            <c:v>x</c:v>
          </c:tx>
          <c:spPr>
            <a:ln w="28575">
              <a:noFill/>
            </a:ln>
          </c:spPr>
          <c:marker>
            <c:symbol val="circle"/>
            <c:size val="5"/>
            <c:spPr>
              <a:solidFill>
                <a:srgbClr val="FFFFFF"/>
              </a:solidFill>
              <a:ln>
                <a:solidFill>
                  <a:srgbClr val="0000FF"/>
                </a:solidFill>
                <a:prstDash val="solid"/>
              </a:ln>
            </c:spPr>
          </c:marker>
          <c:xVal>
            <c:numLit>
              <c:formatCode>General</c:formatCode>
              <c:ptCount val="1"/>
              <c:pt idx="0">
                <c:v>4</c:v>
              </c:pt>
            </c:numLit>
          </c:xVal>
          <c:yVal>
            <c:numRef>
              <c:f>'Growth 2F ANOVA'!$AW$45</c:f>
              <c:numCache>
                <c:formatCode>0.000</c:formatCode>
                <c:ptCount val="1"/>
                <c:pt idx="0">
                  <c:v>0</c:v>
                </c:pt>
              </c:numCache>
            </c:numRef>
          </c:yVal>
          <c:smooth val="0"/>
          <c:extLst xmlns:c16r2="http://schemas.microsoft.com/office/drawing/2015/06/chart">
            <c:ext xmlns:c16="http://schemas.microsoft.com/office/drawing/2014/chart" uri="{C3380CC4-5D6E-409C-BE32-E72D297353CC}">
              <c16:uniqueId val="{00000005-4A6B-47DC-A9A7-3F119F779476}"/>
            </c:ext>
          </c:extLst>
        </c:ser>
        <c:ser>
          <c:idx val="6"/>
          <c:order val="6"/>
          <c:tx>
            <c:v>x</c:v>
          </c:tx>
          <c:spPr>
            <a:ln w="28575">
              <a:noFill/>
            </a:ln>
          </c:spPr>
          <c:marker>
            <c:symbol val="circle"/>
            <c:size val="5"/>
            <c:spPr>
              <a:solidFill>
                <a:srgbClr val="FFFFFF"/>
              </a:solidFill>
              <a:ln>
                <a:solidFill>
                  <a:srgbClr val="0000FF"/>
                </a:solidFill>
                <a:prstDash val="solid"/>
              </a:ln>
            </c:spPr>
          </c:marker>
          <c:xVal>
            <c:numLit>
              <c:formatCode>General</c:formatCode>
              <c:ptCount val="2"/>
              <c:pt idx="0">
                <c:v>5</c:v>
              </c:pt>
              <c:pt idx="1">
                <c:v>5</c:v>
              </c:pt>
            </c:numLit>
          </c:xVal>
          <c:yVal>
            <c:numRef>
              <c:f>'Growth 2F ANOVA'!$AX$45:$AX$46</c:f>
              <c:numCache>
                <c:formatCode>0.000</c:formatCode>
                <c:ptCount val="2"/>
                <c:pt idx="0">
                  <c:v>0.16899999999999998</c:v>
                </c:pt>
                <c:pt idx="1">
                  <c:v>2.8999999999999998E-2</c:v>
                </c:pt>
              </c:numCache>
            </c:numRef>
          </c:yVal>
          <c:smooth val="0"/>
          <c:extLst xmlns:c16r2="http://schemas.microsoft.com/office/drawing/2015/06/chart">
            <c:ext xmlns:c16="http://schemas.microsoft.com/office/drawing/2014/chart" uri="{C3380CC4-5D6E-409C-BE32-E72D297353CC}">
              <c16:uniqueId val="{00000006-4A6B-47DC-A9A7-3F119F779476}"/>
            </c:ext>
          </c:extLst>
        </c:ser>
        <c:ser>
          <c:idx val="7"/>
          <c:order val="7"/>
          <c:tx>
            <c:v>x</c:v>
          </c:tx>
          <c:spPr>
            <a:ln w="28575">
              <a:noFill/>
            </a:ln>
          </c:spPr>
          <c:marker>
            <c:symbol val="circle"/>
            <c:size val="5"/>
            <c:spPr>
              <a:solidFill>
                <a:srgbClr val="FFFFFF"/>
              </a:solidFill>
              <a:ln>
                <a:solidFill>
                  <a:srgbClr val="0000FF"/>
                </a:solidFill>
                <a:prstDash val="solid"/>
              </a:ln>
            </c:spPr>
          </c:marker>
          <c:xVal>
            <c:numLit>
              <c:formatCode>General</c:formatCode>
              <c:ptCount val="1"/>
              <c:pt idx="0">
                <c:v>6</c:v>
              </c:pt>
            </c:numLit>
          </c:xVal>
          <c:yVal>
            <c:numRef>
              <c:f>'Growth 2F ANOVA'!$AY$45</c:f>
              <c:numCache>
                <c:formatCode>0.000</c:formatCode>
                <c:ptCount val="1"/>
                <c:pt idx="0">
                  <c:v>0.22</c:v>
                </c:pt>
              </c:numCache>
            </c:numRef>
          </c:yVal>
          <c:smooth val="0"/>
          <c:extLst xmlns:c16r2="http://schemas.microsoft.com/office/drawing/2015/06/chart">
            <c:ext xmlns:c16="http://schemas.microsoft.com/office/drawing/2014/chart" uri="{C3380CC4-5D6E-409C-BE32-E72D297353CC}">
              <c16:uniqueId val="{00000007-4A6B-47DC-A9A7-3F119F779476}"/>
            </c:ext>
          </c:extLst>
        </c:ser>
        <c:ser>
          <c:idx val="8"/>
          <c:order val="8"/>
          <c:tx>
            <c:v>x</c:v>
          </c:tx>
          <c:spPr>
            <a:ln w="28575">
              <a:noFill/>
            </a:ln>
          </c:spPr>
          <c:marker>
            <c:symbol val="circle"/>
            <c:size val="5"/>
            <c:spPr>
              <a:solidFill>
                <a:srgbClr val="FFFFFF"/>
              </a:solidFill>
              <a:ln>
                <a:solidFill>
                  <a:srgbClr val="0000FF"/>
                </a:solidFill>
                <a:prstDash val="solid"/>
              </a:ln>
            </c:spPr>
          </c:marker>
          <c:xVal>
            <c:numLit>
              <c:formatCode>General</c:formatCode>
              <c:ptCount val="1"/>
              <c:pt idx="0">
                <c:v>16</c:v>
              </c:pt>
            </c:numLit>
          </c:xVal>
          <c:yVal>
            <c:numRef>
              <c:f>'Growth 2F ANOVA'!$BI$45</c:f>
              <c:numCache>
                <c:formatCode>0.000</c:formatCode>
                <c:ptCount val="1"/>
                <c:pt idx="0">
                  <c:v>1.1556999999999999</c:v>
                </c:pt>
              </c:numCache>
            </c:numRef>
          </c:yVal>
          <c:smooth val="0"/>
          <c:extLst xmlns:c16r2="http://schemas.microsoft.com/office/drawing/2015/06/chart">
            <c:ext xmlns:c16="http://schemas.microsoft.com/office/drawing/2014/chart" uri="{C3380CC4-5D6E-409C-BE32-E72D297353CC}">
              <c16:uniqueId val="{00000008-4A6B-47DC-A9A7-3F119F779476}"/>
            </c:ext>
          </c:extLst>
        </c:ser>
        <c:ser>
          <c:idx val="9"/>
          <c:order val="9"/>
          <c:tx>
            <c:v>x</c:v>
          </c:tx>
          <c:spPr>
            <a:ln w="28575">
              <a:noFill/>
            </a:ln>
          </c:spPr>
          <c:marker>
            <c:symbol val="circle"/>
            <c:size val="5"/>
            <c:spPr>
              <a:solidFill>
                <a:srgbClr val="FFFFFF"/>
              </a:solidFill>
              <a:ln>
                <a:solidFill>
                  <a:srgbClr val="0000FF"/>
                </a:solidFill>
                <a:prstDash val="solid"/>
              </a:ln>
            </c:spPr>
          </c:marker>
          <c:xVal>
            <c:numLit>
              <c:formatCode>General</c:formatCode>
              <c:ptCount val="2"/>
              <c:pt idx="0">
                <c:v>17</c:v>
              </c:pt>
              <c:pt idx="1">
                <c:v>17</c:v>
              </c:pt>
            </c:numLit>
          </c:xVal>
          <c:yVal>
            <c:numRef>
              <c:f>'Growth 2F ANOVA'!$BJ$45:$BJ$46</c:f>
              <c:numCache>
                <c:formatCode>0.000</c:formatCode>
                <c:ptCount val="2"/>
                <c:pt idx="0">
                  <c:v>1.2065000000000001</c:v>
                </c:pt>
                <c:pt idx="1">
                  <c:v>1.4985999999999999</c:v>
                </c:pt>
              </c:numCache>
            </c:numRef>
          </c:yVal>
          <c:smooth val="0"/>
          <c:extLst xmlns:c16r2="http://schemas.microsoft.com/office/drawing/2015/06/chart">
            <c:ext xmlns:c16="http://schemas.microsoft.com/office/drawing/2014/chart" uri="{C3380CC4-5D6E-409C-BE32-E72D297353CC}">
              <c16:uniqueId val="{00000009-4A6B-47DC-A9A7-3F119F779476}"/>
            </c:ext>
          </c:extLst>
        </c:ser>
        <c:ser>
          <c:idx val="10"/>
          <c:order val="10"/>
          <c:tx>
            <c:v>x</c:v>
          </c:tx>
          <c:spPr>
            <a:ln w="28575">
              <a:noFill/>
            </a:ln>
          </c:spPr>
          <c:marker>
            <c:symbol val="circle"/>
            <c:size val="5"/>
            <c:spPr>
              <a:solidFill>
                <a:srgbClr val="FFFFFF"/>
              </a:solidFill>
              <a:ln>
                <a:solidFill>
                  <a:srgbClr val="0000FF"/>
                </a:solidFill>
                <a:prstDash val="solid"/>
              </a:ln>
            </c:spPr>
          </c:marker>
          <c:xVal>
            <c:numLit>
              <c:formatCode>General</c:formatCode>
              <c:ptCount val="1"/>
              <c:pt idx="0">
                <c:v>31</c:v>
              </c:pt>
            </c:numLit>
          </c:xVal>
          <c:yVal>
            <c:numRef>
              <c:f>'Growth 2F ANOVA'!$BX$45</c:f>
              <c:numCache>
                <c:formatCode>0.000</c:formatCode>
                <c:ptCount val="1"/>
                <c:pt idx="0">
                  <c:v>1.1500000000000001</c:v>
                </c:pt>
              </c:numCache>
            </c:numRef>
          </c:yVal>
          <c:smooth val="0"/>
          <c:extLst xmlns:c16r2="http://schemas.microsoft.com/office/drawing/2015/06/chart">
            <c:ext xmlns:c16="http://schemas.microsoft.com/office/drawing/2014/chart" uri="{C3380CC4-5D6E-409C-BE32-E72D297353CC}">
              <c16:uniqueId val="{0000000A-4A6B-47DC-A9A7-3F119F779476}"/>
            </c:ext>
          </c:extLst>
        </c:ser>
        <c:dLbls>
          <c:showLegendKey val="0"/>
          <c:showVal val="0"/>
          <c:showCatName val="0"/>
          <c:showSerName val="0"/>
          <c:showPercent val="0"/>
          <c:showBubbleSize val="0"/>
        </c:dLbls>
        <c:axId val="636734576"/>
        <c:axId val="636735360"/>
      </c:scatterChart>
      <c:catAx>
        <c:axId val="636734576"/>
        <c:scaling>
          <c:orientation val="minMax"/>
        </c:scaling>
        <c:delete val="0"/>
        <c:axPos val="b"/>
        <c:numFmt formatCode="General" sourceLinked="1"/>
        <c:majorTickMark val="out"/>
        <c:minorTickMark val="none"/>
        <c:tickLblPos val="nextTo"/>
        <c:crossAx val="636735360"/>
        <c:crosses val="autoZero"/>
        <c:auto val="1"/>
        <c:lblAlgn val="ctr"/>
        <c:lblOffset val="100"/>
        <c:noMultiLvlLbl val="0"/>
      </c:catAx>
      <c:valAx>
        <c:axId val="636735360"/>
        <c:scaling>
          <c:orientation val="minMax"/>
        </c:scaling>
        <c:delete val="0"/>
        <c:axPos val="l"/>
        <c:majorGridlines/>
        <c:title>
          <c:tx>
            <c:rich>
              <a:bodyPr/>
              <a:lstStyle/>
              <a:p>
                <a:pPr>
                  <a:defRPr/>
                </a:pPr>
                <a:r>
                  <a:rPr lang="en-US"/>
                  <a:t>Height (m)</a:t>
                </a:r>
              </a:p>
            </c:rich>
          </c:tx>
          <c:overlay val="0"/>
        </c:title>
        <c:numFmt formatCode="General" sourceLinked="1"/>
        <c:majorTickMark val="out"/>
        <c:minorTickMark val="none"/>
        <c:tickLblPos val="nextTo"/>
        <c:crossAx val="636734576"/>
        <c:crosses val="autoZero"/>
        <c:crossBetween val="between"/>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'Growth 2F ANOVA'!$AF$85</c:f>
              <c:strCache>
                <c:ptCount val="1"/>
                <c:pt idx="0">
                  <c:v>Min</c:v>
                </c:pt>
              </c:strCache>
            </c:strRef>
          </c:tx>
          <c:spPr>
            <a:noFill/>
            <a:extLst>
              <a:ext uri="{909E8E84-426E-40DD-AFC4-6F175D3DCCD1}">
                <a14:hiddenFill xmlns:a14="http://schemas.microsoft.com/office/drawing/2010/main">
                  <a:solidFill>
                    <a:srgbClr val="4F81BD"/>
                  </a:solidFill>
                </a14:hiddenFill>
              </a:ext>
            </a:extLst>
          </c:spPr>
          <c:invertIfNegative val="0"/>
          <c:cat>
            <c:strRef>
              <c:f>'Growth 2F ANOVA'!$AG$84:$AH$84</c:f>
              <c:strCache>
                <c:ptCount val="2"/>
                <c:pt idx="0">
                  <c:v>SG</c:v>
                </c:pt>
                <c:pt idx="1">
                  <c:v>SM</c:v>
                </c:pt>
              </c:strCache>
            </c:strRef>
          </c:cat>
          <c:val>
            <c:numRef>
              <c:f>'Growth 2F ANOVA'!$AG$85:$AH$85</c:f>
              <c:numCache>
                <c:formatCode>General</c:formatCode>
                <c:ptCount val="2"/>
                <c:pt idx="0">
                  <c:v>9.6666666666666672E-3</c:v>
                </c:pt>
                <c:pt idx="1">
                  <c:v>1.1999999999999999E-2</c:v>
                </c:pt>
              </c:numCache>
            </c:numRef>
          </c:val>
          <c:extLst xmlns:c16r2="http://schemas.microsoft.com/office/drawing/2015/06/chart">
            <c:ext xmlns:c16="http://schemas.microsoft.com/office/drawing/2014/chart" uri="{C3380CC4-5D6E-409C-BE32-E72D297353CC}">
              <c16:uniqueId val="{00000000-C168-40AB-A7EB-8407216EA4E0}"/>
            </c:ext>
          </c:extLst>
        </c:ser>
        <c:ser>
          <c:idx val="1"/>
          <c:order val="1"/>
          <c:tx>
            <c:strRef>
              <c:f>'Growth 2F ANOVA'!$AF$86</c:f>
              <c:strCache>
                <c:ptCount val="1"/>
                <c:pt idx="0">
                  <c:v>Q1-Min</c:v>
                </c:pt>
              </c:strCache>
            </c:strRef>
          </c:tx>
          <c:spPr>
            <a:noFill/>
            <a:extLst>
              <a:ext uri="{909E8E84-426E-40DD-AFC4-6F175D3DCCD1}">
                <a14:hiddenFill xmlns:a14="http://schemas.microsoft.com/office/drawing/2010/main">
                  <a:solidFill>
                    <a:srgbClr val="C0504D"/>
                  </a:solidFill>
                </a14:hiddenFill>
              </a:ext>
            </a:extLst>
          </c:spPr>
          <c:invertIfNegative val="0"/>
          <c:errBars>
            <c:errBarType val="minus"/>
            <c:errValType val="percentage"/>
            <c:noEndCap val="0"/>
            <c:val val="100"/>
          </c:errBars>
          <c:cat>
            <c:strRef>
              <c:f>'Growth 2F ANOVA'!$AG$84:$AH$84</c:f>
              <c:strCache>
                <c:ptCount val="2"/>
                <c:pt idx="0">
                  <c:v>SG</c:v>
                </c:pt>
                <c:pt idx="1">
                  <c:v>SM</c:v>
                </c:pt>
              </c:strCache>
            </c:strRef>
          </c:cat>
          <c:val>
            <c:numRef>
              <c:f>'Growth 2F ANOVA'!$AG$86:$AH$86</c:f>
              <c:numCache>
                <c:formatCode>General</c:formatCode>
                <c:ptCount val="2"/>
                <c:pt idx="0">
                  <c:v>4.8875000000000002E-2</c:v>
                </c:pt>
                <c:pt idx="1">
                  <c:v>4.2875000000000003E-2</c:v>
                </c:pt>
              </c:numCache>
            </c:numRef>
          </c:val>
          <c:extLst xmlns:c16r2="http://schemas.microsoft.com/office/drawing/2015/06/chart">
            <c:ext xmlns:c16="http://schemas.microsoft.com/office/drawing/2014/chart" uri="{C3380CC4-5D6E-409C-BE32-E72D297353CC}">
              <c16:uniqueId val="{00000001-C168-40AB-A7EB-8407216EA4E0}"/>
            </c:ext>
          </c:extLst>
        </c:ser>
        <c:ser>
          <c:idx val="2"/>
          <c:order val="2"/>
          <c:tx>
            <c:strRef>
              <c:f>'Growth 2F ANOVA'!$AF$87</c:f>
              <c:strCache>
                <c:ptCount val="1"/>
                <c:pt idx="0">
                  <c:v>Med-Q1</c:v>
                </c:pt>
              </c:strCache>
            </c:strRef>
          </c:tx>
          <c:invertIfNegative val="0"/>
          <c:cat>
            <c:strRef>
              <c:f>'Growth 2F ANOVA'!$AG$84:$AH$84</c:f>
              <c:strCache>
                <c:ptCount val="2"/>
                <c:pt idx="0">
                  <c:v>SG</c:v>
                </c:pt>
                <c:pt idx="1">
                  <c:v>SM</c:v>
                </c:pt>
              </c:strCache>
            </c:strRef>
          </c:cat>
          <c:val>
            <c:numRef>
              <c:f>'Growth 2F ANOVA'!$AG$87:$AH$87</c:f>
              <c:numCache>
                <c:formatCode>General</c:formatCode>
                <c:ptCount val="2"/>
                <c:pt idx="0">
                  <c:v>0.53645833333333326</c:v>
                </c:pt>
                <c:pt idx="1">
                  <c:v>0.41345833333333337</c:v>
                </c:pt>
              </c:numCache>
            </c:numRef>
          </c:val>
          <c:extLst xmlns:c16r2="http://schemas.microsoft.com/office/drawing/2015/06/chart">
            <c:ext xmlns:c16="http://schemas.microsoft.com/office/drawing/2014/chart" uri="{C3380CC4-5D6E-409C-BE32-E72D297353CC}">
              <c16:uniqueId val="{00000002-C168-40AB-A7EB-8407216EA4E0}"/>
            </c:ext>
          </c:extLst>
        </c:ser>
        <c:ser>
          <c:idx val="3"/>
          <c:order val="3"/>
          <c:tx>
            <c:strRef>
              <c:f>'Growth 2F ANOVA'!$AF$88</c:f>
              <c:strCache>
                <c:ptCount val="1"/>
                <c:pt idx="0">
                  <c:v>Q3-Med</c:v>
                </c:pt>
              </c:strCache>
            </c:strRef>
          </c:tx>
          <c:invertIfNegative val="0"/>
          <c:errBars>
            <c:errBarType val="plus"/>
            <c:errValType val="cust"/>
            <c:noEndCap val="0"/>
            <c:plus>
              <c:numRef>
                <c:f>'Growth 2F ANOVA'!$AG$89:$AH$89</c:f>
                <c:numCache>
                  <c:formatCode>General</c:formatCode>
                  <c:ptCount val="2"/>
                  <c:pt idx="0">
                    <c:v>5.7083333333333153E-2</c:v>
                  </c:pt>
                  <c:pt idx="1">
                    <c:v>4.0677083333333308E-2</c:v>
                  </c:pt>
                </c:numCache>
              </c:numRef>
            </c:plus>
          </c:errBars>
          <c:cat>
            <c:strRef>
              <c:f>'Growth 2F ANOVA'!$AG$84:$AH$84</c:f>
              <c:strCache>
                <c:ptCount val="2"/>
                <c:pt idx="0">
                  <c:v>SG</c:v>
                </c:pt>
                <c:pt idx="1">
                  <c:v>SM</c:v>
                </c:pt>
              </c:strCache>
            </c:strRef>
          </c:cat>
          <c:val>
            <c:numRef>
              <c:f>'Growth 2F ANOVA'!$AG$88:$AH$88</c:f>
              <c:numCache>
                <c:formatCode>General</c:formatCode>
                <c:ptCount val="2"/>
                <c:pt idx="0">
                  <c:v>0.1379166666666668</c:v>
                </c:pt>
                <c:pt idx="1">
                  <c:v>0.28598958333333324</c:v>
                </c:pt>
              </c:numCache>
            </c:numRef>
          </c:val>
          <c:extLst xmlns:c16r2="http://schemas.microsoft.com/office/drawing/2015/06/chart">
            <c:ext xmlns:c16="http://schemas.microsoft.com/office/drawing/2014/chart" uri="{C3380CC4-5D6E-409C-BE32-E72D297353CC}">
              <c16:uniqueId val="{00000003-C168-40AB-A7EB-8407216EA4E0}"/>
            </c:ext>
          </c:extLst>
        </c:ser>
        <c:dLbls>
          <c:showLegendKey val="0"/>
          <c:showVal val="0"/>
          <c:showCatName val="0"/>
          <c:showSerName val="0"/>
          <c:showPercent val="0"/>
          <c:showBubbleSize val="0"/>
        </c:dLbls>
        <c:gapWidth val="150"/>
        <c:overlap val="100"/>
        <c:axId val="636736144"/>
        <c:axId val="636739280"/>
      </c:barChart>
      <c:scatterChart>
        <c:scatterStyle val="lineMarker"/>
        <c:varyColors val="0"/>
        <c:ser>
          <c:idx val="4"/>
          <c:order val="4"/>
          <c:tx>
            <c:v>m</c:v>
          </c:tx>
          <c:spPr>
            <a:ln w="28575">
              <a:noFill/>
            </a:ln>
          </c:spPr>
          <c:marker>
            <c:symbol val="x"/>
            <c:size val="5"/>
            <c:spPr>
              <a:ln>
                <a:solidFill>
                  <a:srgbClr val="000000"/>
                </a:solidFill>
                <a:prstDash val="solid"/>
              </a:ln>
            </c:spPr>
          </c:marker>
          <c:yVal>
            <c:numRef>
              <c:f>'Growth 2F ANOVA'!$AG$90:$AH$90</c:f>
              <c:numCache>
                <c:formatCode>General</c:formatCode>
                <c:ptCount val="2"/>
                <c:pt idx="0">
                  <c:v>0.442646875</c:v>
                </c:pt>
                <c:pt idx="1">
                  <c:v>0.42262239583333328</c:v>
                </c:pt>
              </c:numCache>
            </c:numRef>
          </c:yVal>
          <c:smooth val="0"/>
          <c:extLst xmlns:c16r2="http://schemas.microsoft.com/office/drawing/2015/06/chart">
            <c:ext xmlns:c16="http://schemas.microsoft.com/office/drawing/2014/chart" uri="{C3380CC4-5D6E-409C-BE32-E72D297353CC}">
              <c16:uniqueId val="{00000004-C168-40AB-A7EB-8407216EA4E0}"/>
            </c:ext>
          </c:extLst>
        </c:ser>
        <c:dLbls>
          <c:showLegendKey val="0"/>
          <c:showVal val="0"/>
          <c:showCatName val="0"/>
          <c:showSerName val="0"/>
          <c:showPercent val="0"/>
          <c:showBubbleSize val="0"/>
        </c:dLbls>
        <c:axId val="636736144"/>
        <c:axId val="636739280"/>
      </c:scatterChart>
      <c:catAx>
        <c:axId val="636736144"/>
        <c:scaling>
          <c:orientation val="minMax"/>
        </c:scaling>
        <c:delete val="0"/>
        <c:axPos val="b"/>
        <c:numFmt formatCode="General" sourceLinked="1"/>
        <c:majorTickMark val="out"/>
        <c:minorTickMark val="none"/>
        <c:tickLblPos val="nextTo"/>
        <c:crossAx val="636739280"/>
        <c:crosses val="autoZero"/>
        <c:auto val="1"/>
        <c:lblAlgn val="ctr"/>
        <c:lblOffset val="100"/>
        <c:noMultiLvlLbl val="0"/>
      </c:catAx>
      <c:valAx>
        <c:axId val="636739280"/>
        <c:scaling>
          <c:orientation val="minMax"/>
        </c:scaling>
        <c:delete val="0"/>
        <c:axPos val="l"/>
        <c:majorGridlines/>
        <c:title>
          <c:tx>
            <c:rich>
              <a:bodyPr/>
              <a:lstStyle/>
              <a:p>
                <a:pPr>
                  <a:defRPr/>
                </a:pPr>
                <a:r>
                  <a:rPr lang="en-US"/>
                  <a:t>Height (m)</a:t>
                </a:r>
              </a:p>
            </c:rich>
          </c:tx>
          <c:overlay val="0"/>
        </c:title>
        <c:numFmt formatCode="General" sourceLinked="1"/>
        <c:majorTickMark val="out"/>
        <c:minorTickMark val="none"/>
        <c:tickLblPos val="nextTo"/>
        <c:crossAx val="636736144"/>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'Growth 2F ANOVA'!$AS$93</c:f>
              <c:strCache>
                <c:ptCount val="1"/>
                <c:pt idx="0">
                  <c:v>Min</c:v>
                </c:pt>
              </c:strCache>
            </c:strRef>
          </c:tx>
          <c:spPr>
            <a:noFill/>
            <a:extLst>
              <a:ext uri="{909E8E84-426E-40DD-AFC4-6F175D3DCCD1}">
                <a14:hiddenFill xmlns:a14="http://schemas.microsoft.com/office/drawing/2010/main">
                  <a:solidFill>
                    <a:srgbClr val="4F81BD"/>
                  </a:solidFill>
                </a14:hiddenFill>
              </a:ext>
            </a:extLst>
          </c:spPr>
          <c:invertIfNegative val="0"/>
          <c:cat>
            <c:strRef>
              <c:f>'Growth 2F ANOVA'!$AT$92:$BY$92</c:f>
              <c:strCache>
                <c:ptCount val="32"/>
                <c:pt idx="0">
                  <c:v>SG5</c:v>
                </c:pt>
                <c:pt idx="1">
                  <c:v>SG6</c:v>
                </c:pt>
                <c:pt idx="2">
                  <c:v>SG7</c:v>
                </c:pt>
                <c:pt idx="3">
                  <c:v>SG9</c:v>
                </c:pt>
                <c:pt idx="4">
                  <c:v>SG11</c:v>
                </c:pt>
                <c:pt idx="5">
                  <c:v>SG26</c:v>
                </c:pt>
                <c:pt idx="6">
                  <c:v>SG34</c:v>
                </c:pt>
                <c:pt idx="7">
                  <c:v>SG43</c:v>
                </c:pt>
                <c:pt idx="8">
                  <c:v>SG50</c:v>
                </c:pt>
                <c:pt idx="9">
                  <c:v>SG57</c:v>
                </c:pt>
                <c:pt idx="10">
                  <c:v>SG65</c:v>
                </c:pt>
                <c:pt idx="11">
                  <c:v>SG73</c:v>
                </c:pt>
                <c:pt idx="12">
                  <c:v>SG79</c:v>
                </c:pt>
                <c:pt idx="13">
                  <c:v>SG90</c:v>
                </c:pt>
                <c:pt idx="14">
                  <c:v>SG96</c:v>
                </c:pt>
                <c:pt idx="15">
                  <c:v>SG106</c:v>
                </c:pt>
                <c:pt idx="16">
                  <c:v>SM5</c:v>
                </c:pt>
                <c:pt idx="17">
                  <c:v>SM6</c:v>
                </c:pt>
                <c:pt idx="18">
                  <c:v>SM7</c:v>
                </c:pt>
                <c:pt idx="19">
                  <c:v>SM9</c:v>
                </c:pt>
                <c:pt idx="20">
                  <c:v>SM11</c:v>
                </c:pt>
                <c:pt idx="21">
                  <c:v>SM26</c:v>
                </c:pt>
                <c:pt idx="22">
                  <c:v>SM34</c:v>
                </c:pt>
                <c:pt idx="23">
                  <c:v>SM43</c:v>
                </c:pt>
                <c:pt idx="24">
                  <c:v>SM50</c:v>
                </c:pt>
                <c:pt idx="25">
                  <c:v>SM57</c:v>
                </c:pt>
                <c:pt idx="26">
                  <c:v>SM65</c:v>
                </c:pt>
                <c:pt idx="27">
                  <c:v>SM73</c:v>
                </c:pt>
                <c:pt idx="28">
                  <c:v>SM79</c:v>
                </c:pt>
                <c:pt idx="29">
                  <c:v>SM90</c:v>
                </c:pt>
                <c:pt idx="30">
                  <c:v>SM96</c:v>
                </c:pt>
                <c:pt idx="31">
                  <c:v>SM106</c:v>
                </c:pt>
              </c:strCache>
            </c:strRef>
          </c:cat>
          <c:val>
            <c:numRef>
              <c:f>'Growth 2F ANOVA'!$AT$93:$BY$93</c:f>
              <c:numCache>
                <c:formatCode>General</c:formatCode>
                <c:ptCount val="32"/>
                <c:pt idx="0">
                  <c:v>5.0000000000000001E-3</c:v>
                </c:pt>
                <c:pt idx="1">
                  <c:v>8.0000000000000002E-3</c:v>
                </c:pt>
                <c:pt idx="2">
                  <c:v>1.2E-2</c:v>
                </c:pt>
                <c:pt idx="3">
                  <c:v>2.3E-2</c:v>
                </c:pt>
                <c:pt idx="4">
                  <c:v>3.6000000000000004E-2</c:v>
                </c:pt>
                <c:pt idx="5">
                  <c:v>0.11699999999999999</c:v>
                </c:pt>
                <c:pt idx="6">
                  <c:v>0.23</c:v>
                </c:pt>
                <c:pt idx="7">
                  <c:v>0.32</c:v>
                </c:pt>
                <c:pt idx="8">
                  <c:v>0.56000000000000005</c:v>
                </c:pt>
                <c:pt idx="9">
                  <c:v>0.56000000000000005</c:v>
                </c:pt>
                <c:pt idx="10">
                  <c:v>0.61</c:v>
                </c:pt>
                <c:pt idx="11">
                  <c:v>0.65</c:v>
                </c:pt>
                <c:pt idx="12">
                  <c:v>0.72</c:v>
                </c:pt>
                <c:pt idx="13">
                  <c:v>0.57999999999999996</c:v>
                </c:pt>
                <c:pt idx="14">
                  <c:v>0.57999999999999996</c:v>
                </c:pt>
                <c:pt idx="15">
                  <c:v>0.57150000000000001</c:v>
                </c:pt>
                <c:pt idx="16">
                  <c:v>8.0000000000000002E-3</c:v>
                </c:pt>
                <c:pt idx="17">
                  <c:v>1.3000000000000001E-2</c:v>
                </c:pt>
                <c:pt idx="18">
                  <c:v>0.03</c:v>
                </c:pt>
                <c:pt idx="19">
                  <c:v>3.6000000000000004E-2</c:v>
                </c:pt>
                <c:pt idx="20">
                  <c:v>4.2999999999999997E-2</c:v>
                </c:pt>
                <c:pt idx="21">
                  <c:v>0.11900000000000001</c:v>
                </c:pt>
                <c:pt idx="22">
                  <c:v>0.187</c:v>
                </c:pt>
                <c:pt idx="23">
                  <c:v>0.28000000000000003</c:v>
                </c:pt>
                <c:pt idx="24">
                  <c:v>0.36</c:v>
                </c:pt>
                <c:pt idx="25">
                  <c:v>0.56000000000000005</c:v>
                </c:pt>
                <c:pt idx="26">
                  <c:v>0.62</c:v>
                </c:pt>
                <c:pt idx="27">
                  <c:v>0.68</c:v>
                </c:pt>
                <c:pt idx="28">
                  <c:v>0.72</c:v>
                </c:pt>
                <c:pt idx="29">
                  <c:v>0.65</c:v>
                </c:pt>
                <c:pt idx="30">
                  <c:v>0.75</c:v>
                </c:pt>
                <c:pt idx="31">
                  <c:v>0.75565000000000004</c:v>
                </c:pt>
              </c:numCache>
            </c:numRef>
          </c:val>
          <c:extLst xmlns:c16r2="http://schemas.microsoft.com/office/drawing/2015/06/chart">
            <c:ext xmlns:c16="http://schemas.microsoft.com/office/drawing/2014/chart" uri="{C3380CC4-5D6E-409C-BE32-E72D297353CC}">
              <c16:uniqueId val="{00000000-6136-4DFC-8D28-36E4DBA856CE}"/>
            </c:ext>
          </c:extLst>
        </c:ser>
        <c:ser>
          <c:idx val="1"/>
          <c:order val="1"/>
          <c:tx>
            <c:strRef>
              <c:f>'Growth 2F ANOVA'!$AS$94</c:f>
              <c:strCache>
                <c:ptCount val="1"/>
                <c:pt idx="0">
                  <c:v>Q1-Min</c:v>
                </c:pt>
              </c:strCache>
            </c:strRef>
          </c:tx>
          <c:spPr>
            <a:noFill/>
            <a:extLst>
              <a:ext uri="{909E8E84-426E-40DD-AFC4-6F175D3DCCD1}">
                <a14:hiddenFill xmlns:a14="http://schemas.microsoft.com/office/drawing/2010/main">
                  <a:solidFill>
                    <a:srgbClr val="C0504D"/>
                  </a:solidFill>
                </a14:hiddenFill>
              </a:ext>
            </a:extLst>
          </c:spPr>
          <c:invertIfNegative val="0"/>
          <c:errBars>
            <c:errBarType val="minus"/>
            <c:errValType val="percentage"/>
            <c:noEndCap val="0"/>
            <c:val val="100"/>
          </c:errBars>
          <c:cat>
            <c:strRef>
              <c:f>'Growth 2F ANOVA'!$AT$92:$BY$92</c:f>
              <c:strCache>
                <c:ptCount val="32"/>
                <c:pt idx="0">
                  <c:v>SG5</c:v>
                </c:pt>
                <c:pt idx="1">
                  <c:v>SG6</c:v>
                </c:pt>
                <c:pt idx="2">
                  <c:v>SG7</c:v>
                </c:pt>
                <c:pt idx="3">
                  <c:v>SG9</c:v>
                </c:pt>
                <c:pt idx="4">
                  <c:v>SG11</c:v>
                </c:pt>
                <c:pt idx="5">
                  <c:v>SG26</c:v>
                </c:pt>
                <c:pt idx="6">
                  <c:v>SG34</c:v>
                </c:pt>
                <c:pt idx="7">
                  <c:v>SG43</c:v>
                </c:pt>
                <c:pt idx="8">
                  <c:v>SG50</c:v>
                </c:pt>
                <c:pt idx="9">
                  <c:v>SG57</c:v>
                </c:pt>
                <c:pt idx="10">
                  <c:v>SG65</c:v>
                </c:pt>
                <c:pt idx="11">
                  <c:v>SG73</c:v>
                </c:pt>
                <c:pt idx="12">
                  <c:v>SG79</c:v>
                </c:pt>
                <c:pt idx="13">
                  <c:v>SG90</c:v>
                </c:pt>
                <c:pt idx="14">
                  <c:v>SG96</c:v>
                </c:pt>
                <c:pt idx="15">
                  <c:v>SG106</c:v>
                </c:pt>
                <c:pt idx="16">
                  <c:v>SM5</c:v>
                </c:pt>
                <c:pt idx="17">
                  <c:v>SM6</c:v>
                </c:pt>
                <c:pt idx="18">
                  <c:v>SM7</c:v>
                </c:pt>
                <c:pt idx="19">
                  <c:v>SM9</c:v>
                </c:pt>
                <c:pt idx="20">
                  <c:v>SM11</c:v>
                </c:pt>
                <c:pt idx="21">
                  <c:v>SM26</c:v>
                </c:pt>
                <c:pt idx="22">
                  <c:v>SM34</c:v>
                </c:pt>
                <c:pt idx="23">
                  <c:v>SM43</c:v>
                </c:pt>
                <c:pt idx="24">
                  <c:v>SM50</c:v>
                </c:pt>
                <c:pt idx="25">
                  <c:v>SM57</c:v>
                </c:pt>
                <c:pt idx="26">
                  <c:v>SM65</c:v>
                </c:pt>
                <c:pt idx="27">
                  <c:v>SM73</c:v>
                </c:pt>
                <c:pt idx="28">
                  <c:v>SM79</c:v>
                </c:pt>
                <c:pt idx="29">
                  <c:v>SM90</c:v>
                </c:pt>
                <c:pt idx="30">
                  <c:v>SM96</c:v>
                </c:pt>
                <c:pt idx="31">
                  <c:v>SM106</c:v>
                </c:pt>
              </c:strCache>
            </c:strRef>
          </c:cat>
          <c:val>
            <c:numRef>
              <c:f>'Growth 2F ANOVA'!$AT$94:$BY$94</c:f>
              <c:numCache>
                <c:formatCode>General</c:formatCode>
                <c:ptCount val="32"/>
                <c:pt idx="0">
                  <c:v>7.499999999999998E-4</c:v>
                </c:pt>
                <c:pt idx="1">
                  <c:v>7.7499999999999999E-3</c:v>
                </c:pt>
                <c:pt idx="2">
                  <c:v>9.2500000000000013E-3</c:v>
                </c:pt>
                <c:pt idx="3">
                  <c:v>9.5000000000000015E-3</c:v>
                </c:pt>
                <c:pt idx="4">
                  <c:v>1.7250000000000001E-2</c:v>
                </c:pt>
                <c:pt idx="5">
                  <c:v>3.3750000000000002E-2</c:v>
                </c:pt>
                <c:pt idx="6">
                  <c:v>4.1249999999999981E-2</c:v>
                </c:pt>
                <c:pt idx="7">
                  <c:v>0.10499999999999998</c:v>
                </c:pt>
                <c:pt idx="8">
                  <c:v>6.7499999999999893E-2</c:v>
                </c:pt>
                <c:pt idx="9">
                  <c:v>0.16749999999999998</c:v>
                </c:pt>
                <c:pt idx="10">
                  <c:v>0.10000000000000009</c:v>
                </c:pt>
                <c:pt idx="11">
                  <c:v>8.9999999999999969E-2</c:v>
                </c:pt>
                <c:pt idx="12">
                  <c:v>5.0000000000000044E-2</c:v>
                </c:pt>
                <c:pt idx="13">
                  <c:v>0.12250000000000005</c:v>
                </c:pt>
                <c:pt idx="14">
                  <c:v>0.1100000000000001</c:v>
                </c:pt>
                <c:pt idx="15">
                  <c:v>0.117475</c:v>
                </c:pt>
                <c:pt idx="16">
                  <c:v>2E-3</c:v>
                </c:pt>
                <c:pt idx="17">
                  <c:v>8.9999999999999976E-3</c:v>
                </c:pt>
                <c:pt idx="18">
                  <c:v>2.0000000000000018E-3</c:v>
                </c:pt>
                <c:pt idx="19">
                  <c:v>1.2500000000000011E-3</c:v>
                </c:pt>
                <c:pt idx="20">
                  <c:v>1.125000000000001E-2</c:v>
                </c:pt>
                <c:pt idx="21">
                  <c:v>5.499999999999991E-3</c:v>
                </c:pt>
                <c:pt idx="22">
                  <c:v>4.0000000000000008E-2</c:v>
                </c:pt>
                <c:pt idx="23">
                  <c:v>8.9999999999999969E-2</c:v>
                </c:pt>
                <c:pt idx="24">
                  <c:v>5.0000000000000044E-2</c:v>
                </c:pt>
                <c:pt idx="25">
                  <c:v>3.7499999999999867E-2</c:v>
                </c:pt>
                <c:pt idx="26">
                  <c:v>4.2499999999999982E-2</c:v>
                </c:pt>
                <c:pt idx="27">
                  <c:v>3.7499999999999978E-2</c:v>
                </c:pt>
                <c:pt idx="28">
                  <c:v>3.2499999999999973E-2</c:v>
                </c:pt>
                <c:pt idx="29">
                  <c:v>9.9999999999999978E-2</c:v>
                </c:pt>
                <c:pt idx="30">
                  <c:v>7.5000000000000622E-3</c:v>
                </c:pt>
                <c:pt idx="31">
                  <c:v>1.5874999999999639E-3</c:v>
                </c:pt>
              </c:numCache>
            </c:numRef>
          </c:val>
          <c:extLst xmlns:c16r2="http://schemas.microsoft.com/office/drawing/2015/06/chart">
            <c:ext xmlns:c16="http://schemas.microsoft.com/office/drawing/2014/chart" uri="{C3380CC4-5D6E-409C-BE32-E72D297353CC}">
              <c16:uniqueId val="{00000001-6136-4DFC-8D28-36E4DBA856CE}"/>
            </c:ext>
          </c:extLst>
        </c:ser>
        <c:ser>
          <c:idx val="2"/>
          <c:order val="2"/>
          <c:tx>
            <c:strRef>
              <c:f>'Growth 2F ANOVA'!$AS$95</c:f>
              <c:strCache>
                <c:ptCount val="1"/>
                <c:pt idx="0">
                  <c:v>Med-Q1</c:v>
                </c:pt>
              </c:strCache>
            </c:strRef>
          </c:tx>
          <c:invertIfNegative val="0"/>
          <c:cat>
            <c:strRef>
              <c:f>'Growth 2F ANOVA'!$AT$92:$BY$92</c:f>
              <c:strCache>
                <c:ptCount val="32"/>
                <c:pt idx="0">
                  <c:v>SG5</c:v>
                </c:pt>
                <c:pt idx="1">
                  <c:v>SG6</c:v>
                </c:pt>
                <c:pt idx="2">
                  <c:v>SG7</c:v>
                </c:pt>
                <c:pt idx="3">
                  <c:v>SG9</c:v>
                </c:pt>
                <c:pt idx="4">
                  <c:v>SG11</c:v>
                </c:pt>
                <c:pt idx="5">
                  <c:v>SG26</c:v>
                </c:pt>
                <c:pt idx="6">
                  <c:v>SG34</c:v>
                </c:pt>
                <c:pt idx="7">
                  <c:v>SG43</c:v>
                </c:pt>
                <c:pt idx="8">
                  <c:v>SG50</c:v>
                </c:pt>
                <c:pt idx="9">
                  <c:v>SG57</c:v>
                </c:pt>
                <c:pt idx="10">
                  <c:v>SG65</c:v>
                </c:pt>
                <c:pt idx="11">
                  <c:v>SG73</c:v>
                </c:pt>
                <c:pt idx="12">
                  <c:v>SG79</c:v>
                </c:pt>
                <c:pt idx="13">
                  <c:v>SG90</c:v>
                </c:pt>
                <c:pt idx="14">
                  <c:v>SG96</c:v>
                </c:pt>
                <c:pt idx="15">
                  <c:v>SG106</c:v>
                </c:pt>
                <c:pt idx="16">
                  <c:v>SM5</c:v>
                </c:pt>
                <c:pt idx="17">
                  <c:v>SM6</c:v>
                </c:pt>
                <c:pt idx="18">
                  <c:v>SM7</c:v>
                </c:pt>
                <c:pt idx="19">
                  <c:v>SM9</c:v>
                </c:pt>
                <c:pt idx="20">
                  <c:v>SM11</c:v>
                </c:pt>
                <c:pt idx="21">
                  <c:v>SM26</c:v>
                </c:pt>
                <c:pt idx="22">
                  <c:v>SM34</c:v>
                </c:pt>
                <c:pt idx="23">
                  <c:v>SM43</c:v>
                </c:pt>
                <c:pt idx="24">
                  <c:v>SM50</c:v>
                </c:pt>
                <c:pt idx="25">
                  <c:v>SM57</c:v>
                </c:pt>
                <c:pt idx="26">
                  <c:v>SM65</c:v>
                </c:pt>
                <c:pt idx="27">
                  <c:v>SM73</c:v>
                </c:pt>
                <c:pt idx="28">
                  <c:v>SM79</c:v>
                </c:pt>
                <c:pt idx="29">
                  <c:v>SM90</c:v>
                </c:pt>
                <c:pt idx="30">
                  <c:v>SM96</c:v>
                </c:pt>
                <c:pt idx="31">
                  <c:v>SM106</c:v>
                </c:pt>
              </c:strCache>
            </c:strRef>
          </c:cat>
          <c:val>
            <c:numRef>
              <c:f>'Growth 2F ANOVA'!$AT$95:$BY$95</c:f>
              <c:numCache>
                <c:formatCode>General</c:formatCode>
                <c:ptCount val="32"/>
                <c:pt idx="0">
                  <c:v>3.2500000000000012E-3</c:v>
                </c:pt>
                <c:pt idx="1">
                  <c:v>4.7500000000000007E-3</c:v>
                </c:pt>
                <c:pt idx="2">
                  <c:v>4.2500000000000003E-3</c:v>
                </c:pt>
                <c:pt idx="3">
                  <c:v>9.5000000000000015E-3</c:v>
                </c:pt>
                <c:pt idx="4">
                  <c:v>1.4749999999999999E-2</c:v>
                </c:pt>
                <c:pt idx="5">
                  <c:v>3.2750000000000001E-2</c:v>
                </c:pt>
                <c:pt idx="6">
                  <c:v>2.8749999999999998E-2</c:v>
                </c:pt>
                <c:pt idx="7">
                  <c:v>3.999999999999998E-2</c:v>
                </c:pt>
                <c:pt idx="8">
                  <c:v>8.7500000000000133E-2</c:v>
                </c:pt>
                <c:pt idx="9">
                  <c:v>6.7500000000000004E-2</c:v>
                </c:pt>
                <c:pt idx="10">
                  <c:v>4.4999999999999929E-2</c:v>
                </c:pt>
                <c:pt idx="11">
                  <c:v>1.5000000000000013E-2</c:v>
                </c:pt>
                <c:pt idx="12">
                  <c:v>1.0000000000000009E-2</c:v>
                </c:pt>
                <c:pt idx="13">
                  <c:v>4.7499999999999987E-2</c:v>
                </c:pt>
                <c:pt idx="14">
                  <c:v>1.5000000000000013E-2</c:v>
                </c:pt>
                <c:pt idx="15">
                  <c:v>1.5874999999999972E-2</c:v>
                </c:pt>
                <c:pt idx="16">
                  <c:v>1.4999999999999996E-3</c:v>
                </c:pt>
                <c:pt idx="17">
                  <c:v>6.9999999999999993E-3</c:v>
                </c:pt>
                <c:pt idx="18">
                  <c:v>3.5000000000000031E-3</c:v>
                </c:pt>
                <c:pt idx="19">
                  <c:v>2.2499999999999881E-3</c:v>
                </c:pt>
                <c:pt idx="20">
                  <c:v>4.2499999999999968E-3</c:v>
                </c:pt>
                <c:pt idx="21">
                  <c:v>2.300000000000002E-2</c:v>
                </c:pt>
                <c:pt idx="22">
                  <c:v>2.8499999999999998E-2</c:v>
                </c:pt>
                <c:pt idx="23">
                  <c:v>7.5000000000000011E-2</c:v>
                </c:pt>
                <c:pt idx="24">
                  <c:v>0.16000000000000003</c:v>
                </c:pt>
                <c:pt idx="25">
                  <c:v>8.2500000000000018E-2</c:v>
                </c:pt>
                <c:pt idx="26">
                  <c:v>7.7500000000000013E-2</c:v>
                </c:pt>
                <c:pt idx="27">
                  <c:v>2.7499999999999969E-2</c:v>
                </c:pt>
                <c:pt idx="28">
                  <c:v>2.2500000000000075E-2</c:v>
                </c:pt>
                <c:pt idx="29">
                  <c:v>1.0000000000000009E-2</c:v>
                </c:pt>
                <c:pt idx="30">
                  <c:v>2.2499999999999964E-2</c:v>
                </c:pt>
                <c:pt idx="31">
                  <c:v>4.7625000000000028E-3</c:v>
                </c:pt>
              </c:numCache>
            </c:numRef>
          </c:val>
          <c:extLst xmlns:c16r2="http://schemas.microsoft.com/office/drawing/2015/06/chart">
            <c:ext xmlns:c16="http://schemas.microsoft.com/office/drawing/2014/chart" uri="{C3380CC4-5D6E-409C-BE32-E72D297353CC}">
              <c16:uniqueId val="{00000002-6136-4DFC-8D28-36E4DBA856CE}"/>
            </c:ext>
          </c:extLst>
        </c:ser>
        <c:ser>
          <c:idx val="3"/>
          <c:order val="3"/>
          <c:tx>
            <c:strRef>
              <c:f>'Growth 2F ANOVA'!$AS$96</c:f>
              <c:strCache>
                <c:ptCount val="1"/>
                <c:pt idx="0">
                  <c:v>Q3-Med</c:v>
                </c:pt>
              </c:strCache>
            </c:strRef>
          </c:tx>
          <c:invertIfNegative val="0"/>
          <c:errBars>
            <c:errBarType val="plus"/>
            <c:errValType val="cust"/>
            <c:noEndCap val="0"/>
            <c:plus>
              <c:numRef>
                <c:f>'Growth 2F ANOVA'!$AT$97:$BY$97</c:f>
                <c:numCache>
                  <c:formatCode>General</c:formatCode>
                  <c:ptCount val="32"/>
                  <c:pt idx="0">
                    <c:v>0</c:v>
                  </c:pt>
                  <c:pt idx="1">
                    <c:v>1.7750000000000002E-2</c:v>
                  </c:pt>
                  <c:pt idx="2">
                    <c:v>5.4999999999999979E-3</c:v>
                  </c:pt>
                  <c:pt idx="3">
                    <c:v>2.9749999999999985E-2</c:v>
                  </c:pt>
                  <c:pt idx="4">
                    <c:v>5.5000000000000049E-3</c:v>
                  </c:pt>
                  <c:pt idx="5">
                    <c:v>2.0000000000000018E-3</c:v>
                  </c:pt>
                  <c:pt idx="6">
                    <c:v>8.0000000000000016E-2</c:v>
                  </c:pt>
                  <c:pt idx="7">
                    <c:v>9.7500000000000031E-2</c:v>
                  </c:pt>
                  <c:pt idx="8">
                    <c:v>4.7500000000000098E-2</c:v>
                  </c:pt>
                  <c:pt idx="9">
                    <c:v>5.7499999999999996E-2</c:v>
                  </c:pt>
                  <c:pt idx="10">
                    <c:v>8.7500000000000022E-2</c:v>
                  </c:pt>
                  <c:pt idx="11">
                    <c:v>4.4999999999999929E-2</c:v>
                  </c:pt>
                  <c:pt idx="12">
                    <c:v>2.2499999999999964E-2</c:v>
                  </c:pt>
                  <c:pt idx="13">
                    <c:v>5.0000000000000044E-2</c:v>
                  </c:pt>
                  <c:pt idx="14">
                    <c:v>5.0000000000000044E-2</c:v>
                  </c:pt>
                  <c:pt idx="15">
                    <c:v>3.9687500000000098E-2</c:v>
                  </c:pt>
                  <c:pt idx="16">
                    <c:v>5.000000000000001E-3</c:v>
                  </c:pt>
                  <c:pt idx="17">
                    <c:v>6.0000000000000053E-3</c:v>
                  </c:pt>
                  <c:pt idx="18">
                    <c:v>1.0000000000000009E-3</c:v>
                  </c:pt>
                  <c:pt idx="19">
                    <c:v>7.4999999999999997E-3</c:v>
                  </c:pt>
                  <c:pt idx="20">
                    <c:v>1.525E-2</c:v>
                  </c:pt>
                  <c:pt idx="21">
                    <c:v>5.4249999999999993E-2</c:v>
                  </c:pt>
                  <c:pt idx="22">
                    <c:v>6.024999999999997E-2</c:v>
                  </c:pt>
                  <c:pt idx="23">
                    <c:v>1.9999999999999962E-2</c:v>
                  </c:pt>
                  <c:pt idx="24">
                    <c:v>1.749999999999996E-2</c:v>
                  </c:pt>
                  <c:pt idx="25">
                    <c:v>1.7500000000000071E-2</c:v>
                  </c:pt>
                  <c:pt idx="26">
                    <c:v>0</c:v>
                  </c:pt>
                  <c:pt idx="27">
                    <c:v>3.2499999999999973E-2</c:v>
                  </c:pt>
                  <c:pt idx="28">
                    <c:v>3.0000000000000027E-2</c:v>
                  </c:pt>
                  <c:pt idx="29">
                    <c:v>3.7499999999999978E-2</c:v>
                  </c:pt>
                  <c:pt idx="30">
                    <c:v>2.4999999999999467E-3</c:v>
                  </c:pt>
                  <c:pt idx="31">
                    <c:v>7.9375000000000417E-3</c:v>
                  </c:pt>
                </c:numCache>
              </c:numRef>
            </c:plus>
          </c:errBars>
          <c:cat>
            <c:strRef>
              <c:f>'Growth 2F ANOVA'!$AT$92:$BY$92</c:f>
              <c:strCache>
                <c:ptCount val="32"/>
                <c:pt idx="0">
                  <c:v>SG5</c:v>
                </c:pt>
                <c:pt idx="1">
                  <c:v>SG6</c:v>
                </c:pt>
                <c:pt idx="2">
                  <c:v>SG7</c:v>
                </c:pt>
                <c:pt idx="3">
                  <c:v>SG9</c:v>
                </c:pt>
                <c:pt idx="4">
                  <c:v>SG11</c:v>
                </c:pt>
                <c:pt idx="5">
                  <c:v>SG26</c:v>
                </c:pt>
                <c:pt idx="6">
                  <c:v>SG34</c:v>
                </c:pt>
                <c:pt idx="7">
                  <c:v>SG43</c:v>
                </c:pt>
                <c:pt idx="8">
                  <c:v>SG50</c:v>
                </c:pt>
                <c:pt idx="9">
                  <c:v>SG57</c:v>
                </c:pt>
                <c:pt idx="10">
                  <c:v>SG65</c:v>
                </c:pt>
                <c:pt idx="11">
                  <c:v>SG73</c:v>
                </c:pt>
                <c:pt idx="12">
                  <c:v>SG79</c:v>
                </c:pt>
                <c:pt idx="13">
                  <c:v>SG90</c:v>
                </c:pt>
                <c:pt idx="14">
                  <c:v>SG96</c:v>
                </c:pt>
                <c:pt idx="15">
                  <c:v>SG106</c:v>
                </c:pt>
                <c:pt idx="16">
                  <c:v>SM5</c:v>
                </c:pt>
                <c:pt idx="17">
                  <c:v>SM6</c:v>
                </c:pt>
                <c:pt idx="18">
                  <c:v>SM7</c:v>
                </c:pt>
                <c:pt idx="19">
                  <c:v>SM9</c:v>
                </c:pt>
                <c:pt idx="20">
                  <c:v>SM11</c:v>
                </c:pt>
                <c:pt idx="21">
                  <c:v>SM26</c:v>
                </c:pt>
                <c:pt idx="22">
                  <c:v>SM34</c:v>
                </c:pt>
                <c:pt idx="23">
                  <c:v>SM43</c:v>
                </c:pt>
                <c:pt idx="24">
                  <c:v>SM50</c:v>
                </c:pt>
                <c:pt idx="25">
                  <c:v>SM57</c:v>
                </c:pt>
                <c:pt idx="26">
                  <c:v>SM65</c:v>
                </c:pt>
                <c:pt idx="27">
                  <c:v>SM73</c:v>
                </c:pt>
                <c:pt idx="28">
                  <c:v>SM79</c:v>
                </c:pt>
                <c:pt idx="29">
                  <c:v>SM90</c:v>
                </c:pt>
                <c:pt idx="30">
                  <c:v>SM96</c:v>
                </c:pt>
                <c:pt idx="31">
                  <c:v>SM106</c:v>
                </c:pt>
              </c:strCache>
            </c:strRef>
          </c:cat>
          <c:val>
            <c:numRef>
              <c:f>'Growth 2F ANOVA'!$AT$96:$BY$96</c:f>
              <c:numCache>
                <c:formatCode>General</c:formatCode>
                <c:ptCount val="32"/>
                <c:pt idx="0">
                  <c:v>9.9999999999999915E-4</c:v>
                </c:pt>
                <c:pt idx="1">
                  <c:v>7.7499999999999965E-3</c:v>
                </c:pt>
                <c:pt idx="2">
                  <c:v>8.0000000000000002E-3</c:v>
                </c:pt>
                <c:pt idx="3">
                  <c:v>1.0250000000000002E-2</c:v>
                </c:pt>
                <c:pt idx="4">
                  <c:v>6.4999999999999919E-3</c:v>
                </c:pt>
                <c:pt idx="5">
                  <c:v>6.5000000000000058E-3</c:v>
                </c:pt>
                <c:pt idx="6">
                  <c:v>5.4999999999999993E-2</c:v>
                </c:pt>
                <c:pt idx="7">
                  <c:v>0.10750000000000004</c:v>
                </c:pt>
                <c:pt idx="8">
                  <c:v>5.7499999999999885E-2</c:v>
                </c:pt>
                <c:pt idx="9">
                  <c:v>9.7500000000000031E-2</c:v>
                </c:pt>
                <c:pt idx="10">
                  <c:v>6.7500000000000004E-2</c:v>
                </c:pt>
                <c:pt idx="11">
                  <c:v>6.0000000000000053E-2</c:v>
                </c:pt>
                <c:pt idx="12">
                  <c:v>4.7499999999999987E-2</c:v>
                </c:pt>
                <c:pt idx="13">
                  <c:v>1.0000000000000009E-2</c:v>
                </c:pt>
                <c:pt idx="14">
                  <c:v>4.4999999999999929E-2</c:v>
                </c:pt>
                <c:pt idx="15">
                  <c:v>4.9212499999999992E-2</c:v>
                </c:pt>
                <c:pt idx="16">
                  <c:v>1.5000000000000013E-3</c:v>
                </c:pt>
                <c:pt idx="17">
                  <c:v>1.0000000000000009E-3</c:v>
                </c:pt>
                <c:pt idx="18">
                  <c:v>3.4999999999999962E-3</c:v>
                </c:pt>
                <c:pt idx="19">
                  <c:v>6.0000000000000053E-3</c:v>
                </c:pt>
                <c:pt idx="20">
                  <c:v>4.2499999999999968E-3</c:v>
                </c:pt>
                <c:pt idx="21">
                  <c:v>2.8249999999999997E-2</c:v>
                </c:pt>
                <c:pt idx="22">
                  <c:v>2.0250000000000046E-2</c:v>
                </c:pt>
                <c:pt idx="23">
                  <c:v>1.5000000000000013E-2</c:v>
                </c:pt>
                <c:pt idx="24">
                  <c:v>6.25E-2</c:v>
                </c:pt>
                <c:pt idx="25">
                  <c:v>5.2499999999999991E-2</c:v>
                </c:pt>
                <c:pt idx="26">
                  <c:v>1.0000000000000009E-2</c:v>
                </c:pt>
                <c:pt idx="27">
                  <c:v>4.2500000000000093E-2</c:v>
                </c:pt>
                <c:pt idx="28">
                  <c:v>7.4999999999999956E-2</c:v>
                </c:pt>
                <c:pt idx="29">
                  <c:v>9.2500000000000027E-2</c:v>
                </c:pt>
                <c:pt idx="30">
                  <c:v>7.5000000000000622E-3</c:v>
                </c:pt>
                <c:pt idx="31">
                  <c:v>2.3812500000000014E-2</c:v>
                </c:pt>
              </c:numCache>
            </c:numRef>
          </c:val>
          <c:extLst xmlns:c16r2="http://schemas.microsoft.com/office/drawing/2015/06/chart">
            <c:ext xmlns:c16="http://schemas.microsoft.com/office/drawing/2014/chart" uri="{C3380CC4-5D6E-409C-BE32-E72D297353CC}">
              <c16:uniqueId val="{00000003-6136-4DFC-8D28-36E4DBA856CE}"/>
            </c:ext>
          </c:extLst>
        </c:ser>
        <c:dLbls>
          <c:showLegendKey val="0"/>
          <c:showVal val="0"/>
          <c:showCatName val="0"/>
          <c:showSerName val="0"/>
          <c:showPercent val="0"/>
          <c:showBubbleSize val="0"/>
        </c:dLbls>
        <c:gapWidth val="150"/>
        <c:overlap val="100"/>
        <c:axId val="636741632"/>
        <c:axId val="636736536"/>
      </c:barChart>
      <c:scatterChart>
        <c:scatterStyle val="lineMarker"/>
        <c:varyColors val="0"/>
        <c:ser>
          <c:idx val="4"/>
          <c:order val="4"/>
          <c:tx>
            <c:v>m</c:v>
          </c:tx>
          <c:spPr>
            <a:ln w="28575">
              <a:noFill/>
            </a:ln>
          </c:spPr>
          <c:marker>
            <c:symbol val="x"/>
            <c:size val="5"/>
            <c:spPr>
              <a:ln>
                <a:solidFill>
                  <a:srgbClr val="000000"/>
                </a:solidFill>
                <a:prstDash val="solid"/>
              </a:ln>
            </c:spPr>
          </c:marker>
          <c:yVal>
            <c:numRef>
              <c:f>'Growth 2F ANOVA'!$AT$98:$BY$98</c:f>
              <c:numCache>
                <c:formatCode>0.000</c:formatCode>
                <c:ptCount val="32"/>
                <c:pt idx="0">
                  <c:v>9.6666666666666672E-3</c:v>
                </c:pt>
                <c:pt idx="1">
                  <c:v>2.3333333333333334E-2</c:v>
                </c:pt>
                <c:pt idx="2">
                  <c:v>2.6333333333333337E-2</c:v>
                </c:pt>
                <c:pt idx="3">
                  <c:v>4.5666666666666668E-2</c:v>
                </c:pt>
                <c:pt idx="4">
                  <c:v>6.2833333333333338E-2</c:v>
                </c:pt>
                <c:pt idx="5">
                  <c:v>0.16800000000000001</c:v>
                </c:pt>
                <c:pt idx="6">
                  <c:v>0.31666666666666665</c:v>
                </c:pt>
                <c:pt idx="7">
                  <c:v>0.48999999999999994</c:v>
                </c:pt>
                <c:pt idx="8">
                  <c:v>0.70000000000000007</c:v>
                </c:pt>
                <c:pt idx="9">
                  <c:v>0.78833333333333344</c:v>
                </c:pt>
                <c:pt idx="10">
                  <c:v>0.76166666666666671</c:v>
                </c:pt>
                <c:pt idx="11">
                  <c:v>0.76500000000000001</c:v>
                </c:pt>
                <c:pt idx="12">
                  <c:v>0.78999999999999992</c:v>
                </c:pt>
                <c:pt idx="13">
                  <c:v>0.72333333333333349</c:v>
                </c:pt>
                <c:pt idx="14">
                  <c:v>0.70666666666666667</c:v>
                </c:pt>
                <c:pt idx="15">
                  <c:v>0.70484999999999998</c:v>
                </c:pt>
                <c:pt idx="16">
                  <c:v>1.1999999999999999E-2</c:v>
                </c:pt>
                <c:pt idx="17">
                  <c:v>2.6166666666666671E-2</c:v>
                </c:pt>
                <c:pt idx="18">
                  <c:v>3.5333333333333335E-2</c:v>
                </c:pt>
                <c:pt idx="19">
                  <c:v>4.2000000000000003E-2</c:v>
                </c:pt>
                <c:pt idx="20">
                  <c:v>5.9166666666666666E-2</c:v>
                </c:pt>
                <c:pt idx="21">
                  <c:v>0.15766666666666668</c:v>
                </c:pt>
                <c:pt idx="22">
                  <c:v>0.25566666666666665</c:v>
                </c:pt>
                <c:pt idx="23">
                  <c:v>0.41</c:v>
                </c:pt>
                <c:pt idx="24">
                  <c:v>0.52666666666666673</c:v>
                </c:pt>
                <c:pt idx="25">
                  <c:v>0.66500000000000004</c:v>
                </c:pt>
                <c:pt idx="26">
                  <c:v>0.70666666666666667</c:v>
                </c:pt>
                <c:pt idx="27">
                  <c:v>0.75</c:v>
                </c:pt>
                <c:pt idx="28">
                  <c:v>0.79499999999999993</c:v>
                </c:pt>
                <c:pt idx="29">
                  <c:v>0.78166666666666662</c:v>
                </c:pt>
                <c:pt idx="30">
                  <c:v>0.77166666666666661</c:v>
                </c:pt>
                <c:pt idx="31">
                  <c:v>0.76729166666666659</c:v>
                </c:pt>
              </c:numCache>
            </c:numRef>
          </c:yVal>
          <c:smooth val="0"/>
          <c:extLst xmlns:c16r2="http://schemas.microsoft.com/office/drawing/2015/06/chart">
            <c:ext xmlns:c16="http://schemas.microsoft.com/office/drawing/2014/chart" uri="{C3380CC4-5D6E-409C-BE32-E72D297353CC}">
              <c16:uniqueId val="{00000004-6136-4DFC-8D28-36E4DBA856CE}"/>
            </c:ext>
          </c:extLst>
        </c:ser>
        <c:ser>
          <c:idx val="5"/>
          <c:order val="5"/>
          <c:tx>
            <c:v>x</c:v>
          </c:tx>
          <c:spPr>
            <a:ln w="28575">
              <a:noFill/>
            </a:ln>
          </c:spPr>
          <c:marker>
            <c:symbol val="circle"/>
            <c:size val="5"/>
            <c:spPr>
              <a:solidFill>
                <a:srgbClr val="FFFFFF"/>
              </a:solidFill>
              <a:ln>
                <a:solidFill>
                  <a:srgbClr val="0000FF"/>
                </a:solidFill>
                <a:prstDash val="solid"/>
              </a:ln>
            </c:spPr>
          </c:marker>
          <c:xVal>
            <c:numLit>
              <c:formatCode>General</c:formatCode>
              <c:ptCount val="1"/>
              <c:pt idx="0">
                <c:v>1</c:v>
              </c:pt>
            </c:numLit>
          </c:xVal>
          <c:yVal>
            <c:numRef>
              <c:f>'Growth 2F ANOVA'!$AT$109</c:f>
              <c:numCache>
                <c:formatCode>0.000</c:formatCode>
                <c:ptCount val="1"/>
                <c:pt idx="0">
                  <c:v>0.02</c:v>
                </c:pt>
              </c:numCache>
            </c:numRef>
          </c:yVal>
          <c:smooth val="0"/>
          <c:extLst xmlns:c16r2="http://schemas.microsoft.com/office/drawing/2015/06/chart">
            <c:ext xmlns:c16="http://schemas.microsoft.com/office/drawing/2014/chart" uri="{C3380CC4-5D6E-409C-BE32-E72D297353CC}">
              <c16:uniqueId val="{00000005-6136-4DFC-8D28-36E4DBA856CE}"/>
            </c:ext>
          </c:extLst>
        </c:ser>
        <c:ser>
          <c:idx val="6"/>
          <c:order val="6"/>
          <c:tx>
            <c:v>x</c:v>
          </c:tx>
          <c:spPr>
            <a:ln w="28575">
              <a:noFill/>
            </a:ln>
          </c:spPr>
          <c:marker>
            <c:symbol val="circle"/>
            <c:size val="5"/>
            <c:spPr>
              <a:solidFill>
                <a:srgbClr val="FFFFFF"/>
              </a:solidFill>
              <a:ln>
                <a:solidFill>
                  <a:srgbClr val="0000FF"/>
                </a:solidFill>
                <a:prstDash val="solid"/>
              </a:ln>
            </c:spPr>
          </c:marker>
          <c:xVal>
            <c:numLit>
              <c:formatCode>General</c:formatCode>
              <c:ptCount val="2"/>
              <c:pt idx="0">
                <c:v>31</c:v>
              </c:pt>
              <c:pt idx="1">
                <c:v>31</c:v>
              </c:pt>
            </c:numLit>
          </c:xVal>
          <c:yVal>
            <c:numRef>
              <c:f>'Growth 2F ANOVA'!$BX$109:$BX$110</c:f>
              <c:numCache>
                <c:formatCode>0.000</c:formatCode>
                <c:ptCount val="2"/>
                <c:pt idx="0">
                  <c:v>0.89</c:v>
                </c:pt>
                <c:pt idx="1">
                  <c:v>0.64</c:v>
                </c:pt>
              </c:numCache>
            </c:numRef>
          </c:yVal>
          <c:smooth val="0"/>
          <c:extLst xmlns:c16r2="http://schemas.microsoft.com/office/drawing/2015/06/chart">
            <c:ext xmlns:c16="http://schemas.microsoft.com/office/drawing/2014/chart" uri="{C3380CC4-5D6E-409C-BE32-E72D297353CC}">
              <c16:uniqueId val="{00000006-6136-4DFC-8D28-36E4DBA856CE}"/>
            </c:ext>
          </c:extLst>
        </c:ser>
        <c:ser>
          <c:idx val="7"/>
          <c:order val="7"/>
          <c:tx>
            <c:v>x</c:v>
          </c:tx>
          <c:spPr>
            <a:ln w="28575">
              <a:noFill/>
            </a:ln>
          </c:spPr>
          <c:marker>
            <c:symbol val="circle"/>
            <c:size val="5"/>
            <c:spPr>
              <a:solidFill>
                <a:srgbClr val="FFFFFF"/>
              </a:solidFill>
              <a:ln>
                <a:solidFill>
                  <a:srgbClr val="0000FF"/>
                </a:solidFill>
                <a:prstDash val="solid"/>
              </a:ln>
            </c:spPr>
          </c:marker>
          <c:xVal>
            <c:numLit>
              <c:formatCode>General</c:formatCode>
              <c:ptCount val="2"/>
              <c:pt idx="0">
                <c:v>32</c:v>
              </c:pt>
              <c:pt idx="1">
                <c:v>32</c:v>
              </c:pt>
            </c:numLit>
          </c:xVal>
          <c:yVal>
            <c:numRef>
              <c:f>'Growth 2F ANOVA'!$BY$109:$BY$110</c:f>
              <c:numCache>
                <c:formatCode>0.000</c:formatCode>
                <c:ptCount val="2"/>
                <c:pt idx="0">
                  <c:v>0.88265000000000005</c:v>
                </c:pt>
                <c:pt idx="1">
                  <c:v>0.64770000000000016</c:v>
                </c:pt>
              </c:numCache>
            </c:numRef>
          </c:yVal>
          <c:smooth val="0"/>
          <c:extLst xmlns:c16r2="http://schemas.microsoft.com/office/drawing/2015/06/chart">
            <c:ext xmlns:c16="http://schemas.microsoft.com/office/drawing/2014/chart" uri="{C3380CC4-5D6E-409C-BE32-E72D297353CC}">
              <c16:uniqueId val="{00000007-6136-4DFC-8D28-36E4DBA856CE}"/>
            </c:ext>
          </c:extLst>
        </c:ser>
        <c:dLbls>
          <c:showLegendKey val="0"/>
          <c:showVal val="0"/>
          <c:showCatName val="0"/>
          <c:showSerName val="0"/>
          <c:showPercent val="0"/>
          <c:showBubbleSize val="0"/>
        </c:dLbls>
        <c:axId val="636741632"/>
        <c:axId val="636736536"/>
      </c:scatterChart>
      <c:catAx>
        <c:axId val="636741632"/>
        <c:scaling>
          <c:orientation val="minMax"/>
        </c:scaling>
        <c:delete val="0"/>
        <c:axPos val="b"/>
        <c:numFmt formatCode="General" sourceLinked="1"/>
        <c:majorTickMark val="out"/>
        <c:minorTickMark val="none"/>
        <c:tickLblPos val="nextTo"/>
        <c:crossAx val="636736536"/>
        <c:crosses val="autoZero"/>
        <c:auto val="1"/>
        <c:lblAlgn val="ctr"/>
        <c:lblOffset val="100"/>
        <c:noMultiLvlLbl val="0"/>
      </c:catAx>
      <c:valAx>
        <c:axId val="636736536"/>
        <c:scaling>
          <c:orientation val="minMax"/>
        </c:scaling>
        <c:delete val="0"/>
        <c:axPos val="l"/>
        <c:majorGridlines/>
        <c:title>
          <c:tx>
            <c:rich>
              <a:bodyPr/>
              <a:lstStyle/>
              <a:p>
                <a:pPr>
                  <a:defRPr/>
                </a:pPr>
                <a:r>
                  <a:rPr lang="en-US"/>
                  <a:t>Height (m)</a:t>
                </a:r>
              </a:p>
            </c:rich>
          </c:tx>
          <c:overlay val="0"/>
        </c:title>
        <c:numFmt formatCode="General" sourceLinked="1"/>
        <c:majorTickMark val="out"/>
        <c:minorTickMark val="none"/>
        <c:tickLblPos val="nextTo"/>
        <c:crossAx val="636741632"/>
        <c:crosses val="autoZero"/>
        <c:crossBetween val="between"/>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'Growth 2F ANOVA'!$EW$22</c:f>
              <c:strCache>
                <c:ptCount val="1"/>
                <c:pt idx="0">
                  <c:v>Min</c:v>
                </c:pt>
              </c:strCache>
            </c:strRef>
          </c:tx>
          <c:spPr>
            <a:noFill/>
            <a:extLst>
              <a:ext uri="{909E8E84-426E-40DD-AFC4-6F175D3DCCD1}">
                <a14:hiddenFill xmlns:a14="http://schemas.microsoft.com/office/drawing/2010/main">
                  <a:solidFill>
                    <a:srgbClr val="0072B2"/>
                  </a:solidFill>
                </a14:hiddenFill>
              </a:ext>
            </a:extLst>
          </c:spPr>
          <c:invertIfNegative val="0"/>
          <c:cat>
            <c:strRef>
              <c:f>'Growth 2F ANOVA'!$EX$21:$EY$21</c:f>
              <c:strCache>
                <c:ptCount val="2"/>
                <c:pt idx="0">
                  <c:v>BG</c:v>
                </c:pt>
                <c:pt idx="1">
                  <c:v>BM</c:v>
                </c:pt>
              </c:strCache>
            </c:strRef>
          </c:cat>
          <c:val>
            <c:numRef>
              <c:f>'Growth 2F ANOVA'!$EX$22:$EY$22</c:f>
              <c:numCache>
                <c:formatCode>General</c:formatCode>
                <c:ptCount val="2"/>
                <c:pt idx="0">
                  <c:v>0.48333333333333334</c:v>
                </c:pt>
                <c:pt idx="1">
                  <c:v>0.56666666666666676</c:v>
                </c:pt>
              </c:numCache>
            </c:numRef>
          </c:val>
          <c:extLst xmlns:c16r2="http://schemas.microsoft.com/office/drawing/2015/06/chart">
            <c:ext xmlns:c16="http://schemas.microsoft.com/office/drawing/2014/chart" uri="{C3380CC4-5D6E-409C-BE32-E72D297353CC}">
              <c16:uniqueId val="{00000000-0758-4CD4-BDA2-83B907F758E0}"/>
            </c:ext>
          </c:extLst>
        </c:ser>
        <c:ser>
          <c:idx val="1"/>
          <c:order val="1"/>
          <c:tx>
            <c:strRef>
              <c:f>'Growth 2F ANOVA'!$EW$23</c:f>
              <c:strCache>
                <c:ptCount val="1"/>
                <c:pt idx="0">
                  <c:v>Q1-Min</c:v>
                </c:pt>
              </c:strCache>
            </c:strRef>
          </c:tx>
          <c:spPr>
            <a:noFill/>
            <a:extLst>
              <a:ext uri="{909E8E84-426E-40DD-AFC4-6F175D3DCCD1}">
                <a14:hiddenFill xmlns:a14="http://schemas.microsoft.com/office/drawing/2010/main">
                  <a:solidFill>
                    <a:srgbClr val="D55E00"/>
                  </a:solidFill>
                </a14:hiddenFill>
              </a:ext>
            </a:extLst>
          </c:spPr>
          <c:invertIfNegative val="0"/>
          <c:errBars>
            <c:errBarType val="minus"/>
            <c:errValType val="percentage"/>
            <c:noEndCap val="0"/>
            <c:val val="100"/>
          </c:errBars>
          <c:cat>
            <c:strRef>
              <c:f>'Growth 2F ANOVA'!$EX$21:$EY$21</c:f>
              <c:strCache>
                <c:ptCount val="2"/>
                <c:pt idx="0">
                  <c:v>BG</c:v>
                </c:pt>
                <c:pt idx="1">
                  <c:v>BM</c:v>
                </c:pt>
              </c:strCache>
            </c:strRef>
          </c:cat>
          <c:val>
            <c:numRef>
              <c:f>'Growth 2F ANOVA'!$EX$23:$EY$23</c:f>
              <c:numCache>
                <c:formatCode>General</c:formatCode>
                <c:ptCount val="2"/>
                <c:pt idx="0">
                  <c:v>4.9999999999999989E-2</c:v>
                </c:pt>
                <c:pt idx="1">
                  <c:v>5.8333333333333237E-2</c:v>
                </c:pt>
              </c:numCache>
            </c:numRef>
          </c:val>
          <c:extLst xmlns:c16r2="http://schemas.microsoft.com/office/drawing/2015/06/chart">
            <c:ext xmlns:c16="http://schemas.microsoft.com/office/drawing/2014/chart" uri="{C3380CC4-5D6E-409C-BE32-E72D297353CC}">
              <c16:uniqueId val="{00000001-0758-4CD4-BDA2-83B907F758E0}"/>
            </c:ext>
          </c:extLst>
        </c:ser>
        <c:ser>
          <c:idx val="2"/>
          <c:order val="2"/>
          <c:tx>
            <c:strRef>
              <c:f>'Growth 2F ANOVA'!$EW$24</c:f>
              <c:strCache>
                <c:ptCount val="1"/>
                <c:pt idx="0">
                  <c:v>Med-Q1</c:v>
                </c:pt>
              </c:strCache>
            </c:strRef>
          </c:tx>
          <c:invertIfNegative val="0"/>
          <c:cat>
            <c:strRef>
              <c:f>'Growth 2F ANOVA'!$EX$21:$EY$21</c:f>
              <c:strCache>
                <c:ptCount val="2"/>
                <c:pt idx="0">
                  <c:v>BG</c:v>
                </c:pt>
                <c:pt idx="1">
                  <c:v>BM</c:v>
                </c:pt>
              </c:strCache>
            </c:strRef>
          </c:cat>
          <c:val>
            <c:numRef>
              <c:f>'Growth 2F ANOVA'!$EX$24:$EY$24</c:f>
              <c:numCache>
                <c:formatCode>General</c:formatCode>
                <c:ptCount val="2"/>
                <c:pt idx="0">
                  <c:v>0.11666666666666659</c:v>
                </c:pt>
                <c:pt idx="1">
                  <c:v>0.18333333333333324</c:v>
                </c:pt>
              </c:numCache>
            </c:numRef>
          </c:val>
          <c:extLst xmlns:c16r2="http://schemas.microsoft.com/office/drawing/2015/06/chart">
            <c:ext xmlns:c16="http://schemas.microsoft.com/office/drawing/2014/chart" uri="{C3380CC4-5D6E-409C-BE32-E72D297353CC}">
              <c16:uniqueId val="{00000002-0758-4CD4-BDA2-83B907F758E0}"/>
            </c:ext>
          </c:extLst>
        </c:ser>
        <c:ser>
          <c:idx val="3"/>
          <c:order val="3"/>
          <c:tx>
            <c:strRef>
              <c:f>'Growth 2F ANOVA'!$EW$25</c:f>
              <c:strCache>
                <c:ptCount val="1"/>
                <c:pt idx="0">
                  <c:v>Q3-Med</c:v>
                </c:pt>
              </c:strCache>
            </c:strRef>
          </c:tx>
          <c:invertIfNegative val="0"/>
          <c:errBars>
            <c:errBarType val="plus"/>
            <c:errValType val="cust"/>
            <c:noEndCap val="0"/>
            <c:plus>
              <c:numRef>
                <c:f>'Growth 2F ANOVA'!$EX$26:$EY$26</c:f>
                <c:numCache>
                  <c:formatCode>General</c:formatCode>
                  <c:ptCount val="2"/>
                  <c:pt idx="0">
                    <c:v>1.2499999999999956E-2</c:v>
                  </c:pt>
                  <c:pt idx="1">
                    <c:v>5.8333333333333459E-2</c:v>
                  </c:pt>
                </c:numCache>
              </c:numRef>
            </c:plus>
          </c:errBars>
          <c:cat>
            <c:strRef>
              <c:f>'Growth 2F ANOVA'!$EX$21:$EY$21</c:f>
              <c:strCache>
                <c:ptCount val="2"/>
                <c:pt idx="0">
                  <c:v>BG</c:v>
                </c:pt>
                <c:pt idx="1">
                  <c:v>BM</c:v>
                </c:pt>
              </c:strCache>
            </c:strRef>
          </c:cat>
          <c:val>
            <c:numRef>
              <c:f>'Growth 2F ANOVA'!$EX$25:$EY$25</c:f>
              <c:numCache>
                <c:formatCode>General</c:formatCode>
                <c:ptCount val="2"/>
                <c:pt idx="0">
                  <c:v>6.2500000000000111E-2</c:v>
                </c:pt>
                <c:pt idx="1">
                  <c:v>1.6666666666666607E-2</c:v>
                </c:pt>
              </c:numCache>
            </c:numRef>
          </c:val>
          <c:extLst xmlns:c16r2="http://schemas.microsoft.com/office/drawing/2015/06/chart">
            <c:ext xmlns:c16="http://schemas.microsoft.com/office/drawing/2014/chart" uri="{C3380CC4-5D6E-409C-BE32-E72D297353CC}">
              <c16:uniqueId val="{00000003-0758-4CD4-BDA2-83B907F758E0}"/>
            </c:ext>
          </c:extLst>
        </c:ser>
        <c:dLbls>
          <c:showLegendKey val="0"/>
          <c:showVal val="0"/>
          <c:showCatName val="0"/>
          <c:showSerName val="0"/>
          <c:showPercent val="0"/>
          <c:showBubbleSize val="0"/>
        </c:dLbls>
        <c:gapWidth val="150"/>
        <c:overlap val="100"/>
        <c:axId val="636738888"/>
        <c:axId val="636736928"/>
      </c:barChart>
      <c:scatterChart>
        <c:scatterStyle val="lineMarker"/>
        <c:varyColors val="0"/>
        <c:ser>
          <c:idx val="4"/>
          <c:order val="4"/>
          <c:tx>
            <c:v>m</c:v>
          </c:tx>
          <c:spPr>
            <a:ln w="28575">
              <a:noFill/>
            </a:ln>
          </c:spPr>
          <c:marker>
            <c:symbol val="x"/>
            <c:size val="5"/>
            <c:spPr>
              <a:ln>
                <a:solidFill>
                  <a:srgbClr val="000000"/>
                </a:solidFill>
                <a:prstDash val="solid"/>
              </a:ln>
            </c:spPr>
          </c:marker>
          <c:yVal>
            <c:numRef>
              <c:f>'Growth 2F ANOVA'!$EX$27:$EY$27</c:f>
              <c:numCache>
                <c:formatCode>General</c:formatCode>
                <c:ptCount val="2"/>
                <c:pt idx="0">
                  <c:v>0.62142857142857133</c:v>
                </c:pt>
                <c:pt idx="1">
                  <c:v>0.73690476190476184</c:v>
                </c:pt>
              </c:numCache>
            </c:numRef>
          </c:yVal>
          <c:smooth val="0"/>
          <c:extLst xmlns:c16r2="http://schemas.microsoft.com/office/drawing/2015/06/chart">
            <c:ext xmlns:c16="http://schemas.microsoft.com/office/drawing/2014/chart" uri="{C3380CC4-5D6E-409C-BE32-E72D297353CC}">
              <c16:uniqueId val="{00000004-0758-4CD4-BDA2-83B907F758E0}"/>
            </c:ext>
          </c:extLst>
        </c:ser>
        <c:dLbls>
          <c:showLegendKey val="0"/>
          <c:showVal val="0"/>
          <c:showCatName val="0"/>
          <c:showSerName val="0"/>
          <c:showPercent val="0"/>
          <c:showBubbleSize val="0"/>
        </c:dLbls>
        <c:axId val="636738888"/>
        <c:axId val="636736928"/>
      </c:scatterChart>
      <c:catAx>
        <c:axId val="636738888"/>
        <c:scaling>
          <c:orientation val="minMax"/>
        </c:scaling>
        <c:delete val="0"/>
        <c:axPos val="b"/>
        <c:numFmt formatCode="General" sourceLinked="1"/>
        <c:majorTickMark val="out"/>
        <c:minorTickMark val="none"/>
        <c:tickLblPos val="nextTo"/>
        <c:crossAx val="636736928"/>
        <c:crosses val="autoZero"/>
        <c:auto val="1"/>
        <c:lblAlgn val="ctr"/>
        <c:lblOffset val="100"/>
        <c:noMultiLvlLbl val="0"/>
      </c:catAx>
      <c:valAx>
        <c:axId val="636736928"/>
        <c:scaling>
          <c:orientation val="minMax"/>
        </c:scaling>
        <c:delete val="0"/>
        <c:axPos val="l"/>
        <c:majorGridlines/>
        <c:title>
          <c:tx>
            <c:rich>
              <a:bodyPr/>
              <a:lstStyle/>
              <a:p>
                <a:pPr>
                  <a:defRPr/>
                </a:pPr>
                <a:r>
                  <a:rPr lang="en-US"/>
                  <a:t>Coverage (%)</a:t>
                </a:r>
              </a:p>
            </c:rich>
          </c:tx>
          <c:overlay val="0"/>
        </c:title>
        <c:numFmt formatCode="General" sourceLinked="1"/>
        <c:majorTickMark val="out"/>
        <c:minorTickMark val="none"/>
        <c:tickLblPos val="nextTo"/>
        <c:crossAx val="636738888"/>
        <c:crosses val="autoZero"/>
        <c:crossBetween val="between"/>
      </c:val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'Growth 2F ANOVA'!$FZ$22</c:f>
              <c:strCache>
                <c:ptCount val="1"/>
                <c:pt idx="0">
                  <c:v>Min</c:v>
                </c:pt>
              </c:strCache>
            </c:strRef>
          </c:tx>
          <c:spPr>
            <a:noFill/>
            <a:extLst>
              <a:ext uri="{909E8E84-426E-40DD-AFC4-6F175D3DCCD1}">
                <a14:hiddenFill xmlns:a14="http://schemas.microsoft.com/office/drawing/2010/main">
                  <a:solidFill>
                    <a:srgbClr val="0072B2"/>
                  </a:solidFill>
                </a14:hiddenFill>
              </a:ext>
            </a:extLst>
          </c:spPr>
          <c:invertIfNegative val="0"/>
          <c:cat>
            <c:strRef>
              <c:f>'Growth 2F ANOVA'!$GA$21:$GN$21</c:f>
              <c:strCache>
                <c:ptCount val="14"/>
                <c:pt idx="0">
                  <c:v>BG50</c:v>
                </c:pt>
                <c:pt idx="1">
                  <c:v>BG57</c:v>
                </c:pt>
                <c:pt idx="2">
                  <c:v>BG65</c:v>
                </c:pt>
                <c:pt idx="3">
                  <c:v>BG73</c:v>
                </c:pt>
                <c:pt idx="4">
                  <c:v>BG90</c:v>
                </c:pt>
                <c:pt idx="5">
                  <c:v>BG96</c:v>
                </c:pt>
                <c:pt idx="6">
                  <c:v>BG106</c:v>
                </c:pt>
                <c:pt idx="7">
                  <c:v>BM50</c:v>
                </c:pt>
                <c:pt idx="8">
                  <c:v>BM57</c:v>
                </c:pt>
                <c:pt idx="9">
                  <c:v>BM65</c:v>
                </c:pt>
                <c:pt idx="10">
                  <c:v>BM73</c:v>
                </c:pt>
                <c:pt idx="11">
                  <c:v>BM90</c:v>
                </c:pt>
                <c:pt idx="12">
                  <c:v>BM96</c:v>
                </c:pt>
                <c:pt idx="13">
                  <c:v>BM106</c:v>
                </c:pt>
              </c:strCache>
            </c:strRef>
          </c:cat>
          <c:val>
            <c:numRef>
              <c:f>'Growth 2F ANOVA'!$GA$22:$GN$22</c:f>
              <c:numCache>
                <c:formatCode>General</c:formatCode>
                <c:ptCount val="14"/>
                <c:pt idx="0">
                  <c:v>0.05</c:v>
                </c:pt>
                <c:pt idx="1">
                  <c:v>0.05</c:v>
                </c:pt>
                <c:pt idx="2">
                  <c:v>0.15</c:v>
                </c:pt>
                <c:pt idx="3">
                  <c:v>0.1</c:v>
                </c:pt>
                <c:pt idx="4">
                  <c:v>0.7</c:v>
                </c:pt>
                <c:pt idx="5">
                  <c:v>0.7</c:v>
                </c:pt>
                <c:pt idx="6">
                  <c:v>0.5</c:v>
                </c:pt>
                <c:pt idx="7">
                  <c:v>0.3</c:v>
                </c:pt>
                <c:pt idx="8">
                  <c:v>0.4</c:v>
                </c:pt>
                <c:pt idx="9">
                  <c:v>0.6</c:v>
                </c:pt>
                <c:pt idx="10">
                  <c:v>0.5</c:v>
                </c:pt>
                <c:pt idx="11">
                  <c:v>0.65</c:v>
                </c:pt>
                <c:pt idx="12">
                  <c:v>0.7</c:v>
                </c:pt>
                <c:pt idx="13">
                  <c:v>0.8</c:v>
                </c:pt>
              </c:numCache>
            </c:numRef>
          </c:val>
          <c:extLst xmlns:c16r2="http://schemas.microsoft.com/office/drawing/2015/06/chart">
            <c:ext xmlns:c16="http://schemas.microsoft.com/office/drawing/2014/chart" uri="{C3380CC4-5D6E-409C-BE32-E72D297353CC}">
              <c16:uniqueId val="{00000000-8887-4AD9-8AFD-308C4CBAC204}"/>
            </c:ext>
          </c:extLst>
        </c:ser>
        <c:ser>
          <c:idx val="1"/>
          <c:order val="1"/>
          <c:tx>
            <c:strRef>
              <c:f>'Growth 2F ANOVA'!$FZ$23</c:f>
              <c:strCache>
                <c:ptCount val="1"/>
                <c:pt idx="0">
                  <c:v>Q1-Min</c:v>
                </c:pt>
              </c:strCache>
            </c:strRef>
          </c:tx>
          <c:spPr>
            <a:noFill/>
            <a:extLst>
              <a:ext uri="{909E8E84-426E-40DD-AFC4-6F175D3DCCD1}">
                <a14:hiddenFill xmlns:a14="http://schemas.microsoft.com/office/drawing/2010/main">
                  <a:solidFill>
                    <a:srgbClr val="D55E00"/>
                  </a:solidFill>
                </a14:hiddenFill>
              </a:ext>
            </a:extLst>
          </c:spPr>
          <c:invertIfNegative val="0"/>
          <c:errBars>
            <c:errBarType val="minus"/>
            <c:errValType val="percentage"/>
            <c:noEndCap val="0"/>
            <c:val val="100"/>
          </c:errBars>
          <c:cat>
            <c:strRef>
              <c:f>'Growth 2F ANOVA'!$GA$21:$GN$21</c:f>
              <c:strCache>
                <c:ptCount val="14"/>
                <c:pt idx="0">
                  <c:v>BG50</c:v>
                </c:pt>
                <c:pt idx="1">
                  <c:v>BG57</c:v>
                </c:pt>
                <c:pt idx="2">
                  <c:v>BG65</c:v>
                </c:pt>
                <c:pt idx="3">
                  <c:v>BG73</c:v>
                </c:pt>
                <c:pt idx="4">
                  <c:v>BG90</c:v>
                </c:pt>
                <c:pt idx="5">
                  <c:v>BG96</c:v>
                </c:pt>
                <c:pt idx="6">
                  <c:v>BG106</c:v>
                </c:pt>
                <c:pt idx="7">
                  <c:v>BM50</c:v>
                </c:pt>
                <c:pt idx="8">
                  <c:v>BM57</c:v>
                </c:pt>
                <c:pt idx="9">
                  <c:v>BM65</c:v>
                </c:pt>
                <c:pt idx="10">
                  <c:v>BM73</c:v>
                </c:pt>
                <c:pt idx="11">
                  <c:v>BM90</c:v>
                </c:pt>
                <c:pt idx="12">
                  <c:v>BM96</c:v>
                </c:pt>
                <c:pt idx="13">
                  <c:v>BM106</c:v>
                </c:pt>
              </c:strCache>
            </c:strRef>
          </c:cat>
          <c:val>
            <c:numRef>
              <c:f>'Growth 2F ANOVA'!$GA$23:$GN$23</c:f>
              <c:numCache>
                <c:formatCode>General</c:formatCode>
                <c:ptCount val="14"/>
                <c:pt idx="0">
                  <c:v>0.45</c:v>
                </c:pt>
                <c:pt idx="1">
                  <c:v>0.45</c:v>
                </c:pt>
                <c:pt idx="2">
                  <c:v>0.44999999999999996</c:v>
                </c:pt>
                <c:pt idx="3">
                  <c:v>0.32500000000000007</c:v>
                </c:pt>
                <c:pt idx="4">
                  <c:v>1.2499999999999956E-2</c:v>
                </c:pt>
                <c:pt idx="5">
                  <c:v>1.2499999999999956E-2</c:v>
                </c:pt>
                <c:pt idx="6">
                  <c:v>0.125</c:v>
                </c:pt>
                <c:pt idx="7">
                  <c:v>0.15000000000000002</c:v>
                </c:pt>
                <c:pt idx="8">
                  <c:v>0.15000000000000002</c:v>
                </c:pt>
                <c:pt idx="9">
                  <c:v>0.16249999999999998</c:v>
                </c:pt>
                <c:pt idx="10">
                  <c:v>0</c:v>
                </c:pt>
                <c:pt idx="11">
                  <c:v>7.4999999999999956E-2</c:v>
                </c:pt>
                <c:pt idx="12">
                  <c:v>3.7499999999999978E-2</c:v>
                </c:pt>
                <c:pt idx="13">
                  <c:v>2.5000000000000022E-2</c:v>
                </c:pt>
              </c:numCache>
            </c:numRef>
          </c:val>
          <c:extLst xmlns:c16r2="http://schemas.microsoft.com/office/drawing/2015/06/chart">
            <c:ext xmlns:c16="http://schemas.microsoft.com/office/drawing/2014/chart" uri="{C3380CC4-5D6E-409C-BE32-E72D297353CC}">
              <c16:uniqueId val="{00000001-8887-4AD9-8AFD-308C4CBAC204}"/>
            </c:ext>
          </c:extLst>
        </c:ser>
        <c:ser>
          <c:idx val="2"/>
          <c:order val="2"/>
          <c:tx>
            <c:strRef>
              <c:f>'Growth 2F ANOVA'!$FZ$24</c:f>
              <c:strCache>
                <c:ptCount val="1"/>
                <c:pt idx="0">
                  <c:v>Med-Q1</c:v>
                </c:pt>
              </c:strCache>
            </c:strRef>
          </c:tx>
          <c:invertIfNegative val="0"/>
          <c:cat>
            <c:strRef>
              <c:f>'Growth 2F ANOVA'!$GA$21:$GN$21</c:f>
              <c:strCache>
                <c:ptCount val="14"/>
                <c:pt idx="0">
                  <c:v>BG50</c:v>
                </c:pt>
                <c:pt idx="1">
                  <c:v>BG57</c:v>
                </c:pt>
                <c:pt idx="2">
                  <c:v>BG65</c:v>
                </c:pt>
                <c:pt idx="3">
                  <c:v>BG73</c:v>
                </c:pt>
                <c:pt idx="4">
                  <c:v>BG90</c:v>
                </c:pt>
                <c:pt idx="5">
                  <c:v>BG96</c:v>
                </c:pt>
                <c:pt idx="6">
                  <c:v>BG106</c:v>
                </c:pt>
                <c:pt idx="7">
                  <c:v>BM50</c:v>
                </c:pt>
                <c:pt idx="8">
                  <c:v>BM57</c:v>
                </c:pt>
                <c:pt idx="9">
                  <c:v>BM65</c:v>
                </c:pt>
                <c:pt idx="10">
                  <c:v>BM73</c:v>
                </c:pt>
                <c:pt idx="11">
                  <c:v>BM90</c:v>
                </c:pt>
                <c:pt idx="12">
                  <c:v>BM96</c:v>
                </c:pt>
                <c:pt idx="13">
                  <c:v>BM106</c:v>
                </c:pt>
              </c:strCache>
            </c:strRef>
          </c:cat>
          <c:val>
            <c:numRef>
              <c:f>'Growth 2F ANOVA'!$GA$24:$GN$24</c:f>
              <c:numCache>
                <c:formatCode>General</c:formatCode>
                <c:ptCount val="14"/>
                <c:pt idx="0">
                  <c:v>5.0000000000000044E-2</c:v>
                </c:pt>
                <c:pt idx="1">
                  <c:v>0</c:v>
                </c:pt>
                <c:pt idx="2">
                  <c:v>4.9999999999999933E-2</c:v>
                </c:pt>
                <c:pt idx="3">
                  <c:v>0.125</c:v>
                </c:pt>
                <c:pt idx="4">
                  <c:v>6.2500000000000111E-2</c:v>
                </c:pt>
                <c:pt idx="5">
                  <c:v>3.7500000000000089E-2</c:v>
                </c:pt>
                <c:pt idx="6">
                  <c:v>9.9999999999999978E-2</c:v>
                </c:pt>
                <c:pt idx="7">
                  <c:v>0.14999999999999997</c:v>
                </c:pt>
                <c:pt idx="8">
                  <c:v>0.14999999999999991</c:v>
                </c:pt>
                <c:pt idx="9">
                  <c:v>8.7500000000000133E-2</c:v>
                </c:pt>
                <c:pt idx="10">
                  <c:v>9.9999999999999978E-2</c:v>
                </c:pt>
                <c:pt idx="11">
                  <c:v>0.12500000000000011</c:v>
                </c:pt>
                <c:pt idx="12">
                  <c:v>0.13750000000000007</c:v>
                </c:pt>
                <c:pt idx="13">
                  <c:v>7.4999999999999956E-2</c:v>
                </c:pt>
              </c:numCache>
            </c:numRef>
          </c:val>
          <c:extLst xmlns:c16r2="http://schemas.microsoft.com/office/drawing/2015/06/chart">
            <c:ext xmlns:c16="http://schemas.microsoft.com/office/drawing/2014/chart" uri="{C3380CC4-5D6E-409C-BE32-E72D297353CC}">
              <c16:uniqueId val="{00000002-8887-4AD9-8AFD-308C4CBAC204}"/>
            </c:ext>
          </c:extLst>
        </c:ser>
        <c:ser>
          <c:idx val="3"/>
          <c:order val="3"/>
          <c:tx>
            <c:strRef>
              <c:f>'Growth 2F ANOVA'!$FZ$25</c:f>
              <c:strCache>
                <c:ptCount val="1"/>
                <c:pt idx="0">
                  <c:v>Q3-Med</c:v>
                </c:pt>
              </c:strCache>
            </c:strRef>
          </c:tx>
          <c:invertIfNegative val="0"/>
          <c:errBars>
            <c:errBarType val="plus"/>
            <c:errValType val="cust"/>
            <c:noEndCap val="0"/>
            <c:plus>
              <c:numRef>
                <c:f>'Growth 2F ANOVA'!$GA$26:$GN$26</c:f>
                <c:numCache>
                  <c:formatCode>General</c:formatCode>
                  <c:ptCount val="14"/>
                  <c:pt idx="0">
                    <c:v>5.0000000000000044E-2</c:v>
                  </c:pt>
                  <c:pt idx="1">
                    <c:v>7.4999999999999956E-2</c:v>
                  </c:pt>
                  <c:pt idx="2">
                    <c:v>9.9999999999999978E-2</c:v>
                  </c:pt>
                  <c:pt idx="3">
                    <c:v>9.9999999999999978E-2</c:v>
                  </c:pt>
                  <c:pt idx="4">
                    <c:v>9.9999999999999978E-2</c:v>
                  </c:pt>
                  <c:pt idx="5">
                    <c:v>0.11249999999999993</c:v>
                  </c:pt>
                  <c:pt idx="6">
                    <c:v>0.125</c:v>
                  </c:pt>
                  <c:pt idx="7">
                    <c:v>0.12500000000000011</c:v>
                  </c:pt>
                  <c:pt idx="8">
                    <c:v>2.5000000000000022E-2</c:v>
                  </c:pt>
                  <c:pt idx="9">
                    <c:v>0</c:v>
                  </c:pt>
                  <c:pt idx="10">
                    <c:v>0</c:v>
                  </c:pt>
                  <c:pt idx="11">
                    <c:v>0</c:v>
                  </c:pt>
                  <c:pt idx="12">
                    <c:v>1.2499999999999956E-2</c:v>
                  </c:pt>
                  <c:pt idx="13">
                    <c:v>1.2499999999999956E-2</c:v>
                  </c:pt>
                </c:numCache>
              </c:numRef>
            </c:plus>
          </c:errBars>
          <c:cat>
            <c:strRef>
              <c:f>'Growth 2F ANOVA'!$GA$21:$GN$21</c:f>
              <c:strCache>
                <c:ptCount val="14"/>
                <c:pt idx="0">
                  <c:v>BG50</c:v>
                </c:pt>
                <c:pt idx="1">
                  <c:v>BG57</c:v>
                </c:pt>
                <c:pt idx="2">
                  <c:v>BG65</c:v>
                </c:pt>
                <c:pt idx="3">
                  <c:v>BG73</c:v>
                </c:pt>
                <c:pt idx="4">
                  <c:v>BG90</c:v>
                </c:pt>
                <c:pt idx="5">
                  <c:v>BG96</c:v>
                </c:pt>
                <c:pt idx="6">
                  <c:v>BG106</c:v>
                </c:pt>
                <c:pt idx="7">
                  <c:v>BM50</c:v>
                </c:pt>
                <c:pt idx="8">
                  <c:v>BM57</c:v>
                </c:pt>
                <c:pt idx="9">
                  <c:v>BM65</c:v>
                </c:pt>
                <c:pt idx="10">
                  <c:v>BM73</c:v>
                </c:pt>
                <c:pt idx="11">
                  <c:v>BM90</c:v>
                </c:pt>
                <c:pt idx="12">
                  <c:v>BM96</c:v>
                </c:pt>
                <c:pt idx="13">
                  <c:v>BM106</c:v>
                </c:pt>
              </c:strCache>
            </c:strRef>
          </c:cat>
          <c:val>
            <c:numRef>
              <c:f>'Growth 2F ANOVA'!$GA$25:$GN$25</c:f>
              <c:numCache>
                <c:formatCode>General</c:formatCode>
                <c:ptCount val="14"/>
                <c:pt idx="0">
                  <c:v>0.19999999999999996</c:v>
                </c:pt>
                <c:pt idx="1">
                  <c:v>0.22500000000000009</c:v>
                </c:pt>
                <c:pt idx="2">
                  <c:v>0.20000000000000007</c:v>
                </c:pt>
                <c:pt idx="3">
                  <c:v>4.9999999999999933E-2</c:v>
                </c:pt>
                <c:pt idx="4">
                  <c:v>2.5000000000000022E-2</c:v>
                </c:pt>
                <c:pt idx="5">
                  <c:v>3.7500000000000089E-2</c:v>
                </c:pt>
                <c:pt idx="6">
                  <c:v>9.9999999999999978E-2</c:v>
                </c:pt>
                <c:pt idx="7">
                  <c:v>7.4999999999999956E-2</c:v>
                </c:pt>
                <c:pt idx="8">
                  <c:v>7.5000000000000067E-2</c:v>
                </c:pt>
                <c:pt idx="9">
                  <c:v>4.9999999999999933E-2</c:v>
                </c:pt>
                <c:pt idx="10">
                  <c:v>9.9999999999999978E-2</c:v>
                </c:pt>
                <c:pt idx="11">
                  <c:v>4.9999999999999933E-2</c:v>
                </c:pt>
                <c:pt idx="12">
                  <c:v>6.25E-2</c:v>
                </c:pt>
                <c:pt idx="13">
                  <c:v>3.7499999999999978E-2</c:v>
                </c:pt>
              </c:numCache>
            </c:numRef>
          </c:val>
          <c:extLst xmlns:c16r2="http://schemas.microsoft.com/office/drawing/2015/06/chart">
            <c:ext xmlns:c16="http://schemas.microsoft.com/office/drawing/2014/chart" uri="{C3380CC4-5D6E-409C-BE32-E72D297353CC}">
              <c16:uniqueId val="{00000003-8887-4AD9-8AFD-308C4CBAC204}"/>
            </c:ext>
          </c:extLst>
        </c:ser>
        <c:dLbls>
          <c:showLegendKey val="0"/>
          <c:showVal val="0"/>
          <c:showCatName val="0"/>
          <c:showSerName val="0"/>
          <c:showPercent val="0"/>
          <c:showBubbleSize val="0"/>
        </c:dLbls>
        <c:gapWidth val="150"/>
        <c:overlap val="100"/>
        <c:axId val="636740848"/>
        <c:axId val="636738496"/>
      </c:barChart>
      <c:scatterChart>
        <c:scatterStyle val="lineMarker"/>
        <c:varyColors val="0"/>
        <c:ser>
          <c:idx val="4"/>
          <c:order val="4"/>
          <c:tx>
            <c:v>m</c:v>
          </c:tx>
          <c:spPr>
            <a:ln w="28575">
              <a:noFill/>
            </a:ln>
          </c:spPr>
          <c:marker>
            <c:symbol val="x"/>
            <c:size val="5"/>
            <c:spPr>
              <a:ln>
                <a:solidFill>
                  <a:srgbClr val="000000"/>
                </a:solidFill>
                <a:prstDash val="solid"/>
              </a:ln>
            </c:spPr>
          </c:marker>
          <c:yVal>
            <c:numRef>
              <c:f>'Growth 2F ANOVA'!$GA$27:$GN$27</c:f>
              <c:numCache>
                <c:formatCode>General</c:formatCode>
                <c:ptCount val="14"/>
                <c:pt idx="0">
                  <c:v>0.54166666666666663</c:v>
                </c:pt>
                <c:pt idx="1">
                  <c:v>0.52500000000000002</c:v>
                </c:pt>
                <c:pt idx="2">
                  <c:v>0.64999999999999991</c:v>
                </c:pt>
                <c:pt idx="3">
                  <c:v>0.48333333333333334</c:v>
                </c:pt>
                <c:pt idx="4">
                  <c:v>0.70833333333333337</c:v>
                </c:pt>
                <c:pt idx="5">
                  <c:v>0.71666666666666667</c:v>
                </c:pt>
                <c:pt idx="6">
                  <c:v>0.72499999999999998</c:v>
                </c:pt>
                <c:pt idx="7">
                  <c:v>0.56666666666666676</c:v>
                </c:pt>
                <c:pt idx="8">
                  <c:v>0.65</c:v>
                </c:pt>
                <c:pt idx="9">
                  <c:v>0.80833333333333324</c:v>
                </c:pt>
                <c:pt idx="10">
                  <c:v>0.60000000000000009</c:v>
                </c:pt>
                <c:pt idx="11">
                  <c:v>0.80833333333333324</c:v>
                </c:pt>
                <c:pt idx="12">
                  <c:v>0.84166666666666645</c:v>
                </c:pt>
                <c:pt idx="13">
                  <c:v>0.8833333333333333</c:v>
                </c:pt>
              </c:numCache>
            </c:numRef>
          </c:yVal>
          <c:smooth val="0"/>
          <c:extLst xmlns:c16r2="http://schemas.microsoft.com/office/drawing/2015/06/chart">
            <c:ext xmlns:c16="http://schemas.microsoft.com/office/drawing/2014/chart" uri="{C3380CC4-5D6E-409C-BE32-E72D297353CC}">
              <c16:uniqueId val="{00000004-8887-4AD9-8AFD-308C4CBAC204}"/>
            </c:ext>
          </c:extLst>
        </c:ser>
        <c:ser>
          <c:idx val="5"/>
          <c:order val="5"/>
          <c:tx>
            <c:v>x</c:v>
          </c:tx>
          <c:spPr>
            <a:ln w="28575">
              <a:noFill/>
            </a:ln>
          </c:spPr>
          <c:marker>
            <c:symbol val="circle"/>
            <c:size val="5"/>
            <c:spPr>
              <a:solidFill>
                <a:srgbClr val="FFFFFF"/>
              </a:solidFill>
              <a:ln>
                <a:solidFill>
                  <a:srgbClr val="0000FF"/>
                </a:solidFill>
                <a:prstDash val="solid"/>
              </a:ln>
            </c:spPr>
          </c:marker>
          <c:xVal>
            <c:numLit>
              <c:formatCode>General</c:formatCode>
              <c:ptCount val="1"/>
              <c:pt idx="0">
                <c:v>5</c:v>
              </c:pt>
            </c:numLit>
          </c:xVal>
          <c:yVal>
            <c:numRef>
              <c:f>'Growth 2F ANOVA'!$GE$38</c:f>
              <c:numCache>
                <c:formatCode>General</c:formatCode>
                <c:ptCount val="1"/>
                <c:pt idx="0">
                  <c:v>0.3</c:v>
                </c:pt>
              </c:numCache>
            </c:numRef>
          </c:yVal>
          <c:smooth val="0"/>
          <c:extLst xmlns:c16r2="http://schemas.microsoft.com/office/drawing/2015/06/chart">
            <c:ext xmlns:c16="http://schemas.microsoft.com/office/drawing/2014/chart" uri="{C3380CC4-5D6E-409C-BE32-E72D297353CC}">
              <c16:uniqueId val="{00000005-8887-4AD9-8AFD-308C4CBAC204}"/>
            </c:ext>
          </c:extLst>
        </c:ser>
        <c:ser>
          <c:idx val="6"/>
          <c:order val="6"/>
          <c:tx>
            <c:v>x</c:v>
          </c:tx>
          <c:spPr>
            <a:ln w="28575">
              <a:noFill/>
            </a:ln>
          </c:spPr>
          <c:marker>
            <c:symbol val="circle"/>
            <c:size val="5"/>
            <c:spPr>
              <a:solidFill>
                <a:srgbClr val="FFFFFF"/>
              </a:solidFill>
              <a:ln>
                <a:solidFill>
                  <a:srgbClr val="0000FF"/>
                </a:solidFill>
                <a:prstDash val="solid"/>
              </a:ln>
            </c:spPr>
          </c:marker>
          <c:xVal>
            <c:numLit>
              <c:formatCode>General</c:formatCode>
              <c:ptCount val="1"/>
              <c:pt idx="0">
                <c:v>6</c:v>
              </c:pt>
            </c:numLit>
          </c:xVal>
          <c:yVal>
            <c:numRef>
              <c:f>'Growth 2F ANOVA'!$GF$38</c:f>
              <c:numCache>
                <c:formatCode>General</c:formatCode>
                <c:ptCount val="1"/>
                <c:pt idx="0">
                  <c:v>0.4</c:v>
                </c:pt>
              </c:numCache>
            </c:numRef>
          </c:yVal>
          <c:smooth val="0"/>
          <c:extLst xmlns:c16r2="http://schemas.microsoft.com/office/drawing/2015/06/chart">
            <c:ext xmlns:c16="http://schemas.microsoft.com/office/drawing/2014/chart" uri="{C3380CC4-5D6E-409C-BE32-E72D297353CC}">
              <c16:uniqueId val="{00000006-8887-4AD9-8AFD-308C4CBAC204}"/>
            </c:ext>
          </c:extLst>
        </c:ser>
        <c:dLbls>
          <c:showLegendKey val="0"/>
          <c:showVal val="0"/>
          <c:showCatName val="0"/>
          <c:showSerName val="0"/>
          <c:showPercent val="0"/>
          <c:showBubbleSize val="0"/>
        </c:dLbls>
        <c:axId val="636740848"/>
        <c:axId val="636738496"/>
      </c:scatterChart>
      <c:catAx>
        <c:axId val="636740848"/>
        <c:scaling>
          <c:orientation val="minMax"/>
        </c:scaling>
        <c:delete val="0"/>
        <c:axPos val="b"/>
        <c:numFmt formatCode="General" sourceLinked="1"/>
        <c:majorTickMark val="out"/>
        <c:minorTickMark val="none"/>
        <c:tickLblPos val="nextTo"/>
        <c:crossAx val="636738496"/>
        <c:crosses val="autoZero"/>
        <c:auto val="1"/>
        <c:lblAlgn val="ctr"/>
        <c:lblOffset val="100"/>
        <c:noMultiLvlLbl val="0"/>
      </c:catAx>
      <c:valAx>
        <c:axId val="636738496"/>
        <c:scaling>
          <c:orientation val="minMax"/>
        </c:scaling>
        <c:delete val="0"/>
        <c:axPos val="l"/>
        <c:majorGridlines/>
        <c:title>
          <c:tx>
            <c:rich>
              <a:bodyPr/>
              <a:lstStyle/>
              <a:p>
                <a:pPr>
                  <a:defRPr/>
                </a:pPr>
                <a:r>
                  <a:rPr lang="en-US"/>
                  <a:t>Coverage (%)</a:t>
                </a:r>
              </a:p>
            </c:rich>
          </c:tx>
          <c:overlay val="0"/>
        </c:title>
        <c:numFmt formatCode="General" sourceLinked="1"/>
        <c:majorTickMark val="out"/>
        <c:minorTickMark val="none"/>
        <c:tickLblPos val="nextTo"/>
        <c:crossAx val="636740848"/>
        <c:crosses val="autoZero"/>
        <c:crossBetween val="between"/>
      </c:valAx>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'Bermuda Biomass'!$J$36</c:f>
              <c:strCache>
                <c:ptCount val="1"/>
                <c:pt idx="0">
                  <c:v>First Harvest, Grass</c:v>
                </c:pt>
              </c:strCache>
            </c:strRef>
          </c:tx>
          <c:spPr>
            <a:solidFill>
              <a:schemeClr val="accent1"/>
            </a:solidFill>
            <a:ln>
              <a:noFill/>
            </a:ln>
            <a:effectLst/>
          </c:spPr>
          <c:invertIfNegative val="0"/>
          <c:cat>
            <c:strRef>
              <c:f>'Bermuda Biomass'!$I$37:$I$48</c:f>
              <c:strCache>
                <c:ptCount val="12"/>
                <c:pt idx="0">
                  <c:v>BG1a</c:v>
                </c:pt>
                <c:pt idx="1">
                  <c:v>BG4a</c:v>
                </c:pt>
                <c:pt idx="2">
                  <c:v>BG2b</c:v>
                </c:pt>
                <c:pt idx="3">
                  <c:v>BG3b</c:v>
                </c:pt>
                <c:pt idx="4">
                  <c:v>BG4b</c:v>
                </c:pt>
                <c:pt idx="5">
                  <c:v>BG2c</c:v>
                </c:pt>
                <c:pt idx="6">
                  <c:v>BM2a</c:v>
                </c:pt>
                <c:pt idx="7">
                  <c:v>BM3a</c:v>
                </c:pt>
                <c:pt idx="8">
                  <c:v>BM1b</c:v>
                </c:pt>
                <c:pt idx="9">
                  <c:v>BM1c</c:v>
                </c:pt>
                <c:pt idx="10">
                  <c:v>BM3c</c:v>
                </c:pt>
                <c:pt idx="11">
                  <c:v>BM4c</c:v>
                </c:pt>
              </c:strCache>
            </c:strRef>
          </c:cat>
          <c:val>
            <c:numRef>
              <c:f>'Bermuda Biomass'!$J$37:$J$48</c:f>
              <c:numCache>
                <c:formatCode>General</c:formatCode>
                <c:ptCount val="12"/>
                <c:pt idx="0">
                  <c:v>2.1486000000000001</c:v>
                </c:pt>
                <c:pt idx="1">
                  <c:v>1.1749999999999998</c:v>
                </c:pt>
                <c:pt idx="2">
                  <c:v>4.3698000000000006</c:v>
                </c:pt>
                <c:pt idx="3">
                  <c:v>3.081599999999999</c:v>
                </c:pt>
                <c:pt idx="4">
                  <c:v>4.688299999999999</c:v>
                </c:pt>
                <c:pt idx="5">
                  <c:v>4.8117999999999999</c:v>
                </c:pt>
                <c:pt idx="6">
                  <c:v>3.121599999999999</c:v>
                </c:pt>
                <c:pt idx="7">
                  <c:v>4.815500000000001</c:v>
                </c:pt>
                <c:pt idx="8">
                  <c:v>4.0507999999999997</c:v>
                </c:pt>
                <c:pt idx="9">
                  <c:v>3.9003000000000005</c:v>
                </c:pt>
                <c:pt idx="10">
                  <c:v>4.0076999999999998</c:v>
                </c:pt>
                <c:pt idx="11">
                  <c:v>4.3546999999999993</c:v>
                </c:pt>
              </c:numCache>
            </c:numRef>
          </c:val>
          <c:extLst xmlns:c16r2="http://schemas.microsoft.com/office/drawing/2015/06/chart">
            <c:ext xmlns:c16="http://schemas.microsoft.com/office/drawing/2014/chart" uri="{C3380CC4-5D6E-409C-BE32-E72D297353CC}">
              <c16:uniqueId val="{00000000-1D5B-4230-80AA-B6D720CD7DD1}"/>
            </c:ext>
          </c:extLst>
        </c:ser>
        <c:ser>
          <c:idx val="1"/>
          <c:order val="1"/>
          <c:tx>
            <c:strRef>
              <c:f>'Bermuda Biomass'!$K$36</c:f>
              <c:strCache>
                <c:ptCount val="1"/>
                <c:pt idx="0">
                  <c:v>Second Harvest, Grass</c:v>
                </c:pt>
              </c:strCache>
            </c:strRef>
          </c:tx>
          <c:spPr>
            <a:solidFill>
              <a:schemeClr val="accent2"/>
            </a:solidFill>
            <a:ln>
              <a:noFill/>
            </a:ln>
            <a:effectLst/>
          </c:spPr>
          <c:invertIfNegative val="0"/>
          <c:cat>
            <c:strRef>
              <c:f>'Bermuda Biomass'!$I$37:$I$48</c:f>
              <c:strCache>
                <c:ptCount val="12"/>
                <c:pt idx="0">
                  <c:v>BG1a</c:v>
                </c:pt>
                <c:pt idx="1">
                  <c:v>BG4a</c:v>
                </c:pt>
                <c:pt idx="2">
                  <c:v>BG2b</c:v>
                </c:pt>
                <c:pt idx="3">
                  <c:v>BG3b</c:v>
                </c:pt>
                <c:pt idx="4">
                  <c:v>BG4b</c:v>
                </c:pt>
                <c:pt idx="5">
                  <c:v>BG2c</c:v>
                </c:pt>
                <c:pt idx="6">
                  <c:v>BM2a</c:v>
                </c:pt>
                <c:pt idx="7">
                  <c:v>BM3a</c:v>
                </c:pt>
                <c:pt idx="8">
                  <c:v>BM1b</c:v>
                </c:pt>
                <c:pt idx="9">
                  <c:v>BM1c</c:v>
                </c:pt>
                <c:pt idx="10">
                  <c:v>BM3c</c:v>
                </c:pt>
                <c:pt idx="11">
                  <c:v>BM4c</c:v>
                </c:pt>
              </c:strCache>
            </c:strRef>
          </c:cat>
          <c:val>
            <c:numRef>
              <c:f>'Bermuda Biomass'!$K$37:$K$48</c:f>
              <c:numCache>
                <c:formatCode>General</c:formatCode>
                <c:ptCount val="12"/>
                <c:pt idx="0">
                  <c:v>9.0138999999999996</c:v>
                </c:pt>
                <c:pt idx="1">
                  <c:v>4.8300999999999998</c:v>
                </c:pt>
                <c:pt idx="2">
                  <c:v>5.5007000000000001</c:v>
                </c:pt>
                <c:pt idx="3">
                  <c:v>6.6286999999999994</c:v>
                </c:pt>
                <c:pt idx="4">
                  <c:v>12.703899999999999</c:v>
                </c:pt>
                <c:pt idx="5">
                  <c:v>6.8494999999999999</c:v>
                </c:pt>
                <c:pt idx="6">
                  <c:v>7.7314000000000007</c:v>
                </c:pt>
                <c:pt idx="7">
                  <c:v>11.9115</c:v>
                </c:pt>
                <c:pt idx="8">
                  <c:v>9.0716999999999999</c:v>
                </c:pt>
                <c:pt idx="9">
                  <c:v>10.974700000000002</c:v>
                </c:pt>
                <c:pt idx="10">
                  <c:v>11.065000000000001</c:v>
                </c:pt>
                <c:pt idx="11">
                  <c:v>10.4497</c:v>
                </c:pt>
              </c:numCache>
            </c:numRef>
          </c:val>
          <c:extLst xmlns:c16r2="http://schemas.microsoft.com/office/drawing/2015/06/chart">
            <c:ext xmlns:c16="http://schemas.microsoft.com/office/drawing/2014/chart" uri="{C3380CC4-5D6E-409C-BE32-E72D297353CC}">
              <c16:uniqueId val="{00000001-1D5B-4230-80AA-B6D720CD7DD1}"/>
            </c:ext>
          </c:extLst>
        </c:ser>
        <c:ser>
          <c:idx val="2"/>
          <c:order val="2"/>
          <c:tx>
            <c:strRef>
              <c:f>'Bermuda Biomass'!$L$36</c:f>
              <c:strCache>
                <c:ptCount val="1"/>
                <c:pt idx="0">
                  <c:v>Roots</c:v>
                </c:pt>
              </c:strCache>
            </c:strRef>
          </c:tx>
          <c:spPr>
            <a:solidFill>
              <a:schemeClr val="accent3"/>
            </a:solidFill>
            <a:ln>
              <a:noFill/>
            </a:ln>
            <a:effectLst/>
          </c:spPr>
          <c:invertIfNegative val="0"/>
          <c:cat>
            <c:strRef>
              <c:f>'Bermuda Biomass'!$I$37:$I$48</c:f>
              <c:strCache>
                <c:ptCount val="12"/>
                <c:pt idx="0">
                  <c:v>BG1a</c:v>
                </c:pt>
                <c:pt idx="1">
                  <c:v>BG4a</c:v>
                </c:pt>
                <c:pt idx="2">
                  <c:v>BG2b</c:v>
                </c:pt>
                <c:pt idx="3">
                  <c:v>BG3b</c:v>
                </c:pt>
                <c:pt idx="4">
                  <c:v>BG4b</c:v>
                </c:pt>
                <c:pt idx="5">
                  <c:v>BG2c</c:v>
                </c:pt>
                <c:pt idx="6">
                  <c:v>BM2a</c:v>
                </c:pt>
                <c:pt idx="7">
                  <c:v>BM3a</c:v>
                </c:pt>
                <c:pt idx="8">
                  <c:v>BM1b</c:v>
                </c:pt>
                <c:pt idx="9">
                  <c:v>BM1c</c:v>
                </c:pt>
                <c:pt idx="10">
                  <c:v>BM3c</c:v>
                </c:pt>
                <c:pt idx="11">
                  <c:v>BM4c</c:v>
                </c:pt>
              </c:strCache>
            </c:strRef>
          </c:cat>
          <c:val>
            <c:numRef>
              <c:f>'Bermuda Biomass'!$L$37:$L$48</c:f>
              <c:numCache>
                <c:formatCode>General</c:formatCode>
                <c:ptCount val="12"/>
                <c:pt idx="0">
                  <c:v>4.4484000000000004</c:v>
                </c:pt>
                <c:pt idx="1">
                  <c:v>1.8590000000000002</c:v>
                </c:pt>
                <c:pt idx="2">
                  <c:v>4.1917999999999997</c:v>
                </c:pt>
                <c:pt idx="3">
                  <c:v>3.7008999999999999</c:v>
                </c:pt>
                <c:pt idx="4">
                  <c:v>4.7148000000000003</c:v>
                </c:pt>
                <c:pt idx="5">
                  <c:v>5.1661999999999999</c:v>
                </c:pt>
                <c:pt idx="6">
                  <c:v>5.3762000000000008</c:v>
                </c:pt>
                <c:pt idx="7">
                  <c:v>5.3544999999999998</c:v>
                </c:pt>
                <c:pt idx="8">
                  <c:v>4.2730000000000006</c:v>
                </c:pt>
                <c:pt idx="9">
                  <c:v>5.5006000000000004</c:v>
                </c:pt>
                <c:pt idx="10">
                  <c:v>5.1345999999999998</c:v>
                </c:pt>
                <c:pt idx="11">
                  <c:v>5.0880000000000001</c:v>
                </c:pt>
              </c:numCache>
            </c:numRef>
          </c:val>
          <c:extLst xmlns:c16r2="http://schemas.microsoft.com/office/drawing/2015/06/chart">
            <c:ext xmlns:c16="http://schemas.microsoft.com/office/drawing/2014/chart" uri="{C3380CC4-5D6E-409C-BE32-E72D297353CC}">
              <c16:uniqueId val="{00000002-1D5B-4230-80AA-B6D720CD7DD1}"/>
            </c:ext>
          </c:extLst>
        </c:ser>
        <c:dLbls>
          <c:showLegendKey val="0"/>
          <c:showVal val="0"/>
          <c:showCatName val="0"/>
          <c:showSerName val="0"/>
          <c:showPercent val="0"/>
          <c:showBubbleSize val="0"/>
        </c:dLbls>
        <c:gapWidth val="150"/>
        <c:overlap val="100"/>
        <c:axId val="638268184"/>
        <c:axId val="638268576"/>
      </c:barChart>
      <c:catAx>
        <c:axId val="638268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268576"/>
        <c:crosses val="autoZero"/>
        <c:auto val="1"/>
        <c:lblAlgn val="ctr"/>
        <c:lblOffset val="100"/>
        <c:noMultiLvlLbl val="0"/>
      </c:catAx>
      <c:valAx>
        <c:axId val="638268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Biomass (g)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268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'Corn Biomass'!$B$38</c:f>
              <c:strCache>
                <c:ptCount val="1"/>
                <c:pt idx="0">
                  <c:v>CG</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B17-422E-9768-419BEF34916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B17-422E-9768-419BEF34916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B17-422E-9768-419BEF34916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B17-422E-9768-419BEF34916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B17-422E-9768-419BEF349161}"/>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9B17-422E-9768-419BEF349161}"/>
              </c:ext>
            </c:extLst>
          </c:dPt>
          <c:dPt>
            <c:idx val="6"/>
            <c:bubble3D val="0"/>
            <c:spPr>
              <a:solidFill>
                <a:srgbClr val="F0E442"/>
              </a:solidFill>
              <a:ln w="19050">
                <a:solidFill>
                  <a:schemeClr val="lt1"/>
                </a:solidFill>
              </a:ln>
              <a:effectLst/>
            </c:spPr>
            <c:extLst xmlns:c16r2="http://schemas.microsoft.com/office/drawing/2015/06/chart">
              <c:ext xmlns:c16="http://schemas.microsoft.com/office/drawing/2014/chart" uri="{C3380CC4-5D6E-409C-BE32-E72D297353CC}">
                <c16:uniqueId val="{0000000D-9B17-422E-9768-419BEF34916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'Corn Biomass'!$A$39:$A$45</c:f>
              <c:strCache>
                <c:ptCount val="7"/>
                <c:pt idx="0">
                  <c:v>Tassel</c:v>
                </c:pt>
                <c:pt idx="1">
                  <c:v>Stalk</c:v>
                </c:pt>
                <c:pt idx="2">
                  <c:v>Leaves</c:v>
                </c:pt>
                <c:pt idx="3">
                  <c:v>Husk Leaves</c:v>
                </c:pt>
                <c:pt idx="4">
                  <c:v>Cob</c:v>
                </c:pt>
                <c:pt idx="5">
                  <c:v>Grain</c:v>
                </c:pt>
                <c:pt idx="6">
                  <c:v>Roots</c:v>
                </c:pt>
              </c:strCache>
            </c:strRef>
          </c:cat>
          <c:val>
            <c:numRef>
              <c:f>'Corn Biomass'!$B$39:$B$45</c:f>
              <c:numCache>
                <c:formatCode>General</c:formatCode>
                <c:ptCount val="7"/>
                <c:pt idx="0">
                  <c:v>1.6226857142857141</c:v>
                </c:pt>
                <c:pt idx="1">
                  <c:v>28.3903</c:v>
                </c:pt>
                <c:pt idx="2">
                  <c:v>22.564585714285712</c:v>
                </c:pt>
                <c:pt idx="3">
                  <c:v>4.1368</c:v>
                </c:pt>
                <c:pt idx="4">
                  <c:v>1.6167285714285715</c:v>
                </c:pt>
                <c:pt idx="5">
                  <c:v>3.7294714285714283</c:v>
                </c:pt>
                <c:pt idx="6">
                  <c:v>12.256214285714284</c:v>
                </c:pt>
              </c:numCache>
            </c:numRef>
          </c:val>
          <c:extLst xmlns:c16r2="http://schemas.microsoft.com/office/drawing/2015/06/chart">
            <c:ext xmlns:c16="http://schemas.microsoft.com/office/drawing/2014/chart" uri="{C3380CC4-5D6E-409C-BE32-E72D297353CC}">
              <c16:uniqueId val="{0000000E-9B17-422E-9768-419BEF349161}"/>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'Results - Sprouts per Pot'!$A$106</c:f>
              <c:strCache>
                <c:ptCount val="1"/>
                <c:pt idx="0">
                  <c:v>% emergence CG</c:v>
                </c:pt>
              </c:strCache>
            </c:strRef>
          </c:tx>
          <c:spPr>
            <a:ln w="19050" cap="rnd">
              <a:solidFill>
                <a:schemeClr val="accent1"/>
              </a:solidFill>
              <a:round/>
            </a:ln>
            <a:effectLst/>
          </c:spPr>
          <c:marker>
            <c:symbol val="triangle"/>
            <c:size val="5"/>
            <c:spPr>
              <a:solidFill>
                <a:schemeClr val="accent1"/>
              </a:solidFill>
              <a:ln w="9525">
                <a:solidFill>
                  <a:schemeClr val="accent1"/>
                </a:solidFill>
              </a:ln>
              <a:effectLst/>
            </c:spPr>
          </c:marker>
          <c:xVal>
            <c:numRef>
              <c:f>'Results - Sprouts per Pot'!$B$39:$K$39</c:f>
              <c:numCache>
                <c:formatCode>General</c:formatCode>
                <c:ptCount val="10"/>
                <c:pt idx="0">
                  <c:v>0</c:v>
                </c:pt>
                <c:pt idx="1">
                  <c:v>4</c:v>
                </c:pt>
                <c:pt idx="2">
                  <c:v>5</c:v>
                </c:pt>
                <c:pt idx="3">
                  <c:v>7</c:v>
                </c:pt>
                <c:pt idx="4">
                  <c:v>8</c:v>
                </c:pt>
                <c:pt idx="5">
                  <c:v>9</c:v>
                </c:pt>
                <c:pt idx="6">
                  <c:v>11</c:v>
                </c:pt>
                <c:pt idx="7">
                  <c:v>13</c:v>
                </c:pt>
                <c:pt idx="8">
                  <c:v>15</c:v>
                </c:pt>
                <c:pt idx="9">
                  <c:v>18</c:v>
                </c:pt>
              </c:numCache>
            </c:numRef>
          </c:xVal>
          <c:yVal>
            <c:numRef>
              <c:f>'Results - Sprouts per Pot'!$B$106:$I$106</c:f>
              <c:numCache>
                <c:formatCode>0%</c:formatCode>
                <c:ptCount val="8"/>
                <c:pt idx="0">
                  <c:v>0</c:v>
                </c:pt>
                <c:pt idx="1">
                  <c:v>0</c:v>
                </c:pt>
                <c:pt idx="2">
                  <c:v>0.25</c:v>
                </c:pt>
                <c:pt idx="3">
                  <c:v>0.66666666666666663</c:v>
                </c:pt>
                <c:pt idx="4">
                  <c:v>0.70833333333333337</c:v>
                </c:pt>
                <c:pt idx="5">
                  <c:v>0.75</c:v>
                </c:pt>
                <c:pt idx="6">
                  <c:v>0.79166666666666663</c:v>
                </c:pt>
                <c:pt idx="7">
                  <c:v>0.79166666666666663</c:v>
                </c:pt>
              </c:numCache>
            </c:numRef>
          </c:yVal>
          <c:smooth val="0"/>
          <c:extLst xmlns:c16r2="http://schemas.microsoft.com/office/drawing/2015/06/chart">
            <c:ext xmlns:c16="http://schemas.microsoft.com/office/drawing/2014/chart" uri="{C3380CC4-5D6E-409C-BE32-E72D297353CC}">
              <c16:uniqueId val="{00000000-5981-47DE-AABB-DE2B8EE52349}"/>
            </c:ext>
          </c:extLst>
        </c:ser>
        <c:ser>
          <c:idx val="1"/>
          <c:order val="1"/>
          <c:tx>
            <c:strRef>
              <c:f>'Results - Sprouts per Pot'!$A$111</c:f>
              <c:strCache>
                <c:ptCount val="1"/>
                <c:pt idx="0">
                  <c:v>% emergence CM</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'Results - Sprouts per Pot'!$B$39:$I$39</c:f>
              <c:numCache>
                <c:formatCode>General</c:formatCode>
                <c:ptCount val="8"/>
                <c:pt idx="0">
                  <c:v>0</c:v>
                </c:pt>
                <c:pt idx="1">
                  <c:v>4</c:v>
                </c:pt>
                <c:pt idx="2">
                  <c:v>5</c:v>
                </c:pt>
                <c:pt idx="3">
                  <c:v>7</c:v>
                </c:pt>
                <c:pt idx="4">
                  <c:v>8</c:v>
                </c:pt>
                <c:pt idx="5">
                  <c:v>9</c:v>
                </c:pt>
                <c:pt idx="6">
                  <c:v>11</c:v>
                </c:pt>
                <c:pt idx="7">
                  <c:v>13</c:v>
                </c:pt>
              </c:numCache>
            </c:numRef>
          </c:xVal>
          <c:yVal>
            <c:numRef>
              <c:f>'Results - Sprouts per Pot'!$B$111:$I$111</c:f>
              <c:numCache>
                <c:formatCode>0%</c:formatCode>
                <c:ptCount val="8"/>
                <c:pt idx="0">
                  <c:v>0</c:v>
                </c:pt>
                <c:pt idx="1">
                  <c:v>0</c:v>
                </c:pt>
                <c:pt idx="2">
                  <c:v>0.16666666666666666</c:v>
                </c:pt>
                <c:pt idx="3">
                  <c:v>0.66666666666666663</c:v>
                </c:pt>
                <c:pt idx="4">
                  <c:v>0.75</c:v>
                </c:pt>
                <c:pt idx="5">
                  <c:v>0.83333333333333337</c:v>
                </c:pt>
                <c:pt idx="6">
                  <c:v>0.83333333333333337</c:v>
                </c:pt>
                <c:pt idx="7">
                  <c:v>0.83333333333333337</c:v>
                </c:pt>
              </c:numCache>
            </c:numRef>
          </c:yVal>
          <c:smooth val="0"/>
          <c:extLst xmlns:c16r2="http://schemas.microsoft.com/office/drawing/2015/06/chart">
            <c:ext xmlns:c16="http://schemas.microsoft.com/office/drawing/2014/chart" uri="{C3380CC4-5D6E-409C-BE32-E72D297353CC}">
              <c16:uniqueId val="{00000001-5981-47DE-AABB-DE2B8EE52349}"/>
            </c:ext>
          </c:extLst>
        </c:ser>
        <c:dLbls>
          <c:showLegendKey val="0"/>
          <c:showVal val="0"/>
          <c:showCatName val="0"/>
          <c:showSerName val="0"/>
          <c:showPercent val="0"/>
          <c:showBubbleSize val="0"/>
        </c:dLbls>
        <c:axId val="302164432"/>
        <c:axId val="302163256"/>
      </c:scatterChart>
      <c:valAx>
        <c:axId val="3021644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planting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163256"/>
        <c:crosses val="autoZero"/>
        <c:crossBetween val="midCat"/>
      </c:valAx>
      <c:valAx>
        <c:axId val="30216325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a:t>
                </a:r>
                <a:r>
                  <a:rPr lang="en-US" i="0"/>
                  <a:t>Seedlings </a:t>
                </a:r>
                <a:r>
                  <a:rPr lang="en-US"/>
                  <a:t>Emerged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164432"/>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'Corn Biomass'!$C$38</c:f>
              <c:strCache>
                <c:ptCount val="1"/>
                <c:pt idx="0">
                  <c:v>CM</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BD5-473D-90CD-3C581EE14E6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BD5-473D-90CD-3C581EE14E6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BD5-473D-90CD-3C581EE14E6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BD5-473D-90CD-3C581EE14E64}"/>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7BD5-473D-90CD-3C581EE14E64}"/>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7BD5-473D-90CD-3C581EE14E64}"/>
              </c:ext>
            </c:extLst>
          </c:dPt>
          <c:dPt>
            <c:idx val="6"/>
            <c:bubble3D val="0"/>
            <c:spPr>
              <a:solidFill>
                <a:srgbClr val="F0E442"/>
              </a:solidFill>
              <a:ln w="19050">
                <a:solidFill>
                  <a:schemeClr val="lt1"/>
                </a:solidFill>
              </a:ln>
              <a:effectLst/>
            </c:spPr>
            <c:extLst xmlns:c16r2="http://schemas.microsoft.com/office/drawing/2015/06/chart">
              <c:ext xmlns:c16="http://schemas.microsoft.com/office/drawing/2014/chart" uri="{C3380CC4-5D6E-409C-BE32-E72D297353CC}">
                <c16:uniqueId val="{0000000D-7BD5-473D-90CD-3C581EE14E6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'Corn Biomass'!$A$39:$A$45</c:f>
              <c:strCache>
                <c:ptCount val="7"/>
                <c:pt idx="0">
                  <c:v>Tassel</c:v>
                </c:pt>
                <c:pt idx="1">
                  <c:v>Stalk</c:v>
                </c:pt>
                <c:pt idx="2">
                  <c:v>Leaves</c:v>
                </c:pt>
                <c:pt idx="3">
                  <c:v>Husk Leaves</c:v>
                </c:pt>
                <c:pt idx="4">
                  <c:v>Cob</c:v>
                </c:pt>
                <c:pt idx="5">
                  <c:v>Grain</c:v>
                </c:pt>
                <c:pt idx="6">
                  <c:v>Roots</c:v>
                </c:pt>
              </c:strCache>
            </c:strRef>
          </c:cat>
          <c:val>
            <c:numRef>
              <c:f>'Corn Biomass'!$C$39:$C$45</c:f>
              <c:numCache>
                <c:formatCode>General</c:formatCode>
                <c:ptCount val="7"/>
                <c:pt idx="0">
                  <c:v>1.1918166666666663</c:v>
                </c:pt>
                <c:pt idx="1">
                  <c:v>25.013166666666667</c:v>
                </c:pt>
                <c:pt idx="2">
                  <c:v>18.936449999999997</c:v>
                </c:pt>
                <c:pt idx="3">
                  <c:v>5.022966666666667</c:v>
                </c:pt>
                <c:pt idx="4">
                  <c:v>3.29705</c:v>
                </c:pt>
                <c:pt idx="5">
                  <c:v>6.3147833333333336</c:v>
                </c:pt>
                <c:pt idx="6">
                  <c:v>11.437683333333332</c:v>
                </c:pt>
              </c:numCache>
            </c:numRef>
          </c:val>
          <c:extLst xmlns:c16r2="http://schemas.microsoft.com/office/drawing/2015/06/chart">
            <c:ext xmlns:c16="http://schemas.microsoft.com/office/drawing/2014/chart" uri="{C3380CC4-5D6E-409C-BE32-E72D297353CC}">
              <c16:uniqueId val="{0000000E-7BD5-473D-90CD-3C581EE14E64}"/>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'Sorghum Biomass'!$AA$15</c:f>
              <c:strCache>
                <c:ptCount val="1"/>
                <c:pt idx="0">
                  <c:v>SG Mean</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376-419F-B3C0-96F04314E57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376-419F-B3C0-96F04314E57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376-419F-B3C0-96F04314E570}"/>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376-419F-B3C0-96F04314E570}"/>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F376-419F-B3C0-96F04314E5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'Sorghum Biomass'!$Z$16:$Z$20</c:f>
              <c:strCache>
                <c:ptCount val="5"/>
                <c:pt idx="0">
                  <c:v>Roots</c:v>
                </c:pt>
                <c:pt idx="1">
                  <c:v>Stalk</c:v>
                </c:pt>
                <c:pt idx="2">
                  <c:v>Leaves</c:v>
                </c:pt>
                <c:pt idx="3">
                  <c:v>Grain</c:v>
                </c:pt>
                <c:pt idx="4">
                  <c:v>Tillers</c:v>
                </c:pt>
              </c:strCache>
            </c:strRef>
          </c:cat>
          <c:val>
            <c:numRef>
              <c:f>'Sorghum Biomass'!$AA$16:$AA$20</c:f>
              <c:numCache>
                <c:formatCode>General</c:formatCode>
                <c:ptCount val="5"/>
                <c:pt idx="0">
                  <c:v>9.6325333333333329</c:v>
                </c:pt>
                <c:pt idx="1">
                  <c:v>21.313533333333336</c:v>
                </c:pt>
                <c:pt idx="2">
                  <c:v>13.992399999999998</c:v>
                </c:pt>
                <c:pt idx="3">
                  <c:v>9.9630500000000008</c:v>
                </c:pt>
                <c:pt idx="4">
                  <c:v>4.3660999999999994</c:v>
                </c:pt>
              </c:numCache>
            </c:numRef>
          </c:val>
          <c:extLst xmlns:c16r2="http://schemas.microsoft.com/office/drawing/2015/06/chart">
            <c:ext xmlns:c16="http://schemas.microsoft.com/office/drawing/2014/chart" uri="{C3380CC4-5D6E-409C-BE32-E72D297353CC}">
              <c16:uniqueId val="{0000000A-F376-419F-B3C0-96F04314E570}"/>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'Sorghum Biomass'!$AB$15</c:f>
              <c:strCache>
                <c:ptCount val="1"/>
                <c:pt idx="0">
                  <c:v>SM Mean</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E32-4D65-909A-9711F2FEC23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E32-4D65-909A-9711F2FEC23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E32-4D65-909A-9711F2FEC23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E32-4D65-909A-9711F2FEC23F}"/>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3E32-4D65-909A-9711F2FEC23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'Sorghum Biomass'!$Z$16:$Z$20</c:f>
              <c:strCache>
                <c:ptCount val="5"/>
                <c:pt idx="0">
                  <c:v>Roots</c:v>
                </c:pt>
                <c:pt idx="1">
                  <c:v>Stalk</c:v>
                </c:pt>
                <c:pt idx="2">
                  <c:v>Leaves</c:v>
                </c:pt>
                <c:pt idx="3">
                  <c:v>Grain</c:v>
                </c:pt>
                <c:pt idx="4">
                  <c:v>Tillers</c:v>
                </c:pt>
              </c:strCache>
            </c:strRef>
          </c:cat>
          <c:val>
            <c:numRef>
              <c:f>'Sorghum Biomass'!$AB$16:$AB$19</c:f>
              <c:numCache>
                <c:formatCode>General</c:formatCode>
                <c:ptCount val="4"/>
                <c:pt idx="0">
                  <c:v>6.1664000000000003</c:v>
                </c:pt>
                <c:pt idx="1">
                  <c:v>15.491016666666667</c:v>
                </c:pt>
                <c:pt idx="2">
                  <c:v>8.9751166666666666</c:v>
                </c:pt>
                <c:pt idx="3">
                  <c:v>13.175516666666667</c:v>
                </c:pt>
              </c:numCache>
            </c:numRef>
          </c:val>
          <c:extLst xmlns:c16r2="http://schemas.microsoft.com/office/drawing/2015/06/chart">
            <c:ext xmlns:c16="http://schemas.microsoft.com/office/drawing/2014/chart" uri="{C3380CC4-5D6E-409C-BE32-E72D297353CC}">
              <c16:uniqueId val="{0000000A-3E32-4D65-909A-9711F2FEC23F}"/>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'Results - Sprouts per Pot'!$A$117</c:f>
              <c:strCache>
                <c:ptCount val="1"/>
                <c:pt idx="0">
                  <c:v>% emergence SG</c:v>
                </c:pt>
              </c:strCache>
            </c:strRef>
          </c:tx>
          <c:spPr>
            <a:ln w="19050" cap="rnd">
              <a:solidFill>
                <a:schemeClr val="accent1"/>
              </a:solidFill>
              <a:round/>
            </a:ln>
            <a:effectLst/>
          </c:spPr>
          <c:marker>
            <c:symbol val="triangle"/>
            <c:size val="5"/>
            <c:spPr>
              <a:solidFill>
                <a:schemeClr val="accent1"/>
              </a:solidFill>
              <a:ln w="9525">
                <a:solidFill>
                  <a:schemeClr val="accent1"/>
                </a:solidFill>
              </a:ln>
              <a:effectLst/>
            </c:spPr>
          </c:marker>
          <c:xVal>
            <c:numRef>
              <c:f>'Results - Sprouts per Pot'!$B$39:$I$39</c:f>
              <c:numCache>
                <c:formatCode>General</c:formatCode>
                <c:ptCount val="8"/>
                <c:pt idx="0">
                  <c:v>0</c:v>
                </c:pt>
                <c:pt idx="1">
                  <c:v>4</c:v>
                </c:pt>
                <c:pt idx="2">
                  <c:v>5</c:v>
                </c:pt>
                <c:pt idx="3">
                  <c:v>7</c:v>
                </c:pt>
                <c:pt idx="4">
                  <c:v>8</c:v>
                </c:pt>
                <c:pt idx="5">
                  <c:v>9</c:v>
                </c:pt>
                <c:pt idx="6">
                  <c:v>11</c:v>
                </c:pt>
                <c:pt idx="7">
                  <c:v>13</c:v>
                </c:pt>
              </c:numCache>
            </c:numRef>
          </c:xVal>
          <c:yVal>
            <c:numRef>
              <c:f>'Results - Sprouts per Pot'!$B$117:$I$117</c:f>
              <c:numCache>
                <c:formatCode>0%</c:formatCode>
                <c:ptCount val="8"/>
                <c:pt idx="0">
                  <c:v>0</c:v>
                </c:pt>
                <c:pt idx="1">
                  <c:v>4.1666666666666664E-2</c:v>
                </c:pt>
                <c:pt idx="2">
                  <c:v>0.58333333333333337</c:v>
                </c:pt>
                <c:pt idx="3">
                  <c:v>0.875</c:v>
                </c:pt>
                <c:pt idx="4">
                  <c:v>0.91666666666666663</c:v>
                </c:pt>
                <c:pt idx="5">
                  <c:v>0.91666666666666663</c:v>
                </c:pt>
                <c:pt idx="6">
                  <c:v>0.91666666666666663</c:v>
                </c:pt>
                <c:pt idx="7">
                  <c:v>0.91666666666666663</c:v>
                </c:pt>
              </c:numCache>
            </c:numRef>
          </c:yVal>
          <c:smooth val="0"/>
          <c:extLst xmlns:c16r2="http://schemas.microsoft.com/office/drawing/2015/06/chart">
            <c:ext xmlns:c16="http://schemas.microsoft.com/office/drawing/2014/chart" uri="{C3380CC4-5D6E-409C-BE32-E72D297353CC}">
              <c16:uniqueId val="{00000000-B1E7-492A-A6D3-3BF15B82F75E}"/>
            </c:ext>
          </c:extLst>
        </c:ser>
        <c:ser>
          <c:idx val="1"/>
          <c:order val="1"/>
          <c:tx>
            <c:strRef>
              <c:f>'Results - Sprouts per Pot'!$A$122</c:f>
              <c:strCache>
                <c:ptCount val="1"/>
                <c:pt idx="0">
                  <c:v>% emergence SM</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'Results - Sprouts per Pot'!$B$39:$I$39</c:f>
              <c:numCache>
                <c:formatCode>General</c:formatCode>
                <c:ptCount val="8"/>
                <c:pt idx="0">
                  <c:v>0</c:v>
                </c:pt>
                <c:pt idx="1">
                  <c:v>4</c:v>
                </c:pt>
                <c:pt idx="2">
                  <c:v>5</c:v>
                </c:pt>
                <c:pt idx="3">
                  <c:v>7</c:v>
                </c:pt>
                <c:pt idx="4">
                  <c:v>8</c:v>
                </c:pt>
                <c:pt idx="5">
                  <c:v>9</c:v>
                </c:pt>
                <c:pt idx="6">
                  <c:v>11</c:v>
                </c:pt>
                <c:pt idx="7">
                  <c:v>13</c:v>
                </c:pt>
              </c:numCache>
            </c:numRef>
          </c:xVal>
          <c:yVal>
            <c:numRef>
              <c:f>'Results - Sprouts per Pot'!$B$122:$K$122</c:f>
              <c:numCache>
                <c:formatCode>0%</c:formatCode>
                <c:ptCount val="10"/>
                <c:pt idx="0">
                  <c:v>0</c:v>
                </c:pt>
                <c:pt idx="1">
                  <c:v>0</c:v>
                </c:pt>
                <c:pt idx="2">
                  <c:v>0.16666666666666666</c:v>
                </c:pt>
                <c:pt idx="3">
                  <c:v>0.83333333333333337</c:v>
                </c:pt>
                <c:pt idx="4">
                  <c:v>0.91666666666666663</c:v>
                </c:pt>
                <c:pt idx="5">
                  <c:v>0.91666666666666663</c:v>
                </c:pt>
                <c:pt idx="6">
                  <c:v>0.91666666666666663</c:v>
                </c:pt>
                <c:pt idx="7">
                  <c:v>0.91666666666666663</c:v>
                </c:pt>
                <c:pt idx="8">
                  <c:v>0.91666666666666663</c:v>
                </c:pt>
                <c:pt idx="9">
                  <c:v>0.75</c:v>
                </c:pt>
              </c:numCache>
            </c:numRef>
          </c:yVal>
          <c:smooth val="0"/>
          <c:extLst xmlns:c16r2="http://schemas.microsoft.com/office/drawing/2015/06/chart">
            <c:ext xmlns:c16="http://schemas.microsoft.com/office/drawing/2014/chart" uri="{C3380CC4-5D6E-409C-BE32-E72D297353CC}">
              <c16:uniqueId val="{00000001-B1E7-492A-A6D3-3BF15B82F75E}"/>
            </c:ext>
          </c:extLst>
        </c:ser>
        <c:dLbls>
          <c:showLegendKey val="0"/>
          <c:showVal val="0"/>
          <c:showCatName val="0"/>
          <c:showSerName val="0"/>
          <c:showPercent val="0"/>
          <c:showBubbleSize val="0"/>
        </c:dLbls>
        <c:axId val="302164040"/>
        <c:axId val="302162864"/>
      </c:scatterChart>
      <c:valAx>
        <c:axId val="3021640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planting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162864"/>
        <c:crosses val="autoZero"/>
        <c:crossBetween val="midCat"/>
      </c:valAx>
      <c:valAx>
        <c:axId val="30216286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Percent Seedlings </a:t>
                </a:r>
                <a:r>
                  <a:rPr lang="en-US"/>
                  <a:t>Emerged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164040"/>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 emergence amended soil</c:v>
          </c:tx>
          <c:spPr>
            <a:ln w="19050" cap="rnd">
              <a:solidFill>
                <a:schemeClr val="bg2">
                  <a:lumMod val="50000"/>
                </a:schemeClr>
              </a:solidFill>
              <a:round/>
            </a:ln>
            <a:effectLst/>
          </c:spPr>
          <c:marker>
            <c:symbol val="circle"/>
            <c:size val="5"/>
            <c:spPr>
              <a:solidFill>
                <a:schemeClr val="bg2">
                  <a:lumMod val="50000"/>
                </a:schemeClr>
              </a:solidFill>
              <a:ln w="9525">
                <a:solidFill>
                  <a:schemeClr val="bg2">
                    <a:lumMod val="50000"/>
                  </a:schemeClr>
                </a:solidFill>
              </a:ln>
              <a:effectLst/>
            </c:spPr>
          </c:marker>
          <c:xVal>
            <c:numRef>
              <c:f>'Results - Sprouts per Pot'!$B$39:$I$39</c:f>
              <c:numCache>
                <c:formatCode>General</c:formatCode>
                <c:ptCount val="8"/>
                <c:pt idx="0">
                  <c:v>0</c:v>
                </c:pt>
                <c:pt idx="1">
                  <c:v>4</c:v>
                </c:pt>
                <c:pt idx="2">
                  <c:v>5</c:v>
                </c:pt>
                <c:pt idx="3">
                  <c:v>7</c:v>
                </c:pt>
                <c:pt idx="4">
                  <c:v>8</c:v>
                </c:pt>
                <c:pt idx="5">
                  <c:v>9</c:v>
                </c:pt>
                <c:pt idx="6">
                  <c:v>11</c:v>
                </c:pt>
                <c:pt idx="7">
                  <c:v>13</c:v>
                </c:pt>
              </c:numCache>
            </c:numRef>
          </c:xVal>
          <c:yVal>
            <c:numRef>
              <c:f>'Results - Sprouts per Pot'!$B$78:$I$78</c:f>
              <c:numCache>
                <c:formatCode>0%</c:formatCode>
                <c:ptCount val="8"/>
                <c:pt idx="0">
                  <c:v>0</c:v>
                </c:pt>
                <c:pt idx="1">
                  <c:v>0</c:v>
                </c:pt>
                <c:pt idx="2">
                  <c:v>0.16666666666666666</c:v>
                </c:pt>
                <c:pt idx="3">
                  <c:v>0.77777777777777779</c:v>
                </c:pt>
                <c:pt idx="4">
                  <c:v>0.83333333333333337</c:v>
                </c:pt>
                <c:pt idx="5">
                  <c:v>0.88888888888888884</c:v>
                </c:pt>
                <c:pt idx="6">
                  <c:v>0.88888888888888884</c:v>
                </c:pt>
                <c:pt idx="7">
                  <c:v>0.88888888888888884</c:v>
                </c:pt>
              </c:numCache>
            </c:numRef>
          </c:yVal>
          <c:smooth val="0"/>
          <c:extLst xmlns:c16r2="http://schemas.microsoft.com/office/drawing/2015/06/chart">
            <c:ext xmlns:c16="http://schemas.microsoft.com/office/drawing/2014/chart" uri="{C3380CC4-5D6E-409C-BE32-E72D297353CC}">
              <c16:uniqueId val="{00000000-A3A0-4BD6-9D65-03C854CE5838}"/>
            </c:ext>
          </c:extLst>
        </c:ser>
        <c:ser>
          <c:idx val="1"/>
          <c:order val="1"/>
          <c:tx>
            <c:v>% emergence non-amended soil</c:v>
          </c:tx>
          <c:spPr>
            <a:ln w="19050" cap="rnd">
              <a:solidFill>
                <a:schemeClr val="tx1"/>
              </a:solidFill>
              <a:round/>
            </a:ln>
            <a:effectLst/>
          </c:spPr>
          <c:marker>
            <c:symbol val="circle"/>
            <c:size val="5"/>
            <c:spPr>
              <a:solidFill>
                <a:schemeClr val="tx1"/>
              </a:solidFill>
              <a:ln w="9525">
                <a:solidFill>
                  <a:schemeClr val="tx1"/>
                </a:solidFill>
              </a:ln>
              <a:effectLst/>
            </c:spPr>
          </c:marker>
          <c:xVal>
            <c:numRef>
              <c:f>'Results - Sprouts per Pot'!$B$39:$I$39</c:f>
              <c:numCache>
                <c:formatCode>General</c:formatCode>
                <c:ptCount val="8"/>
                <c:pt idx="0">
                  <c:v>0</c:v>
                </c:pt>
                <c:pt idx="1">
                  <c:v>4</c:v>
                </c:pt>
                <c:pt idx="2">
                  <c:v>5</c:v>
                </c:pt>
                <c:pt idx="3">
                  <c:v>7</c:v>
                </c:pt>
                <c:pt idx="4">
                  <c:v>8</c:v>
                </c:pt>
                <c:pt idx="5">
                  <c:v>9</c:v>
                </c:pt>
                <c:pt idx="6">
                  <c:v>11</c:v>
                </c:pt>
                <c:pt idx="7">
                  <c:v>13</c:v>
                </c:pt>
              </c:numCache>
            </c:numRef>
          </c:xVal>
          <c:yVal>
            <c:numRef>
              <c:f>'Results - Sprouts per Pot'!$B$99:$I$99</c:f>
              <c:numCache>
                <c:formatCode>0%</c:formatCode>
                <c:ptCount val="8"/>
                <c:pt idx="0">
                  <c:v>0</c:v>
                </c:pt>
                <c:pt idx="1">
                  <c:v>1.8518518518518517E-2</c:v>
                </c:pt>
                <c:pt idx="2">
                  <c:v>0.3888888888888889</c:v>
                </c:pt>
                <c:pt idx="3">
                  <c:v>0.7592592592592593</c:v>
                </c:pt>
                <c:pt idx="4">
                  <c:v>0.81481481481481477</c:v>
                </c:pt>
                <c:pt idx="5">
                  <c:v>0.83333333333333337</c:v>
                </c:pt>
                <c:pt idx="6">
                  <c:v>0.85185185185185186</c:v>
                </c:pt>
                <c:pt idx="7">
                  <c:v>0.85185185185185186</c:v>
                </c:pt>
              </c:numCache>
            </c:numRef>
          </c:yVal>
          <c:smooth val="0"/>
          <c:extLst xmlns:c16r2="http://schemas.microsoft.com/office/drawing/2015/06/chart">
            <c:ext xmlns:c16="http://schemas.microsoft.com/office/drawing/2014/chart" uri="{C3380CC4-5D6E-409C-BE32-E72D297353CC}">
              <c16:uniqueId val="{00000001-A3A0-4BD6-9D65-03C854CE5838}"/>
            </c:ext>
          </c:extLst>
        </c:ser>
        <c:dLbls>
          <c:showLegendKey val="0"/>
          <c:showVal val="0"/>
          <c:showCatName val="0"/>
          <c:showSerName val="0"/>
          <c:showPercent val="0"/>
          <c:showBubbleSize val="0"/>
        </c:dLbls>
        <c:axId val="302247720"/>
        <c:axId val="302248504"/>
      </c:scatterChart>
      <c:valAx>
        <c:axId val="302247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planting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248504"/>
        <c:crosses val="autoZero"/>
        <c:crossBetween val="midCat"/>
      </c:valAx>
      <c:valAx>
        <c:axId val="30224850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Seedlings Emerged</a:t>
                </a:r>
              </a:p>
            </c:rich>
          </c:tx>
          <c:layout>
            <c:manualLayout>
              <c:xMode val="edge"/>
              <c:yMode val="edge"/>
              <c:x val="2.5480657864257586E-2"/>
              <c:y val="0.1938812335958005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247720"/>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CG</c:v>
          </c:tx>
          <c:marker>
            <c:symbol val="triangle"/>
            <c:size val="7"/>
          </c:marker>
          <c:xVal>
            <c:numLit>
              <c:formatCode>General</c:formatCode>
              <c:ptCount val="11"/>
              <c:pt idx="0">
                <c:v>0</c:v>
              </c:pt>
              <c:pt idx="1">
                <c:v>5</c:v>
              </c:pt>
              <c:pt idx="2">
                <c:v>5</c:v>
              </c:pt>
              <c:pt idx="3">
                <c:v>7</c:v>
              </c:pt>
              <c:pt idx="4">
                <c:v>7</c:v>
              </c:pt>
              <c:pt idx="5">
                <c:v>8</c:v>
              </c:pt>
              <c:pt idx="6">
                <c:v>8</c:v>
              </c:pt>
              <c:pt idx="7">
                <c:v>9</c:v>
              </c:pt>
              <c:pt idx="8">
                <c:v>9</c:v>
              </c:pt>
              <c:pt idx="9">
                <c:v>11</c:v>
              </c:pt>
              <c:pt idx="10">
                <c:v>11</c:v>
              </c:pt>
            </c:numLit>
          </c:xVal>
          <c:yVal>
            <c:numLit>
              <c:formatCode>General</c:formatCode>
              <c:ptCount val="11"/>
              <c:pt idx="0">
                <c:v>1</c:v>
              </c:pt>
              <c:pt idx="1">
                <c:v>1</c:v>
              </c:pt>
              <c:pt idx="2">
                <c:v>0.75</c:v>
              </c:pt>
              <c:pt idx="3">
                <c:v>0.75</c:v>
              </c:pt>
              <c:pt idx="4">
                <c:v>0.33333333333333331</c:v>
              </c:pt>
              <c:pt idx="5">
                <c:v>0.33333333333333331</c:v>
              </c:pt>
              <c:pt idx="6">
                <c:v>0.29166666666666663</c:v>
              </c:pt>
              <c:pt idx="7">
                <c:v>0.29166666666666663</c:v>
              </c:pt>
              <c:pt idx="8">
                <c:v>0.25</c:v>
              </c:pt>
              <c:pt idx="9">
                <c:v>0.25</c:v>
              </c:pt>
              <c:pt idx="10">
                <c:v>0.20833333333333334</c:v>
              </c:pt>
            </c:numLit>
          </c:yVal>
          <c:smooth val="0"/>
          <c:extLst xmlns:c16r2="http://schemas.microsoft.com/office/drawing/2015/06/chart">
            <c:ext xmlns:c16="http://schemas.microsoft.com/office/drawing/2014/chart" uri="{C3380CC4-5D6E-409C-BE32-E72D297353CC}">
              <c16:uniqueId val="{00000000-2EEE-4AFF-A400-F6C02B037A03}"/>
            </c:ext>
          </c:extLst>
        </c:ser>
        <c:ser>
          <c:idx val="1"/>
          <c:order val="1"/>
          <c:tx>
            <c:v>CM</c:v>
          </c:tx>
          <c:spPr>
            <a:ln>
              <a:prstDash val="sysDash"/>
            </a:ln>
          </c:spPr>
          <c:marker>
            <c:symbol val="circle"/>
            <c:size val="7"/>
          </c:marker>
          <c:xVal>
            <c:numLit>
              <c:formatCode>General</c:formatCode>
              <c:ptCount val="11"/>
              <c:pt idx="0">
                <c:v>0</c:v>
              </c:pt>
              <c:pt idx="1">
                <c:v>5</c:v>
              </c:pt>
              <c:pt idx="2">
                <c:v>5</c:v>
              </c:pt>
              <c:pt idx="3">
                <c:v>7</c:v>
              </c:pt>
              <c:pt idx="4">
                <c:v>7</c:v>
              </c:pt>
              <c:pt idx="5">
                <c:v>8</c:v>
              </c:pt>
              <c:pt idx="6">
                <c:v>8</c:v>
              </c:pt>
              <c:pt idx="7">
                <c:v>9</c:v>
              </c:pt>
              <c:pt idx="8">
                <c:v>9</c:v>
              </c:pt>
              <c:pt idx="9">
                <c:v>11</c:v>
              </c:pt>
              <c:pt idx="10">
                <c:v>11</c:v>
              </c:pt>
            </c:numLit>
          </c:xVal>
          <c:yVal>
            <c:numLit>
              <c:formatCode>General</c:formatCode>
              <c:ptCount val="11"/>
              <c:pt idx="0">
                <c:v>1</c:v>
              </c:pt>
              <c:pt idx="1">
                <c:v>1</c:v>
              </c:pt>
              <c:pt idx="2">
                <c:v>0.83333333333333337</c:v>
              </c:pt>
              <c:pt idx="3">
                <c:v>0.83333333333333337</c:v>
              </c:pt>
              <c:pt idx="4">
                <c:v>0.33333333333333337</c:v>
              </c:pt>
              <c:pt idx="5">
                <c:v>0.33333333333333337</c:v>
              </c:pt>
              <c:pt idx="6">
                <c:v>0.25</c:v>
              </c:pt>
              <c:pt idx="7">
                <c:v>0.25</c:v>
              </c:pt>
              <c:pt idx="8">
                <c:v>0.16666666666666669</c:v>
              </c:pt>
              <c:pt idx="9">
                <c:v>0.16666666666666669</c:v>
              </c:pt>
              <c:pt idx="10">
                <c:v>0.16666666666666669</c:v>
              </c:pt>
            </c:numLit>
          </c:yVal>
          <c:smooth val="0"/>
          <c:extLst xmlns:c16r2="http://schemas.microsoft.com/office/drawing/2015/06/chart">
            <c:ext xmlns:c16="http://schemas.microsoft.com/office/drawing/2014/chart" uri="{C3380CC4-5D6E-409C-BE32-E72D297353CC}">
              <c16:uniqueId val="{00000001-2EEE-4AFF-A400-F6C02B037A03}"/>
            </c:ext>
          </c:extLst>
        </c:ser>
        <c:dLbls>
          <c:showLegendKey val="0"/>
          <c:showVal val="0"/>
          <c:showCatName val="0"/>
          <c:showSerName val="0"/>
          <c:showPercent val="0"/>
          <c:showBubbleSize val="0"/>
        </c:dLbls>
        <c:axId val="302249288"/>
        <c:axId val="599660192"/>
      </c:scatterChart>
      <c:valAx>
        <c:axId val="302249288"/>
        <c:scaling>
          <c:orientation val="minMax"/>
        </c:scaling>
        <c:delete val="0"/>
        <c:axPos val="b"/>
        <c:title>
          <c:tx>
            <c:rich>
              <a:bodyPr/>
              <a:lstStyle/>
              <a:p>
                <a:pPr>
                  <a:defRPr/>
                </a:pPr>
                <a:r>
                  <a:rPr lang="en-US" b="0"/>
                  <a:t>Days after planting</a:t>
                </a:r>
              </a:p>
            </c:rich>
          </c:tx>
          <c:overlay val="0"/>
        </c:title>
        <c:numFmt formatCode="General" sourceLinked="1"/>
        <c:majorTickMark val="out"/>
        <c:minorTickMark val="none"/>
        <c:tickLblPos val="nextTo"/>
        <c:crossAx val="599660192"/>
        <c:crosses val="autoZero"/>
        <c:crossBetween val="midCat"/>
      </c:valAx>
      <c:valAx>
        <c:axId val="599660192"/>
        <c:scaling>
          <c:orientation val="minMax"/>
        </c:scaling>
        <c:delete val="0"/>
        <c:axPos val="l"/>
        <c:majorGridlines/>
        <c:title>
          <c:tx>
            <c:rich>
              <a:bodyPr/>
              <a:lstStyle/>
              <a:p>
                <a:pPr>
                  <a:defRPr b="0"/>
                </a:pPr>
                <a:r>
                  <a:rPr lang="en-US" b="0"/>
                  <a:t>Probability of not germinating</a:t>
                </a:r>
              </a:p>
            </c:rich>
          </c:tx>
          <c:overlay val="0"/>
        </c:title>
        <c:numFmt formatCode="General" sourceLinked="1"/>
        <c:majorTickMark val="out"/>
        <c:minorTickMark val="none"/>
        <c:tickLblPos val="nextTo"/>
        <c:crossAx val="302249288"/>
        <c:crosses val="autoZero"/>
        <c:crossBetween val="midCat"/>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SG</c:v>
          </c:tx>
          <c:marker>
            <c:symbol val="triangle"/>
            <c:size val="7"/>
          </c:marker>
          <c:xVal>
            <c:numLit>
              <c:formatCode>General</c:formatCode>
              <c:ptCount val="11"/>
              <c:pt idx="0">
                <c:v>0</c:v>
              </c:pt>
              <c:pt idx="1">
                <c:v>4</c:v>
              </c:pt>
              <c:pt idx="2">
                <c:v>4</c:v>
              </c:pt>
              <c:pt idx="3">
                <c:v>5</c:v>
              </c:pt>
              <c:pt idx="4">
                <c:v>5</c:v>
              </c:pt>
              <c:pt idx="5">
                <c:v>6</c:v>
              </c:pt>
              <c:pt idx="6">
                <c:v>6</c:v>
              </c:pt>
              <c:pt idx="7">
                <c:v>7</c:v>
              </c:pt>
              <c:pt idx="8">
                <c:v>7</c:v>
              </c:pt>
              <c:pt idx="9">
                <c:v>8</c:v>
              </c:pt>
              <c:pt idx="10">
                <c:v>8</c:v>
              </c:pt>
            </c:numLit>
          </c:xVal>
          <c:yVal>
            <c:numLit>
              <c:formatCode>General</c:formatCode>
              <c:ptCount val="11"/>
              <c:pt idx="0">
                <c:v>1</c:v>
              </c:pt>
              <c:pt idx="1">
                <c:v>1</c:v>
              </c:pt>
              <c:pt idx="2">
                <c:v>0.95833333333333337</c:v>
              </c:pt>
              <c:pt idx="3">
                <c:v>0.95833333333333337</c:v>
              </c:pt>
              <c:pt idx="4">
                <c:v>0.41666666666666674</c:v>
              </c:pt>
              <c:pt idx="5">
                <c:v>0.41666666666666674</c:v>
              </c:pt>
              <c:pt idx="6">
                <c:v>0.41666666666666674</c:v>
              </c:pt>
              <c:pt idx="7">
                <c:v>0.41666666666666674</c:v>
              </c:pt>
              <c:pt idx="8">
                <c:v>0.12500000000000003</c:v>
              </c:pt>
              <c:pt idx="9">
                <c:v>0.12500000000000003</c:v>
              </c:pt>
              <c:pt idx="10">
                <c:v>8.3333333333333356E-2</c:v>
              </c:pt>
            </c:numLit>
          </c:yVal>
          <c:smooth val="0"/>
          <c:extLst xmlns:c16r2="http://schemas.microsoft.com/office/drawing/2015/06/chart">
            <c:ext xmlns:c16="http://schemas.microsoft.com/office/drawing/2014/chart" uri="{C3380CC4-5D6E-409C-BE32-E72D297353CC}">
              <c16:uniqueId val="{00000000-BF71-470B-866C-B6034F240479}"/>
            </c:ext>
          </c:extLst>
        </c:ser>
        <c:ser>
          <c:idx val="1"/>
          <c:order val="1"/>
          <c:tx>
            <c:v>SM</c:v>
          </c:tx>
          <c:spPr>
            <a:ln>
              <a:prstDash val="sysDash"/>
            </a:ln>
          </c:spPr>
          <c:marker>
            <c:symbol val="circle"/>
            <c:size val="7"/>
          </c:marker>
          <c:xVal>
            <c:numLit>
              <c:formatCode>General</c:formatCode>
              <c:ptCount val="11"/>
              <c:pt idx="0">
                <c:v>0</c:v>
              </c:pt>
              <c:pt idx="1">
                <c:v>4</c:v>
              </c:pt>
              <c:pt idx="2">
                <c:v>4</c:v>
              </c:pt>
              <c:pt idx="3">
                <c:v>5</c:v>
              </c:pt>
              <c:pt idx="4">
                <c:v>5</c:v>
              </c:pt>
              <c:pt idx="5">
                <c:v>6</c:v>
              </c:pt>
              <c:pt idx="6">
                <c:v>6</c:v>
              </c:pt>
              <c:pt idx="7">
                <c:v>7</c:v>
              </c:pt>
              <c:pt idx="8">
                <c:v>7</c:v>
              </c:pt>
              <c:pt idx="9">
                <c:v>8</c:v>
              </c:pt>
              <c:pt idx="10">
                <c:v>8</c:v>
              </c:pt>
            </c:numLit>
          </c:xVal>
          <c:yVal>
            <c:numLit>
              <c:formatCode>General</c:formatCode>
              <c:ptCount val="11"/>
              <c:pt idx="0">
                <c:v>1</c:v>
              </c:pt>
              <c:pt idx="1">
                <c:v>1</c:v>
              </c:pt>
              <c:pt idx="2">
                <c:v>1</c:v>
              </c:pt>
              <c:pt idx="3">
                <c:v>1</c:v>
              </c:pt>
              <c:pt idx="4">
                <c:v>0.83333333333333337</c:v>
              </c:pt>
              <c:pt idx="5">
                <c:v>0.83333333333333337</c:v>
              </c:pt>
              <c:pt idx="6">
                <c:v>0.16666666666666663</c:v>
              </c:pt>
              <c:pt idx="7">
                <c:v>0.16666666666666663</c:v>
              </c:pt>
              <c:pt idx="8">
                <c:v>0.16666666666666663</c:v>
              </c:pt>
              <c:pt idx="9">
                <c:v>0.16666666666666663</c:v>
              </c:pt>
              <c:pt idx="10">
                <c:v>8.3333333333333315E-2</c:v>
              </c:pt>
            </c:numLit>
          </c:yVal>
          <c:smooth val="0"/>
          <c:extLst xmlns:c16r2="http://schemas.microsoft.com/office/drawing/2015/06/chart">
            <c:ext xmlns:c16="http://schemas.microsoft.com/office/drawing/2014/chart" uri="{C3380CC4-5D6E-409C-BE32-E72D297353CC}">
              <c16:uniqueId val="{00000001-BF71-470B-866C-B6034F240479}"/>
            </c:ext>
          </c:extLst>
        </c:ser>
        <c:dLbls>
          <c:showLegendKey val="0"/>
          <c:showVal val="0"/>
          <c:showCatName val="0"/>
          <c:showSerName val="0"/>
          <c:showPercent val="0"/>
          <c:showBubbleSize val="0"/>
        </c:dLbls>
        <c:axId val="599659800"/>
        <c:axId val="599660584"/>
      </c:scatterChart>
      <c:valAx>
        <c:axId val="599659800"/>
        <c:scaling>
          <c:orientation val="minMax"/>
        </c:scaling>
        <c:delete val="0"/>
        <c:axPos val="b"/>
        <c:title>
          <c:tx>
            <c:rich>
              <a:bodyPr/>
              <a:lstStyle/>
              <a:p>
                <a:pPr>
                  <a:defRPr/>
                </a:pPr>
                <a:r>
                  <a:rPr lang="en-US" b="0"/>
                  <a:t>Days after planting</a:t>
                </a:r>
              </a:p>
            </c:rich>
          </c:tx>
          <c:overlay val="0"/>
        </c:title>
        <c:numFmt formatCode="General" sourceLinked="1"/>
        <c:majorTickMark val="out"/>
        <c:minorTickMark val="none"/>
        <c:tickLblPos val="nextTo"/>
        <c:crossAx val="599660584"/>
        <c:crosses val="autoZero"/>
        <c:crossBetween val="midCat"/>
      </c:valAx>
      <c:valAx>
        <c:axId val="599660584"/>
        <c:scaling>
          <c:orientation val="minMax"/>
        </c:scaling>
        <c:delete val="0"/>
        <c:axPos val="l"/>
        <c:majorGridlines/>
        <c:title>
          <c:tx>
            <c:rich>
              <a:bodyPr/>
              <a:lstStyle/>
              <a:p>
                <a:pPr>
                  <a:defRPr b="0"/>
                </a:pPr>
                <a:r>
                  <a:rPr lang="en-US" b="0"/>
                  <a:t>Probability of not germinating</a:t>
                </a:r>
              </a:p>
            </c:rich>
          </c:tx>
          <c:overlay val="0"/>
        </c:title>
        <c:numFmt formatCode="General" sourceLinked="1"/>
        <c:majorTickMark val="out"/>
        <c:minorTickMark val="none"/>
        <c:tickLblPos val="nextTo"/>
        <c:crossAx val="599659800"/>
        <c:crosses val="autoZero"/>
        <c:crossBetween val="midCat"/>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90529308836397"/>
          <c:y val="5.1199076251046208E-2"/>
          <c:w val="0.59512160979877504"/>
          <c:h val="0.73548898963142639"/>
        </c:manualLayout>
      </c:layout>
      <c:scatterChart>
        <c:scatterStyle val="lineMarker"/>
        <c:varyColors val="0"/>
        <c:ser>
          <c:idx val="0"/>
          <c:order val="0"/>
          <c:tx>
            <c:v>Amended</c:v>
          </c:tx>
          <c:spPr>
            <a:ln>
              <a:solidFill>
                <a:schemeClr val="bg2">
                  <a:lumMod val="50000"/>
                </a:schemeClr>
              </a:solidFill>
            </a:ln>
          </c:spPr>
          <c:marker>
            <c:symbol val="triangle"/>
            <c:size val="7"/>
            <c:spPr>
              <a:solidFill>
                <a:schemeClr val="bg2">
                  <a:lumMod val="50000"/>
                </a:schemeClr>
              </a:solidFill>
              <a:ln>
                <a:solidFill>
                  <a:schemeClr val="bg2">
                    <a:lumMod val="50000"/>
                  </a:schemeClr>
                </a:solidFill>
              </a:ln>
            </c:spPr>
          </c:marker>
          <c:xVal>
            <c:numLit>
              <c:formatCode>General</c:formatCode>
              <c:ptCount val="13"/>
              <c:pt idx="0">
                <c:v>0</c:v>
              </c:pt>
              <c:pt idx="1">
                <c:v>4</c:v>
              </c:pt>
              <c:pt idx="2">
                <c:v>4</c:v>
              </c:pt>
              <c:pt idx="3">
                <c:v>5</c:v>
              </c:pt>
              <c:pt idx="4">
                <c:v>5</c:v>
              </c:pt>
              <c:pt idx="5">
                <c:v>7</c:v>
              </c:pt>
              <c:pt idx="6">
                <c:v>7</c:v>
              </c:pt>
              <c:pt idx="7">
                <c:v>8</c:v>
              </c:pt>
              <c:pt idx="8">
                <c:v>8</c:v>
              </c:pt>
              <c:pt idx="9">
                <c:v>9</c:v>
              </c:pt>
              <c:pt idx="10">
                <c:v>9</c:v>
              </c:pt>
              <c:pt idx="11">
                <c:v>11</c:v>
              </c:pt>
              <c:pt idx="12">
                <c:v>11</c:v>
              </c:pt>
            </c:numLit>
          </c:xVal>
          <c:yVal>
            <c:numLit>
              <c:formatCode>General</c:formatCode>
              <c:ptCount val="13"/>
              <c:pt idx="0">
                <c:v>1</c:v>
              </c:pt>
              <c:pt idx="1">
                <c:v>1</c:v>
              </c:pt>
              <c:pt idx="2">
                <c:v>1</c:v>
              </c:pt>
              <c:pt idx="3">
                <c:v>1</c:v>
              </c:pt>
              <c:pt idx="4">
                <c:v>0.83333333333333337</c:v>
              </c:pt>
              <c:pt idx="5">
                <c:v>0.83333333333333337</c:v>
              </c:pt>
              <c:pt idx="6">
                <c:v>0.22222222222222227</c:v>
              </c:pt>
              <c:pt idx="7">
                <c:v>0.22222222222222227</c:v>
              </c:pt>
              <c:pt idx="8">
                <c:v>0.16666666666666669</c:v>
              </c:pt>
              <c:pt idx="9">
                <c:v>0.16666666666666669</c:v>
              </c:pt>
              <c:pt idx="10">
                <c:v>0.11111111111111113</c:v>
              </c:pt>
              <c:pt idx="11">
                <c:v>0.11111111111111113</c:v>
              </c:pt>
              <c:pt idx="12">
                <c:v>0.11111111111111113</c:v>
              </c:pt>
            </c:numLit>
          </c:yVal>
          <c:smooth val="0"/>
          <c:extLst xmlns:c16r2="http://schemas.microsoft.com/office/drawing/2015/06/chart">
            <c:ext xmlns:c16="http://schemas.microsoft.com/office/drawing/2014/chart" uri="{C3380CC4-5D6E-409C-BE32-E72D297353CC}">
              <c16:uniqueId val="{00000000-ADC0-4DAB-A18B-0DAF6AE23DD9}"/>
            </c:ext>
          </c:extLst>
        </c:ser>
        <c:ser>
          <c:idx val="1"/>
          <c:order val="1"/>
          <c:tx>
            <c:v>Non-amended</c:v>
          </c:tx>
          <c:spPr>
            <a:ln>
              <a:solidFill>
                <a:schemeClr val="tx1"/>
              </a:solidFill>
              <a:prstDash val="sysDash"/>
            </a:ln>
          </c:spPr>
          <c:marker>
            <c:symbol val="circle"/>
            <c:size val="7"/>
            <c:spPr>
              <a:solidFill>
                <a:schemeClr val="tx1"/>
              </a:solidFill>
              <a:ln>
                <a:solidFill>
                  <a:schemeClr val="tx1"/>
                </a:solidFill>
              </a:ln>
            </c:spPr>
          </c:marker>
          <c:xVal>
            <c:numLit>
              <c:formatCode>General</c:formatCode>
              <c:ptCount val="13"/>
              <c:pt idx="0">
                <c:v>0</c:v>
              </c:pt>
              <c:pt idx="1">
                <c:v>4</c:v>
              </c:pt>
              <c:pt idx="2">
                <c:v>4</c:v>
              </c:pt>
              <c:pt idx="3">
                <c:v>5</c:v>
              </c:pt>
              <c:pt idx="4">
                <c:v>5</c:v>
              </c:pt>
              <c:pt idx="5">
                <c:v>7</c:v>
              </c:pt>
              <c:pt idx="6">
                <c:v>7</c:v>
              </c:pt>
              <c:pt idx="7">
                <c:v>8</c:v>
              </c:pt>
              <c:pt idx="8">
                <c:v>8</c:v>
              </c:pt>
              <c:pt idx="9">
                <c:v>9</c:v>
              </c:pt>
              <c:pt idx="10">
                <c:v>9</c:v>
              </c:pt>
              <c:pt idx="11">
                <c:v>11</c:v>
              </c:pt>
              <c:pt idx="12">
                <c:v>11</c:v>
              </c:pt>
            </c:numLit>
          </c:xVal>
          <c:yVal>
            <c:numLit>
              <c:formatCode>General</c:formatCode>
              <c:ptCount val="13"/>
              <c:pt idx="0">
                <c:v>1</c:v>
              </c:pt>
              <c:pt idx="1">
                <c:v>1</c:v>
              </c:pt>
              <c:pt idx="2">
                <c:v>0.98148148148148151</c:v>
              </c:pt>
              <c:pt idx="3">
                <c:v>0.98148148148148151</c:v>
              </c:pt>
              <c:pt idx="4">
                <c:v>0.61111111111111105</c:v>
              </c:pt>
              <c:pt idx="5">
                <c:v>0.61111111111111105</c:v>
              </c:pt>
              <c:pt idx="6">
                <c:v>0.2407407407407407</c:v>
              </c:pt>
              <c:pt idx="7">
                <c:v>0.2407407407407407</c:v>
              </c:pt>
              <c:pt idx="8">
                <c:v>0.18518518518518515</c:v>
              </c:pt>
              <c:pt idx="9">
                <c:v>0.18518518518518515</c:v>
              </c:pt>
              <c:pt idx="10">
                <c:v>0.16666666666666663</c:v>
              </c:pt>
              <c:pt idx="11">
                <c:v>0.16666666666666663</c:v>
              </c:pt>
              <c:pt idx="12">
                <c:v>0.14814814814814811</c:v>
              </c:pt>
            </c:numLit>
          </c:yVal>
          <c:smooth val="0"/>
          <c:extLst xmlns:c16r2="http://schemas.microsoft.com/office/drawing/2015/06/chart">
            <c:ext xmlns:c16="http://schemas.microsoft.com/office/drawing/2014/chart" uri="{C3380CC4-5D6E-409C-BE32-E72D297353CC}">
              <c16:uniqueId val="{00000001-ADC0-4DAB-A18B-0DAF6AE23DD9}"/>
            </c:ext>
          </c:extLst>
        </c:ser>
        <c:dLbls>
          <c:showLegendKey val="0"/>
          <c:showVal val="0"/>
          <c:showCatName val="0"/>
          <c:showSerName val="0"/>
          <c:showPercent val="0"/>
          <c:showBubbleSize val="0"/>
        </c:dLbls>
        <c:axId val="707472040"/>
        <c:axId val="707474392"/>
      </c:scatterChart>
      <c:valAx>
        <c:axId val="707472040"/>
        <c:scaling>
          <c:orientation val="minMax"/>
        </c:scaling>
        <c:delete val="0"/>
        <c:axPos val="b"/>
        <c:title>
          <c:tx>
            <c:rich>
              <a:bodyPr/>
              <a:lstStyle/>
              <a:p>
                <a:pPr>
                  <a:defRPr b="0"/>
                </a:pPr>
                <a:r>
                  <a:rPr lang="en-US" b="0"/>
                  <a:t>Days after planting</a:t>
                </a:r>
              </a:p>
            </c:rich>
          </c:tx>
          <c:overlay val="0"/>
        </c:title>
        <c:numFmt formatCode="General" sourceLinked="1"/>
        <c:majorTickMark val="out"/>
        <c:minorTickMark val="none"/>
        <c:tickLblPos val="nextTo"/>
        <c:crossAx val="707474392"/>
        <c:crosses val="autoZero"/>
        <c:crossBetween val="midCat"/>
      </c:valAx>
      <c:valAx>
        <c:axId val="707474392"/>
        <c:scaling>
          <c:orientation val="minMax"/>
        </c:scaling>
        <c:delete val="0"/>
        <c:axPos val="l"/>
        <c:majorGridlines/>
        <c:title>
          <c:tx>
            <c:rich>
              <a:bodyPr/>
              <a:lstStyle/>
              <a:p>
                <a:pPr>
                  <a:defRPr b="0"/>
                </a:pPr>
                <a:r>
                  <a:rPr lang="en-US" b="0"/>
                  <a:t>Probability of not germinating</a:t>
                </a:r>
              </a:p>
            </c:rich>
          </c:tx>
          <c:overlay val="0"/>
        </c:title>
        <c:numFmt formatCode="General" sourceLinked="1"/>
        <c:majorTickMark val="out"/>
        <c:minorTickMark val="none"/>
        <c:tickLblPos val="nextTo"/>
        <c:crossAx val="707472040"/>
        <c:crosses val="autoZero"/>
        <c:crossBetween val="midCat"/>
      </c:valAx>
    </c:plotArea>
    <c:legend>
      <c:legendPos val="r"/>
      <c:layout>
        <c:manualLayout>
          <c:xMode val="edge"/>
          <c:yMode val="edge"/>
          <c:x val="0.73044356955380563"/>
          <c:y val="0.41661077816045416"/>
          <c:w val="0.26677865266841644"/>
          <c:h val="0.16677808057022617"/>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Daily Light Integral (DLI)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PAR!$N$1</c:f>
              <c:strCache>
                <c:ptCount val="1"/>
                <c:pt idx="0">
                  <c:v>DLI (mol/m2/d)</c:v>
                </c:pt>
              </c:strCache>
            </c:strRef>
          </c:tx>
          <c:spPr>
            <a:ln w="28575" cap="rnd">
              <a:noFill/>
              <a:round/>
            </a:ln>
            <a:effectLst/>
          </c:spPr>
          <c:marker>
            <c:symbol val="circle"/>
            <c:size val="5"/>
            <c:spPr>
              <a:solidFill>
                <a:schemeClr val="accent1"/>
              </a:solidFill>
              <a:ln w="9525">
                <a:solidFill>
                  <a:schemeClr val="accent1"/>
                </a:solidFill>
              </a:ln>
              <a:effectLst/>
            </c:spPr>
          </c:marker>
          <c:xVal>
            <c:numRef>
              <c:f>PAR!$M$2:$M$52</c:f>
              <c:numCache>
                <c:formatCode>General</c:formatCode>
                <c:ptCount val="51"/>
                <c:pt idx="0">
                  <c:v>2</c:v>
                </c:pt>
                <c:pt idx="1">
                  <c:v>3</c:v>
                </c:pt>
                <c:pt idx="2">
                  <c:v>4</c:v>
                </c:pt>
                <c:pt idx="3">
                  <c:v>5</c:v>
                </c:pt>
                <c:pt idx="4">
                  <c:v>6</c:v>
                </c:pt>
                <c:pt idx="5">
                  <c:v>7</c:v>
                </c:pt>
                <c:pt idx="6">
                  <c:v>8</c:v>
                </c:pt>
                <c:pt idx="7">
                  <c:v>9</c:v>
                </c:pt>
                <c:pt idx="8">
                  <c:v>10</c:v>
                </c:pt>
                <c:pt idx="9">
                  <c:v>11</c:v>
                </c:pt>
                <c:pt idx="10">
                  <c:v>12</c:v>
                </c:pt>
                <c:pt idx="11">
                  <c:v>15</c:v>
                </c:pt>
                <c:pt idx="12">
                  <c:v>16</c:v>
                </c:pt>
                <c:pt idx="13">
                  <c:v>19</c:v>
                </c:pt>
                <c:pt idx="14">
                  <c:v>20</c:v>
                </c:pt>
                <c:pt idx="15">
                  <c:v>21</c:v>
                </c:pt>
                <c:pt idx="16">
                  <c:v>22</c:v>
                </c:pt>
                <c:pt idx="17">
                  <c:v>23</c:v>
                </c:pt>
                <c:pt idx="18">
                  <c:v>26</c:v>
                </c:pt>
                <c:pt idx="19">
                  <c:v>27</c:v>
                </c:pt>
                <c:pt idx="20">
                  <c:v>28</c:v>
                </c:pt>
                <c:pt idx="21">
                  <c:v>34</c:v>
                </c:pt>
                <c:pt idx="22">
                  <c:v>40</c:v>
                </c:pt>
                <c:pt idx="23">
                  <c:v>41</c:v>
                </c:pt>
                <c:pt idx="24">
                  <c:v>49</c:v>
                </c:pt>
                <c:pt idx="25">
                  <c:v>50</c:v>
                </c:pt>
                <c:pt idx="26">
                  <c:v>55</c:v>
                </c:pt>
                <c:pt idx="27">
                  <c:v>56</c:v>
                </c:pt>
                <c:pt idx="28">
                  <c:v>57</c:v>
                </c:pt>
                <c:pt idx="29">
                  <c:v>58</c:v>
                </c:pt>
                <c:pt idx="30">
                  <c:v>59</c:v>
                </c:pt>
                <c:pt idx="31">
                  <c:v>60</c:v>
                </c:pt>
                <c:pt idx="32">
                  <c:v>62</c:v>
                </c:pt>
                <c:pt idx="33">
                  <c:v>64</c:v>
                </c:pt>
                <c:pt idx="34">
                  <c:v>67</c:v>
                </c:pt>
                <c:pt idx="35">
                  <c:v>69</c:v>
                </c:pt>
                <c:pt idx="36">
                  <c:v>73</c:v>
                </c:pt>
                <c:pt idx="37">
                  <c:v>76</c:v>
                </c:pt>
                <c:pt idx="38">
                  <c:v>77</c:v>
                </c:pt>
                <c:pt idx="39">
                  <c:v>78</c:v>
                </c:pt>
                <c:pt idx="40">
                  <c:v>81</c:v>
                </c:pt>
                <c:pt idx="41">
                  <c:v>84</c:v>
                </c:pt>
                <c:pt idx="42">
                  <c:v>91</c:v>
                </c:pt>
                <c:pt idx="43">
                  <c:v>92</c:v>
                </c:pt>
                <c:pt idx="44">
                  <c:v>93</c:v>
                </c:pt>
                <c:pt idx="45">
                  <c:v>94</c:v>
                </c:pt>
                <c:pt idx="46">
                  <c:v>95</c:v>
                </c:pt>
                <c:pt idx="47">
                  <c:v>96</c:v>
                </c:pt>
                <c:pt idx="48">
                  <c:v>101</c:v>
                </c:pt>
                <c:pt idx="49">
                  <c:v>102</c:v>
                </c:pt>
                <c:pt idx="50">
                  <c:v>104</c:v>
                </c:pt>
              </c:numCache>
            </c:numRef>
          </c:xVal>
          <c:yVal>
            <c:numRef>
              <c:f>PAR!$N$2:$N$52</c:f>
              <c:numCache>
                <c:formatCode>General</c:formatCode>
                <c:ptCount val="51"/>
                <c:pt idx="0">
                  <c:v>5.8</c:v>
                </c:pt>
                <c:pt idx="1">
                  <c:v>8.3000000000000007</c:v>
                </c:pt>
                <c:pt idx="2">
                  <c:v>8.4</c:v>
                </c:pt>
                <c:pt idx="3">
                  <c:v>9.3000000000000007</c:v>
                </c:pt>
                <c:pt idx="4">
                  <c:v>7.4</c:v>
                </c:pt>
                <c:pt idx="5">
                  <c:v>7.7</c:v>
                </c:pt>
                <c:pt idx="6">
                  <c:v>8.8000000000000007</c:v>
                </c:pt>
                <c:pt idx="7">
                  <c:v>9.1999999999999993</c:v>
                </c:pt>
                <c:pt idx="8">
                  <c:v>3.6</c:v>
                </c:pt>
                <c:pt idx="9">
                  <c:v>7.5</c:v>
                </c:pt>
                <c:pt idx="10">
                  <c:v>7.8</c:v>
                </c:pt>
                <c:pt idx="11">
                  <c:v>7.7</c:v>
                </c:pt>
                <c:pt idx="12">
                  <c:v>8.6</c:v>
                </c:pt>
                <c:pt idx="13">
                  <c:v>36.4</c:v>
                </c:pt>
                <c:pt idx="14">
                  <c:v>44.1</c:v>
                </c:pt>
                <c:pt idx="15">
                  <c:v>41.9</c:v>
                </c:pt>
                <c:pt idx="16">
                  <c:v>34.200000000000003</c:v>
                </c:pt>
                <c:pt idx="17">
                  <c:v>34.9</c:v>
                </c:pt>
                <c:pt idx="18">
                  <c:v>32</c:v>
                </c:pt>
                <c:pt idx="19">
                  <c:v>29.9</c:v>
                </c:pt>
                <c:pt idx="20">
                  <c:v>31.7</c:v>
                </c:pt>
                <c:pt idx="21">
                  <c:v>41.1</c:v>
                </c:pt>
                <c:pt idx="22">
                  <c:v>37.799999999999997</c:v>
                </c:pt>
                <c:pt idx="23">
                  <c:v>31.4</c:v>
                </c:pt>
                <c:pt idx="24">
                  <c:v>25.7</c:v>
                </c:pt>
                <c:pt idx="25">
                  <c:v>22.5</c:v>
                </c:pt>
                <c:pt idx="26">
                  <c:v>24.5</c:v>
                </c:pt>
                <c:pt idx="27">
                  <c:v>35.5</c:v>
                </c:pt>
                <c:pt idx="28">
                  <c:v>26.5</c:v>
                </c:pt>
                <c:pt idx="29">
                  <c:v>20.399999999999999</c:v>
                </c:pt>
                <c:pt idx="30">
                  <c:v>32.4</c:v>
                </c:pt>
                <c:pt idx="31">
                  <c:v>32.4</c:v>
                </c:pt>
                <c:pt idx="32">
                  <c:v>32.4</c:v>
                </c:pt>
                <c:pt idx="33">
                  <c:v>28.1</c:v>
                </c:pt>
                <c:pt idx="34">
                  <c:v>13.4</c:v>
                </c:pt>
                <c:pt idx="35">
                  <c:v>28.3</c:v>
                </c:pt>
                <c:pt idx="36">
                  <c:v>24.4</c:v>
                </c:pt>
                <c:pt idx="37">
                  <c:v>23.7</c:v>
                </c:pt>
                <c:pt idx="38">
                  <c:v>28.4</c:v>
                </c:pt>
                <c:pt idx="39">
                  <c:v>20.6</c:v>
                </c:pt>
                <c:pt idx="40">
                  <c:v>21.6</c:v>
                </c:pt>
                <c:pt idx="41">
                  <c:v>8.6</c:v>
                </c:pt>
                <c:pt idx="42">
                  <c:v>3.2</c:v>
                </c:pt>
                <c:pt idx="43">
                  <c:v>18.8</c:v>
                </c:pt>
                <c:pt idx="44">
                  <c:v>8.4</c:v>
                </c:pt>
                <c:pt idx="45">
                  <c:v>17.899999999999999</c:v>
                </c:pt>
                <c:pt idx="46">
                  <c:v>22.6</c:v>
                </c:pt>
                <c:pt idx="47">
                  <c:v>27</c:v>
                </c:pt>
                <c:pt idx="48">
                  <c:v>22.7</c:v>
                </c:pt>
                <c:pt idx="49">
                  <c:v>30.8</c:v>
                </c:pt>
                <c:pt idx="50">
                  <c:v>27</c:v>
                </c:pt>
              </c:numCache>
            </c:numRef>
          </c:yVal>
          <c:smooth val="0"/>
          <c:extLst xmlns:c16r2="http://schemas.microsoft.com/office/drawing/2015/06/chart">
            <c:ext xmlns:c16="http://schemas.microsoft.com/office/drawing/2014/chart" uri="{C3380CC4-5D6E-409C-BE32-E72D297353CC}">
              <c16:uniqueId val="{00000000-B27B-46AE-AB80-5DA7AB9F631B}"/>
            </c:ext>
          </c:extLst>
        </c:ser>
        <c:dLbls>
          <c:showLegendKey val="0"/>
          <c:showVal val="0"/>
          <c:showCatName val="0"/>
          <c:showSerName val="0"/>
          <c:showPercent val="0"/>
          <c:showBubbleSize val="0"/>
        </c:dLbls>
        <c:axId val="707470472"/>
        <c:axId val="707467728"/>
      </c:scatterChart>
      <c:valAx>
        <c:axId val="7074704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planting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467728"/>
        <c:crosses val="autoZero"/>
        <c:crossBetween val="midCat"/>
      </c:valAx>
      <c:valAx>
        <c:axId val="707467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DLI (mol/m</a:t>
                </a:r>
                <a:r>
                  <a:rPr lang="en-US" baseline="30000"/>
                  <a:t>2</a:t>
                </a:r>
                <a:r>
                  <a:rPr lang="en-US"/>
                  <a:t>/d)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4704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Unambiguous">
      <a:dk1>
        <a:sysClr val="windowText" lastClr="000000"/>
      </a:dk1>
      <a:lt1>
        <a:sysClr val="window" lastClr="FFFFFF"/>
      </a:lt1>
      <a:dk2>
        <a:srgbClr val="000000"/>
      </a:dk2>
      <a:lt2>
        <a:srgbClr val="EEECE1"/>
      </a:lt2>
      <a:accent1>
        <a:srgbClr val="0072B2"/>
      </a:accent1>
      <a:accent2>
        <a:srgbClr val="D55E00"/>
      </a:accent2>
      <a:accent3>
        <a:srgbClr val="CC79A7"/>
      </a:accent3>
      <a:accent4>
        <a:srgbClr val="E69F00"/>
      </a:accent4>
      <a:accent5>
        <a:srgbClr val="56B4E9"/>
      </a:accent5>
      <a:accent6>
        <a:srgbClr val="009E7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383F52BD8E0A47A4BC21E1C1B04C77" ma:contentTypeVersion="10" ma:contentTypeDescription="Create a new document." ma:contentTypeScope="" ma:versionID="17f4f0aaf3daf1c7b33238ad3f25adf1">
  <xsd:schema xmlns:xsd="http://www.w3.org/2001/XMLSchema" xmlns:xs="http://www.w3.org/2001/XMLSchema" xmlns:p="http://schemas.microsoft.com/office/2006/metadata/properties" xmlns:ns3="453a7809-301f-4577-8b5b-dae4cd9c0d0d" xmlns:ns4="fed46bea-391e-4324-9976-07d77c9ee9f1" targetNamespace="http://schemas.microsoft.com/office/2006/metadata/properties" ma:root="true" ma:fieldsID="2d7fa993f2d40e2c35a160caa26af694" ns3:_="" ns4:_="">
    <xsd:import namespace="453a7809-301f-4577-8b5b-dae4cd9c0d0d"/>
    <xsd:import namespace="fed46bea-391e-4324-9976-07d77c9ee9f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a7809-301f-4577-8b5b-dae4cd9c0d0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46bea-391e-4324-9976-07d77c9ee9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E10F9F09-312D-4D4D-B3D3-F41551F8B4ED}">
  <ds:schemaRefs>
    <ds:schemaRef ds:uri="http://schemas.microsoft.com/sharepoint/v3/contenttype/forms"/>
  </ds:schemaRefs>
</ds:datastoreItem>
</file>

<file path=customXml/itemProps2.xml><?xml version="1.0" encoding="utf-8"?>
<ds:datastoreItem xmlns:ds="http://schemas.openxmlformats.org/officeDocument/2006/customXml" ds:itemID="{418355BA-C4CE-49AE-A10C-CD4D31E570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FFACFD-9EFF-45F2-8440-E77E41CC4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a7809-301f-4577-8b5b-dae4cd9c0d0d"/>
    <ds:schemaRef ds:uri="fed46bea-391e-4324-9976-07d77c9ee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82284A-F9D0-4C2F-B773-FA9D87D4A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184</Pages>
  <Words>109304</Words>
  <Characters>623035</Characters>
  <Application>Microsoft Office Word</Application>
  <DocSecurity>0</DocSecurity>
  <Lines>5191</Lines>
  <Paragraphs>1461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Harper Stanfield</dc:creator>
  <cp:keywords/>
  <dc:description/>
  <cp:lastModifiedBy>Harper Stanfield</cp:lastModifiedBy>
  <cp:revision>9</cp:revision>
  <cp:lastPrinted>2020-12-17T01:30:00Z</cp:lastPrinted>
  <dcterms:created xsi:type="dcterms:W3CDTF">2020-12-17T01:30:00Z</dcterms:created>
  <dcterms:modified xsi:type="dcterms:W3CDTF">2020-12-18T22:42:00Z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0x0101004B383F52BD8E0A47A4BC21E1C1B04C77</vt:lpwstr>
  </property>
  <property fmtid="{D5CDD505-2E9C-101B-9397-08002B2CF9AE}" pid="3" name="ZOTERO_PREF_1">
    <vt:lpwstr>&lt;data data-version="3" zotero-version="5.0.93"&gt;&lt;session id="roG1WM78"/&gt;&lt;style id="http://www.zotero.org/styles/apa" locale="en-US" hasBibliography="1" bibliographyStyleHasBeenSet="1"/&gt;&lt;prefs&gt;&lt;pref name="fieldType" value="Field"/&gt;&lt;pref name="dontAskDelayCi</vt:lpwstr>
  </property>
  <property fmtid="{D5CDD505-2E9C-101B-9397-08002B2CF9AE}" pid="4" name="ZOTERO_PREF_2">
    <vt:lpwstr>tationUpdates" value="true"/&gt;&lt;pref name="delayCitationUpdates" value="true"/&gt;&lt;/prefs&gt;&lt;/data&gt;</vt:lpwstr>
  </property>
</Properties>
</file>