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B72F8" w14:textId="77777777" w:rsidR="004965DF" w:rsidRPr="005C7B60" w:rsidRDefault="004965DF" w:rsidP="00B820B0">
      <w:pPr>
        <w:jc w:val="center"/>
        <w:rPr>
          <w:rFonts w:ascii="Bookman Old Style" w:hAnsi="Bookman Old Style"/>
          <w:bCs/>
          <w:sz w:val="24"/>
          <w:szCs w:val="24"/>
        </w:rPr>
      </w:pPr>
      <w:bookmarkStart w:id="0" w:name="_Hlk2584331"/>
      <w:bookmarkEnd w:id="0"/>
    </w:p>
    <w:p w14:paraId="65525EC9" w14:textId="77777777" w:rsidR="004965DF" w:rsidRPr="005C7B60" w:rsidRDefault="004965DF" w:rsidP="00B820B0">
      <w:pPr>
        <w:jc w:val="center"/>
        <w:rPr>
          <w:rFonts w:ascii="Bookman Old Style" w:hAnsi="Bookman Old Style"/>
          <w:bCs/>
          <w:sz w:val="24"/>
          <w:szCs w:val="24"/>
        </w:rPr>
      </w:pPr>
    </w:p>
    <w:p w14:paraId="6118DE36" w14:textId="43A67E91" w:rsidR="00B820B0" w:rsidRPr="005C7B60" w:rsidRDefault="00B820B0" w:rsidP="00B820B0">
      <w:pPr>
        <w:jc w:val="center"/>
        <w:rPr>
          <w:rFonts w:ascii="Bookman Old Style" w:hAnsi="Bookman Old Style"/>
          <w:bCs/>
          <w:sz w:val="24"/>
          <w:szCs w:val="24"/>
        </w:rPr>
      </w:pPr>
      <w:r w:rsidRPr="005C7B60">
        <w:rPr>
          <w:rFonts w:ascii="Bookman Old Style" w:hAnsi="Bookman Old Style"/>
          <w:bCs/>
          <w:sz w:val="24"/>
          <w:szCs w:val="24"/>
        </w:rPr>
        <w:t>UNIVERSITY OF OKLAHOMA</w:t>
      </w:r>
    </w:p>
    <w:p w14:paraId="7B499FC6" w14:textId="77777777" w:rsidR="00B820B0" w:rsidRPr="005C7B60" w:rsidRDefault="00B820B0" w:rsidP="00B820B0">
      <w:pPr>
        <w:jc w:val="center"/>
        <w:rPr>
          <w:rFonts w:ascii="Bookman Old Style" w:hAnsi="Bookman Old Style"/>
          <w:bCs/>
          <w:sz w:val="24"/>
          <w:szCs w:val="24"/>
        </w:rPr>
      </w:pPr>
    </w:p>
    <w:p w14:paraId="63A4F971" w14:textId="7B825A42" w:rsidR="00B820B0" w:rsidRPr="005C7B60" w:rsidRDefault="00B820B0" w:rsidP="00B820B0">
      <w:pPr>
        <w:jc w:val="center"/>
        <w:rPr>
          <w:rFonts w:ascii="Bookman Old Style" w:hAnsi="Bookman Old Style"/>
          <w:bCs/>
          <w:sz w:val="24"/>
          <w:szCs w:val="24"/>
        </w:rPr>
      </w:pPr>
      <w:r w:rsidRPr="005C7B60">
        <w:rPr>
          <w:rFonts w:ascii="Bookman Old Style" w:hAnsi="Bookman Old Style"/>
          <w:bCs/>
          <w:sz w:val="24"/>
          <w:szCs w:val="24"/>
        </w:rPr>
        <w:t>GRADUATE COLLEGE</w:t>
      </w:r>
    </w:p>
    <w:p w14:paraId="52CD8B3D" w14:textId="528373C7" w:rsidR="00B820B0" w:rsidRPr="005C7B60" w:rsidRDefault="00B820B0" w:rsidP="00B820B0">
      <w:pPr>
        <w:jc w:val="center"/>
        <w:rPr>
          <w:rFonts w:ascii="Bookman Old Style" w:hAnsi="Bookman Old Style"/>
          <w:bCs/>
          <w:sz w:val="24"/>
          <w:szCs w:val="24"/>
        </w:rPr>
      </w:pPr>
    </w:p>
    <w:p w14:paraId="0D58CDBB" w14:textId="743A5D74" w:rsidR="00B820B0" w:rsidRPr="005C7B60" w:rsidRDefault="00B820B0" w:rsidP="00B820B0">
      <w:pPr>
        <w:jc w:val="center"/>
        <w:rPr>
          <w:rFonts w:ascii="Bookman Old Style" w:hAnsi="Bookman Old Style"/>
          <w:bCs/>
          <w:sz w:val="24"/>
          <w:szCs w:val="24"/>
        </w:rPr>
      </w:pPr>
    </w:p>
    <w:p w14:paraId="012ABAED" w14:textId="17FE5FC0" w:rsidR="00B820B0" w:rsidRPr="005C7B60" w:rsidRDefault="00B820B0" w:rsidP="00B820B0">
      <w:pPr>
        <w:jc w:val="center"/>
        <w:rPr>
          <w:rFonts w:ascii="Bookman Old Style" w:hAnsi="Bookman Old Style"/>
          <w:bCs/>
          <w:sz w:val="24"/>
          <w:szCs w:val="24"/>
        </w:rPr>
      </w:pPr>
    </w:p>
    <w:p w14:paraId="14AC00A6" w14:textId="77777777" w:rsidR="004965DF" w:rsidRPr="005C7B60" w:rsidRDefault="004965DF" w:rsidP="00B820B0">
      <w:pPr>
        <w:jc w:val="center"/>
        <w:rPr>
          <w:rFonts w:ascii="Bookman Old Style" w:hAnsi="Bookman Old Style"/>
          <w:bCs/>
          <w:sz w:val="24"/>
          <w:szCs w:val="24"/>
        </w:rPr>
      </w:pPr>
    </w:p>
    <w:p w14:paraId="0D6FB4E0" w14:textId="2F0B7269" w:rsidR="00B820B0" w:rsidRPr="005C7B60" w:rsidRDefault="00B820B0" w:rsidP="00B820B0">
      <w:pPr>
        <w:jc w:val="center"/>
        <w:rPr>
          <w:rFonts w:ascii="Bookman Old Style" w:hAnsi="Bookman Old Style"/>
          <w:bCs/>
          <w:sz w:val="24"/>
          <w:szCs w:val="24"/>
        </w:rPr>
      </w:pPr>
    </w:p>
    <w:p w14:paraId="6530EB60" w14:textId="77777777" w:rsidR="004965DF" w:rsidRPr="005C7B60" w:rsidRDefault="004965DF" w:rsidP="00B820B0">
      <w:pPr>
        <w:jc w:val="center"/>
        <w:rPr>
          <w:rFonts w:ascii="Bookman Old Style" w:hAnsi="Bookman Old Style"/>
          <w:bCs/>
          <w:sz w:val="24"/>
          <w:szCs w:val="24"/>
        </w:rPr>
      </w:pPr>
    </w:p>
    <w:p w14:paraId="2C98FEFE" w14:textId="77777777" w:rsidR="004965DF" w:rsidRPr="005C7B60" w:rsidRDefault="004965DF" w:rsidP="00B820B0">
      <w:pPr>
        <w:jc w:val="center"/>
        <w:rPr>
          <w:rFonts w:ascii="Bookman Old Style" w:hAnsi="Bookman Old Style"/>
          <w:bCs/>
          <w:sz w:val="24"/>
          <w:szCs w:val="24"/>
        </w:rPr>
      </w:pPr>
    </w:p>
    <w:p w14:paraId="2D165D8E" w14:textId="77777777" w:rsidR="00B820B0" w:rsidRPr="005C7B60" w:rsidRDefault="00B820B0" w:rsidP="00B820B0">
      <w:pPr>
        <w:jc w:val="center"/>
        <w:rPr>
          <w:rFonts w:ascii="Bookman Old Style" w:hAnsi="Bookman Old Style"/>
          <w:bCs/>
          <w:sz w:val="24"/>
          <w:szCs w:val="24"/>
        </w:rPr>
      </w:pPr>
    </w:p>
    <w:p w14:paraId="6C5445D3" w14:textId="77777777" w:rsidR="003018C2" w:rsidRDefault="003018C2" w:rsidP="00B820B0">
      <w:pPr>
        <w:jc w:val="center"/>
        <w:rPr>
          <w:rFonts w:ascii="Bookman Old Style" w:hAnsi="Bookman Old Style"/>
          <w:bCs/>
          <w:sz w:val="24"/>
          <w:szCs w:val="24"/>
        </w:rPr>
      </w:pPr>
      <w:bookmarkStart w:id="1" w:name="_Hlk7247825"/>
      <w:r>
        <w:rPr>
          <w:rFonts w:ascii="Bookman Old Style" w:hAnsi="Bookman Old Style"/>
          <w:bCs/>
          <w:sz w:val="24"/>
          <w:szCs w:val="24"/>
        </w:rPr>
        <w:t xml:space="preserve">CLOSING THE GAP: </w:t>
      </w:r>
    </w:p>
    <w:p w14:paraId="3785D262" w14:textId="7B28EE8B" w:rsidR="00B820B0" w:rsidRPr="005C7B60" w:rsidRDefault="003018C2" w:rsidP="00B820B0">
      <w:pPr>
        <w:jc w:val="center"/>
        <w:rPr>
          <w:rFonts w:ascii="Bookman Old Style" w:hAnsi="Bookman Old Style"/>
          <w:bCs/>
          <w:sz w:val="24"/>
          <w:szCs w:val="24"/>
        </w:rPr>
      </w:pPr>
      <w:r>
        <w:rPr>
          <w:rFonts w:ascii="Bookman Old Style" w:hAnsi="Bookman Old Style"/>
          <w:bCs/>
          <w:sz w:val="24"/>
          <w:szCs w:val="24"/>
        </w:rPr>
        <w:t>TINY HOMES, SOCIAL CAPITAL, IMPLEMENTATION, AND DISASTER RECOVERY</w:t>
      </w:r>
    </w:p>
    <w:bookmarkEnd w:id="1"/>
    <w:p w14:paraId="0A8C96FE" w14:textId="77777777" w:rsidR="004965DF" w:rsidRPr="005C7B60" w:rsidRDefault="004965DF" w:rsidP="004965DF">
      <w:pPr>
        <w:jc w:val="center"/>
        <w:rPr>
          <w:rFonts w:ascii="Bookman Old Style" w:hAnsi="Bookman Old Style"/>
          <w:bCs/>
          <w:sz w:val="24"/>
          <w:szCs w:val="24"/>
        </w:rPr>
      </w:pPr>
    </w:p>
    <w:p w14:paraId="4E893310" w14:textId="77777777" w:rsidR="004965DF" w:rsidRPr="005C7B60" w:rsidRDefault="004965DF" w:rsidP="004965DF">
      <w:pPr>
        <w:jc w:val="center"/>
        <w:rPr>
          <w:rFonts w:ascii="Bookman Old Style" w:hAnsi="Bookman Old Style"/>
          <w:bCs/>
          <w:sz w:val="24"/>
          <w:szCs w:val="24"/>
        </w:rPr>
      </w:pPr>
    </w:p>
    <w:p w14:paraId="0078CDC6" w14:textId="77777777" w:rsidR="004965DF" w:rsidRPr="005C7B60" w:rsidRDefault="004965DF" w:rsidP="004965DF">
      <w:pPr>
        <w:jc w:val="center"/>
        <w:rPr>
          <w:rFonts w:ascii="Bookman Old Style" w:hAnsi="Bookman Old Style"/>
          <w:bCs/>
          <w:sz w:val="24"/>
          <w:szCs w:val="24"/>
        </w:rPr>
      </w:pPr>
    </w:p>
    <w:p w14:paraId="357ADA0E" w14:textId="171D736E" w:rsidR="004965DF" w:rsidRPr="005C7B60" w:rsidRDefault="004965DF" w:rsidP="004965DF">
      <w:pPr>
        <w:jc w:val="center"/>
        <w:rPr>
          <w:rFonts w:ascii="Bookman Old Style" w:hAnsi="Bookman Old Style"/>
          <w:bCs/>
          <w:sz w:val="24"/>
          <w:szCs w:val="24"/>
        </w:rPr>
      </w:pPr>
    </w:p>
    <w:p w14:paraId="5FE1F889" w14:textId="78FAF4B1" w:rsidR="004965DF" w:rsidRPr="005C7B60" w:rsidRDefault="004965DF" w:rsidP="004965DF">
      <w:pPr>
        <w:jc w:val="center"/>
        <w:rPr>
          <w:rFonts w:ascii="Bookman Old Style" w:hAnsi="Bookman Old Style"/>
          <w:bCs/>
          <w:sz w:val="24"/>
          <w:szCs w:val="24"/>
        </w:rPr>
      </w:pPr>
    </w:p>
    <w:p w14:paraId="730C54F5" w14:textId="3B242208" w:rsidR="004965DF" w:rsidRPr="005C7B60" w:rsidRDefault="004965DF" w:rsidP="004965DF">
      <w:pPr>
        <w:jc w:val="center"/>
        <w:rPr>
          <w:rFonts w:ascii="Bookman Old Style" w:hAnsi="Bookman Old Style"/>
          <w:bCs/>
          <w:sz w:val="24"/>
          <w:szCs w:val="24"/>
        </w:rPr>
      </w:pPr>
    </w:p>
    <w:p w14:paraId="450C1C9C" w14:textId="77777777" w:rsidR="004965DF" w:rsidRPr="005C7B60" w:rsidRDefault="004965DF" w:rsidP="004965DF">
      <w:pPr>
        <w:jc w:val="center"/>
        <w:rPr>
          <w:rFonts w:ascii="Bookman Old Style" w:hAnsi="Bookman Old Style"/>
          <w:bCs/>
          <w:sz w:val="24"/>
          <w:szCs w:val="24"/>
        </w:rPr>
      </w:pPr>
    </w:p>
    <w:p w14:paraId="7CB26396" w14:textId="77777777" w:rsidR="004965DF" w:rsidRPr="005C7B60" w:rsidRDefault="004965DF" w:rsidP="004965DF">
      <w:pPr>
        <w:jc w:val="center"/>
        <w:rPr>
          <w:rFonts w:ascii="Bookman Old Style" w:hAnsi="Bookman Old Style"/>
          <w:bCs/>
          <w:sz w:val="24"/>
          <w:szCs w:val="24"/>
        </w:rPr>
      </w:pPr>
    </w:p>
    <w:p w14:paraId="1E8D4F4D" w14:textId="17C668D5" w:rsidR="00B820B0" w:rsidRPr="005C7B60" w:rsidRDefault="00B820B0" w:rsidP="00B820B0">
      <w:pPr>
        <w:jc w:val="center"/>
        <w:rPr>
          <w:rFonts w:ascii="Bookman Old Style" w:hAnsi="Bookman Old Style"/>
          <w:bCs/>
          <w:sz w:val="24"/>
          <w:szCs w:val="24"/>
        </w:rPr>
      </w:pPr>
      <w:r w:rsidRPr="005C7B60">
        <w:rPr>
          <w:rFonts w:ascii="Bookman Old Style" w:hAnsi="Bookman Old Style"/>
          <w:bCs/>
          <w:sz w:val="24"/>
          <w:szCs w:val="24"/>
        </w:rPr>
        <w:t>A THESIS</w:t>
      </w:r>
    </w:p>
    <w:p w14:paraId="31B07C6F" w14:textId="77777777" w:rsidR="00B820B0" w:rsidRPr="005C7B60" w:rsidRDefault="00B820B0" w:rsidP="00B820B0">
      <w:pPr>
        <w:jc w:val="center"/>
        <w:rPr>
          <w:rFonts w:ascii="Bookman Old Style" w:hAnsi="Bookman Old Style"/>
          <w:bCs/>
          <w:sz w:val="24"/>
          <w:szCs w:val="24"/>
        </w:rPr>
      </w:pPr>
    </w:p>
    <w:p w14:paraId="29DD915A" w14:textId="5AA28BFC" w:rsidR="00B820B0" w:rsidRPr="005C7B60" w:rsidRDefault="00B820B0" w:rsidP="00B820B0">
      <w:pPr>
        <w:jc w:val="center"/>
        <w:rPr>
          <w:rFonts w:ascii="Bookman Old Style" w:hAnsi="Bookman Old Style"/>
          <w:bCs/>
          <w:sz w:val="24"/>
          <w:szCs w:val="24"/>
        </w:rPr>
      </w:pPr>
      <w:r w:rsidRPr="005C7B60">
        <w:rPr>
          <w:rFonts w:ascii="Bookman Old Style" w:hAnsi="Bookman Old Style"/>
          <w:bCs/>
          <w:sz w:val="24"/>
          <w:szCs w:val="24"/>
        </w:rPr>
        <w:t>SUBMITTED TO THE GRADUATE FACULTY</w:t>
      </w:r>
    </w:p>
    <w:p w14:paraId="28E11E56" w14:textId="77777777" w:rsidR="00B820B0" w:rsidRPr="005C7B60" w:rsidRDefault="00B820B0" w:rsidP="00B820B0">
      <w:pPr>
        <w:jc w:val="center"/>
        <w:rPr>
          <w:rFonts w:ascii="Bookman Old Style" w:hAnsi="Bookman Old Style"/>
          <w:bCs/>
          <w:sz w:val="24"/>
          <w:szCs w:val="24"/>
        </w:rPr>
      </w:pPr>
    </w:p>
    <w:p w14:paraId="1DE1B062" w14:textId="0EED5C30" w:rsidR="00B820B0" w:rsidRPr="005C7B60" w:rsidRDefault="00B820B0" w:rsidP="00B820B0">
      <w:pPr>
        <w:jc w:val="center"/>
        <w:rPr>
          <w:rFonts w:ascii="Bookman Old Style" w:hAnsi="Bookman Old Style"/>
          <w:bCs/>
          <w:sz w:val="24"/>
          <w:szCs w:val="24"/>
        </w:rPr>
      </w:pPr>
      <w:r w:rsidRPr="005C7B60">
        <w:rPr>
          <w:rFonts w:ascii="Bookman Old Style" w:hAnsi="Bookman Old Style"/>
          <w:bCs/>
          <w:sz w:val="24"/>
          <w:szCs w:val="24"/>
        </w:rPr>
        <w:t>in partial fulfillment of the requirements for the</w:t>
      </w:r>
    </w:p>
    <w:p w14:paraId="708CAEC2" w14:textId="77777777" w:rsidR="00B820B0" w:rsidRPr="005C7B60" w:rsidRDefault="00B820B0" w:rsidP="00B820B0">
      <w:pPr>
        <w:jc w:val="center"/>
        <w:rPr>
          <w:rFonts w:ascii="Bookman Old Style" w:hAnsi="Bookman Old Style"/>
          <w:bCs/>
          <w:sz w:val="24"/>
          <w:szCs w:val="24"/>
        </w:rPr>
      </w:pPr>
    </w:p>
    <w:p w14:paraId="2EF54518" w14:textId="601946CE" w:rsidR="00B820B0" w:rsidRPr="005C7B60" w:rsidRDefault="00B820B0" w:rsidP="00B820B0">
      <w:pPr>
        <w:jc w:val="center"/>
        <w:rPr>
          <w:rFonts w:ascii="Bookman Old Style" w:hAnsi="Bookman Old Style"/>
          <w:bCs/>
          <w:sz w:val="24"/>
          <w:szCs w:val="24"/>
        </w:rPr>
      </w:pPr>
      <w:r w:rsidRPr="005C7B60">
        <w:rPr>
          <w:rFonts w:ascii="Bookman Old Style" w:hAnsi="Bookman Old Style"/>
          <w:bCs/>
          <w:sz w:val="24"/>
          <w:szCs w:val="24"/>
        </w:rPr>
        <w:t>Degree of</w:t>
      </w:r>
    </w:p>
    <w:p w14:paraId="44BE3044" w14:textId="77777777" w:rsidR="00B820B0" w:rsidRPr="005C7B60" w:rsidRDefault="00B820B0" w:rsidP="00B820B0">
      <w:pPr>
        <w:jc w:val="center"/>
        <w:rPr>
          <w:rFonts w:ascii="Bookman Old Style" w:hAnsi="Bookman Old Style"/>
          <w:bCs/>
          <w:sz w:val="24"/>
          <w:szCs w:val="24"/>
        </w:rPr>
      </w:pPr>
    </w:p>
    <w:p w14:paraId="6606C3CA" w14:textId="3FB8A647" w:rsidR="00B820B0" w:rsidRPr="005C7B60" w:rsidRDefault="00B820B0" w:rsidP="00B820B0">
      <w:pPr>
        <w:jc w:val="center"/>
        <w:rPr>
          <w:rFonts w:ascii="Bookman Old Style" w:hAnsi="Bookman Old Style"/>
          <w:bCs/>
          <w:sz w:val="24"/>
          <w:szCs w:val="24"/>
        </w:rPr>
      </w:pPr>
      <w:r w:rsidRPr="005C7B60">
        <w:rPr>
          <w:rFonts w:ascii="Bookman Old Style" w:hAnsi="Bookman Old Style"/>
          <w:bCs/>
          <w:sz w:val="24"/>
          <w:szCs w:val="24"/>
        </w:rPr>
        <w:t>M</w:t>
      </w:r>
      <w:r w:rsidR="00D77DF2" w:rsidRPr="005C7B60">
        <w:rPr>
          <w:rFonts w:ascii="Bookman Old Style" w:hAnsi="Bookman Old Style"/>
          <w:bCs/>
          <w:sz w:val="24"/>
          <w:szCs w:val="24"/>
        </w:rPr>
        <w:t>ASTER</w:t>
      </w:r>
      <w:r w:rsidRPr="005C7B60">
        <w:rPr>
          <w:rFonts w:ascii="Bookman Old Style" w:hAnsi="Bookman Old Style"/>
          <w:bCs/>
          <w:sz w:val="24"/>
          <w:szCs w:val="24"/>
        </w:rPr>
        <w:t xml:space="preserve"> </w:t>
      </w:r>
      <w:r w:rsidR="00D77DF2" w:rsidRPr="005C7B60">
        <w:rPr>
          <w:rFonts w:ascii="Bookman Old Style" w:hAnsi="Bookman Old Style"/>
          <w:bCs/>
          <w:sz w:val="24"/>
          <w:szCs w:val="24"/>
        </w:rPr>
        <w:t>OF</w:t>
      </w:r>
      <w:r w:rsidRPr="005C7B60">
        <w:rPr>
          <w:rFonts w:ascii="Bookman Old Style" w:hAnsi="Bookman Old Style"/>
          <w:bCs/>
          <w:sz w:val="24"/>
          <w:szCs w:val="24"/>
        </w:rPr>
        <w:t xml:space="preserve"> S</w:t>
      </w:r>
      <w:r w:rsidR="00D77DF2" w:rsidRPr="005C7B60">
        <w:rPr>
          <w:rFonts w:ascii="Bookman Old Style" w:hAnsi="Bookman Old Style"/>
          <w:bCs/>
          <w:sz w:val="24"/>
          <w:szCs w:val="24"/>
        </w:rPr>
        <w:t>CIENCE</w:t>
      </w:r>
      <w:r w:rsidRPr="005C7B60">
        <w:rPr>
          <w:rFonts w:ascii="Bookman Old Style" w:hAnsi="Bookman Old Style"/>
          <w:bCs/>
          <w:sz w:val="24"/>
          <w:szCs w:val="24"/>
        </w:rPr>
        <w:t xml:space="preserve"> </w:t>
      </w:r>
      <w:r w:rsidR="00D77DF2" w:rsidRPr="005C7B60">
        <w:rPr>
          <w:rFonts w:ascii="Bookman Old Style" w:hAnsi="Bookman Old Style"/>
          <w:bCs/>
          <w:sz w:val="24"/>
          <w:szCs w:val="24"/>
        </w:rPr>
        <w:t>IN</w:t>
      </w:r>
      <w:r w:rsidRPr="005C7B60">
        <w:rPr>
          <w:rFonts w:ascii="Bookman Old Style" w:hAnsi="Bookman Old Style"/>
          <w:bCs/>
          <w:sz w:val="24"/>
          <w:szCs w:val="24"/>
        </w:rPr>
        <w:t xml:space="preserve"> E</w:t>
      </w:r>
      <w:r w:rsidR="00D77DF2" w:rsidRPr="005C7B60">
        <w:rPr>
          <w:rFonts w:ascii="Bookman Old Style" w:hAnsi="Bookman Old Style"/>
          <w:bCs/>
          <w:sz w:val="24"/>
          <w:szCs w:val="24"/>
        </w:rPr>
        <w:t>NVIRONMENTAL</w:t>
      </w:r>
      <w:r w:rsidRPr="005C7B60">
        <w:rPr>
          <w:rFonts w:ascii="Bookman Old Style" w:hAnsi="Bookman Old Style"/>
          <w:bCs/>
          <w:sz w:val="24"/>
          <w:szCs w:val="24"/>
        </w:rPr>
        <w:t xml:space="preserve"> S</w:t>
      </w:r>
      <w:r w:rsidR="00D77DF2" w:rsidRPr="005C7B60">
        <w:rPr>
          <w:rFonts w:ascii="Bookman Old Style" w:hAnsi="Bookman Old Style"/>
          <w:bCs/>
          <w:sz w:val="24"/>
          <w:szCs w:val="24"/>
        </w:rPr>
        <w:t>USTAINABILITY</w:t>
      </w:r>
    </w:p>
    <w:p w14:paraId="08AE6D9A" w14:textId="77777777" w:rsidR="004965DF" w:rsidRPr="005C7B60" w:rsidRDefault="004965DF" w:rsidP="004965DF">
      <w:pPr>
        <w:jc w:val="center"/>
        <w:rPr>
          <w:rFonts w:ascii="Bookman Old Style" w:hAnsi="Bookman Old Style"/>
          <w:bCs/>
          <w:sz w:val="24"/>
          <w:szCs w:val="24"/>
        </w:rPr>
      </w:pPr>
    </w:p>
    <w:p w14:paraId="26AF5808" w14:textId="77777777" w:rsidR="004965DF" w:rsidRPr="005C7B60" w:rsidRDefault="004965DF" w:rsidP="004965DF">
      <w:pPr>
        <w:jc w:val="center"/>
        <w:rPr>
          <w:rFonts w:ascii="Bookman Old Style" w:hAnsi="Bookman Old Style"/>
          <w:bCs/>
          <w:sz w:val="24"/>
          <w:szCs w:val="24"/>
        </w:rPr>
      </w:pPr>
    </w:p>
    <w:p w14:paraId="2FD0EF64" w14:textId="77777777" w:rsidR="004965DF" w:rsidRPr="005C7B60" w:rsidRDefault="004965DF" w:rsidP="004965DF">
      <w:pPr>
        <w:jc w:val="center"/>
        <w:rPr>
          <w:rFonts w:ascii="Bookman Old Style" w:hAnsi="Bookman Old Style"/>
          <w:bCs/>
          <w:sz w:val="24"/>
          <w:szCs w:val="24"/>
        </w:rPr>
      </w:pPr>
    </w:p>
    <w:p w14:paraId="7D7CA9EA" w14:textId="77777777" w:rsidR="004965DF" w:rsidRPr="005C7B60" w:rsidRDefault="004965DF" w:rsidP="004965DF">
      <w:pPr>
        <w:jc w:val="center"/>
        <w:rPr>
          <w:rFonts w:ascii="Bookman Old Style" w:hAnsi="Bookman Old Style"/>
          <w:bCs/>
          <w:sz w:val="24"/>
          <w:szCs w:val="24"/>
        </w:rPr>
      </w:pPr>
    </w:p>
    <w:p w14:paraId="328F6700" w14:textId="26CC7A55" w:rsidR="004965DF" w:rsidRPr="005C7B60" w:rsidRDefault="004965DF" w:rsidP="004965DF">
      <w:pPr>
        <w:jc w:val="center"/>
        <w:rPr>
          <w:rFonts w:ascii="Bookman Old Style" w:hAnsi="Bookman Old Style"/>
          <w:bCs/>
          <w:sz w:val="24"/>
          <w:szCs w:val="24"/>
        </w:rPr>
      </w:pPr>
    </w:p>
    <w:p w14:paraId="102C8BDD" w14:textId="77777777" w:rsidR="004965DF" w:rsidRPr="005C7B60" w:rsidRDefault="004965DF" w:rsidP="003018C2">
      <w:pPr>
        <w:rPr>
          <w:rFonts w:ascii="Bookman Old Style" w:hAnsi="Bookman Old Style"/>
          <w:bCs/>
          <w:sz w:val="24"/>
          <w:szCs w:val="24"/>
        </w:rPr>
      </w:pPr>
    </w:p>
    <w:p w14:paraId="426F418B" w14:textId="77777777" w:rsidR="004965DF" w:rsidRPr="005C7B60" w:rsidRDefault="004965DF" w:rsidP="004965DF">
      <w:pPr>
        <w:jc w:val="center"/>
        <w:rPr>
          <w:rFonts w:ascii="Bookman Old Style" w:hAnsi="Bookman Old Style"/>
          <w:bCs/>
          <w:sz w:val="24"/>
          <w:szCs w:val="24"/>
        </w:rPr>
      </w:pPr>
    </w:p>
    <w:p w14:paraId="6C630992" w14:textId="5CD24DA6" w:rsidR="00B820B0" w:rsidRPr="005C7B60" w:rsidRDefault="00B820B0" w:rsidP="00B820B0">
      <w:pPr>
        <w:jc w:val="center"/>
        <w:rPr>
          <w:rFonts w:ascii="Bookman Old Style" w:hAnsi="Bookman Old Style"/>
          <w:bCs/>
          <w:sz w:val="24"/>
          <w:szCs w:val="24"/>
        </w:rPr>
      </w:pPr>
      <w:r w:rsidRPr="005C7B60">
        <w:rPr>
          <w:rFonts w:ascii="Bookman Old Style" w:hAnsi="Bookman Old Style"/>
          <w:bCs/>
          <w:sz w:val="24"/>
          <w:szCs w:val="24"/>
        </w:rPr>
        <w:t>By</w:t>
      </w:r>
    </w:p>
    <w:p w14:paraId="0AF9C19C" w14:textId="77777777" w:rsidR="00B820B0" w:rsidRPr="005C7B60" w:rsidRDefault="00B820B0" w:rsidP="00B820B0">
      <w:pPr>
        <w:jc w:val="center"/>
        <w:rPr>
          <w:rFonts w:ascii="Bookman Old Style" w:hAnsi="Bookman Old Style"/>
          <w:bCs/>
          <w:sz w:val="24"/>
          <w:szCs w:val="24"/>
        </w:rPr>
      </w:pPr>
    </w:p>
    <w:p w14:paraId="6D33B3F5" w14:textId="47E56A87" w:rsidR="00B820B0" w:rsidRPr="005C7B60" w:rsidRDefault="00B820B0" w:rsidP="00B820B0">
      <w:pPr>
        <w:jc w:val="center"/>
        <w:rPr>
          <w:rFonts w:ascii="Bookman Old Style" w:hAnsi="Bookman Old Style"/>
          <w:bCs/>
          <w:sz w:val="24"/>
          <w:szCs w:val="24"/>
        </w:rPr>
      </w:pPr>
      <w:r w:rsidRPr="005C7B60">
        <w:rPr>
          <w:rFonts w:ascii="Bookman Old Style" w:hAnsi="Bookman Old Style"/>
          <w:bCs/>
          <w:sz w:val="24"/>
          <w:szCs w:val="24"/>
        </w:rPr>
        <w:t>JENNIFER HAMEL</w:t>
      </w:r>
    </w:p>
    <w:p w14:paraId="473487F9" w14:textId="64BD69BA" w:rsidR="00B820B0" w:rsidRPr="005C7B60" w:rsidRDefault="00B820B0" w:rsidP="00B820B0">
      <w:pPr>
        <w:jc w:val="center"/>
        <w:rPr>
          <w:rFonts w:ascii="Bookman Old Style" w:hAnsi="Bookman Old Style"/>
          <w:bCs/>
          <w:sz w:val="24"/>
          <w:szCs w:val="24"/>
        </w:rPr>
      </w:pPr>
      <w:r w:rsidRPr="005C7B60">
        <w:rPr>
          <w:rFonts w:ascii="Bookman Old Style" w:hAnsi="Bookman Old Style"/>
          <w:bCs/>
          <w:sz w:val="24"/>
          <w:szCs w:val="24"/>
        </w:rPr>
        <w:t>Norman, Oklahoma</w:t>
      </w:r>
    </w:p>
    <w:p w14:paraId="118904B3" w14:textId="25516202" w:rsidR="000D34C8" w:rsidRPr="005C7B60" w:rsidRDefault="00B820B0" w:rsidP="004965DF">
      <w:pPr>
        <w:jc w:val="center"/>
        <w:rPr>
          <w:rFonts w:ascii="Bookman Old Style" w:hAnsi="Bookman Old Style"/>
          <w:bCs/>
          <w:sz w:val="24"/>
          <w:szCs w:val="24"/>
        </w:rPr>
      </w:pPr>
      <w:r w:rsidRPr="005C7B60">
        <w:rPr>
          <w:rFonts w:ascii="Bookman Old Style" w:hAnsi="Bookman Old Style"/>
          <w:bCs/>
          <w:sz w:val="24"/>
          <w:szCs w:val="24"/>
        </w:rPr>
        <w:t>2019</w:t>
      </w:r>
    </w:p>
    <w:p w14:paraId="3373DF90" w14:textId="14151FA8" w:rsidR="00D71582" w:rsidRPr="005C7B60" w:rsidRDefault="00707B2C" w:rsidP="003A1AA7">
      <w:pPr>
        <w:rPr>
          <w:rFonts w:ascii="Bookman Old Style" w:hAnsi="Bookman Old Style"/>
          <w:bCs/>
          <w:sz w:val="24"/>
          <w:szCs w:val="24"/>
        </w:rPr>
      </w:pPr>
      <w:r>
        <w:rPr>
          <w:rFonts w:ascii="Bookman Old Style" w:hAnsi="Bookman Old Style"/>
          <w:bCs/>
          <w:sz w:val="24"/>
          <w:szCs w:val="24"/>
        </w:rPr>
        <w:br w:type="page"/>
      </w:r>
    </w:p>
    <w:p w14:paraId="2144A66A" w14:textId="77777777" w:rsidR="004965DF" w:rsidRPr="005C7B60" w:rsidRDefault="004965DF" w:rsidP="004965DF">
      <w:pPr>
        <w:jc w:val="center"/>
        <w:rPr>
          <w:rFonts w:ascii="Bookman Old Style" w:hAnsi="Bookman Old Style"/>
          <w:bCs/>
          <w:sz w:val="24"/>
          <w:szCs w:val="24"/>
        </w:rPr>
      </w:pPr>
    </w:p>
    <w:p w14:paraId="5D57677D" w14:textId="77777777" w:rsidR="004965DF" w:rsidRPr="005C7B60" w:rsidRDefault="004965DF" w:rsidP="004965DF">
      <w:pPr>
        <w:jc w:val="center"/>
        <w:rPr>
          <w:rFonts w:ascii="Bookman Old Style" w:hAnsi="Bookman Old Style"/>
          <w:bCs/>
          <w:sz w:val="24"/>
          <w:szCs w:val="24"/>
        </w:rPr>
      </w:pPr>
    </w:p>
    <w:p w14:paraId="521B891B" w14:textId="096C356B" w:rsidR="004965DF" w:rsidRDefault="004965DF" w:rsidP="004965DF">
      <w:pPr>
        <w:jc w:val="center"/>
        <w:rPr>
          <w:rFonts w:ascii="Bookman Old Style" w:hAnsi="Bookman Old Style"/>
          <w:bCs/>
          <w:sz w:val="24"/>
          <w:szCs w:val="24"/>
        </w:rPr>
      </w:pPr>
    </w:p>
    <w:p w14:paraId="716C5D99" w14:textId="77777777" w:rsidR="003A1AA7" w:rsidRPr="005C7B60" w:rsidRDefault="003A1AA7" w:rsidP="004965DF">
      <w:pPr>
        <w:jc w:val="center"/>
        <w:rPr>
          <w:rFonts w:ascii="Bookman Old Style" w:hAnsi="Bookman Old Style"/>
          <w:bCs/>
          <w:sz w:val="24"/>
          <w:szCs w:val="24"/>
        </w:rPr>
      </w:pPr>
    </w:p>
    <w:p w14:paraId="78464EBA" w14:textId="77777777" w:rsidR="004965DF" w:rsidRPr="005C7B60" w:rsidRDefault="004965DF" w:rsidP="004965DF">
      <w:pPr>
        <w:jc w:val="center"/>
        <w:rPr>
          <w:rFonts w:ascii="Bookman Old Style" w:hAnsi="Bookman Old Style"/>
          <w:bCs/>
          <w:sz w:val="24"/>
          <w:szCs w:val="24"/>
        </w:rPr>
      </w:pPr>
    </w:p>
    <w:p w14:paraId="66EE4CA2" w14:textId="77777777" w:rsidR="003018C2" w:rsidRDefault="003018C2" w:rsidP="003018C2">
      <w:pPr>
        <w:jc w:val="center"/>
        <w:rPr>
          <w:rFonts w:ascii="Bookman Old Style" w:hAnsi="Bookman Old Style"/>
          <w:bCs/>
          <w:sz w:val="24"/>
          <w:szCs w:val="24"/>
        </w:rPr>
      </w:pPr>
      <w:r>
        <w:rPr>
          <w:rFonts w:ascii="Bookman Old Style" w:hAnsi="Bookman Old Style"/>
          <w:bCs/>
          <w:sz w:val="24"/>
          <w:szCs w:val="24"/>
        </w:rPr>
        <w:t xml:space="preserve">CLOSING THE GAP: </w:t>
      </w:r>
    </w:p>
    <w:p w14:paraId="5EFEC215" w14:textId="77777777" w:rsidR="003018C2" w:rsidRPr="005C7B60" w:rsidRDefault="003018C2" w:rsidP="003018C2">
      <w:pPr>
        <w:jc w:val="center"/>
        <w:rPr>
          <w:rFonts w:ascii="Bookman Old Style" w:hAnsi="Bookman Old Style"/>
          <w:bCs/>
          <w:sz w:val="24"/>
          <w:szCs w:val="24"/>
        </w:rPr>
      </w:pPr>
      <w:r>
        <w:rPr>
          <w:rFonts w:ascii="Bookman Old Style" w:hAnsi="Bookman Old Style"/>
          <w:bCs/>
          <w:sz w:val="24"/>
          <w:szCs w:val="24"/>
        </w:rPr>
        <w:t>TINY HOMES, SOCIAL CAPITAL, IMPLEMENTATION, AND DISASTER RECOVERY</w:t>
      </w:r>
    </w:p>
    <w:p w14:paraId="5FCC9E02" w14:textId="77777777" w:rsidR="004965DF" w:rsidRPr="005C7B60" w:rsidRDefault="004965DF" w:rsidP="004965DF">
      <w:pPr>
        <w:jc w:val="center"/>
        <w:rPr>
          <w:rFonts w:ascii="Bookman Old Style" w:hAnsi="Bookman Old Style"/>
          <w:bCs/>
          <w:sz w:val="24"/>
          <w:szCs w:val="24"/>
        </w:rPr>
      </w:pPr>
    </w:p>
    <w:p w14:paraId="47D6AF7B" w14:textId="77777777" w:rsidR="004965DF" w:rsidRPr="005C7B60" w:rsidRDefault="004965DF" w:rsidP="004965DF">
      <w:pPr>
        <w:jc w:val="center"/>
        <w:rPr>
          <w:rFonts w:ascii="Bookman Old Style" w:hAnsi="Bookman Old Style"/>
          <w:bCs/>
          <w:sz w:val="24"/>
          <w:szCs w:val="24"/>
        </w:rPr>
      </w:pPr>
    </w:p>
    <w:p w14:paraId="1216EC16" w14:textId="77777777" w:rsidR="004965DF" w:rsidRPr="005C7B60" w:rsidRDefault="004965DF" w:rsidP="004965DF">
      <w:pPr>
        <w:jc w:val="center"/>
        <w:rPr>
          <w:rFonts w:ascii="Bookman Old Style" w:hAnsi="Bookman Old Style"/>
          <w:bCs/>
          <w:sz w:val="24"/>
          <w:szCs w:val="24"/>
        </w:rPr>
      </w:pPr>
    </w:p>
    <w:p w14:paraId="146BB8C6" w14:textId="77777777" w:rsidR="004965DF" w:rsidRPr="005C7B60" w:rsidRDefault="004965DF" w:rsidP="004965DF">
      <w:pPr>
        <w:jc w:val="center"/>
        <w:rPr>
          <w:rFonts w:ascii="Bookman Old Style" w:hAnsi="Bookman Old Style"/>
          <w:bCs/>
          <w:sz w:val="24"/>
          <w:szCs w:val="24"/>
        </w:rPr>
      </w:pPr>
    </w:p>
    <w:p w14:paraId="039C40ED" w14:textId="77777777" w:rsidR="004965DF" w:rsidRPr="005C7B60" w:rsidRDefault="004965DF" w:rsidP="004965DF">
      <w:pPr>
        <w:jc w:val="center"/>
        <w:rPr>
          <w:rFonts w:ascii="Bookman Old Style" w:hAnsi="Bookman Old Style"/>
          <w:bCs/>
          <w:sz w:val="24"/>
          <w:szCs w:val="24"/>
        </w:rPr>
      </w:pPr>
    </w:p>
    <w:p w14:paraId="21175A63" w14:textId="3E7FD854" w:rsidR="004965DF" w:rsidRPr="005C7B60" w:rsidRDefault="004965DF" w:rsidP="004965DF">
      <w:pPr>
        <w:rPr>
          <w:rFonts w:ascii="Bookman Old Style" w:hAnsi="Bookman Old Style"/>
          <w:bCs/>
          <w:sz w:val="24"/>
          <w:szCs w:val="24"/>
        </w:rPr>
      </w:pPr>
    </w:p>
    <w:p w14:paraId="17F33A78" w14:textId="77777777" w:rsidR="004965DF" w:rsidRPr="005C7B60" w:rsidRDefault="004965DF" w:rsidP="004965DF">
      <w:pPr>
        <w:jc w:val="center"/>
        <w:rPr>
          <w:rFonts w:ascii="Bookman Old Style" w:hAnsi="Bookman Old Style"/>
          <w:bCs/>
          <w:sz w:val="24"/>
          <w:szCs w:val="24"/>
        </w:rPr>
      </w:pPr>
    </w:p>
    <w:p w14:paraId="6916D167" w14:textId="77777777" w:rsidR="004965DF" w:rsidRPr="005C7B60" w:rsidRDefault="004965DF" w:rsidP="004965DF">
      <w:pPr>
        <w:jc w:val="center"/>
        <w:rPr>
          <w:rFonts w:ascii="Bookman Old Style" w:hAnsi="Bookman Old Style"/>
          <w:bCs/>
          <w:sz w:val="24"/>
          <w:szCs w:val="24"/>
        </w:rPr>
      </w:pPr>
    </w:p>
    <w:p w14:paraId="2B6C4505" w14:textId="77777777" w:rsidR="004965DF" w:rsidRPr="005C7B60" w:rsidRDefault="004965DF" w:rsidP="004965DF">
      <w:pPr>
        <w:jc w:val="center"/>
        <w:rPr>
          <w:rFonts w:ascii="Bookman Old Style" w:hAnsi="Bookman Old Style"/>
          <w:bCs/>
          <w:sz w:val="24"/>
          <w:szCs w:val="24"/>
        </w:rPr>
      </w:pPr>
    </w:p>
    <w:p w14:paraId="73A09A2B" w14:textId="77777777" w:rsidR="004965DF" w:rsidRPr="005C7B60" w:rsidRDefault="004965DF" w:rsidP="004965DF">
      <w:pPr>
        <w:jc w:val="center"/>
        <w:rPr>
          <w:rFonts w:ascii="Bookman Old Style" w:hAnsi="Bookman Old Style"/>
          <w:bCs/>
          <w:sz w:val="24"/>
          <w:szCs w:val="24"/>
        </w:rPr>
      </w:pPr>
    </w:p>
    <w:p w14:paraId="0C2EA896" w14:textId="61C98C7B" w:rsidR="004965DF" w:rsidRPr="005C7B60" w:rsidRDefault="004965DF" w:rsidP="004965DF">
      <w:pPr>
        <w:jc w:val="center"/>
        <w:rPr>
          <w:rFonts w:ascii="Bookman Old Style" w:hAnsi="Bookman Old Style"/>
          <w:bCs/>
          <w:sz w:val="24"/>
          <w:szCs w:val="24"/>
        </w:rPr>
      </w:pPr>
      <w:r w:rsidRPr="005C7B60">
        <w:rPr>
          <w:rFonts w:ascii="Bookman Old Style" w:hAnsi="Bookman Old Style"/>
          <w:bCs/>
          <w:sz w:val="24"/>
          <w:szCs w:val="24"/>
        </w:rPr>
        <w:t xml:space="preserve">A THESIS APPROVED FOR THE </w:t>
      </w:r>
    </w:p>
    <w:p w14:paraId="0C1F26EC" w14:textId="27F12177" w:rsidR="004965DF" w:rsidRPr="005C7B60" w:rsidRDefault="004965DF" w:rsidP="004965DF">
      <w:pPr>
        <w:jc w:val="center"/>
        <w:rPr>
          <w:rFonts w:ascii="Bookman Old Style" w:hAnsi="Bookman Old Style"/>
          <w:bCs/>
          <w:sz w:val="24"/>
          <w:szCs w:val="24"/>
        </w:rPr>
      </w:pPr>
      <w:r w:rsidRPr="005C7B60">
        <w:rPr>
          <w:rFonts w:ascii="Bookman Old Style" w:hAnsi="Bookman Old Style"/>
          <w:bCs/>
          <w:sz w:val="24"/>
          <w:szCs w:val="24"/>
        </w:rPr>
        <w:t>DEPARTMENT OF GEOGRAPHY AND ENVIRONMENTAL SUSTAINABILITY</w:t>
      </w:r>
    </w:p>
    <w:p w14:paraId="7E933C0B" w14:textId="221D1D0A" w:rsidR="004965DF" w:rsidRPr="005C7B60" w:rsidRDefault="004965DF" w:rsidP="004965DF">
      <w:pPr>
        <w:jc w:val="center"/>
        <w:rPr>
          <w:rFonts w:ascii="Bookman Old Style" w:hAnsi="Bookman Old Style"/>
          <w:bCs/>
          <w:sz w:val="24"/>
          <w:szCs w:val="24"/>
        </w:rPr>
      </w:pPr>
    </w:p>
    <w:p w14:paraId="73BA6E3D" w14:textId="522411AC" w:rsidR="004965DF" w:rsidRPr="005C7B60" w:rsidRDefault="004965DF" w:rsidP="004965DF">
      <w:pPr>
        <w:jc w:val="center"/>
        <w:rPr>
          <w:rFonts w:ascii="Bookman Old Style" w:hAnsi="Bookman Old Style"/>
          <w:bCs/>
          <w:sz w:val="24"/>
          <w:szCs w:val="24"/>
        </w:rPr>
      </w:pPr>
    </w:p>
    <w:p w14:paraId="41A00069" w14:textId="323C9BAE" w:rsidR="004965DF" w:rsidRPr="005C7B60" w:rsidRDefault="004965DF" w:rsidP="004965DF">
      <w:pPr>
        <w:jc w:val="center"/>
        <w:rPr>
          <w:rFonts w:ascii="Bookman Old Style" w:hAnsi="Bookman Old Style"/>
          <w:bCs/>
          <w:sz w:val="24"/>
          <w:szCs w:val="24"/>
        </w:rPr>
      </w:pPr>
    </w:p>
    <w:p w14:paraId="4527B7BB" w14:textId="1FC053CE" w:rsidR="004965DF" w:rsidRPr="005C7B60" w:rsidRDefault="004965DF" w:rsidP="004965DF">
      <w:pPr>
        <w:jc w:val="center"/>
        <w:rPr>
          <w:rFonts w:ascii="Bookman Old Style" w:hAnsi="Bookman Old Style"/>
          <w:bCs/>
          <w:sz w:val="24"/>
          <w:szCs w:val="24"/>
        </w:rPr>
      </w:pPr>
    </w:p>
    <w:p w14:paraId="305BDBA1" w14:textId="77777777" w:rsidR="004965DF" w:rsidRPr="005C7B60" w:rsidRDefault="004965DF" w:rsidP="004965DF">
      <w:pPr>
        <w:jc w:val="center"/>
        <w:rPr>
          <w:rFonts w:ascii="Bookman Old Style" w:hAnsi="Bookman Old Style"/>
          <w:bCs/>
          <w:sz w:val="24"/>
          <w:szCs w:val="24"/>
        </w:rPr>
      </w:pPr>
    </w:p>
    <w:p w14:paraId="2BD379CA" w14:textId="6AF3F906" w:rsidR="004965DF" w:rsidRPr="005C7B60" w:rsidRDefault="004965DF" w:rsidP="004965DF">
      <w:pPr>
        <w:jc w:val="center"/>
        <w:rPr>
          <w:rFonts w:ascii="Bookman Old Style" w:hAnsi="Bookman Old Style"/>
          <w:bCs/>
          <w:sz w:val="24"/>
          <w:szCs w:val="24"/>
        </w:rPr>
      </w:pPr>
    </w:p>
    <w:p w14:paraId="40DD692D" w14:textId="0918C1D6" w:rsidR="004965DF" w:rsidRPr="005C7B60" w:rsidRDefault="004965DF" w:rsidP="003018C2">
      <w:pPr>
        <w:rPr>
          <w:rFonts w:ascii="Bookman Old Style" w:hAnsi="Bookman Old Style"/>
          <w:bCs/>
          <w:sz w:val="24"/>
          <w:szCs w:val="24"/>
        </w:rPr>
      </w:pPr>
    </w:p>
    <w:p w14:paraId="15D0E418" w14:textId="09CB2CC9" w:rsidR="004965DF" w:rsidRPr="005C7B60" w:rsidRDefault="004965DF" w:rsidP="004965DF">
      <w:pPr>
        <w:jc w:val="center"/>
        <w:rPr>
          <w:rFonts w:ascii="Bookman Old Style" w:hAnsi="Bookman Old Style"/>
          <w:bCs/>
          <w:sz w:val="24"/>
          <w:szCs w:val="24"/>
        </w:rPr>
      </w:pPr>
    </w:p>
    <w:p w14:paraId="5281DA1C" w14:textId="5A993BC3" w:rsidR="004965DF" w:rsidRPr="005C7B60" w:rsidRDefault="004965DF" w:rsidP="004965DF">
      <w:pPr>
        <w:jc w:val="center"/>
        <w:rPr>
          <w:rFonts w:ascii="Bookman Old Style" w:hAnsi="Bookman Old Style"/>
          <w:bCs/>
          <w:sz w:val="24"/>
          <w:szCs w:val="24"/>
        </w:rPr>
      </w:pPr>
    </w:p>
    <w:p w14:paraId="31256394" w14:textId="0269E715" w:rsidR="004965DF" w:rsidRPr="005C7B60" w:rsidRDefault="004965DF" w:rsidP="004965DF">
      <w:pPr>
        <w:jc w:val="center"/>
        <w:rPr>
          <w:rFonts w:ascii="Bookman Old Style" w:hAnsi="Bookman Old Style"/>
          <w:bCs/>
          <w:sz w:val="24"/>
          <w:szCs w:val="24"/>
        </w:rPr>
      </w:pPr>
    </w:p>
    <w:p w14:paraId="3675C1BD" w14:textId="786D30EB" w:rsidR="004965DF" w:rsidRPr="005C7B60" w:rsidRDefault="004965DF" w:rsidP="004965DF">
      <w:pPr>
        <w:jc w:val="center"/>
        <w:rPr>
          <w:rFonts w:ascii="Bookman Old Style" w:hAnsi="Bookman Old Style"/>
          <w:bCs/>
          <w:sz w:val="24"/>
          <w:szCs w:val="24"/>
        </w:rPr>
      </w:pPr>
    </w:p>
    <w:p w14:paraId="0FFAAF98" w14:textId="1C19104D" w:rsidR="004965DF" w:rsidRPr="005C7B60" w:rsidRDefault="004965DF" w:rsidP="004965DF">
      <w:pPr>
        <w:jc w:val="center"/>
        <w:rPr>
          <w:rFonts w:ascii="Bookman Old Style" w:hAnsi="Bookman Old Style"/>
          <w:bCs/>
          <w:sz w:val="24"/>
          <w:szCs w:val="24"/>
        </w:rPr>
      </w:pPr>
      <w:r w:rsidRPr="005C7B60">
        <w:rPr>
          <w:rFonts w:ascii="Bookman Old Style" w:hAnsi="Bookman Old Style"/>
          <w:bCs/>
          <w:sz w:val="24"/>
          <w:szCs w:val="24"/>
        </w:rPr>
        <w:t>BY</w:t>
      </w:r>
    </w:p>
    <w:p w14:paraId="6F4860AF" w14:textId="2A9B227A" w:rsidR="004965DF" w:rsidRPr="005C7B60" w:rsidRDefault="004965DF" w:rsidP="004965DF">
      <w:pPr>
        <w:rPr>
          <w:rFonts w:ascii="Bookman Old Style" w:hAnsi="Bookman Old Style"/>
          <w:bCs/>
          <w:sz w:val="24"/>
          <w:szCs w:val="24"/>
        </w:rPr>
      </w:pPr>
    </w:p>
    <w:p w14:paraId="36328B6F" w14:textId="4C1BE01D" w:rsidR="004965DF" w:rsidRPr="005C7B60" w:rsidRDefault="004965DF" w:rsidP="004965DF">
      <w:pPr>
        <w:jc w:val="center"/>
        <w:rPr>
          <w:rFonts w:ascii="Bookman Old Style" w:hAnsi="Bookman Old Style"/>
          <w:bCs/>
          <w:sz w:val="24"/>
          <w:szCs w:val="24"/>
        </w:rPr>
      </w:pPr>
    </w:p>
    <w:p w14:paraId="64719A9D" w14:textId="75457051" w:rsidR="004965DF" w:rsidRPr="005C7B60" w:rsidRDefault="004965DF" w:rsidP="004965DF">
      <w:pPr>
        <w:jc w:val="center"/>
        <w:rPr>
          <w:rFonts w:ascii="Bookman Old Style" w:hAnsi="Bookman Old Style"/>
          <w:bCs/>
          <w:sz w:val="24"/>
          <w:szCs w:val="24"/>
        </w:rPr>
      </w:pPr>
    </w:p>
    <w:p w14:paraId="094F1F8E" w14:textId="508CA417" w:rsidR="004965DF" w:rsidRPr="005C7B60" w:rsidRDefault="004965DF" w:rsidP="004965DF">
      <w:pPr>
        <w:rPr>
          <w:rFonts w:ascii="Bookman Old Style" w:hAnsi="Bookman Old Style"/>
          <w:bCs/>
          <w:sz w:val="24"/>
          <w:szCs w:val="24"/>
        </w:rPr>
      </w:pPr>
    </w:p>
    <w:p w14:paraId="5CD6B008" w14:textId="332C1C11" w:rsidR="004965DF" w:rsidRPr="005C7B60" w:rsidRDefault="004965DF" w:rsidP="004965DF">
      <w:pPr>
        <w:jc w:val="center"/>
        <w:rPr>
          <w:rFonts w:ascii="Bookman Old Style" w:hAnsi="Bookman Old Style"/>
          <w:bCs/>
          <w:sz w:val="24"/>
          <w:szCs w:val="24"/>
        </w:rPr>
      </w:pPr>
    </w:p>
    <w:p w14:paraId="3E3D8700" w14:textId="5970E822" w:rsidR="004965DF" w:rsidRPr="005C7B60" w:rsidRDefault="004965DF" w:rsidP="004965DF">
      <w:pPr>
        <w:jc w:val="center"/>
        <w:rPr>
          <w:rFonts w:ascii="Bookman Old Style" w:hAnsi="Bookman Old Style"/>
          <w:bCs/>
          <w:sz w:val="24"/>
          <w:szCs w:val="24"/>
        </w:rPr>
      </w:pPr>
    </w:p>
    <w:p w14:paraId="0A7C74BA" w14:textId="6396A776" w:rsidR="004965DF" w:rsidRPr="005C7B60" w:rsidRDefault="004965DF" w:rsidP="004965DF">
      <w:pPr>
        <w:jc w:val="center"/>
        <w:rPr>
          <w:rFonts w:ascii="Bookman Old Style" w:hAnsi="Bookman Old Style"/>
          <w:bCs/>
          <w:sz w:val="24"/>
          <w:szCs w:val="24"/>
        </w:rPr>
      </w:pPr>
    </w:p>
    <w:p w14:paraId="52C16D75" w14:textId="3328B871" w:rsidR="004965DF" w:rsidRPr="005C7B60" w:rsidRDefault="004965DF" w:rsidP="004965DF">
      <w:pPr>
        <w:jc w:val="center"/>
        <w:rPr>
          <w:rFonts w:ascii="Bookman Old Style" w:hAnsi="Bookman Old Style"/>
          <w:bCs/>
          <w:sz w:val="24"/>
          <w:szCs w:val="24"/>
        </w:rPr>
      </w:pPr>
    </w:p>
    <w:p w14:paraId="3C38889D" w14:textId="6F7D92B5" w:rsidR="004965DF" w:rsidRPr="005C7B60" w:rsidRDefault="004965DF" w:rsidP="004965DF">
      <w:pPr>
        <w:jc w:val="right"/>
        <w:rPr>
          <w:rFonts w:ascii="Bookman Old Style" w:hAnsi="Bookman Old Style"/>
          <w:bCs/>
          <w:sz w:val="24"/>
          <w:szCs w:val="24"/>
        </w:rPr>
      </w:pPr>
      <w:r w:rsidRPr="005C7B60">
        <w:rPr>
          <w:rFonts w:ascii="Bookman Old Style" w:hAnsi="Bookman Old Style"/>
          <w:bCs/>
          <w:sz w:val="24"/>
          <w:szCs w:val="24"/>
        </w:rPr>
        <w:t>D</w:t>
      </w:r>
      <w:r w:rsidR="006A6F8C">
        <w:rPr>
          <w:rFonts w:ascii="Bookman Old Style" w:hAnsi="Bookman Old Style"/>
          <w:bCs/>
          <w:sz w:val="24"/>
          <w:szCs w:val="24"/>
        </w:rPr>
        <w:t>r</w:t>
      </w:r>
      <w:r w:rsidRPr="005C7B60">
        <w:rPr>
          <w:rFonts w:ascii="Bookman Old Style" w:hAnsi="Bookman Old Style"/>
          <w:bCs/>
          <w:sz w:val="24"/>
          <w:szCs w:val="24"/>
        </w:rPr>
        <w:t>. T</w:t>
      </w:r>
      <w:r w:rsidR="006A6F8C">
        <w:rPr>
          <w:rFonts w:ascii="Bookman Old Style" w:hAnsi="Bookman Old Style"/>
          <w:bCs/>
          <w:sz w:val="24"/>
          <w:szCs w:val="24"/>
        </w:rPr>
        <w:t>ravis</w:t>
      </w:r>
      <w:r w:rsidRPr="005C7B60">
        <w:rPr>
          <w:rFonts w:ascii="Bookman Old Style" w:hAnsi="Bookman Old Style"/>
          <w:bCs/>
          <w:sz w:val="24"/>
          <w:szCs w:val="24"/>
        </w:rPr>
        <w:t xml:space="preserve"> </w:t>
      </w:r>
      <w:proofErr w:type="spellStart"/>
      <w:r w:rsidRPr="005C7B60">
        <w:rPr>
          <w:rFonts w:ascii="Bookman Old Style" w:hAnsi="Bookman Old Style"/>
          <w:bCs/>
          <w:sz w:val="24"/>
          <w:szCs w:val="24"/>
        </w:rPr>
        <w:t>G</w:t>
      </w:r>
      <w:r w:rsidR="006A6F8C">
        <w:rPr>
          <w:rFonts w:ascii="Bookman Old Style" w:hAnsi="Bookman Old Style"/>
          <w:bCs/>
          <w:sz w:val="24"/>
          <w:szCs w:val="24"/>
        </w:rPr>
        <w:t>liedt</w:t>
      </w:r>
      <w:proofErr w:type="spellEnd"/>
      <w:r w:rsidR="0058019E">
        <w:rPr>
          <w:rFonts w:ascii="Bookman Old Style" w:hAnsi="Bookman Old Style"/>
          <w:bCs/>
          <w:sz w:val="24"/>
          <w:szCs w:val="24"/>
        </w:rPr>
        <w:t>, Chair</w:t>
      </w:r>
    </w:p>
    <w:p w14:paraId="76D8167E" w14:textId="77777777" w:rsidR="004965DF" w:rsidRPr="005C7B60" w:rsidRDefault="004965DF" w:rsidP="004965DF">
      <w:pPr>
        <w:jc w:val="right"/>
        <w:rPr>
          <w:rFonts w:ascii="Bookman Old Style" w:hAnsi="Bookman Old Style"/>
          <w:bCs/>
          <w:sz w:val="24"/>
          <w:szCs w:val="24"/>
        </w:rPr>
      </w:pPr>
    </w:p>
    <w:p w14:paraId="580D4864" w14:textId="6B5B5934" w:rsidR="004965DF" w:rsidRPr="005C7B60" w:rsidRDefault="004965DF" w:rsidP="004965DF">
      <w:pPr>
        <w:jc w:val="right"/>
        <w:rPr>
          <w:rFonts w:ascii="Bookman Old Style" w:hAnsi="Bookman Old Style"/>
          <w:bCs/>
          <w:sz w:val="24"/>
          <w:szCs w:val="24"/>
        </w:rPr>
      </w:pPr>
      <w:r w:rsidRPr="005C7B60">
        <w:rPr>
          <w:rFonts w:ascii="Bookman Old Style" w:hAnsi="Bookman Old Style"/>
          <w:bCs/>
          <w:sz w:val="24"/>
          <w:szCs w:val="24"/>
        </w:rPr>
        <w:t>D</w:t>
      </w:r>
      <w:r w:rsidR="006A6F8C">
        <w:rPr>
          <w:rFonts w:ascii="Bookman Old Style" w:hAnsi="Bookman Old Style"/>
          <w:bCs/>
          <w:sz w:val="24"/>
          <w:szCs w:val="24"/>
        </w:rPr>
        <w:t>r</w:t>
      </w:r>
      <w:r w:rsidRPr="005C7B60">
        <w:rPr>
          <w:rFonts w:ascii="Bookman Old Style" w:hAnsi="Bookman Old Style"/>
          <w:bCs/>
          <w:sz w:val="24"/>
          <w:szCs w:val="24"/>
        </w:rPr>
        <w:t>. L</w:t>
      </w:r>
      <w:r w:rsidR="006A6F8C">
        <w:rPr>
          <w:rFonts w:ascii="Bookman Old Style" w:hAnsi="Bookman Old Style"/>
          <w:bCs/>
          <w:sz w:val="24"/>
          <w:szCs w:val="24"/>
        </w:rPr>
        <w:t>aurel</w:t>
      </w:r>
      <w:r w:rsidRPr="005C7B60">
        <w:rPr>
          <w:rFonts w:ascii="Bookman Old Style" w:hAnsi="Bookman Old Style"/>
          <w:bCs/>
          <w:sz w:val="24"/>
          <w:szCs w:val="24"/>
        </w:rPr>
        <w:t xml:space="preserve"> S</w:t>
      </w:r>
      <w:r w:rsidR="006A6F8C">
        <w:rPr>
          <w:rFonts w:ascii="Bookman Old Style" w:hAnsi="Bookman Old Style"/>
          <w:bCs/>
          <w:sz w:val="24"/>
          <w:szCs w:val="24"/>
        </w:rPr>
        <w:t>mith</w:t>
      </w:r>
    </w:p>
    <w:p w14:paraId="71D539D8" w14:textId="77777777" w:rsidR="004965DF" w:rsidRPr="005C7B60" w:rsidRDefault="004965DF" w:rsidP="004965DF">
      <w:pPr>
        <w:jc w:val="right"/>
        <w:rPr>
          <w:rFonts w:ascii="Bookman Old Style" w:hAnsi="Bookman Old Style"/>
          <w:bCs/>
          <w:sz w:val="24"/>
          <w:szCs w:val="24"/>
        </w:rPr>
      </w:pPr>
    </w:p>
    <w:p w14:paraId="63C3969C" w14:textId="16D6AF04" w:rsidR="009A6E72" w:rsidRPr="005C7B60" w:rsidRDefault="004965DF" w:rsidP="004965DF">
      <w:pPr>
        <w:jc w:val="right"/>
        <w:rPr>
          <w:rFonts w:ascii="Bookman Old Style" w:hAnsi="Bookman Old Style"/>
          <w:bCs/>
          <w:sz w:val="24"/>
          <w:szCs w:val="24"/>
        </w:rPr>
      </w:pPr>
      <w:r w:rsidRPr="005C7B60">
        <w:rPr>
          <w:rFonts w:ascii="Bookman Old Style" w:hAnsi="Bookman Old Style"/>
          <w:bCs/>
          <w:sz w:val="24"/>
          <w:szCs w:val="24"/>
        </w:rPr>
        <w:t>D</w:t>
      </w:r>
      <w:r w:rsidR="006A6F8C">
        <w:rPr>
          <w:rFonts w:ascii="Bookman Old Style" w:hAnsi="Bookman Old Style"/>
          <w:bCs/>
          <w:sz w:val="24"/>
          <w:szCs w:val="24"/>
        </w:rPr>
        <w:t>r</w:t>
      </w:r>
      <w:r w:rsidRPr="005C7B60">
        <w:rPr>
          <w:rFonts w:ascii="Bookman Old Style" w:hAnsi="Bookman Old Style"/>
          <w:bCs/>
          <w:sz w:val="24"/>
          <w:szCs w:val="24"/>
        </w:rPr>
        <w:t>. C</w:t>
      </w:r>
      <w:r w:rsidR="006A6F8C">
        <w:rPr>
          <w:rFonts w:ascii="Bookman Old Style" w:hAnsi="Bookman Old Style"/>
          <w:bCs/>
          <w:sz w:val="24"/>
          <w:szCs w:val="24"/>
        </w:rPr>
        <w:t>harles</w:t>
      </w:r>
      <w:r w:rsidRPr="005C7B60">
        <w:rPr>
          <w:rFonts w:ascii="Bookman Old Style" w:hAnsi="Bookman Old Style"/>
          <w:bCs/>
          <w:sz w:val="24"/>
          <w:szCs w:val="24"/>
        </w:rPr>
        <w:t xml:space="preserve"> </w:t>
      </w:r>
      <w:proofErr w:type="spellStart"/>
      <w:r w:rsidRPr="005C7B60">
        <w:rPr>
          <w:rFonts w:ascii="Bookman Old Style" w:hAnsi="Bookman Old Style"/>
          <w:bCs/>
          <w:sz w:val="24"/>
          <w:szCs w:val="24"/>
        </w:rPr>
        <w:t>W</w:t>
      </w:r>
      <w:r w:rsidR="006A6F8C">
        <w:rPr>
          <w:rFonts w:ascii="Bookman Old Style" w:hAnsi="Bookman Old Style"/>
          <w:bCs/>
          <w:sz w:val="24"/>
          <w:szCs w:val="24"/>
        </w:rPr>
        <w:t>arnken</w:t>
      </w:r>
      <w:proofErr w:type="spellEnd"/>
    </w:p>
    <w:p w14:paraId="72047484" w14:textId="77777777" w:rsidR="00707B2C" w:rsidRDefault="00707B2C" w:rsidP="006B719F">
      <w:pPr>
        <w:rPr>
          <w:rFonts w:ascii="Bookman Old Style" w:hAnsi="Bookman Old Style"/>
          <w:bCs/>
          <w:sz w:val="24"/>
          <w:szCs w:val="24"/>
        </w:rPr>
        <w:sectPr w:rsidR="00707B2C" w:rsidSect="00AB27A5">
          <w:footerReference w:type="default" r:id="rId8"/>
          <w:type w:val="continuous"/>
          <w:pgSz w:w="12240" w:h="15840"/>
          <w:pgMar w:top="1440" w:right="1440" w:bottom="1440" w:left="1440" w:header="720" w:footer="720" w:gutter="0"/>
          <w:pgNumType w:fmt="lowerRoman" w:start="4"/>
          <w:cols w:space="720"/>
          <w:titlePg/>
          <w:docGrid w:linePitch="360"/>
        </w:sectPr>
      </w:pPr>
    </w:p>
    <w:p w14:paraId="40F7D84B" w14:textId="01B34ED0" w:rsidR="004965DF" w:rsidRPr="005C7B60" w:rsidRDefault="004965DF">
      <w:pPr>
        <w:rPr>
          <w:rFonts w:ascii="Bookman Old Style" w:hAnsi="Bookman Old Style"/>
          <w:bCs/>
          <w:sz w:val="24"/>
          <w:szCs w:val="24"/>
        </w:rPr>
      </w:pPr>
    </w:p>
    <w:p w14:paraId="56E332F0" w14:textId="48C84F98" w:rsidR="004965DF" w:rsidRPr="005C7B60" w:rsidRDefault="004965DF">
      <w:pPr>
        <w:rPr>
          <w:rFonts w:ascii="Bookman Old Style" w:hAnsi="Bookman Old Style"/>
          <w:bCs/>
          <w:sz w:val="24"/>
          <w:szCs w:val="24"/>
        </w:rPr>
      </w:pPr>
    </w:p>
    <w:p w14:paraId="47A26464" w14:textId="7CA5C47E" w:rsidR="004965DF" w:rsidRPr="005C7B60" w:rsidRDefault="004965DF">
      <w:pPr>
        <w:rPr>
          <w:rFonts w:ascii="Bookman Old Style" w:hAnsi="Bookman Old Style"/>
          <w:bCs/>
          <w:sz w:val="24"/>
          <w:szCs w:val="24"/>
        </w:rPr>
      </w:pPr>
    </w:p>
    <w:p w14:paraId="7E700F62" w14:textId="38377C2B" w:rsidR="004965DF" w:rsidRPr="005C7B60" w:rsidRDefault="004965DF">
      <w:pPr>
        <w:rPr>
          <w:rFonts w:ascii="Bookman Old Style" w:hAnsi="Bookman Old Style"/>
          <w:bCs/>
          <w:sz w:val="24"/>
          <w:szCs w:val="24"/>
        </w:rPr>
      </w:pPr>
    </w:p>
    <w:p w14:paraId="43A353B7" w14:textId="224FEDD1" w:rsidR="004965DF" w:rsidRPr="005C7B60" w:rsidRDefault="004965DF">
      <w:pPr>
        <w:rPr>
          <w:rFonts w:ascii="Bookman Old Style" w:hAnsi="Bookman Old Style"/>
          <w:bCs/>
          <w:sz w:val="24"/>
          <w:szCs w:val="24"/>
        </w:rPr>
      </w:pPr>
    </w:p>
    <w:p w14:paraId="6F633B52" w14:textId="41AB5FFD" w:rsidR="004965DF" w:rsidRPr="005C7B60" w:rsidRDefault="004965DF">
      <w:pPr>
        <w:rPr>
          <w:rFonts w:ascii="Bookman Old Style" w:hAnsi="Bookman Old Style"/>
          <w:bCs/>
          <w:sz w:val="24"/>
          <w:szCs w:val="24"/>
        </w:rPr>
      </w:pPr>
    </w:p>
    <w:p w14:paraId="668E3FB4" w14:textId="7A452D4F" w:rsidR="004965DF" w:rsidRPr="005C7B60" w:rsidRDefault="004965DF">
      <w:pPr>
        <w:rPr>
          <w:rFonts w:ascii="Bookman Old Style" w:hAnsi="Bookman Old Style"/>
          <w:bCs/>
          <w:sz w:val="24"/>
          <w:szCs w:val="24"/>
        </w:rPr>
      </w:pPr>
    </w:p>
    <w:p w14:paraId="4AE81C92" w14:textId="7F115B5D" w:rsidR="004965DF" w:rsidRPr="005C7B60" w:rsidRDefault="004965DF">
      <w:pPr>
        <w:rPr>
          <w:rFonts w:ascii="Bookman Old Style" w:hAnsi="Bookman Old Style"/>
          <w:bCs/>
          <w:sz w:val="24"/>
          <w:szCs w:val="24"/>
        </w:rPr>
      </w:pPr>
    </w:p>
    <w:p w14:paraId="57EB00DC" w14:textId="50AB2DD2" w:rsidR="004965DF" w:rsidRPr="005C7B60" w:rsidRDefault="004965DF">
      <w:pPr>
        <w:rPr>
          <w:rFonts w:ascii="Bookman Old Style" w:hAnsi="Bookman Old Style"/>
          <w:bCs/>
          <w:sz w:val="24"/>
          <w:szCs w:val="24"/>
        </w:rPr>
      </w:pPr>
    </w:p>
    <w:p w14:paraId="5209A2F6" w14:textId="47DF21C1" w:rsidR="004965DF" w:rsidRPr="005C7B60" w:rsidRDefault="004965DF">
      <w:pPr>
        <w:rPr>
          <w:rFonts w:ascii="Bookman Old Style" w:hAnsi="Bookman Old Style"/>
          <w:bCs/>
          <w:sz w:val="24"/>
          <w:szCs w:val="24"/>
        </w:rPr>
      </w:pPr>
    </w:p>
    <w:p w14:paraId="561EBDA2" w14:textId="6D09E651" w:rsidR="004965DF" w:rsidRPr="005C7B60" w:rsidRDefault="004965DF">
      <w:pPr>
        <w:rPr>
          <w:rFonts w:ascii="Bookman Old Style" w:hAnsi="Bookman Old Style"/>
          <w:bCs/>
          <w:sz w:val="24"/>
          <w:szCs w:val="24"/>
        </w:rPr>
      </w:pPr>
    </w:p>
    <w:p w14:paraId="24B7DC1E" w14:textId="48D6DF77" w:rsidR="004965DF" w:rsidRPr="005C7B60" w:rsidRDefault="004965DF">
      <w:pPr>
        <w:rPr>
          <w:rFonts w:ascii="Bookman Old Style" w:hAnsi="Bookman Old Style"/>
          <w:bCs/>
          <w:sz w:val="24"/>
          <w:szCs w:val="24"/>
        </w:rPr>
      </w:pPr>
    </w:p>
    <w:p w14:paraId="3AAF24AE" w14:textId="4E2D1884" w:rsidR="004965DF" w:rsidRPr="005C7B60" w:rsidRDefault="004965DF">
      <w:pPr>
        <w:rPr>
          <w:rFonts w:ascii="Bookman Old Style" w:hAnsi="Bookman Old Style"/>
          <w:bCs/>
          <w:sz w:val="24"/>
          <w:szCs w:val="24"/>
        </w:rPr>
      </w:pPr>
    </w:p>
    <w:p w14:paraId="33125A18" w14:textId="53DD3590" w:rsidR="004965DF" w:rsidRPr="005C7B60" w:rsidRDefault="004965DF">
      <w:pPr>
        <w:rPr>
          <w:rFonts w:ascii="Bookman Old Style" w:hAnsi="Bookman Old Style"/>
          <w:bCs/>
          <w:sz w:val="24"/>
          <w:szCs w:val="24"/>
        </w:rPr>
      </w:pPr>
    </w:p>
    <w:p w14:paraId="685CBDD6" w14:textId="6D97F9C6" w:rsidR="004965DF" w:rsidRPr="005C7B60" w:rsidRDefault="004965DF">
      <w:pPr>
        <w:rPr>
          <w:rFonts w:ascii="Bookman Old Style" w:hAnsi="Bookman Old Style"/>
          <w:bCs/>
          <w:sz w:val="24"/>
          <w:szCs w:val="24"/>
        </w:rPr>
      </w:pPr>
    </w:p>
    <w:p w14:paraId="7A55FFB6" w14:textId="6E4E30C7" w:rsidR="004965DF" w:rsidRPr="005C7B60" w:rsidRDefault="004965DF">
      <w:pPr>
        <w:rPr>
          <w:rFonts w:ascii="Bookman Old Style" w:hAnsi="Bookman Old Style"/>
          <w:bCs/>
          <w:sz w:val="24"/>
          <w:szCs w:val="24"/>
        </w:rPr>
      </w:pPr>
    </w:p>
    <w:p w14:paraId="48B23A1A" w14:textId="3AFB2E35" w:rsidR="004965DF" w:rsidRPr="005C7B60" w:rsidRDefault="004965DF">
      <w:pPr>
        <w:rPr>
          <w:rFonts w:ascii="Bookman Old Style" w:hAnsi="Bookman Old Style"/>
          <w:bCs/>
          <w:sz w:val="24"/>
          <w:szCs w:val="24"/>
        </w:rPr>
      </w:pPr>
    </w:p>
    <w:p w14:paraId="512888A9" w14:textId="25517DC7" w:rsidR="004965DF" w:rsidRPr="005C7B60" w:rsidRDefault="004965DF">
      <w:pPr>
        <w:rPr>
          <w:rFonts w:ascii="Bookman Old Style" w:hAnsi="Bookman Old Style"/>
          <w:bCs/>
          <w:sz w:val="24"/>
          <w:szCs w:val="24"/>
        </w:rPr>
      </w:pPr>
    </w:p>
    <w:p w14:paraId="4252F331" w14:textId="2D653526" w:rsidR="004965DF" w:rsidRPr="005C7B60" w:rsidRDefault="004965DF">
      <w:pPr>
        <w:rPr>
          <w:rFonts w:ascii="Bookman Old Style" w:hAnsi="Bookman Old Style"/>
          <w:bCs/>
          <w:sz w:val="24"/>
          <w:szCs w:val="24"/>
        </w:rPr>
      </w:pPr>
    </w:p>
    <w:p w14:paraId="1EB4CDD8" w14:textId="1490C444" w:rsidR="004965DF" w:rsidRPr="005C7B60" w:rsidRDefault="004965DF">
      <w:pPr>
        <w:rPr>
          <w:rFonts w:ascii="Bookman Old Style" w:hAnsi="Bookman Old Style"/>
          <w:bCs/>
          <w:sz w:val="24"/>
          <w:szCs w:val="24"/>
        </w:rPr>
      </w:pPr>
    </w:p>
    <w:p w14:paraId="10C616D5" w14:textId="649B2B04" w:rsidR="004965DF" w:rsidRPr="005C7B60" w:rsidRDefault="004965DF">
      <w:pPr>
        <w:rPr>
          <w:rFonts w:ascii="Bookman Old Style" w:hAnsi="Bookman Old Style"/>
          <w:bCs/>
          <w:sz w:val="24"/>
          <w:szCs w:val="24"/>
        </w:rPr>
      </w:pPr>
    </w:p>
    <w:p w14:paraId="2FCE15E4" w14:textId="01B88407" w:rsidR="004965DF" w:rsidRPr="005C7B60" w:rsidRDefault="004965DF">
      <w:pPr>
        <w:rPr>
          <w:rFonts w:ascii="Bookman Old Style" w:hAnsi="Bookman Old Style"/>
          <w:bCs/>
          <w:sz w:val="24"/>
          <w:szCs w:val="24"/>
        </w:rPr>
      </w:pPr>
    </w:p>
    <w:p w14:paraId="1EADA8DB" w14:textId="45C486D3" w:rsidR="004965DF" w:rsidRPr="005C7B60" w:rsidRDefault="004965DF">
      <w:pPr>
        <w:rPr>
          <w:rFonts w:ascii="Bookman Old Style" w:hAnsi="Bookman Old Style"/>
          <w:bCs/>
          <w:sz w:val="24"/>
          <w:szCs w:val="24"/>
        </w:rPr>
      </w:pPr>
    </w:p>
    <w:p w14:paraId="1F751C01" w14:textId="14CC88C1" w:rsidR="004965DF" w:rsidRPr="005C7B60" w:rsidRDefault="004965DF">
      <w:pPr>
        <w:rPr>
          <w:rFonts w:ascii="Bookman Old Style" w:hAnsi="Bookman Old Style"/>
          <w:bCs/>
          <w:sz w:val="24"/>
          <w:szCs w:val="24"/>
        </w:rPr>
      </w:pPr>
    </w:p>
    <w:p w14:paraId="05A714EE" w14:textId="0793CF0A" w:rsidR="004965DF" w:rsidRPr="005C7B60" w:rsidRDefault="004965DF">
      <w:pPr>
        <w:rPr>
          <w:rFonts w:ascii="Bookman Old Style" w:hAnsi="Bookman Old Style"/>
          <w:bCs/>
          <w:sz w:val="24"/>
          <w:szCs w:val="24"/>
        </w:rPr>
      </w:pPr>
    </w:p>
    <w:p w14:paraId="4C7A61C3" w14:textId="298BA419" w:rsidR="004965DF" w:rsidRPr="005C7B60" w:rsidRDefault="004965DF">
      <w:pPr>
        <w:rPr>
          <w:rFonts w:ascii="Bookman Old Style" w:hAnsi="Bookman Old Style"/>
          <w:bCs/>
          <w:sz w:val="24"/>
          <w:szCs w:val="24"/>
        </w:rPr>
      </w:pPr>
    </w:p>
    <w:p w14:paraId="6D230BCD" w14:textId="1E08C0BC" w:rsidR="004965DF" w:rsidRPr="005C7B60" w:rsidRDefault="004965DF">
      <w:pPr>
        <w:rPr>
          <w:rFonts w:ascii="Bookman Old Style" w:hAnsi="Bookman Old Style"/>
          <w:bCs/>
          <w:sz w:val="24"/>
          <w:szCs w:val="24"/>
        </w:rPr>
      </w:pPr>
    </w:p>
    <w:p w14:paraId="50D6B739" w14:textId="34FF1507" w:rsidR="004965DF" w:rsidRPr="005C7B60" w:rsidRDefault="004965DF">
      <w:pPr>
        <w:rPr>
          <w:rFonts w:ascii="Bookman Old Style" w:hAnsi="Bookman Old Style"/>
          <w:bCs/>
          <w:sz w:val="24"/>
          <w:szCs w:val="24"/>
        </w:rPr>
      </w:pPr>
    </w:p>
    <w:p w14:paraId="38D672EE" w14:textId="3193701F" w:rsidR="004965DF" w:rsidRPr="005C7B60" w:rsidRDefault="004965DF">
      <w:pPr>
        <w:rPr>
          <w:rFonts w:ascii="Bookman Old Style" w:hAnsi="Bookman Old Style"/>
          <w:bCs/>
          <w:sz w:val="24"/>
          <w:szCs w:val="24"/>
        </w:rPr>
      </w:pPr>
    </w:p>
    <w:p w14:paraId="004124B1" w14:textId="7B439EF4" w:rsidR="004965DF" w:rsidRPr="005C7B60" w:rsidRDefault="004965DF">
      <w:pPr>
        <w:rPr>
          <w:rFonts w:ascii="Bookman Old Style" w:hAnsi="Bookman Old Style"/>
          <w:bCs/>
          <w:sz w:val="24"/>
          <w:szCs w:val="24"/>
        </w:rPr>
      </w:pPr>
    </w:p>
    <w:p w14:paraId="6C35FD22" w14:textId="0529A095" w:rsidR="004965DF" w:rsidRPr="005C7B60" w:rsidRDefault="004965DF">
      <w:pPr>
        <w:rPr>
          <w:rFonts w:ascii="Bookman Old Style" w:hAnsi="Bookman Old Style"/>
          <w:bCs/>
          <w:sz w:val="24"/>
          <w:szCs w:val="24"/>
        </w:rPr>
      </w:pPr>
    </w:p>
    <w:p w14:paraId="29021ACB" w14:textId="537BC280" w:rsidR="004965DF" w:rsidRPr="005C7B60" w:rsidRDefault="004965DF">
      <w:pPr>
        <w:rPr>
          <w:rFonts w:ascii="Bookman Old Style" w:hAnsi="Bookman Old Style"/>
          <w:bCs/>
          <w:sz w:val="24"/>
          <w:szCs w:val="24"/>
        </w:rPr>
      </w:pPr>
    </w:p>
    <w:p w14:paraId="4DE17BF8" w14:textId="37074CA7" w:rsidR="004965DF" w:rsidRPr="005C7B60" w:rsidRDefault="004965DF">
      <w:pPr>
        <w:rPr>
          <w:rFonts w:ascii="Bookman Old Style" w:hAnsi="Bookman Old Style"/>
          <w:bCs/>
          <w:sz w:val="24"/>
          <w:szCs w:val="24"/>
        </w:rPr>
      </w:pPr>
    </w:p>
    <w:p w14:paraId="2E14655B" w14:textId="50B2CF36" w:rsidR="004965DF" w:rsidRPr="005C7B60" w:rsidRDefault="004965DF">
      <w:pPr>
        <w:rPr>
          <w:rFonts w:ascii="Bookman Old Style" w:hAnsi="Bookman Old Style"/>
          <w:bCs/>
          <w:sz w:val="24"/>
          <w:szCs w:val="24"/>
        </w:rPr>
      </w:pPr>
    </w:p>
    <w:p w14:paraId="76C42B0C" w14:textId="41FD417E" w:rsidR="004965DF" w:rsidRPr="005C7B60" w:rsidRDefault="004965DF">
      <w:pPr>
        <w:rPr>
          <w:rFonts w:ascii="Bookman Old Style" w:hAnsi="Bookman Old Style"/>
          <w:bCs/>
          <w:sz w:val="24"/>
          <w:szCs w:val="24"/>
        </w:rPr>
      </w:pPr>
    </w:p>
    <w:p w14:paraId="2BC66401" w14:textId="0FC36E07" w:rsidR="004965DF" w:rsidRPr="005C7B60" w:rsidRDefault="004965DF">
      <w:pPr>
        <w:rPr>
          <w:rFonts w:ascii="Bookman Old Style" w:hAnsi="Bookman Old Style"/>
          <w:bCs/>
          <w:sz w:val="24"/>
          <w:szCs w:val="24"/>
        </w:rPr>
      </w:pPr>
    </w:p>
    <w:p w14:paraId="5760B2C2" w14:textId="383BF8CF" w:rsidR="004965DF" w:rsidRPr="005C7B60" w:rsidRDefault="004965DF">
      <w:pPr>
        <w:rPr>
          <w:rFonts w:ascii="Bookman Old Style" w:hAnsi="Bookman Old Style"/>
          <w:bCs/>
          <w:sz w:val="24"/>
          <w:szCs w:val="24"/>
        </w:rPr>
      </w:pPr>
    </w:p>
    <w:p w14:paraId="6FC4DFD8" w14:textId="58D8BC54" w:rsidR="004965DF" w:rsidRPr="005C7B60" w:rsidRDefault="004965DF">
      <w:pPr>
        <w:rPr>
          <w:rFonts w:ascii="Bookman Old Style" w:hAnsi="Bookman Old Style"/>
          <w:bCs/>
          <w:sz w:val="24"/>
          <w:szCs w:val="24"/>
        </w:rPr>
      </w:pPr>
    </w:p>
    <w:p w14:paraId="0DBDD5E9" w14:textId="7D674858" w:rsidR="004965DF" w:rsidRPr="005C7B60" w:rsidRDefault="004965DF">
      <w:pPr>
        <w:rPr>
          <w:rFonts w:ascii="Bookman Old Style" w:hAnsi="Bookman Old Style"/>
          <w:bCs/>
          <w:sz w:val="24"/>
          <w:szCs w:val="24"/>
        </w:rPr>
      </w:pPr>
    </w:p>
    <w:p w14:paraId="119BF499" w14:textId="2244543B" w:rsidR="004965DF" w:rsidRPr="005C7B60" w:rsidRDefault="004965DF">
      <w:pPr>
        <w:rPr>
          <w:rFonts w:ascii="Bookman Old Style" w:hAnsi="Bookman Old Style"/>
          <w:bCs/>
          <w:sz w:val="24"/>
          <w:szCs w:val="24"/>
        </w:rPr>
      </w:pPr>
    </w:p>
    <w:p w14:paraId="33AF6E3A" w14:textId="28B91A5D" w:rsidR="004965DF" w:rsidRPr="005C7B60" w:rsidRDefault="004965DF" w:rsidP="004965DF">
      <w:pPr>
        <w:jc w:val="center"/>
        <w:rPr>
          <w:rFonts w:ascii="Bookman Old Style" w:hAnsi="Bookman Old Style"/>
          <w:bCs/>
          <w:sz w:val="24"/>
          <w:szCs w:val="24"/>
        </w:rPr>
      </w:pPr>
      <w:r w:rsidRPr="005C7B60">
        <w:rPr>
          <w:rFonts w:ascii="Bookman Old Style" w:hAnsi="Bookman Old Style"/>
          <w:bCs/>
          <w:sz w:val="24"/>
          <w:szCs w:val="24"/>
        </w:rPr>
        <w:t>© Copyright by JENNIFER HAMEL 2019</w:t>
      </w:r>
    </w:p>
    <w:p w14:paraId="7DAD0308" w14:textId="77777777" w:rsidR="00707B2C" w:rsidRDefault="00C20967" w:rsidP="00707B2C">
      <w:pPr>
        <w:jc w:val="center"/>
        <w:rPr>
          <w:rFonts w:ascii="Bookman Old Style" w:hAnsi="Bookman Old Style"/>
          <w:bCs/>
          <w:sz w:val="24"/>
          <w:szCs w:val="24"/>
        </w:rPr>
      </w:pPr>
      <w:r w:rsidRPr="005C7B60">
        <w:rPr>
          <w:rFonts w:ascii="Bookman Old Style" w:hAnsi="Bookman Old Style"/>
          <w:bCs/>
          <w:sz w:val="24"/>
          <w:szCs w:val="24"/>
        </w:rPr>
        <w:t>All Rights Reserved.</w:t>
      </w:r>
    </w:p>
    <w:p w14:paraId="39E99ED6" w14:textId="77777777" w:rsidR="003A1AA7" w:rsidRDefault="003A1AA7" w:rsidP="00707B2C">
      <w:pPr>
        <w:pStyle w:val="THESISLVL1"/>
        <w:sectPr w:rsidR="003A1AA7" w:rsidSect="00AB27A5">
          <w:footerReference w:type="default" r:id="rId9"/>
          <w:footerReference w:type="first" r:id="rId10"/>
          <w:type w:val="continuous"/>
          <w:pgSz w:w="12240" w:h="15840"/>
          <w:pgMar w:top="1440" w:right="1440" w:bottom="1440" w:left="1440" w:header="720" w:footer="720" w:gutter="0"/>
          <w:pgNumType w:fmt="lowerRoman" w:start="4"/>
          <w:cols w:space="720"/>
          <w:docGrid w:linePitch="360"/>
        </w:sectPr>
      </w:pPr>
    </w:p>
    <w:p w14:paraId="47606222" w14:textId="527F4524" w:rsidR="00C31660" w:rsidRPr="00B43519" w:rsidRDefault="00C31660" w:rsidP="00707B2C">
      <w:pPr>
        <w:pStyle w:val="THESISLVL1"/>
      </w:pPr>
      <w:bookmarkStart w:id="2" w:name="_Toc8062241"/>
      <w:r w:rsidRPr="00B43519">
        <w:lastRenderedPageBreak/>
        <w:t>A</w:t>
      </w:r>
      <w:r w:rsidR="006A1BE4" w:rsidRPr="00B43519">
        <w:t>CKNOWLEDGMENTS</w:t>
      </w:r>
      <w:bookmarkEnd w:id="2"/>
    </w:p>
    <w:p w14:paraId="19FA91AA" w14:textId="4B69CDD6" w:rsidR="00E6662A" w:rsidRPr="005C7B60" w:rsidRDefault="008801BE" w:rsidP="00B43519">
      <w:pPr>
        <w:spacing w:line="480" w:lineRule="auto"/>
        <w:ind w:firstLine="720"/>
        <w:rPr>
          <w:rFonts w:ascii="Bookman Old Style" w:hAnsi="Bookman Old Style"/>
          <w:bCs/>
          <w:sz w:val="24"/>
          <w:szCs w:val="24"/>
        </w:rPr>
      </w:pPr>
      <w:r w:rsidRPr="005C7B60">
        <w:rPr>
          <w:rFonts w:ascii="Bookman Old Style" w:hAnsi="Bookman Old Style"/>
          <w:bCs/>
          <w:sz w:val="24"/>
          <w:szCs w:val="24"/>
        </w:rPr>
        <w:t xml:space="preserve">I would like to thank </w:t>
      </w:r>
      <w:r w:rsidR="001A2E51" w:rsidRPr="005C7B60">
        <w:rPr>
          <w:rFonts w:ascii="Bookman Old Style" w:hAnsi="Bookman Old Style"/>
          <w:bCs/>
          <w:sz w:val="24"/>
          <w:szCs w:val="24"/>
        </w:rPr>
        <w:t>the Department of Geography and Environmental Sustainability</w:t>
      </w:r>
      <w:r w:rsidR="003F5D38" w:rsidRPr="005C7B60">
        <w:rPr>
          <w:rFonts w:ascii="Bookman Old Style" w:hAnsi="Bookman Old Style"/>
          <w:bCs/>
          <w:sz w:val="24"/>
          <w:szCs w:val="24"/>
        </w:rPr>
        <w:t xml:space="preserve"> at the University of Oklahoma</w:t>
      </w:r>
      <w:r w:rsidR="001A2E51" w:rsidRPr="005C7B60">
        <w:rPr>
          <w:rFonts w:ascii="Bookman Old Style" w:hAnsi="Bookman Old Style"/>
          <w:bCs/>
          <w:sz w:val="24"/>
          <w:szCs w:val="24"/>
        </w:rPr>
        <w:t xml:space="preserve"> for </w:t>
      </w:r>
      <w:r w:rsidR="004F7D30" w:rsidRPr="005C7B60">
        <w:rPr>
          <w:rFonts w:ascii="Bookman Old Style" w:hAnsi="Bookman Old Style"/>
          <w:bCs/>
          <w:sz w:val="24"/>
          <w:szCs w:val="24"/>
        </w:rPr>
        <w:t xml:space="preserve">taking a chance on </w:t>
      </w:r>
      <w:r w:rsidR="00C71693" w:rsidRPr="005C7B60">
        <w:rPr>
          <w:rFonts w:ascii="Bookman Old Style" w:hAnsi="Bookman Old Style"/>
          <w:bCs/>
          <w:sz w:val="24"/>
          <w:szCs w:val="24"/>
        </w:rPr>
        <w:t>me when I had nothing but a dream and an art degree.</w:t>
      </w:r>
    </w:p>
    <w:p w14:paraId="09420294" w14:textId="77777777" w:rsidR="008C02D2" w:rsidRPr="005C7B60" w:rsidRDefault="008C02D2" w:rsidP="008C02D2">
      <w:pPr>
        <w:spacing w:line="480" w:lineRule="auto"/>
        <w:ind w:firstLine="720"/>
        <w:rPr>
          <w:rFonts w:ascii="Bookman Old Style" w:hAnsi="Bookman Old Style"/>
          <w:bCs/>
          <w:sz w:val="24"/>
          <w:szCs w:val="24"/>
        </w:rPr>
      </w:pPr>
      <w:r>
        <w:rPr>
          <w:rFonts w:ascii="Bookman Old Style" w:hAnsi="Bookman Old Style"/>
          <w:bCs/>
          <w:sz w:val="24"/>
          <w:szCs w:val="24"/>
        </w:rPr>
        <w:t xml:space="preserve">I am grateful for my committee members, Dr. Travis </w:t>
      </w:r>
      <w:proofErr w:type="spellStart"/>
      <w:r>
        <w:rPr>
          <w:rFonts w:ascii="Bookman Old Style" w:hAnsi="Bookman Old Style"/>
          <w:bCs/>
          <w:sz w:val="24"/>
          <w:szCs w:val="24"/>
        </w:rPr>
        <w:t>Gliedt</w:t>
      </w:r>
      <w:proofErr w:type="spellEnd"/>
      <w:r>
        <w:rPr>
          <w:rFonts w:ascii="Bookman Old Style" w:hAnsi="Bookman Old Style"/>
          <w:bCs/>
          <w:sz w:val="24"/>
          <w:szCs w:val="24"/>
        </w:rPr>
        <w:t xml:space="preserve">, Dr. Laurel Smith, and Dr. Charlie </w:t>
      </w:r>
      <w:proofErr w:type="spellStart"/>
      <w:r>
        <w:rPr>
          <w:rFonts w:ascii="Bookman Old Style" w:hAnsi="Bookman Old Style"/>
          <w:bCs/>
          <w:sz w:val="24"/>
          <w:szCs w:val="24"/>
        </w:rPr>
        <w:t>Warnken</w:t>
      </w:r>
      <w:proofErr w:type="spellEnd"/>
      <w:r>
        <w:rPr>
          <w:rFonts w:ascii="Bookman Old Style" w:hAnsi="Bookman Old Style"/>
          <w:bCs/>
          <w:sz w:val="24"/>
          <w:szCs w:val="24"/>
        </w:rPr>
        <w:t xml:space="preserve">, whom have challenged me in ways that will only help me grow stronger as a participant in the field of sustainability.  </w:t>
      </w:r>
    </w:p>
    <w:p w14:paraId="0A848054" w14:textId="42F26A90" w:rsidR="003F5D38" w:rsidRDefault="003F5D38" w:rsidP="003F5D38">
      <w:pPr>
        <w:spacing w:line="480" w:lineRule="auto"/>
        <w:ind w:firstLine="720"/>
        <w:rPr>
          <w:rFonts w:ascii="Bookman Old Style" w:hAnsi="Bookman Old Style"/>
          <w:bCs/>
          <w:sz w:val="24"/>
          <w:szCs w:val="24"/>
        </w:rPr>
      </w:pPr>
      <w:r w:rsidRPr="005C7B60">
        <w:rPr>
          <w:rFonts w:ascii="Bookman Old Style" w:hAnsi="Bookman Old Style"/>
          <w:bCs/>
          <w:sz w:val="24"/>
          <w:szCs w:val="24"/>
        </w:rPr>
        <w:t xml:space="preserve">I give my utmost gratitude to </w:t>
      </w:r>
      <w:r w:rsidRPr="005C7B60">
        <w:rPr>
          <w:rFonts w:ascii="Bookman Old Style" w:hAnsi="Bookman Old Style"/>
          <w:bCs/>
          <w:noProof/>
          <w:sz w:val="24"/>
          <w:szCs w:val="24"/>
        </w:rPr>
        <w:t>Dr.</w:t>
      </w:r>
      <w:r w:rsidRPr="005C7B60">
        <w:rPr>
          <w:rFonts w:ascii="Bookman Old Style" w:hAnsi="Bookman Old Style"/>
          <w:bCs/>
          <w:sz w:val="24"/>
          <w:szCs w:val="24"/>
        </w:rPr>
        <w:t xml:space="preserve"> Mark </w:t>
      </w:r>
      <w:proofErr w:type="spellStart"/>
      <w:r w:rsidRPr="005C7B60">
        <w:rPr>
          <w:rFonts w:ascii="Bookman Old Style" w:hAnsi="Bookman Old Style"/>
          <w:bCs/>
          <w:sz w:val="24"/>
          <w:szCs w:val="24"/>
        </w:rPr>
        <w:t>Meo</w:t>
      </w:r>
      <w:proofErr w:type="spellEnd"/>
      <w:r w:rsidRPr="005C7B60">
        <w:rPr>
          <w:rFonts w:ascii="Bookman Old Style" w:hAnsi="Bookman Old Style"/>
          <w:bCs/>
          <w:sz w:val="24"/>
          <w:szCs w:val="24"/>
        </w:rPr>
        <w:t xml:space="preserve"> for an excellent introduction to a fascinating world and opening my eyes to the opportunities that a designer has for making a difference. </w:t>
      </w:r>
      <w:r w:rsidR="007C4087" w:rsidRPr="005C7B60">
        <w:rPr>
          <w:rFonts w:ascii="Bookman Old Style" w:hAnsi="Bookman Old Style"/>
          <w:bCs/>
          <w:sz w:val="24"/>
          <w:szCs w:val="24"/>
        </w:rPr>
        <w:t>His</w:t>
      </w:r>
      <w:r w:rsidRPr="005C7B60">
        <w:rPr>
          <w:rFonts w:ascii="Bookman Old Style" w:hAnsi="Bookman Old Style"/>
          <w:bCs/>
          <w:sz w:val="24"/>
          <w:szCs w:val="24"/>
        </w:rPr>
        <w:t xml:space="preserve"> guidance has been instrumental in helping me understand my purpose in this field.</w:t>
      </w:r>
    </w:p>
    <w:p w14:paraId="0A493431" w14:textId="2BBC7A88" w:rsidR="00E46BAA" w:rsidRDefault="00BE32DD" w:rsidP="001E61F8">
      <w:pPr>
        <w:spacing w:line="480" w:lineRule="auto"/>
        <w:ind w:firstLine="720"/>
        <w:rPr>
          <w:rFonts w:ascii="Bookman Old Style" w:hAnsi="Bookman Old Style"/>
          <w:bCs/>
          <w:sz w:val="24"/>
          <w:szCs w:val="24"/>
        </w:rPr>
      </w:pPr>
      <w:r w:rsidRPr="005C7B60">
        <w:rPr>
          <w:rFonts w:ascii="Bookman Old Style" w:hAnsi="Bookman Old Style"/>
          <w:bCs/>
          <w:sz w:val="24"/>
          <w:szCs w:val="24"/>
        </w:rPr>
        <w:t xml:space="preserve">I </w:t>
      </w:r>
      <w:r w:rsidR="00543D80" w:rsidRPr="005C7B60">
        <w:rPr>
          <w:rFonts w:ascii="Bookman Old Style" w:hAnsi="Bookman Old Style"/>
          <w:bCs/>
          <w:sz w:val="24"/>
          <w:szCs w:val="24"/>
        </w:rPr>
        <w:t xml:space="preserve">could never repay </w:t>
      </w:r>
      <w:r w:rsidR="005E0EF7" w:rsidRPr="005C7B60">
        <w:rPr>
          <w:rFonts w:ascii="Bookman Old Style" w:hAnsi="Bookman Old Style"/>
          <w:bCs/>
          <w:noProof/>
          <w:sz w:val="24"/>
          <w:szCs w:val="24"/>
        </w:rPr>
        <w:t>Mooshe</w:t>
      </w:r>
      <w:r w:rsidR="005E0EF7" w:rsidRPr="005C7B60">
        <w:rPr>
          <w:rFonts w:ascii="Bookman Old Style" w:hAnsi="Bookman Old Style"/>
          <w:bCs/>
          <w:sz w:val="24"/>
          <w:szCs w:val="24"/>
        </w:rPr>
        <w:t>, Alex, and Alyssa</w:t>
      </w:r>
      <w:r w:rsidR="00543D80" w:rsidRPr="005C7B60">
        <w:rPr>
          <w:rFonts w:ascii="Bookman Old Style" w:hAnsi="Bookman Old Style"/>
          <w:bCs/>
          <w:sz w:val="24"/>
          <w:szCs w:val="24"/>
        </w:rPr>
        <w:t xml:space="preserve"> for the patience, encouragement, </w:t>
      </w:r>
      <w:r w:rsidR="00D2593A" w:rsidRPr="005C7B60">
        <w:rPr>
          <w:rFonts w:ascii="Bookman Old Style" w:hAnsi="Bookman Old Style"/>
          <w:bCs/>
          <w:sz w:val="24"/>
          <w:szCs w:val="24"/>
        </w:rPr>
        <w:t xml:space="preserve">and </w:t>
      </w:r>
      <w:r w:rsidR="005E0EF7">
        <w:rPr>
          <w:rFonts w:ascii="Bookman Old Style" w:hAnsi="Bookman Old Style"/>
          <w:bCs/>
          <w:sz w:val="24"/>
          <w:szCs w:val="24"/>
        </w:rPr>
        <w:t>support</w:t>
      </w:r>
      <w:r w:rsidR="00D2593A" w:rsidRPr="005C7B60">
        <w:rPr>
          <w:rFonts w:ascii="Bookman Old Style" w:hAnsi="Bookman Old Style"/>
          <w:bCs/>
          <w:sz w:val="24"/>
          <w:szCs w:val="24"/>
        </w:rPr>
        <w:t xml:space="preserve"> they</w:t>
      </w:r>
      <w:r w:rsidR="008F1290">
        <w:rPr>
          <w:rFonts w:ascii="Bookman Old Style" w:hAnsi="Bookman Old Style"/>
          <w:bCs/>
          <w:sz w:val="24"/>
          <w:szCs w:val="24"/>
        </w:rPr>
        <w:t xml:space="preserve"> ha</w:t>
      </w:r>
      <w:r w:rsidR="00D2593A" w:rsidRPr="005C7B60">
        <w:rPr>
          <w:rFonts w:ascii="Bookman Old Style" w:hAnsi="Bookman Old Style"/>
          <w:bCs/>
          <w:sz w:val="24"/>
          <w:szCs w:val="24"/>
        </w:rPr>
        <w:t xml:space="preserve">ve shown me throughout this process. </w:t>
      </w:r>
      <w:r w:rsidR="00B61B35" w:rsidRPr="005C7B60">
        <w:rPr>
          <w:rFonts w:ascii="Bookman Old Style" w:hAnsi="Bookman Old Style"/>
          <w:bCs/>
          <w:sz w:val="24"/>
          <w:szCs w:val="24"/>
        </w:rPr>
        <w:t xml:space="preserve">I also thank </w:t>
      </w:r>
      <w:r w:rsidR="003035A9" w:rsidRPr="005C7B60">
        <w:rPr>
          <w:rFonts w:ascii="Bookman Old Style" w:hAnsi="Bookman Old Style"/>
          <w:bCs/>
          <w:sz w:val="24"/>
          <w:szCs w:val="24"/>
        </w:rPr>
        <w:t>Samantha</w:t>
      </w:r>
      <w:r w:rsidR="001E61F8" w:rsidRPr="005C7B60">
        <w:rPr>
          <w:rFonts w:ascii="Bookman Old Style" w:hAnsi="Bookman Old Style"/>
          <w:bCs/>
          <w:sz w:val="24"/>
          <w:szCs w:val="24"/>
        </w:rPr>
        <w:t xml:space="preserve"> </w:t>
      </w:r>
      <w:r w:rsidR="00521B75" w:rsidRPr="005C7B60">
        <w:rPr>
          <w:rFonts w:ascii="Bookman Old Style" w:hAnsi="Bookman Old Style"/>
          <w:bCs/>
          <w:sz w:val="24"/>
          <w:szCs w:val="24"/>
        </w:rPr>
        <w:t>and</w:t>
      </w:r>
      <w:r w:rsidR="001E61F8" w:rsidRPr="005C7B60">
        <w:rPr>
          <w:rFonts w:ascii="Bookman Old Style" w:hAnsi="Bookman Old Style"/>
          <w:bCs/>
          <w:sz w:val="24"/>
          <w:szCs w:val="24"/>
        </w:rPr>
        <w:t xml:space="preserve"> Dana</w:t>
      </w:r>
      <w:r w:rsidR="00D2593A" w:rsidRPr="005C7B60">
        <w:rPr>
          <w:rFonts w:ascii="Bookman Old Style" w:hAnsi="Bookman Old Style"/>
          <w:bCs/>
          <w:sz w:val="24"/>
          <w:szCs w:val="24"/>
        </w:rPr>
        <w:t xml:space="preserve"> </w:t>
      </w:r>
      <w:r w:rsidR="00521B75" w:rsidRPr="005C7B60">
        <w:rPr>
          <w:rFonts w:ascii="Bookman Old Style" w:hAnsi="Bookman Old Style"/>
          <w:bCs/>
          <w:sz w:val="24"/>
          <w:szCs w:val="24"/>
        </w:rPr>
        <w:t xml:space="preserve">for </w:t>
      </w:r>
      <w:r w:rsidR="00B12422" w:rsidRPr="005C7B60">
        <w:rPr>
          <w:rFonts w:ascii="Bookman Old Style" w:hAnsi="Bookman Old Style"/>
          <w:bCs/>
          <w:sz w:val="24"/>
          <w:szCs w:val="24"/>
        </w:rPr>
        <w:t xml:space="preserve">standing in solidarity with me through the trials and tribulations of graduate school. </w:t>
      </w:r>
      <w:r w:rsidR="00554D6A" w:rsidRPr="005C7B60">
        <w:rPr>
          <w:rFonts w:ascii="Bookman Old Style" w:hAnsi="Bookman Old Style"/>
          <w:bCs/>
          <w:sz w:val="24"/>
          <w:szCs w:val="24"/>
        </w:rPr>
        <w:t xml:space="preserve"> </w:t>
      </w:r>
    </w:p>
    <w:p w14:paraId="46BAC951" w14:textId="44A9B593" w:rsidR="00A56B1A" w:rsidRPr="005C7B60" w:rsidRDefault="00A56B1A" w:rsidP="00A56B1A">
      <w:pPr>
        <w:spacing w:line="480" w:lineRule="auto"/>
        <w:ind w:firstLine="720"/>
        <w:rPr>
          <w:rFonts w:ascii="Bookman Old Style" w:hAnsi="Bookman Old Style"/>
          <w:bCs/>
          <w:sz w:val="24"/>
          <w:szCs w:val="24"/>
        </w:rPr>
      </w:pPr>
      <w:r w:rsidRPr="005C7B60">
        <w:rPr>
          <w:rFonts w:ascii="Bookman Old Style" w:hAnsi="Bookman Old Style"/>
          <w:bCs/>
          <w:sz w:val="24"/>
          <w:szCs w:val="24"/>
        </w:rPr>
        <w:t xml:space="preserve">Rose Scovel deserves credit for her seemingly endless resources, knowledge, and challenging questions that have </w:t>
      </w:r>
      <w:r w:rsidR="008C02D2">
        <w:rPr>
          <w:rFonts w:ascii="Bookman Old Style" w:hAnsi="Bookman Old Style"/>
          <w:bCs/>
          <w:sz w:val="24"/>
          <w:szCs w:val="24"/>
        </w:rPr>
        <w:t>kept me</w:t>
      </w:r>
      <w:r w:rsidRPr="005C7B60">
        <w:rPr>
          <w:rFonts w:ascii="Bookman Old Style" w:hAnsi="Bookman Old Style"/>
          <w:bCs/>
          <w:sz w:val="24"/>
          <w:szCs w:val="24"/>
        </w:rPr>
        <w:t xml:space="preserve"> grounded and critical. </w:t>
      </w:r>
    </w:p>
    <w:p w14:paraId="61CCB61A" w14:textId="08A9BF1A" w:rsidR="003F5D38" w:rsidRPr="005C7B60" w:rsidRDefault="003F5D38" w:rsidP="003F5D38">
      <w:pPr>
        <w:spacing w:line="480" w:lineRule="auto"/>
        <w:ind w:firstLine="720"/>
        <w:rPr>
          <w:rFonts w:ascii="Bookman Old Style" w:hAnsi="Bookman Old Style"/>
          <w:bCs/>
          <w:sz w:val="24"/>
          <w:szCs w:val="24"/>
        </w:rPr>
      </w:pPr>
      <w:r w:rsidRPr="005C7B60">
        <w:rPr>
          <w:rFonts w:ascii="Bookman Old Style" w:hAnsi="Bookman Old Style"/>
          <w:bCs/>
          <w:sz w:val="24"/>
          <w:szCs w:val="24"/>
        </w:rPr>
        <w:t>Heartfelt appreciation goes to Greg and Marie Hamel, for supporting me through an unconventional baccalaureate and for believing in me when I decided to pursue a graduate degr</w:t>
      </w:r>
      <w:r w:rsidR="00241094" w:rsidRPr="005C7B60">
        <w:rPr>
          <w:rFonts w:ascii="Bookman Old Style" w:hAnsi="Bookman Old Style"/>
          <w:bCs/>
          <w:sz w:val="24"/>
          <w:szCs w:val="24"/>
        </w:rPr>
        <w:t>ee in science</w:t>
      </w:r>
      <w:r w:rsidRPr="005C7B60">
        <w:rPr>
          <w:rFonts w:ascii="Bookman Old Style" w:hAnsi="Bookman Old Style"/>
          <w:bCs/>
          <w:sz w:val="24"/>
          <w:szCs w:val="24"/>
        </w:rPr>
        <w:t xml:space="preserve">. </w:t>
      </w:r>
    </w:p>
    <w:p w14:paraId="572510AE" w14:textId="7C667E0F" w:rsidR="00707B2C" w:rsidRDefault="12C3F283" w:rsidP="00707B2C">
      <w:pPr>
        <w:spacing w:line="480" w:lineRule="auto"/>
        <w:ind w:firstLine="720"/>
        <w:rPr>
          <w:rFonts w:ascii="Bookman Old Style" w:hAnsi="Bookman Old Style"/>
          <w:sz w:val="24"/>
          <w:szCs w:val="24"/>
        </w:rPr>
      </w:pPr>
      <w:r w:rsidRPr="005C7B60">
        <w:rPr>
          <w:rFonts w:ascii="Bookman Old Style" w:hAnsi="Bookman Old Style"/>
          <w:sz w:val="24"/>
          <w:szCs w:val="24"/>
        </w:rPr>
        <w:t xml:space="preserve">Finally, I give </w:t>
      </w:r>
      <w:proofErr w:type="gramStart"/>
      <w:r w:rsidRPr="005C7B60">
        <w:rPr>
          <w:rFonts w:ascii="Bookman Old Style" w:hAnsi="Bookman Old Style"/>
          <w:sz w:val="24"/>
          <w:szCs w:val="24"/>
        </w:rPr>
        <w:t>particular mention</w:t>
      </w:r>
      <w:proofErr w:type="gramEnd"/>
      <w:r w:rsidRPr="005C7B60">
        <w:rPr>
          <w:rFonts w:ascii="Bookman Old Style" w:hAnsi="Bookman Old Style"/>
          <w:sz w:val="24"/>
          <w:szCs w:val="24"/>
        </w:rPr>
        <w:t xml:space="preserve"> to Jesse Tardif for being by my side through 15 years of growing pains – without him, I would not be the person I am today. </w:t>
      </w:r>
      <w:r w:rsidR="00707B2C">
        <w:rPr>
          <w:rFonts w:ascii="Bookman Old Style" w:hAnsi="Bookman Old Style"/>
          <w:sz w:val="24"/>
          <w:szCs w:val="24"/>
        </w:rPr>
        <w:br w:type="page"/>
      </w:r>
    </w:p>
    <w:p w14:paraId="13E1C45F" w14:textId="6E23313E" w:rsidR="003111C7" w:rsidRPr="00B43519" w:rsidRDefault="00230F05" w:rsidP="00707B2C">
      <w:pPr>
        <w:pStyle w:val="THESISLVL1"/>
      </w:pPr>
      <w:bookmarkStart w:id="3" w:name="_Toc8062242"/>
      <w:r w:rsidRPr="00B43519">
        <w:lastRenderedPageBreak/>
        <w:t>TABLE OF C</w:t>
      </w:r>
      <w:r w:rsidR="002708B6" w:rsidRPr="00B43519">
        <w:t>ONTENTS</w:t>
      </w:r>
      <w:bookmarkEnd w:id="3"/>
    </w:p>
    <w:p w14:paraId="1D9B6F46" w14:textId="59BE4F58" w:rsidR="00A804CF" w:rsidRDefault="002A3AAF">
      <w:pPr>
        <w:pStyle w:val="TOC1"/>
        <w:rPr>
          <w:rFonts w:asciiTheme="minorHAnsi" w:hAnsiTheme="minorHAnsi" w:cstheme="minorBidi"/>
          <w:noProof/>
          <w:sz w:val="22"/>
        </w:rPr>
      </w:pPr>
      <w:r>
        <w:fldChar w:fldCharType="begin"/>
      </w:r>
      <w:r>
        <w:instrText xml:space="preserve"> TOC \t "THESIS LVL1,1,THESIS LVL2,2,THESIS LVL3,3,THESIS LVL4,4" </w:instrText>
      </w:r>
      <w:r>
        <w:fldChar w:fldCharType="separate"/>
      </w:r>
      <w:r w:rsidR="00A804CF">
        <w:rPr>
          <w:noProof/>
        </w:rPr>
        <w:t>ACKNOWLEDGMENTS</w:t>
      </w:r>
      <w:r w:rsidR="00A804CF">
        <w:rPr>
          <w:noProof/>
        </w:rPr>
        <w:tab/>
      </w:r>
      <w:r w:rsidR="00A804CF">
        <w:rPr>
          <w:noProof/>
        </w:rPr>
        <w:fldChar w:fldCharType="begin"/>
      </w:r>
      <w:r w:rsidR="00A804CF">
        <w:rPr>
          <w:noProof/>
        </w:rPr>
        <w:instrText xml:space="preserve"> PAGEREF _Toc8062241 \h </w:instrText>
      </w:r>
      <w:r w:rsidR="00A804CF">
        <w:rPr>
          <w:noProof/>
        </w:rPr>
      </w:r>
      <w:r w:rsidR="00A804CF">
        <w:rPr>
          <w:noProof/>
        </w:rPr>
        <w:fldChar w:fldCharType="separate"/>
      </w:r>
      <w:r w:rsidR="00A804CF">
        <w:rPr>
          <w:noProof/>
        </w:rPr>
        <w:t>iv</w:t>
      </w:r>
      <w:r w:rsidR="00A804CF">
        <w:rPr>
          <w:noProof/>
        </w:rPr>
        <w:fldChar w:fldCharType="end"/>
      </w:r>
    </w:p>
    <w:p w14:paraId="6F089A28" w14:textId="36A9F11D" w:rsidR="00A804CF" w:rsidRDefault="00A804CF">
      <w:pPr>
        <w:pStyle w:val="TOC1"/>
        <w:rPr>
          <w:rFonts w:asciiTheme="minorHAnsi" w:hAnsiTheme="minorHAnsi" w:cstheme="minorBidi"/>
          <w:noProof/>
          <w:sz w:val="22"/>
        </w:rPr>
      </w:pPr>
      <w:r>
        <w:rPr>
          <w:noProof/>
        </w:rPr>
        <w:t>TABLE OF CONTENTS</w:t>
      </w:r>
      <w:r>
        <w:rPr>
          <w:noProof/>
        </w:rPr>
        <w:tab/>
      </w:r>
      <w:r>
        <w:rPr>
          <w:noProof/>
        </w:rPr>
        <w:fldChar w:fldCharType="begin"/>
      </w:r>
      <w:r>
        <w:rPr>
          <w:noProof/>
        </w:rPr>
        <w:instrText xml:space="preserve"> PAGEREF _Toc8062242 \h </w:instrText>
      </w:r>
      <w:r>
        <w:rPr>
          <w:noProof/>
        </w:rPr>
      </w:r>
      <w:r>
        <w:rPr>
          <w:noProof/>
        </w:rPr>
        <w:fldChar w:fldCharType="separate"/>
      </w:r>
      <w:r>
        <w:rPr>
          <w:noProof/>
        </w:rPr>
        <w:t>v</w:t>
      </w:r>
      <w:r>
        <w:rPr>
          <w:noProof/>
        </w:rPr>
        <w:fldChar w:fldCharType="end"/>
      </w:r>
    </w:p>
    <w:p w14:paraId="380EE68B" w14:textId="67E06F3C" w:rsidR="00A804CF" w:rsidRDefault="00A804CF">
      <w:pPr>
        <w:pStyle w:val="TOC1"/>
        <w:rPr>
          <w:rFonts w:asciiTheme="minorHAnsi" w:hAnsiTheme="minorHAnsi" w:cstheme="minorBidi"/>
          <w:noProof/>
          <w:sz w:val="22"/>
        </w:rPr>
      </w:pPr>
      <w:r>
        <w:rPr>
          <w:noProof/>
        </w:rPr>
        <w:t>TABLE OF FIGURES</w:t>
      </w:r>
      <w:r>
        <w:rPr>
          <w:noProof/>
        </w:rPr>
        <w:tab/>
      </w:r>
      <w:r>
        <w:rPr>
          <w:noProof/>
        </w:rPr>
        <w:fldChar w:fldCharType="begin"/>
      </w:r>
      <w:r>
        <w:rPr>
          <w:noProof/>
        </w:rPr>
        <w:instrText xml:space="preserve"> PAGEREF _Toc8062243 \h </w:instrText>
      </w:r>
      <w:r>
        <w:rPr>
          <w:noProof/>
        </w:rPr>
      </w:r>
      <w:r>
        <w:rPr>
          <w:noProof/>
        </w:rPr>
        <w:fldChar w:fldCharType="separate"/>
      </w:r>
      <w:r>
        <w:rPr>
          <w:noProof/>
        </w:rPr>
        <w:t>viii</w:t>
      </w:r>
      <w:r>
        <w:rPr>
          <w:noProof/>
        </w:rPr>
        <w:fldChar w:fldCharType="end"/>
      </w:r>
    </w:p>
    <w:p w14:paraId="2EAF3FA2" w14:textId="57E700BC" w:rsidR="00A804CF" w:rsidRDefault="00A804CF">
      <w:pPr>
        <w:pStyle w:val="TOC1"/>
        <w:rPr>
          <w:rFonts w:asciiTheme="minorHAnsi" w:hAnsiTheme="minorHAnsi" w:cstheme="minorBidi"/>
          <w:noProof/>
          <w:sz w:val="22"/>
        </w:rPr>
      </w:pPr>
      <w:r>
        <w:rPr>
          <w:noProof/>
        </w:rPr>
        <w:t>INDEX OF TERMS</w:t>
      </w:r>
      <w:r>
        <w:rPr>
          <w:noProof/>
        </w:rPr>
        <w:tab/>
      </w:r>
      <w:r>
        <w:rPr>
          <w:noProof/>
        </w:rPr>
        <w:fldChar w:fldCharType="begin"/>
      </w:r>
      <w:r>
        <w:rPr>
          <w:noProof/>
        </w:rPr>
        <w:instrText xml:space="preserve"> PAGEREF _Toc8062244 \h </w:instrText>
      </w:r>
      <w:r>
        <w:rPr>
          <w:noProof/>
        </w:rPr>
      </w:r>
      <w:r>
        <w:rPr>
          <w:noProof/>
        </w:rPr>
        <w:fldChar w:fldCharType="separate"/>
      </w:r>
      <w:r>
        <w:rPr>
          <w:noProof/>
        </w:rPr>
        <w:t>ix</w:t>
      </w:r>
      <w:r>
        <w:rPr>
          <w:noProof/>
        </w:rPr>
        <w:fldChar w:fldCharType="end"/>
      </w:r>
    </w:p>
    <w:p w14:paraId="1428FB3A" w14:textId="08C47EAF" w:rsidR="00A804CF" w:rsidRDefault="00A804CF">
      <w:pPr>
        <w:pStyle w:val="TOC1"/>
        <w:rPr>
          <w:rFonts w:asciiTheme="minorHAnsi" w:hAnsiTheme="minorHAnsi" w:cstheme="minorBidi"/>
          <w:noProof/>
          <w:sz w:val="22"/>
        </w:rPr>
      </w:pPr>
      <w:r>
        <w:rPr>
          <w:noProof/>
        </w:rPr>
        <w:t>CHAPTER 1: INTRODUCTION</w:t>
      </w:r>
      <w:r>
        <w:rPr>
          <w:noProof/>
        </w:rPr>
        <w:tab/>
      </w:r>
      <w:r>
        <w:rPr>
          <w:noProof/>
        </w:rPr>
        <w:fldChar w:fldCharType="begin"/>
      </w:r>
      <w:r>
        <w:rPr>
          <w:noProof/>
        </w:rPr>
        <w:instrText xml:space="preserve"> PAGEREF _Toc8062245 \h </w:instrText>
      </w:r>
      <w:r>
        <w:rPr>
          <w:noProof/>
        </w:rPr>
      </w:r>
      <w:r>
        <w:rPr>
          <w:noProof/>
        </w:rPr>
        <w:fldChar w:fldCharType="separate"/>
      </w:r>
      <w:r>
        <w:rPr>
          <w:noProof/>
        </w:rPr>
        <w:t>1</w:t>
      </w:r>
      <w:r>
        <w:rPr>
          <w:noProof/>
        </w:rPr>
        <w:fldChar w:fldCharType="end"/>
      </w:r>
    </w:p>
    <w:p w14:paraId="033A9D97" w14:textId="046DD4AE" w:rsidR="00A804CF" w:rsidRDefault="00A804CF">
      <w:pPr>
        <w:pStyle w:val="TOC2"/>
        <w:rPr>
          <w:rFonts w:asciiTheme="minorHAnsi" w:hAnsiTheme="minorHAnsi" w:cstheme="minorBidi"/>
          <w:noProof/>
        </w:rPr>
      </w:pPr>
      <w:r>
        <w:rPr>
          <w:noProof/>
        </w:rPr>
        <w:t>1.1 Background</w:t>
      </w:r>
      <w:r>
        <w:rPr>
          <w:noProof/>
        </w:rPr>
        <w:tab/>
      </w:r>
      <w:r>
        <w:rPr>
          <w:noProof/>
        </w:rPr>
        <w:fldChar w:fldCharType="begin"/>
      </w:r>
      <w:r>
        <w:rPr>
          <w:noProof/>
        </w:rPr>
        <w:instrText xml:space="preserve"> PAGEREF _Toc8062246 \h </w:instrText>
      </w:r>
      <w:r>
        <w:rPr>
          <w:noProof/>
        </w:rPr>
      </w:r>
      <w:r>
        <w:rPr>
          <w:noProof/>
        </w:rPr>
        <w:fldChar w:fldCharType="separate"/>
      </w:r>
      <w:r>
        <w:rPr>
          <w:noProof/>
        </w:rPr>
        <w:t>2</w:t>
      </w:r>
      <w:r>
        <w:rPr>
          <w:noProof/>
        </w:rPr>
        <w:fldChar w:fldCharType="end"/>
      </w:r>
    </w:p>
    <w:p w14:paraId="7ABC6233" w14:textId="32AB03FC" w:rsidR="00A804CF" w:rsidRDefault="00A804CF">
      <w:pPr>
        <w:pStyle w:val="TOC3"/>
        <w:tabs>
          <w:tab w:val="right" w:leader="dot" w:pos="9350"/>
        </w:tabs>
        <w:rPr>
          <w:rFonts w:asciiTheme="minorHAnsi" w:hAnsiTheme="minorHAnsi" w:cstheme="minorBidi"/>
          <w:noProof/>
        </w:rPr>
      </w:pPr>
      <w:r>
        <w:rPr>
          <w:noProof/>
        </w:rPr>
        <w:t>Hurricane Katrina</w:t>
      </w:r>
      <w:r>
        <w:rPr>
          <w:noProof/>
        </w:rPr>
        <w:tab/>
      </w:r>
      <w:r>
        <w:rPr>
          <w:noProof/>
        </w:rPr>
        <w:fldChar w:fldCharType="begin"/>
      </w:r>
      <w:r>
        <w:rPr>
          <w:noProof/>
        </w:rPr>
        <w:instrText xml:space="preserve"> PAGEREF _Toc8062247 \h </w:instrText>
      </w:r>
      <w:r>
        <w:rPr>
          <w:noProof/>
        </w:rPr>
      </w:r>
      <w:r>
        <w:rPr>
          <w:noProof/>
        </w:rPr>
        <w:fldChar w:fldCharType="separate"/>
      </w:r>
      <w:r>
        <w:rPr>
          <w:noProof/>
        </w:rPr>
        <w:t>2</w:t>
      </w:r>
      <w:r>
        <w:rPr>
          <w:noProof/>
        </w:rPr>
        <w:fldChar w:fldCharType="end"/>
      </w:r>
    </w:p>
    <w:p w14:paraId="28102F26" w14:textId="4ACB1727" w:rsidR="00A804CF" w:rsidRDefault="00A804CF">
      <w:pPr>
        <w:pStyle w:val="TOC4"/>
        <w:tabs>
          <w:tab w:val="right" w:leader="dot" w:pos="9350"/>
        </w:tabs>
        <w:rPr>
          <w:rFonts w:asciiTheme="minorHAnsi" w:eastAsiaTheme="minorEastAsia" w:hAnsiTheme="minorHAnsi"/>
          <w:noProof/>
        </w:rPr>
      </w:pPr>
      <w:r>
        <w:rPr>
          <w:noProof/>
        </w:rPr>
        <w:t>The storm</w:t>
      </w:r>
      <w:r>
        <w:rPr>
          <w:noProof/>
        </w:rPr>
        <w:tab/>
      </w:r>
      <w:r>
        <w:rPr>
          <w:noProof/>
        </w:rPr>
        <w:fldChar w:fldCharType="begin"/>
      </w:r>
      <w:r>
        <w:rPr>
          <w:noProof/>
        </w:rPr>
        <w:instrText xml:space="preserve"> PAGEREF _Toc8062248 \h </w:instrText>
      </w:r>
      <w:r>
        <w:rPr>
          <w:noProof/>
        </w:rPr>
      </w:r>
      <w:r>
        <w:rPr>
          <w:noProof/>
        </w:rPr>
        <w:fldChar w:fldCharType="separate"/>
      </w:r>
      <w:r>
        <w:rPr>
          <w:noProof/>
        </w:rPr>
        <w:t>2</w:t>
      </w:r>
      <w:r>
        <w:rPr>
          <w:noProof/>
        </w:rPr>
        <w:fldChar w:fldCharType="end"/>
      </w:r>
    </w:p>
    <w:p w14:paraId="0FED8F83" w14:textId="4F6E5849" w:rsidR="00A804CF" w:rsidRDefault="00A804CF">
      <w:pPr>
        <w:pStyle w:val="TOC4"/>
        <w:tabs>
          <w:tab w:val="right" w:leader="dot" w:pos="9350"/>
        </w:tabs>
        <w:rPr>
          <w:rFonts w:asciiTheme="minorHAnsi" w:eastAsiaTheme="minorEastAsia" w:hAnsiTheme="minorHAnsi"/>
          <w:noProof/>
        </w:rPr>
      </w:pPr>
      <w:r>
        <w:rPr>
          <w:noProof/>
        </w:rPr>
        <w:t>What went wrong</w:t>
      </w:r>
      <w:r>
        <w:rPr>
          <w:noProof/>
        </w:rPr>
        <w:tab/>
      </w:r>
      <w:r>
        <w:rPr>
          <w:noProof/>
        </w:rPr>
        <w:fldChar w:fldCharType="begin"/>
      </w:r>
      <w:r>
        <w:rPr>
          <w:noProof/>
        </w:rPr>
        <w:instrText xml:space="preserve"> PAGEREF _Toc8062249 \h </w:instrText>
      </w:r>
      <w:r>
        <w:rPr>
          <w:noProof/>
        </w:rPr>
      </w:r>
      <w:r>
        <w:rPr>
          <w:noProof/>
        </w:rPr>
        <w:fldChar w:fldCharType="separate"/>
      </w:r>
      <w:r>
        <w:rPr>
          <w:noProof/>
        </w:rPr>
        <w:t>4</w:t>
      </w:r>
      <w:r>
        <w:rPr>
          <w:noProof/>
        </w:rPr>
        <w:fldChar w:fldCharType="end"/>
      </w:r>
    </w:p>
    <w:p w14:paraId="27A74BBD" w14:textId="73C5F3B6" w:rsidR="00A804CF" w:rsidRDefault="00A804CF">
      <w:pPr>
        <w:pStyle w:val="TOC4"/>
        <w:tabs>
          <w:tab w:val="right" w:leader="dot" w:pos="9350"/>
        </w:tabs>
        <w:rPr>
          <w:rFonts w:asciiTheme="minorHAnsi" w:eastAsiaTheme="minorEastAsia" w:hAnsiTheme="minorHAnsi"/>
          <w:noProof/>
        </w:rPr>
      </w:pPr>
      <w:r>
        <w:rPr>
          <w:noProof/>
        </w:rPr>
        <w:t>A toxic environment</w:t>
      </w:r>
      <w:r>
        <w:rPr>
          <w:noProof/>
        </w:rPr>
        <w:tab/>
      </w:r>
      <w:r>
        <w:rPr>
          <w:noProof/>
        </w:rPr>
        <w:fldChar w:fldCharType="begin"/>
      </w:r>
      <w:r>
        <w:rPr>
          <w:noProof/>
        </w:rPr>
        <w:instrText xml:space="preserve"> PAGEREF _Toc8062250 \h </w:instrText>
      </w:r>
      <w:r>
        <w:rPr>
          <w:noProof/>
        </w:rPr>
      </w:r>
      <w:r>
        <w:rPr>
          <w:noProof/>
        </w:rPr>
        <w:fldChar w:fldCharType="separate"/>
      </w:r>
      <w:r>
        <w:rPr>
          <w:noProof/>
        </w:rPr>
        <w:t>6</w:t>
      </w:r>
      <w:r>
        <w:rPr>
          <w:noProof/>
        </w:rPr>
        <w:fldChar w:fldCharType="end"/>
      </w:r>
    </w:p>
    <w:p w14:paraId="58115F82" w14:textId="040FFA20" w:rsidR="00A804CF" w:rsidRDefault="00A804CF">
      <w:pPr>
        <w:pStyle w:val="TOC4"/>
        <w:tabs>
          <w:tab w:val="right" w:leader="dot" w:pos="9350"/>
        </w:tabs>
        <w:rPr>
          <w:rFonts w:asciiTheme="minorHAnsi" w:eastAsiaTheme="minorEastAsia" w:hAnsiTheme="minorHAnsi"/>
          <w:noProof/>
        </w:rPr>
      </w:pPr>
      <w:r>
        <w:rPr>
          <w:noProof/>
        </w:rPr>
        <w:t>The Lower Ninth Ward</w:t>
      </w:r>
      <w:r>
        <w:rPr>
          <w:noProof/>
        </w:rPr>
        <w:tab/>
      </w:r>
      <w:r>
        <w:rPr>
          <w:noProof/>
        </w:rPr>
        <w:fldChar w:fldCharType="begin"/>
      </w:r>
      <w:r>
        <w:rPr>
          <w:noProof/>
        </w:rPr>
        <w:instrText xml:space="preserve"> PAGEREF _Toc8062251 \h </w:instrText>
      </w:r>
      <w:r>
        <w:rPr>
          <w:noProof/>
        </w:rPr>
      </w:r>
      <w:r>
        <w:rPr>
          <w:noProof/>
        </w:rPr>
        <w:fldChar w:fldCharType="separate"/>
      </w:r>
      <w:r>
        <w:rPr>
          <w:noProof/>
        </w:rPr>
        <w:t>8</w:t>
      </w:r>
      <w:r>
        <w:rPr>
          <w:noProof/>
        </w:rPr>
        <w:fldChar w:fldCharType="end"/>
      </w:r>
    </w:p>
    <w:p w14:paraId="2D89F3DE" w14:textId="69496543" w:rsidR="00A804CF" w:rsidRDefault="00A804CF">
      <w:pPr>
        <w:pStyle w:val="TOC4"/>
        <w:tabs>
          <w:tab w:val="right" w:leader="dot" w:pos="9350"/>
        </w:tabs>
        <w:rPr>
          <w:rFonts w:asciiTheme="minorHAnsi" w:eastAsiaTheme="minorEastAsia" w:hAnsiTheme="minorHAnsi"/>
          <w:noProof/>
        </w:rPr>
      </w:pPr>
      <w:r>
        <w:rPr>
          <w:noProof/>
        </w:rPr>
        <w:t>The immortal trailer</w:t>
      </w:r>
      <w:r>
        <w:rPr>
          <w:noProof/>
        </w:rPr>
        <w:tab/>
      </w:r>
      <w:r>
        <w:rPr>
          <w:noProof/>
        </w:rPr>
        <w:fldChar w:fldCharType="begin"/>
      </w:r>
      <w:r>
        <w:rPr>
          <w:noProof/>
        </w:rPr>
        <w:instrText xml:space="preserve"> PAGEREF _Toc8062252 \h </w:instrText>
      </w:r>
      <w:r>
        <w:rPr>
          <w:noProof/>
        </w:rPr>
      </w:r>
      <w:r>
        <w:rPr>
          <w:noProof/>
        </w:rPr>
        <w:fldChar w:fldCharType="separate"/>
      </w:r>
      <w:r>
        <w:rPr>
          <w:noProof/>
        </w:rPr>
        <w:t>12</w:t>
      </w:r>
      <w:r>
        <w:rPr>
          <w:noProof/>
        </w:rPr>
        <w:fldChar w:fldCharType="end"/>
      </w:r>
    </w:p>
    <w:p w14:paraId="205D45DF" w14:textId="3BC29BCC" w:rsidR="00A804CF" w:rsidRDefault="00A804CF">
      <w:pPr>
        <w:pStyle w:val="TOC4"/>
        <w:tabs>
          <w:tab w:val="right" w:leader="dot" w:pos="9350"/>
        </w:tabs>
        <w:rPr>
          <w:rFonts w:asciiTheme="minorHAnsi" w:eastAsiaTheme="minorEastAsia" w:hAnsiTheme="minorHAnsi"/>
          <w:noProof/>
        </w:rPr>
      </w:pPr>
      <w:r>
        <w:rPr>
          <w:noProof/>
        </w:rPr>
        <w:t>What changed</w:t>
      </w:r>
      <w:r>
        <w:rPr>
          <w:noProof/>
        </w:rPr>
        <w:tab/>
      </w:r>
      <w:r>
        <w:rPr>
          <w:noProof/>
        </w:rPr>
        <w:fldChar w:fldCharType="begin"/>
      </w:r>
      <w:r>
        <w:rPr>
          <w:noProof/>
        </w:rPr>
        <w:instrText xml:space="preserve"> PAGEREF _Toc8062253 \h </w:instrText>
      </w:r>
      <w:r>
        <w:rPr>
          <w:noProof/>
        </w:rPr>
      </w:r>
      <w:r>
        <w:rPr>
          <w:noProof/>
        </w:rPr>
        <w:fldChar w:fldCharType="separate"/>
      </w:r>
      <w:r>
        <w:rPr>
          <w:noProof/>
        </w:rPr>
        <w:t>12</w:t>
      </w:r>
      <w:r>
        <w:rPr>
          <w:noProof/>
        </w:rPr>
        <w:fldChar w:fldCharType="end"/>
      </w:r>
    </w:p>
    <w:p w14:paraId="354E34A9" w14:textId="52B4E699" w:rsidR="00A804CF" w:rsidRDefault="00A804CF">
      <w:pPr>
        <w:pStyle w:val="TOC3"/>
        <w:tabs>
          <w:tab w:val="right" w:leader="dot" w:pos="9350"/>
        </w:tabs>
        <w:rPr>
          <w:rFonts w:asciiTheme="minorHAnsi" w:hAnsiTheme="minorHAnsi" w:cstheme="minorBidi"/>
          <w:noProof/>
        </w:rPr>
      </w:pPr>
      <w:r>
        <w:rPr>
          <w:noProof/>
        </w:rPr>
        <w:t>Hurricane Harvey</w:t>
      </w:r>
      <w:r>
        <w:rPr>
          <w:noProof/>
        </w:rPr>
        <w:tab/>
      </w:r>
      <w:r>
        <w:rPr>
          <w:noProof/>
        </w:rPr>
        <w:fldChar w:fldCharType="begin"/>
      </w:r>
      <w:r>
        <w:rPr>
          <w:noProof/>
        </w:rPr>
        <w:instrText xml:space="preserve"> PAGEREF _Toc8062254 \h </w:instrText>
      </w:r>
      <w:r>
        <w:rPr>
          <w:noProof/>
        </w:rPr>
      </w:r>
      <w:r>
        <w:rPr>
          <w:noProof/>
        </w:rPr>
        <w:fldChar w:fldCharType="separate"/>
      </w:r>
      <w:r>
        <w:rPr>
          <w:noProof/>
        </w:rPr>
        <w:t>14</w:t>
      </w:r>
      <w:r>
        <w:rPr>
          <w:noProof/>
        </w:rPr>
        <w:fldChar w:fldCharType="end"/>
      </w:r>
    </w:p>
    <w:p w14:paraId="1446F729" w14:textId="136D9F51" w:rsidR="00A804CF" w:rsidRDefault="00A804CF">
      <w:pPr>
        <w:pStyle w:val="TOC4"/>
        <w:tabs>
          <w:tab w:val="right" w:leader="dot" w:pos="9350"/>
        </w:tabs>
        <w:rPr>
          <w:rFonts w:asciiTheme="minorHAnsi" w:eastAsiaTheme="minorEastAsia" w:hAnsiTheme="minorHAnsi"/>
          <w:noProof/>
        </w:rPr>
      </w:pPr>
      <w:r>
        <w:rPr>
          <w:noProof/>
        </w:rPr>
        <w:t>The storm</w:t>
      </w:r>
      <w:r>
        <w:rPr>
          <w:noProof/>
        </w:rPr>
        <w:tab/>
      </w:r>
      <w:r>
        <w:rPr>
          <w:noProof/>
        </w:rPr>
        <w:fldChar w:fldCharType="begin"/>
      </w:r>
      <w:r>
        <w:rPr>
          <w:noProof/>
        </w:rPr>
        <w:instrText xml:space="preserve"> PAGEREF _Toc8062255 \h </w:instrText>
      </w:r>
      <w:r>
        <w:rPr>
          <w:noProof/>
        </w:rPr>
      </w:r>
      <w:r>
        <w:rPr>
          <w:noProof/>
        </w:rPr>
        <w:fldChar w:fldCharType="separate"/>
      </w:r>
      <w:r>
        <w:rPr>
          <w:noProof/>
        </w:rPr>
        <w:t>14</w:t>
      </w:r>
      <w:r>
        <w:rPr>
          <w:noProof/>
        </w:rPr>
        <w:fldChar w:fldCharType="end"/>
      </w:r>
    </w:p>
    <w:p w14:paraId="0184A97A" w14:textId="0B8971C1" w:rsidR="00A804CF" w:rsidRDefault="00A804CF">
      <w:pPr>
        <w:pStyle w:val="TOC4"/>
        <w:tabs>
          <w:tab w:val="right" w:leader="dot" w:pos="9350"/>
        </w:tabs>
        <w:rPr>
          <w:rFonts w:asciiTheme="minorHAnsi" w:eastAsiaTheme="minorEastAsia" w:hAnsiTheme="minorHAnsi"/>
          <w:noProof/>
        </w:rPr>
      </w:pPr>
      <w:r>
        <w:rPr>
          <w:noProof/>
        </w:rPr>
        <w:t>Agency response and housing the displaced</w:t>
      </w:r>
      <w:r>
        <w:rPr>
          <w:noProof/>
        </w:rPr>
        <w:tab/>
      </w:r>
      <w:r>
        <w:rPr>
          <w:noProof/>
        </w:rPr>
        <w:fldChar w:fldCharType="begin"/>
      </w:r>
      <w:r>
        <w:rPr>
          <w:noProof/>
        </w:rPr>
        <w:instrText xml:space="preserve"> PAGEREF _Toc8062256 \h </w:instrText>
      </w:r>
      <w:r>
        <w:rPr>
          <w:noProof/>
        </w:rPr>
      </w:r>
      <w:r>
        <w:rPr>
          <w:noProof/>
        </w:rPr>
        <w:fldChar w:fldCharType="separate"/>
      </w:r>
      <w:r>
        <w:rPr>
          <w:noProof/>
        </w:rPr>
        <w:t>15</w:t>
      </w:r>
      <w:r>
        <w:rPr>
          <w:noProof/>
        </w:rPr>
        <w:fldChar w:fldCharType="end"/>
      </w:r>
    </w:p>
    <w:p w14:paraId="59666F08" w14:textId="25B75038" w:rsidR="00A804CF" w:rsidRDefault="00A804CF">
      <w:pPr>
        <w:pStyle w:val="TOC4"/>
        <w:tabs>
          <w:tab w:val="right" w:leader="dot" w:pos="9350"/>
        </w:tabs>
        <w:rPr>
          <w:rFonts w:asciiTheme="minorHAnsi" w:eastAsiaTheme="minorEastAsia" w:hAnsiTheme="minorHAnsi"/>
          <w:noProof/>
        </w:rPr>
      </w:pPr>
      <w:r>
        <w:rPr>
          <w:noProof/>
        </w:rPr>
        <w:t>Kashmere Gardens</w:t>
      </w:r>
      <w:r>
        <w:rPr>
          <w:noProof/>
        </w:rPr>
        <w:tab/>
      </w:r>
      <w:r>
        <w:rPr>
          <w:noProof/>
        </w:rPr>
        <w:fldChar w:fldCharType="begin"/>
      </w:r>
      <w:r>
        <w:rPr>
          <w:noProof/>
        </w:rPr>
        <w:instrText xml:space="preserve"> PAGEREF _Toc8062257 \h </w:instrText>
      </w:r>
      <w:r>
        <w:rPr>
          <w:noProof/>
        </w:rPr>
      </w:r>
      <w:r>
        <w:rPr>
          <w:noProof/>
        </w:rPr>
        <w:fldChar w:fldCharType="separate"/>
      </w:r>
      <w:r>
        <w:rPr>
          <w:noProof/>
        </w:rPr>
        <w:t>16</w:t>
      </w:r>
      <w:r>
        <w:rPr>
          <w:noProof/>
        </w:rPr>
        <w:fldChar w:fldCharType="end"/>
      </w:r>
    </w:p>
    <w:p w14:paraId="49BE6B36" w14:textId="172A0487" w:rsidR="00A804CF" w:rsidRDefault="00A804CF">
      <w:pPr>
        <w:pStyle w:val="TOC2"/>
        <w:rPr>
          <w:rFonts w:asciiTheme="minorHAnsi" w:hAnsiTheme="minorHAnsi" w:cstheme="minorBidi"/>
          <w:noProof/>
        </w:rPr>
      </w:pPr>
      <w:r>
        <w:rPr>
          <w:noProof/>
        </w:rPr>
        <w:t>1.2 Approach</w:t>
      </w:r>
      <w:r>
        <w:rPr>
          <w:noProof/>
        </w:rPr>
        <w:tab/>
      </w:r>
      <w:r>
        <w:rPr>
          <w:noProof/>
        </w:rPr>
        <w:fldChar w:fldCharType="begin"/>
      </w:r>
      <w:r>
        <w:rPr>
          <w:noProof/>
        </w:rPr>
        <w:instrText xml:space="preserve"> PAGEREF _Toc8062258 \h </w:instrText>
      </w:r>
      <w:r>
        <w:rPr>
          <w:noProof/>
        </w:rPr>
      </w:r>
      <w:r>
        <w:rPr>
          <w:noProof/>
        </w:rPr>
        <w:fldChar w:fldCharType="separate"/>
      </w:r>
      <w:r>
        <w:rPr>
          <w:noProof/>
        </w:rPr>
        <w:t>18</w:t>
      </w:r>
      <w:r>
        <w:rPr>
          <w:noProof/>
        </w:rPr>
        <w:fldChar w:fldCharType="end"/>
      </w:r>
    </w:p>
    <w:p w14:paraId="2923CBBD" w14:textId="6625AC03" w:rsidR="00A804CF" w:rsidRDefault="00A804CF">
      <w:pPr>
        <w:pStyle w:val="TOC1"/>
        <w:rPr>
          <w:rFonts w:asciiTheme="minorHAnsi" w:hAnsiTheme="minorHAnsi" w:cstheme="minorBidi"/>
          <w:noProof/>
          <w:sz w:val="22"/>
        </w:rPr>
      </w:pPr>
      <w:r>
        <w:rPr>
          <w:noProof/>
        </w:rPr>
        <w:t>CHAPTER 2: LITERATURE REVIEW</w:t>
      </w:r>
      <w:r>
        <w:rPr>
          <w:noProof/>
        </w:rPr>
        <w:tab/>
      </w:r>
      <w:r>
        <w:rPr>
          <w:noProof/>
        </w:rPr>
        <w:fldChar w:fldCharType="begin"/>
      </w:r>
      <w:r>
        <w:rPr>
          <w:noProof/>
        </w:rPr>
        <w:instrText xml:space="preserve"> PAGEREF _Toc8062259 \h </w:instrText>
      </w:r>
      <w:r>
        <w:rPr>
          <w:noProof/>
        </w:rPr>
      </w:r>
      <w:r>
        <w:rPr>
          <w:noProof/>
        </w:rPr>
        <w:fldChar w:fldCharType="separate"/>
      </w:r>
      <w:r>
        <w:rPr>
          <w:noProof/>
        </w:rPr>
        <w:t>21</w:t>
      </w:r>
      <w:r>
        <w:rPr>
          <w:noProof/>
        </w:rPr>
        <w:fldChar w:fldCharType="end"/>
      </w:r>
    </w:p>
    <w:p w14:paraId="5D4BD252" w14:textId="5E693B37" w:rsidR="00A804CF" w:rsidRDefault="00A804CF">
      <w:pPr>
        <w:pStyle w:val="TOC2"/>
        <w:rPr>
          <w:rFonts w:asciiTheme="minorHAnsi" w:hAnsiTheme="minorHAnsi" w:cstheme="minorBidi"/>
          <w:noProof/>
        </w:rPr>
      </w:pPr>
      <w:r>
        <w:rPr>
          <w:noProof/>
        </w:rPr>
        <w:t>2.1 Tiny Housing</w:t>
      </w:r>
      <w:r>
        <w:rPr>
          <w:noProof/>
        </w:rPr>
        <w:tab/>
      </w:r>
      <w:r>
        <w:rPr>
          <w:noProof/>
        </w:rPr>
        <w:fldChar w:fldCharType="begin"/>
      </w:r>
      <w:r>
        <w:rPr>
          <w:noProof/>
        </w:rPr>
        <w:instrText xml:space="preserve"> PAGEREF _Toc8062260 \h </w:instrText>
      </w:r>
      <w:r>
        <w:rPr>
          <w:noProof/>
        </w:rPr>
      </w:r>
      <w:r>
        <w:rPr>
          <w:noProof/>
        </w:rPr>
        <w:fldChar w:fldCharType="separate"/>
      </w:r>
      <w:r>
        <w:rPr>
          <w:noProof/>
        </w:rPr>
        <w:t>21</w:t>
      </w:r>
      <w:r>
        <w:rPr>
          <w:noProof/>
        </w:rPr>
        <w:fldChar w:fldCharType="end"/>
      </w:r>
    </w:p>
    <w:p w14:paraId="40D08AA0" w14:textId="18A69812" w:rsidR="00A804CF" w:rsidRDefault="00A804CF">
      <w:pPr>
        <w:pStyle w:val="TOC3"/>
        <w:tabs>
          <w:tab w:val="right" w:leader="dot" w:pos="9350"/>
        </w:tabs>
        <w:rPr>
          <w:rFonts w:asciiTheme="minorHAnsi" w:hAnsiTheme="minorHAnsi" w:cstheme="minorBidi"/>
          <w:noProof/>
        </w:rPr>
      </w:pPr>
      <w:r>
        <w:rPr>
          <w:noProof/>
        </w:rPr>
        <w:t>Living Deliberately</w:t>
      </w:r>
      <w:r>
        <w:rPr>
          <w:noProof/>
        </w:rPr>
        <w:tab/>
      </w:r>
      <w:r>
        <w:rPr>
          <w:noProof/>
        </w:rPr>
        <w:fldChar w:fldCharType="begin"/>
      </w:r>
      <w:r>
        <w:rPr>
          <w:noProof/>
        </w:rPr>
        <w:instrText xml:space="preserve"> PAGEREF _Toc8062261 \h </w:instrText>
      </w:r>
      <w:r>
        <w:rPr>
          <w:noProof/>
        </w:rPr>
      </w:r>
      <w:r>
        <w:rPr>
          <w:noProof/>
        </w:rPr>
        <w:fldChar w:fldCharType="separate"/>
      </w:r>
      <w:r>
        <w:rPr>
          <w:noProof/>
        </w:rPr>
        <w:t>21</w:t>
      </w:r>
      <w:r>
        <w:rPr>
          <w:noProof/>
        </w:rPr>
        <w:fldChar w:fldCharType="end"/>
      </w:r>
    </w:p>
    <w:p w14:paraId="1B62F91D" w14:textId="7854DC74" w:rsidR="00A804CF" w:rsidRDefault="00A804CF">
      <w:pPr>
        <w:pStyle w:val="TOC3"/>
        <w:tabs>
          <w:tab w:val="right" w:leader="dot" w:pos="9350"/>
        </w:tabs>
        <w:rPr>
          <w:rFonts w:asciiTheme="minorHAnsi" w:hAnsiTheme="minorHAnsi" w:cstheme="minorBidi"/>
          <w:noProof/>
        </w:rPr>
      </w:pPr>
      <w:r>
        <w:rPr>
          <w:noProof/>
        </w:rPr>
        <w:t>Size Matters</w:t>
      </w:r>
      <w:r>
        <w:rPr>
          <w:noProof/>
        </w:rPr>
        <w:tab/>
      </w:r>
      <w:r>
        <w:rPr>
          <w:noProof/>
        </w:rPr>
        <w:fldChar w:fldCharType="begin"/>
      </w:r>
      <w:r>
        <w:rPr>
          <w:noProof/>
        </w:rPr>
        <w:instrText xml:space="preserve"> PAGEREF _Toc8062262 \h </w:instrText>
      </w:r>
      <w:r>
        <w:rPr>
          <w:noProof/>
        </w:rPr>
      </w:r>
      <w:r>
        <w:rPr>
          <w:noProof/>
        </w:rPr>
        <w:fldChar w:fldCharType="separate"/>
      </w:r>
      <w:r>
        <w:rPr>
          <w:noProof/>
        </w:rPr>
        <w:t>23</w:t>
      </w:r>
      <w:r>
        <w:rPr>
          <w:noProof/>
        </w:rPr>
        <w:fldChar w:fldCharType="end"/>
      </w:r>
    </w:p>
    <w:p w14:paraId="3EFB90F9" w14:textId="4FD6E0DE" w:rsidR="00A804CF" w:rsidRDefault="00A804CF">
      <w:pPr>
        <w:pStyle w:val="TOC2"/>
        <w:rPr>
          <w:rFonts w:asciiTheme="minorHAnsi" w:hAnsiTheme="minorHAnsi" w:cstheme="minorBidi"/>
          <w:noProof/>
        </w:rPr>
      </w:pPr>
      <w:r>
        <w:rPr>
          <w:noProof/>
        </w:rPr>
        <w:t>2.2 Off-grid Technologies</w:t>
      </w:r>
      <w:r>
        <w:rPr>
          <w:noProof/>
        </w:rPr>
        <w:tab/>
      </w:r>
      <w:r>
        <w:rPr>
          <w:noProof/>
        </w:rPr>
        <w:fldChar w:fldCharType="begin"/>
      </w:r>
      <w:r>
        <w:rPr>
          <w:noProof/>
        </w:rPr>
        <w:instrText xml:space="preserve"> PAGEREF _Toc8062263 \h </w:instrText>
      </w:r>
      <w:r>
        <w:rPr>
          <w:noProof/>
        </w:rPr>
      </w:r>
      <w:r>
        <w:rPr>
          <w:noProof/>
        </w:rPr>
        <w:fldChar w:fldCharType="separate"/>
      </w:r>
      <w:r>
        <w:rPr>
          <w:noProof/>
        </w:rPr>
        <w:t>24</w:t>
      </w:r>
      <w:r>
        <w:rPr>
          <w:noProof/>
        </w:rPr>
        <w:fldChar w:fldCharType="end"/>
      </w:r>
    </w:p>
    <w:p w14:paraId="53F56637" w14:textId="7BCFEE25" w:rsidR="00A804CF" w:rsidRDefault="00A804CF">
      <w:pPr>
        <w:pStyle w:val="TOC3"/>
        <w:tabs>
          <w:tab w:val="right" w:leader="dot" w:pos="9350"/>
        </w:tabs>
        <w:rPr>
          <w:rFonts w:asciiTheme="minorHAnsi" w:hAnsiTheme="minorHAnsi" w:cstheme="minorBidi"/>
          <w:noProof/>
        </w:rPr>
      </w:pPr>
      <w:r>
        <w:rPr>
          <w:noProof/>
        </w:rPr>
        <w:t>Thermal Regulation</w:t>
      </w:r>
      <w:r>
        <w:rPr>
          <w:noProof/>
        </w:rPr>
        <w:tab/>
      </w:r>
      <w:r>
        <w:rPr>
          <w:noProof/>
        </w:rPr>
        <w:fldChar w:fldCharType="begin"/>
      </w:r>
      <w:r>
        <w:rPr>
          <w:noProof/>
        </w:rPr>
        <w:instrText xml:space="preserve"> PAGEREF _Toc8062264 \h </w:instrText>
      </w:r>
      <w:r>
        <w:rPr>
          <w:noProof/>
        </w:rPr>
      </w:r>
      <w:r>
        <w:rPr>
          <w:noProof/>
        </w:rPr>
        <w:fldChar w:fldCharType="separate"/>
      </w:r>
      <w:r>
        <w:rPr>
          <w:noProof/>
        </w:rPr>
        <w:t>24</w:t>
      </w:r>
      <w:r>
        <w:rPr>
          <w:noProof/>
        </w:rPr>
        <w:fldChar w:fldCharType="end"/>
      </w:r>
    </w:p>
    <w:p w14:paraId="085F29F2" w14:textId="623ED535" w:rsidR="00A804CF" w:rsidRDefault="00A804CF">
      <w:pPr>
        <w:pStyle w:val="TOC3"/>
        <w:tabs>
          <w:tab w:val="right" w:leader="dot" w:pos="9350"/>
        </w:tabs>
        <w:rPr>
          <w:rFonts w:asciiTheme="minorHAnsi" w:hAnsiTheme="minorHAnsi" w:cstheme="minorBidi"/>
          <w:noProof/>
        </w:rPr>
      </w:pPr>
      <w:r>
        <w:rPr>
          <w:noProof/>
        </w:rPr>
        <w:t>Water Catchment</w:t>
      </w:r>
      <w:r>
        <w:rPr>
          <w:noProof/>
        </w:rPr>
        <w:tab/>
      </w:r>
      <w:r>
        <w:rPr>
          <w:noProof/>
        </w:rPr>
        <w:fldChar w:fldCharType="begin"/>
      </w:r>
      <w:r>
        <w:rPr>
          <w:noProof/>
        </w:rPr>
        <w:instrText xml:space="preserve"> PAGEREF _Toc8062265 \h </w:instrText>
      </w:r>
      <w:r>
        <w:rPr>
          <w:noProof/>
        </w:rPr>
      </w:r>
      <w:r>
        <w:rPr>
          <w:noProof/>
        </w:rPr>
        <w:fldChar w:fldCharType="separate"/>
      </w:r>
      <w:r>
        <w:rPr>
          <w:noProof/>
        </w:rPr>
        <w:t>28</w:t>
      </w:r>
      <w:r>
        <w:rPr>
          <w:noProof/>
        </w:rPr>
        <w:fldChar w:fldCharType="end"/>
      </w:r>
    </w:p>
    <w:p w14:paraId="45D8D3D9" w14:textId="7497F8A0" w:rsidR="00A804CF" w:rsidRDefault="00A804CF">
      <w:pPr>
        <w:pStyle w:val="TOC3"/>
        <w:tabs>
          <w:tab w:val="right" w:leader="dot" w:pos="9350"/>
        </w:tabs>
        <w:rPr>
          <w:rFonts w:asciiTheme="minorHAnsi" w:hAnsiTheme="minorHAnsi" w:cstheme="minorBidi"/>
          <w:noProof/>
        </w:rPr>
      </w:pPr>
      <w:r>
        <w:rPr>
          <w:noProof/>
        </w:rPr>
        <w:t>Net-zero Water Treatment</w:t>
      </w:r>
      <w:r>
        <w:rPr>
          <w:noProof/>
        </w:rPr>
        <w:tab/>
      </w:r>
      <w:r>
        <w:rPr>
          <w:noProof/>
        </w:rPr>
        <w:fldChar w:fldCharType="begin"/>
      </w:r>
      <w:r>
        <w:rPr>
          <w:noProof/>
        </w:rPr>
        <w:instrText xml:space="preserve"> PAGEREF _Toc8062266 \h </w:instrText>
      </w:r>
      <w:r>
        <w:rPr>
          <w:noProof/>
        </w:rPr>
      </w:r>
      <w:r>
        <w:rPr>
          <w:noProof/>
        </w:rPr>
        <w:fldChar w:fldCharType="separate"/>
      </w:r>
      <w:r>
        <w:rPr>
          <w:noProof/>
        </w:rPr>
        <w:t>29</w:t>
      </w:r>
      <w:r>
        <w:rPr>
          <w:noProof/>
        </w:rPr>
        <w:fldChar w:fldCharType="end"/>
      </w:r>
    </w:p>
    <w:p w14:paraId="2A4408BF" w14:textId="1AADC213" w:rsidR="00A804CF" w:rsidRDefault="00A804CF">
      <w:pPr>
        <w:pStyle w:val="TOC2"/>
        <w:rPr>
          <w:rFonts w:asciiTheme="minorHAnsi" w:hAnsiTheme="minorHAnsi" w:cstheme="minorBidi"/>
          <w:noProof/>
        </w:rPr>
      </w:pPr>
      <w:r>
        <w:rPr>
          <w:noProof/>
        </w:rPr>
        <w:t>2.3 The First Crusaders</w:t>
      </w:r>
      <w:r>
        <w:rPr>
          <w:noProof/>
        </w:rPr>
        <w:tab/>
      </w:r>
      <w:r>
        <w:rPr>
          <w:noProof/>
        </w:rPr>
        <w:fldChar w:fldCharType="begin"/>
      </w:r>
      <w:r>
        <w:rPr>
          <w:noProof/>
        </w:rPr>
        <w:instrText xml:space="preserve"> PAGEREF _Toc8062267 \h </w:instrText>
      </w:r>
      <w:r>
        <w:rPr>
          <w:noProof/>
        </w:rPr>
      </w:r>
      <w:r>
        <w:rPr>
          <w:noProof/>
        </w:rPr>
        <w:fldChar w:fldCharType="separate"/>
      </w:r>
      <w:r>
        <w:rPr>
          <w:noProof/>
        </w:rPr>
        <w:t>32</w:t>
      </w:r>
      <w:r>
        <w:rPr>
          <w:noProof/>
        </w:rPr>
        <w:fldChar w:fldCharType="end"/>
      </w:r>
    </w:p>
    <w:p w14:paraId="0F1043DB" w14:textId="2413B9E5" w:rsidR="00A804CF" w:rsidRDefault="00A804CF">
      <w:pPr>
        <w:pStyle w:val="TOC3"/>
        <w:tabs>
          <w:tab w:val="right" w:leader="dot" w:pos="9350"/>
        </w:tabs>
        <w:rPr>
          <w:rFonts w:asciiTheme="minorHAnsi" w:hAnsiTheme="minorHAnsi" w:cstheme="minorBidi"/>
          <w:noProof/>
        </w:rPr>
      </w:pPr>
      <w:r>
        <w:rPr>
          <w:noProof/>
        </w:rPr>
        <w:t>Katrina Cottage</w:t>
      </w:r>
      <w:r>
        <w:rPr>
          <w:noProof/>
        </w:rPr>
        <w:tab/>
      </w:r>
      <w:r>
        <w:rPr>
          <w:noProof/>
        </w:rPr>
        <w:fldChar w:fldCharType="begin"/>
      </w:r>
      <w:r>
        <w:rPr>
          <w:noProof/>
        </w:rPr>
        <w:instrText xml:space="preserve"> PAGEREF _Toc8062268 \h </w:instrText>
      </w:r>
      <w:r>
        <w:rPr>
          <w:noProof/>
        </w:rPr>
      </w:r>
      <w:r>
        <w:rPr>
          <w:noProof/>
        </w:rPr>
        <w:fldChar w:fldCharType="separate"/>
      </w:r>
      <w:r>
        <w:rPr>
          <w:noProof/>
        </w:rPr>
        <w:t>32</w:t>
      </w:r>
      <w:r>
        <w:rPr>
          <w:noProof/>
        </w:rPr>
        <w:fldChar w:fldCharType="end"/>
      </w:r>
    </w:p>
    <w:p w14:paraId="7E07F26F" w14:textId="4BF06353" w:rsidR="00A804CF" w:rsidRDefault="00A804CF">
      <w:pPr>
        <w:pStyle w:val="TOC3"/>
        <w:tabs>
          <w:tab w:val="right" w:leader="dot" w:pos="9350"/>
        </w:tabs>
        <w:rPr>
          <w:rFonts w:asciiTheme="minorHAnsi" w:hAnsiTheme="minorHAnsi" w:cstheme="minorBidi"/>
          <w:noProof/>
        </w:rPr>
      </w:pPr>
      <w:r>
        <w:rPr>
          <w:noProof/>
        </w:rPr>
        <w:t>Make It Right</w:t>
      </w:r>
      <w:r>
        <w:rPr>
          <w:noProof/>
        </w:rPr>
        <w:tab/>
      </w:r>
      <w:r>
        <w:rPr>
          <w:noProof/>
        </w:rPr>
        <w:fldChar w:fldCharType="begin"/>
      </w:r>
      <w:r>
        <w:rPr>
          <w:noProof/>
        </w:rPr>
        <w:instrText xml:space="preserve"> PAGEREF _Toc8062269 \h </w:instrText>
      </w:r>
      <w:r>
        <w:rPr>
          <w:noProof/>
        </w:rPr>
      </w:r>
      <w:r>
        <w:rPr>
          <w:noProof/>
        </w:rPr>
        <w:fldChar w:fldCharType="separate"/>
      </w:r>
      <w:r>
        <w:rPr>
          <w:noProof/>
        </w:rPr>
        <w:t>35</w:t>
      </w:r>
      <w:r>
        <w:rPr>
          <w:noProof/>
        </w:rPr>
        <w:fldChar w:fldCharType="end"/>
      </w:r>
    </w:p>
    <w:p w14:paraId="11EC9047" w14:textId="4F276E1C" w:rsidR="00A804CF" w:rsidRDefault="00A804CF">
      <w:pPr>
        <w:pStyle w:val="TOC3"/>
        <w:tabs>
          <w:tab w:val="right" w:leader="dot" w:pos="9350"/>
        </w:tabs>
        <w:rPr>
          <w:rFonts w:asciiTheme="minorHAnsi" w:hAnsiTheme="minorHAnsi" w:cstheme="minorBidi"/>
          <w:noProof/>
        </w:rPr>
      </w:pPr>
      <w:r>
        <w:rPr>
          <w:noProof/>
        </w:rPr>
        <w:t>Lowernine.org</w:t>
      </w:r>
      <w:r>
        <w:rPr>
          <w:noProof/>
        </w:rPr>
        <w:tab/>
      </w:r>
      <w:r>
        <w:rPr>
          <w:noProof/>
        </w:rPr>
        <w:fldChar w:fldCharType="begin"/>
      </w:r>
      <w:r>
        <w:rPr>
          <w:noProof/>
        </w:rPr>
        <w:instrText xml:space="preserve"> PAGEREF _Toc8062270 \h </w:instrText>
      </w:r>
      <w:r>
        <w:rPr>
          <w:noProof/>
        </w:rPr>
      </w:r>
      <w:r>
        <w:rPr>
          <w:noProof/>
        </w:rPr>
        <w:fldChar w:fldCharType="separate"/>
      </w:r>
      <w:r>
        <w:rPr>
          <w:noProof/>
        </w:rPr>
        <w:t>37</w:t>
      </w:r>
      <w:r>
        <w:rPr>
          <w:noProof/>
        </w:rPr>
        <w:fldChar w:fldCharType="end"/>
      </w:r>
    </w:p>
    <w:p w14:paraId="3B67A253" w14:textId="6D856E41" w:rsidR="00A804CF" w:rsidRDefault="00A804CF">
      <w:pPr>
        <w:pStyle w:val="TOC2"/>
        <w:rPr>
          <w:rFonts w:asciiTheme="minorHAnsi" w:hAnsiTheme="minorHAnsi" w:cstheme="minorBidi"/>
          <w:noProof/>
        </w:rPr>
      </w:pPr>
      <w:r>
        <w:rPr>
          <w:noProof/>
        </w:rPr>
        <w:t>2.4 Tiny Concepts</w:t>
      </w:r>
      <w:r>
        <w:rPr>
          <w:noProof/>
        </w:rPr>
        <w:tab/>
      </w:r>
      <w:r>
        <w:rPr>
          <w:noProof/>
        </w:rPr>
        <w:fldChar w:fldCharType="begin"/>
      </w:r>
      <w:r>
        <w:rPr>
          <w:noProof/>
        </w:rPr>
        <w:instrText xml:space="preserve"> PAGEREF _Toc8062271 \h </w:instrText>
      </w:r>
      <w:r>
        <w:rPr>
          <w:noProof/>
        </w:rPr>
      </w:r>
      <w:r>
        <w:rPr>
          <w:noProof/>
        </w:rPr>
        <w:fldChar w:fldCharType="separate"/>
      </w:r>
      <w:r>
        <w:rPr>
          <w:noProof/>
        </w:rPr>
        <w:t>38</w:t>
      </w:r>
      <w:r>
        <w:rPr>
          <w:noProof/>
        </w:rPr>
        <w:fldChar w:fldCharType="end"/>
      </w:r>
    </w:p>
    <w:p w14:paraId="11CB1C47" w14:textId="53A8E1DF" w:rsidR="00A804CF" w:rsidRDefault="00A804CF">
      <w:pPr>
        <w:pStyle w:val="TOC3"/>
        <w:tabs>
          <w:tab w:val="right" w:leader="dot" w:pos="9350"/>
        </w:tabs>
        <w:rPr>
          <w:rFonts w:asciiTheme="minorHAnsi" w:hAnsiTheme="minorHAnsi" w:cstheme="minorBidi"/>
          <w:noProof/>
        </w:rPr>
      </w:pPr>
      <w:r>
        <w:rPr>
          <w:noProof/>
        </w:rPr>
        <w:t>A Tiny Prototype</w:t>
      </w:r>
      <w:r>
        <w:rPr>
          <w:noProof/>
        </w:rPr>
        <w:tab/>
      </w:r>
      <w:r>
        <w:rPr>
          <w:noProof/>
        </w:rPr>
        <w:fldChar w:fldCharType="begin"/>
      </w:r>
      <w:r>
        <w:rPr>
          <w:noProof/>
        </w:rPr>
        <w:instrText xml:space="preserve"> PAGEREF _Toc8062272 \h </w:instrText>
      </w:r>
      <w:r>
        <w:rPr>
          <w:noProof/>
        </w:rPr>
      </w:r>
      <w:r>
        <w:rPr>
          <w:noProof/>
        </w:rPr>
        <w:fldChar w:fldCharType="separate"/>
      </w:r>
      <w:r>
        <w:rPr>
          <w:noProof/>
        </w:rPr>
        <w:t>38</w:t>
      </w:r>
      <w:r>
        <w:rPr>
          <w:noProof/>
        </w:rPr>
        <w:fldChar w:fldCharType="end"/>
      </w:r>
    </w:p>
    <w:p w14:paraId="38088644" w14:textId="7F85BB29" w:rsidR="00A804CF" w:rsidRDefault="00A804CF">
      <w:pPr>
        <w:pStyle w:val="TOC3"/>
        <w:tabs>
          <w:tab w:val="right" w:leader="dot" w:pos="9350"/>
        </w:tabs>
        <w:rPr>
          <w:rFonts w:asciiTheme="minorHAnsi" w:hAnsiTheme="minorHAnsi" w:cstheme="minorBidi"/>
          <w:noProof/>
        </w:rPr>
      </w:pPr>
      <w:r>
        <w:rPr>
          <w:noProof/>
        </w:rPr>
        <w:lastRenderedPageBreak/>
        <w:t>Minimalist Relief House</w:t>
      </w:r>
      <w:r>
        <w:rPr>
          <w:noProof/>
        </w:rPr>
        <w:tab/>
      </w:r>
      <w:r>
        <w:rPr>
          <w:noProof/>
        </w:rPr>
        <w:fldChar w:fldCharType="begin"/>
      </w:r>
      <w:r>
        <w:rPr>
          <w:noProof/>
        </w:rPr>
        <w:instrText xml:space="preserve"> PAGEREF _Toc8062273 \h </w:instrText>
      </w:r>
      <w:r>
        <w:rPr>
          <w:noProof/>
        </w:rPr>
      </w:r>
      <w:r>
        <w:rPr>
          <w:noProof/>
        </w:rPr>
        <w:fldChar w:fldCharType="separate"/>
      </w:r>
      <w:r>
        <w:rPr>
          <w:noProof/>
        </w:rPr>
        <w:t>39</w:t>
      </w:r>
      <w:r>
        <w:rPr>
          <w:noProof/>
        </w:rPr>
        <w:fldChar w:fldCharType="end"/>
      </w:r>
    </w:p>
    <w:p w14:paraId="3A13BA91" w14:textId="4BFE9517" w:rsidR="00A804CF" w:rsidRDefault="00A804CF">
      <w:pPr>
        <w:pStyle w:val="TOC3"/>
        <w:tabs>
          <w:tab w:val="right" w:leader="dot" w:pos="9350"/>
        </w:tabs>
        <w:rPr>
          <w:rFonts w:asciiTheme="minorHAnsi" w:hAnsiTheme="minorHAnsi" w:cstheme="minorBidi"/>
          <w:noProof/>
        </w:rPr>
      </w:pPr>
      <w:r>
        <w:rPr>
          <w:noProof/>
        </w:rPr>
        <w:t>Flex House</w:t>
      </w:r>
      <w:r>
        <w:rPr>
          <w:noProof/>
        </w:rPr>
        <w:tab/>
      </w:r>
      <w:r>
        <w:rPr>
          <w:noProof/>
        </w:rPr>
        <w:fldChar w:fldCharType="begin"/>
      </w:r>
      <w:r>
        <w:rPr>
          <w:noProof/>
        </w:rPr>
        <w:instrText xml:space="preserve"> PAGEREF _Toc8062274 \h </w:instrText>
      </w:r>
      <w:r>
        <w:rPr>
          <w:noProof/>
        </w:rPr>
      </w:r>
      <w:r>
        <w:rPr>
          <w:noProof/>
        </w:rPr>
        <w:fldChar w:fldCharType="separate"/>
      </w:r>
      <w:r>
        <w:rPr>
          <w:noProof/>
        </w:rPr>
        <w:t>40</w:t>
      </w:r>
      <w:r>
        <w:rPr>
          <w:noProof/>
        </w:rPr>
        <w:fldChar w:fldCharType="end"/>
      </w:r>
    </w:p>
    <w:p w14:paraId="21E91AAE" w14:textId="4A347FF8" w:rsidR="00A804CF" w:rsidRDefault="00A804CF">
      <w:pPr>
        <w:pStyle w:val="TOC2"/>
        <w:rPr>
          <w:rFonts w:asciiTheme="minorHAnsi" w:hAnsiTheme="minorHAnsi" w:cstheme="minorBidi"/>
          <w:noProof/>
        </w:rPr>
      </w:pPr>
      <w:r>
        <w:rPr>
          <w:noProof/>
        </w:rPr>
        <w:t>2.5 Design Approaches</w:t>
      </w:r>
      <w:r>
        <w:rPr>
          <w:noProof/>
        </w:rPr>
        <w:tab/>
      </w:r>
      <w:r>
        <w:rPr>
          <w:noProof/>
        </w:rPr>
        <w:fldChar w:fldCharType="begin"/>
      </w:r>
      <w:r>
        <w:rPr>
          <w:noProof/>
        </w:rPr>
        <w:instrText xml:space="preserve"> PAGEREF _Toc8062275 \h </w:instrText>
      </w:r>
      <w:r>
        <w:rPr>
          <w:noProof/>
        </w:rPr>
      </w:r>
      <w:r>
        <w:rPr>
          <w:noProof/>
        </w:rPr>
        <w:fldChar w:fldCharType="separate"/>
      </w:r>
      <w:r>
        <w:rPr>
          <w:noProof/>
        </w:rPr>
        <w:t>41</w:t>
      </w:r>
      <w:r>
        <w:rPr>
          <w:noProof/>
        </w:rPr>
        <w:fldChar w:fldCharType="end"/>
      </w:r>
    </w:p>
    <w:p w14:paraId="06B13C10" w14:textId="1F0292FC" w:rsidR="00A804CF" w:rsidRDefault="00A804CF">
      <w:pPr>
        <w:pStyle w:val="TOC3"/>
        <w:tabs>
          <w:tab w:val="right" w:leader="dot" w:pos="9350"/>
        </w:tabs>
        <w:rPr>
          <w:rFonts w:asciiTheme="minorHAnsi" w:hAnsiTheme="minorHAnsi" w:cstheme="minorBidi"/>
          <w:noProof/>
        </w:rPr>
      </w:pPr>
      <w:r>
        <w:rPr>
          <w:noProof/>
        </w:rPr>
        <w:t>Integrated Design Approach</w:t>
      </w:r>
      <w:r>
        <w:rPr>
          <w:noProof/>
        </w:rPr>
        <w:tab/>
      </w:r>
      <w:r>
        <w:rPr>
          <w:noProof/>
        </w:rPr>
        <w:fldChar w:fldCharType="begin"/>
      </w:r>
      <w:r>
        <w:rPr>
          <w:noProof/>
        </w:rPr>
        <w:instrText xml:space="preserve"> PAGEREF _Toc8062276 \h </w:instrText>
      </w:r>
      <w:r>
        <w:rPr>
          <w:noProof/>
        </w:rPr>
      </w:r>
      <w:r>
        <w:rPr>
          <w:noProof/>
        </w:rPr>
        <w:fldChar w:fldCharType="separate"/>
      </w:r>
      <w:r>
        <w:rPr>
          <w:noProof/>
        </w:rPr>
        <w:t>42</w:t>
      </w:r>
      <w:r>
        <w:rPr>
          <w:noProof/>
        </w:rPr>
        <w:fldChar w:fldCharType="end"/>
      </w:r>
    </w:p>
    <w:p w14:paraId="5859E3CA" w14:textId="67DC1675" w:rsidR="00A804CF" w:rsidRDefault="00A804CF">
      <w:pPr>
        <w:pStyle w:val="TOC4"/>
        <w:tabs>
          <w:tab w:val="right" w:leader="dot" w:pos="9350"/>
        </w:tabs>
        <w:rPr>
          <w:rFonts w:asciiTheme="minorHAnsi" w:eastAsiaTheme="minorEastAsia" w:hAnsiTheme="minorHAnsi"/>
          <w:noProof/>
        </w:rPr>
      </w:pPr>
      <w:r>
        <w:rPr>
          <w:noProof/>
        </w:rPr>
        <w:t>Integrated Project Delivery</w:t>
      </w:r>
      <w:r>
        <w:rPr>
          <w:noProof/>
        </w:rPr>
        <w:tab/>
      </w:r>
      <w:r>
        <w:rPr>
          <w:noProof/>
        </w:rPr>
        <w:fldChar w:fldCharType="begin"/>
      </w:r>
      <w:r>
        <w:rPr>
          <w:noProof/>
        </w:rPr>
        <w:instrText xml:space="preserve"> PAGEREF _Toc8062277 \h </w:instrText>
      </w:r>
      <w:r>
        <w:rPr>
          <w:noProof/>
        </w:rPr>
      </w:r>
      <w:r>
        <w:rPr>
          <w:noProof/>
        </w:rPr>
        <w:fldChar w:fldCharType="separate"/>
      </w:r>
      <w:r>
        <w:rPr>
          <w:noProof/>
        </w:rPr>
        <w:t>42</w:t>
      </w:r>
      <w:r>
        <w:rPr>
          <w:noProof/>
        </w:rPr>
        <w:fldChar w:fldCharType="end"/>
      </w:r>
    </w:p>
    <w:p w14:paraId="0B849C25" w14:textId="490ABA39" w:rsidR="00A804CF" w:rsidRDefault="00A804CF">
      <w:pPr>
        <w:pStyle w:val="TOC4"/>
        <w:tabs>
          <w:tab w:val="right" w:leader="dot" w:pos="9350"/>
        </w:tabs>
        <w:rPr>
          <w:rFonts w:asciiTheme="minorHAnsi" w:eastAsiaTheme="minorEastAsia" w:hAnsiTheme="minorHAnsi"/>
          <w:noProof/>
        </w:rPr>
      </w:pPr>
      <w:r>
        <w:rPr>
          <w:noProof/>
        </w:rPr>
        <w:t>Integrated Project Team</w:t>
      </w:r>
      <w:r>
        <w:rPr>
          <w:noProof/>
        </w:rPr>
        <w:tab/>
      </w:r>
      <w:r>
        <w:rPr>
          <w:noProof/>
        </w:rPr>
        <w:fldChar w:fldCharType="begin"/>
      </w:r>
      <w:r>
        <w:rPr>
          <w:noProof/>
        </w:rPr>
        <w:instrText xml:space="preserve"> PAGEREF _Toc8062278 \h </w:instrText>
      </w:r>
      <w:r>
        <w:rPr>
          <w:noProof/>
        </w:rPr>
      </w:r>
      <w:r>
        <w:rPr>
          <w:noProof/>
        </w:rPr>
        <w:fldChar w:fldCharType="separate"/>
      </w:r>
      <w:r>
        <w:rPr>
          <w:noProof/>
        </w:rPr>
        <w:t>42</w:t>
      </w:r>
      <w:r>
        <w:rPr>
          <w:noProof/>
        </w:rPr>
        <w:fldChar w:fldCharType="end"/>
      </w:r>
    </w:p>
    <w:p w14:paraId="7966F029" w14:textId="5B0B860D" w:rsidR="00A804CF" w:rsidRDefault="00A804CF">
      <w:pPr>
        <w:pStyle w:val="TOC3"/>
        <w:tabs>
          <w:tab w:val="right" w:leader="dot" w:pos="9350"/>
        </w:tabs>
        <w:rPr>
          <w:rFonts w:asciiTheme="minorHAnsi" w:hAnsiTheme="minorHAnsi" w:cstheme="minorBidi"/>
          <w:noProof/>
        </w:rPr>
      </w:pPr>
      <w:r>
        <w:rPr>
          <w:noProof/>
        </w:rPr>
        <w:t>Okala Eco-design Strategy</w:t>
      </w:r>
      <w:r>
        <w:rPr>
          <w:noProof/>
        </w:rPr>
        <w:tab/>
      </w:r>
      <w:r>
        <w:rPr>
          <w:noProof/>
        </w:rPr>
        <w:fldChar w:fldCharType="begin"/>
      </w:r>
      <w:r>
        <w:rPr>
          <w:noProof/>
        </w:rPr>
        <w:instrText xml:space="preserve"> PAGEREF _Toc8062279 \h </w:instrText>
      </w:r>
      <w:r>
        <w:rPr>
          <w:noProof/>
        </w:rPr>
      </w:r>
      <w:r>
        <w:rPr>
          <w:noProof/>
        </w:rPr>
        <w:fldChar w:fldCharType="separate"/>
      </w:r>
      <w:r>
        <w:rPr>
          <w:noProof/>
        </w:rPr>
        <w:t>43</w:t>
      </w:r>
      <w:r>
        <w:rPr>
          <w:noProof/>
        </w:rPr>
        <w:fldChar w:fldCharType="end"/>
      </w:r>
    </w:p>
    <w:p w14:paraId="7D1841FD" w14:textId="576B6127" w:rsidR="00A804CF" w:rsidRDefault="00A804CF">
      <w:pPr>
        <w:pStyle w:val="TOC3"/>
        <w:tabs>
          <w:tab w:val="right" w:leader="dot" w:pos="9350"/>
        </w:tabs>
        <w:rPr>
          <w:rFonts w:asciiTheme="minorHAnsi" w:hAnsiTheme="minorHAnsi" w:cstheme="minorBidi"/>
          <w:noProof/>
        </w:rPr>
      </w:pPr>
      <w:r>
        <w:rPr>
          <w:noProof/>
        </w:rPr>
        <w:t>Life Cycle Analysis</w:t>
      </w:r>
      <w:r>
        <w:rPr>
          <w:noProof/>
        </w:rPr>
        <w:tab/>
      </w:r>
      <w:r>
        <w:rPr>
          <w:noProof/>
        </w:rPr>
        <w:fldChar w:fldCharType="begin"/>
      </w:r>
      <w:r>
        <w:rPr>
          <w:noProof/>
        </w:rPr>
        <w:instrText xml:space="preserve"> PAGEREF _Toc8062280 \h </w:instrText>
      </w:r>
      <w:r>
        <w:rPr>
          <w:noProof/>
        </w:rPr>
      </w:r>
      <w:r>
        <w:rPr>
          <w:noProof/>
        </w:rPr>
        <w:fldChar w:fldCharType="separate"/>
      </w:r>
      <w:r>
        <w:rPr>
          <w:noProof/>
        </w:rPr>
        <w:t>45</w:t>
      </w:r>
      <w:r>
        <w:rPr>
          <w:noProof/>
        </w:rPr>
        <w:fldChar w:fldCharType="end"/>
      </w:r>
    </w:p>
    <w:p w14:paraId="26A872BC" w14:textId="3E28A86C" w:rsidR="00A804CF" w:rsidRDefault="00A804CF">
      <w:pPr>
        <w:pStyle w:val="TOC2"/>
        <w:rPr>
          <w:rFonts w:asciiTheme="minorHAnsi" w:hAnsiTheme="minorHAnsi" w:cstheme="minorBidi"/>
          <w:noProof/>
        </w:rPr>
      </w:pPr>
      <w:r>
        <w:rPr>
          <w:noProof/>
        </w:rPr>
        <w:t>2.6 Social Capital</w:t>
      </w:r>
      <w:r>
        <w:rPr>
          <w:noProof/>
        </w:rPr>
        <w:tab/>
      </w:r>
      <w:r>
        <w:rPr>
          <w:noProof/>
        </w:rPr>
        <w:fldChar w:fldCharType="begin"/>
      </w:r>
      <w:r>
        <w:rPr>
          <w:noProof/>
        </w:rPr>
        <w:instrText xml:space="preserve"> PAGEREF _Toc8062281 \h </w:instrText>
      </w:r>
      <w:r>
        <w:rPr>
          <w:noProof/>
        </w:rPr>
      </w:r>
      <w:r>
        <w:rPr>
          <w:noProof/>
        </w:rPr>
        <w:fldChar w:fldCharType="separate"/>
      </w:r>
      <w:r>
        <w:rPr>
          <w:noProof/>
        </w:rPr>
        <w:t>47</w:t>
      </w:r>
      <w:r>
        <w:rPr>
          <w:noProof/>
        </w:rPr>
        <w:fldChar w:fldCharType="end"/>
      </w:r>
    </w:p>
    <w:p w14:paraId="27465876" w14:textId="0E00A3E1" w:rsidR="00A804CF" w:rsidRDefault="00A804CF">
      <w:pPr>
        <w:pStyle w:val="TOC3"/>
        <w:tabs>
          <w:tab w:val="right" w:leader="dot" w:pos="9350"/>
        </w:tabs>
        <w:rPr>
          <w:rFonts w:asciiTheme="minorHAnsi" w:hAnsiTheme="minorHAnsi" w:cstheme="minorBidi"/>
          <w:noProof/>
        </w:rPr>
      </w:pPr>
      <w:r>
        <w:rPr>
          <w:noProof/>
        </w:rPr>
        <w:t>Leadership and Trusted Networks</w:t>
      </w:r>
      <w:r>
        <w:rPr>
          <w:noProof/>
        </w:rPr>
        <w:tab/>
      </w:r>
      <w:r>
        <w:rPr>
          <w:noProof/>
        </w:rPr>
        <w:fldChar w:fldCharType="begin"/>
      </w:r>
      <w:r>
        <w:rPr>
          <w:noProof/>
        </w:rPr>
        <w:instrText xml:space="preserve"> PAGEREF _Toc8062282 \h </w:instrText>
      </w:r>
      <w:r>
        <w:rPr>
          <w:noProof/>
        </w:rPr>
      </w:r>
      <w:r>
        <w:rPr>
          <w:noProof/>
        </w:rPr>
        <w:fldChar w:fldCharType="separate"/>
      </w:r>
      <w:r>
        <w:rPr>
          <w:noProof/>
        </w:rPr>
        <w:t>47</w:t>
      </w:r>
      <w:r>
        <w:rPr>
          <w:noProof/>
        </w:rPr>
        <w:fldChar w:fldCharType="end"/>
      </w:r>
    </w:p>
    <w:p w14:paraId="50BC6941" w14:textId="39BD3BC9" w:rsidR="00A804CF" w:rsidRDefault="00A804CF">
      <w:pPr>
        <w:pStyle w:val="TOC3"/>
        <w:tabs>
          <w:tab w:val="right" w:leader="dot" w:pos="9350"/>
        </w:tabs>
        <w:rPr>
          <w:rFonts w:asciiTheme="minorHAnsi" w:hAnsiTheme="minorHAnsi" w:cstheme="minorBidi"/>
          <w:noProof/>
        </w:rPr>
      </w:pPr>
      <w:r>
        <w:rPr>
          <w:noProof/>
        </w:rPr>
        <w:t>No Place Like Home</w:t>
      </w:r>
      <w:r>
        <w:rPr>
          <w:noProof/>
        </w:rPr>
        <w:tab/>
      </w:r>
      <w:r>
        <w:rPr>
          <w:noProof/>
        </w:rPr>
        <w:fldChar w:fldCharType="begin"/>
      </w:r>
      <w:r>
        <w:rPr>
          <w:noProof/>
        </w:rPr>
        <w:instrText xml:space="preserve"> PAGEREF _Toc8062283 \h </w:instrText>
      </w:r>
      <w:r>
        <w:rPr>
          <w:noProof/>
        </w:rPr>
      </w:r>
      <w:r>
        <w:rPr>
          <w:noProof/>
        </w:rPr>
        <w:fldChar w:fldCharType="separate"/>
      </w:r>
      <w:r>
        <w:rPr>
          <w:noProof/>
        </w:rPr>
        <w:t>54</w:t>
      </w:r>
      <w:r>
        <w:rPr>
          <w:noProof/>
        </w:rPr>
        <w:fldChar w:fldCharType="end"/>
      </w:r>
    </w:p>
    <w:p w14:paraId="671EB9E7" w14:textId="40D5893D" w:rsidR="00A804CF" w:rsidRDefault="00A804CF">
      <w:pPr>
        <w:pStyle w:val="TOC2"/>
        <w:rPr>
          <w:rFonts w:asciiTheme="minorHAnsi" w:hAnsiTheme="minorHAnsi" w:cstheme="minorBidi"/>
          <w:noProof/>
        </w:rPr>
      </w:pPr>
      <w:r>
        <w:rPr>
          <w:noProof/>
        </w:rPr>
        <w:t>2.7 Summarizing the Literature</w:t>
      </w:r>
      <w:r>
        <w:rPr>
          <w:noProof/>
        </w:rPr>
        <w:tab/>
      </w:r>
      <w:r>
        <w:rPr>
          <w:noProof/>
        </w:rPr>
        <w:fldChar w:fldCharType="begin"/>
      </w:r>
      <w:r>
        <w:rPr>
          <w:noProof/>
        </w:rPr>
        <w:instrText xml:space="preserve"> PAGEREF _Toc8062284 \h </w:instrText>
      </w:r>
      <w:r>
        <w:rPr>
          <w:noProof/>
        </w:rPr>
      </w:r>
      <w:r>
        <w:rPr>
          <w:noProof/>
        </w:rPr>
        <w:fldChar w:fldCharType="separate"/>
      </w:r>
      <w:r>
        <w:rPr>
          <w:noProof/>
        </w:rPr>
        <w:t>57</w:t>
      </w:r>
      <w:r>
        <w:rPr>
          <w:noProof/>
        </w:rPr>
        <w:fldChar w:fldCharType="end"/>
      </w:r>
    </w:p>
    <w:p w14:paraId="20CEC436" w14:textId="76AA43D6" w:rsidR="00A804CF" w:rsidRDefault="00A804CF">
      <w:pPr>
        <w:pStyle w:val="TOC1"/>
        <w:rPr>
          <w:rFonts w:asciiTheme="minorHAnsi" w:hAnsiTheme="minorHAnsi" w:cstheme="minorBidi"/>
          <w:noProof/>
          <w:sz w:val="22"/>
        </w:rPr>
      </w:pPr>
      <w:r>
        <w:rPr>
          <w:noProof/>
        </w:rPr>
        <w:t>CHAPTER 3: METHODOLOGY</w:t>
      </w:r>
      <w:r>
        <w:rPr>
          <w:noProof/>
        </w:rPr>
        <w:tab/>
      </w:r>
      <w:r>
        <w:rPr>
          <w:noProof/>
        </w:rPr>
        <w:fldChar w:fldCharType="begin"/>
      </w:r>
      <w:r>
        <w:rPr>
          <w:noProof/>
        </w:rPr>
        <w:instrText xml:space="preserve"> PAGEREF _Toc8062285 \h </w:instrText>
      </w:r>
      <w:r>
        <w:rPr>
          <w:noProof/>
        </w:rPr>
      </w:r>
      <w:r>
        <w:rPr>
          <w:noProof/>
        </w:rPr>
        <w:fldChar w:fldCharType="separate"/>
      </w:r>
      <w:r>
        <w:rPr>
          <w:noProof/>
        </w:rPr>
        <w:t>60</w:t>
      </w:r>
      <w:r>
        <w:rPr>
          <w:noProof/>
        </w:rPr>
        <w:fldChar w:fldCharType="end"/>
      </w:r>
    </w:p>
    <w:p w14:paraId="374A17AC" w14:textId="60619D80" w:rsidR="00A804CF" w:rsidRDefault="00A804CF">
      <w:pPr>
        <w:pStyle w:val="TOC2"/>
        <w:rPr>
          <w:rFonts w:asciiTheme="minorHAnsi" w:hAnsiTheme="minorHAnsi" w:cstheme="minorBidi"/>
          <w:noProof/>
        </w:rPr>
      </w:pPr>
      <w:r>
        <w:rPr>
          <w:noProof/>
        </w:rPr>
        <w:t>3.1 Research Overview</w:t>
      </w:r>
      <w:r>
        <w:rPr>
          <w:noProof/>
        </w:rPr>
        <w:tab/>
      </w:r>
      <w:r>
        <w:rPr>
          <w:noProof/>
        </w:rPr>
        <w:fldChar w:fldCharType="begin"/>
      </w:r>
      <w:r>
        <w:rPr>
          <w:noProof/>
        </w:rPr>
        <w:instrText xml:space="preserve"> PAGEREF _Toc8062286 \h </w:instrText>
      </w:r>
      <w:r>
        <w:rPr>
          <w:noProof/>
        </w:rPr>
      </w:r>
      <w:r>
        <w:rPr>
          <w:noProof/>
        </w:rPr>
        <w:fldChar w:fldCharType="separate"/>
      </w:r>
      <w:r>
        <w:rPr>
          <w:noProof/>
        </w:rPr>
        <w:t>60</w:t>
      </w:r>
      <w:r>
        <w:rPr>
          <w:noProof/>
        </w:rPr>
        <w:fldChar w:fldCharType="end"/>
      </w:r>
    </w:p>
    <w:p w14:paraId="307AE2F9" w14:textId="58963BB7" w:rsidR="00A804CF" w:rsidRDefault="00A804CF">
      <w:pPr>
        <w:pStyle w:val="TOC2"/>
        <w:rPr>
          <w:rFonts w:asciiTheme="minorHAnsi" w:hAnsiTheme="minorHAnsi" w:cstheme="minorBidi"/>
          <w:noProof/>
        </w:rPr>
      </w:pPr>
      <w:r>
        <w:rPr>
          <w:noProof/>
        </w:rPr>
        <w:t>3.2 Research Method</w:t>
      </w:r>
      <w:r>
        <w:rPr>
          <w:noProof/>
        </w:rPr>
        <w:tab/>
      </w:r>
      <w:r>
        <w:rPr>
          <w:noProof/>
        </w:rPr>
        <w:fldChar w:fldCharType="begin"/>
      </w:r>
      <w:r>
        <w:rPr>
          <w:noProof/>
        </w:rPr>
        <w:instrText xml:space="preserve"> PAGEREF _Toc8062287 \h </w:instrText>
      </w:r>
      <w:r>
        <w:rPr>
          <w:noProof/>
        </w:rPr>
      </w:r>
      <w:r>
        <w:rPr>
          <w:noProof/>
        </w:rPr>
        <w:fldChar w:fldCharType="separate"/>
      </w:r>
      <w:r>
        <w:rPr>
          <w:noProof/>
        </w:rPr>
        <w:t>61</w:t>
      </w:r>
      <w:r>
        <w:rPr>
          <w:noProof/>
        </w:rPr>
        <w:fldChar w:fldCharType="end"/>
      </w:r>
    </w:p>
    <w:p w14:paraId="75623ADA" w14:textId="139CBB31" w:rsidR="00A804CF" w:rsidRDefault="00A804CF">
      <w:pPr>
        <w:pStyle w:val="TOC3"/>
        <w:tabs>
          <w:tab w:val="right" w:leader="dot" w:pos="9350"/>
        </w:tabs>
        <w:rPr>
          <w:rFonts w:asciiTheme="minorHAnsi" w:hAnsiTheme="minorHAnsi" w:cstheme="minorBidi"/>
          <w:noProof/>
        </w:rPr>
      </w:pPr>
      <w:r>
        <w:rPr>
          <w:noProof/>
        </w:rPr>
        <w:t>Sustainability Framework</w:t>
      </w:r>
      <w:r>
        <w:rPr>
          <w:noProof/>
        </w:rPr>
        <w:tab/>
      </w:r>
      <w:r>
        <w:rPr>
          <w:noProof/>
        </w:rPr>
        <w:fldChar w:fldCharType="begin"/>
      </w:r>
      <w:r>
        <w:rPr>
          <w:noProof/>
        </w:rPr>
        <w:instrText xml:space="preserve"> PAGEREF _Toc8062288 \h </w:instrText>
      </w:r>
      <w:r>
        <w:rPr>
          <w:noProof/>
        </w:rPr>
      </w:r>
      <w:r>
        <w:rPr>
          <w:noProof/>
        </w:rPr>
        <w:fldChar w:fldCharType="separate"/>
      </w:r>
      <w:r>
        <w:rPr>
          <w:noProof/>
        </w:rPr>
        <w:t>61</w:t>
      </w:r>
      <w:r>
        <w:rPr>
          <w:noProof/>
        </w:rPr>
        <w:fldChar w:fldCharType="end"/>
      </w:r>
    </w:p>
    <w:p w14:paraId="5478B993" w14:textId="3CEA2F54" w:rsidR="00A804CF" w:rsidRDefault="00A804CF">
      <w:pPr>
        <w:pStyle w:val="TOC4"/>
        <w:tabs>
          <w:tab w:val="right" w:leader="dot" w:pos="9350"/>
        </w:tabs>
        <w:rPr>
          <w:rFonts w:asciiTheme="minorHAnsi" w:eastAsiaTheme="minorEastAsia" w:hAnsiTheme="minorHAnsi"/>
          <w:noProof/>
        </w:rPr>
      </w:pPr>
      <w:r>
        <w:rPr>
          <w:noProof/>
        </w:rPr>
        <w:t>Economic</w:t>
      </w:r>
      <w:r>
        <w:rPr>
          <w:noProof/>
        </w:rPr>
        <w:tab/>
      </w:r>
      <w:r>
        <w:rPr>
          <w:noProof/>
        </w:rPr>
        <w:fldChar w:fldCharType="begin"/>
      </w:r>
      <w:r>
        <w:rPr>
          <w:noProof/>
        </w:rPr>
        <w:instrText xml:space="preserve"> PAGEREF _Toc8062289 \h </w:instrText>
      </w:r>
      <w:r>
        <w:rPr>
          <w:noProof/>
        </w:rPr>
      </w:r>
      <w:r>
        <w:rPr>
          <w:noProof/>
        </w:rPr>
        <w:fldChar w:fldCharType="separate"/>
      </w:r>
      <w:r>
        <w:rPr>
          <w:noProof/>
        </w:rPr>
        <w:t>62</w:t>
      </w:r>
      <w:r>
        <w:rPr>
          <w:noProof/>
        </w:rPr>
        <w:fldChar w:fldCharType="end"/>
      </w:r>
    </w:p>
    <w:p w14:paraId="36742A53" w14:textId="36C304D1" w:rsidR="00A804CF" w:rsidRDefault="00A804CF">
      <w:pPr>
        <w:pStyle w:val="TOC4"/>
        <w:tabs>
          <w:tab w:val="right" w:leader="dot" w:pos="9350"/>
        </w:tabs>
        <w:rPr>
          <w:rFonts w:asciiTheme="minorHAnsi" w:eastAsiaTheme="minorEastAsia" w:hAnsiTheme="minorHAnsi"/>
          <w:noProof/>
        </w:rPr>
      </w:pPr>
      <w:r>
        <w:rPr>
          <w:noProof/>
        </w:rPr>
        <w:t>Environmental</w:t>
      </w:r>
      <w:r>
        <w:rPr>
          <w:noProof/>
        </w:rPr>
        <w:tab/>
      </w:r>
      <w:r>
        <w:rPr>
          <w:noProof/>
        </w:rPr>
        <w:fldChar w:fldCharType="begin"/>
      </w:r>
      <w:r>
        <w:rPr>
          <w:noProof/>
        </w:rPr>
        <w:instrText xml:space="preserve"> PAGEREF _Toc8062290 \h </w:instrText>
      </w:r>
      <w:r>
        <w:rPr>
          <w:noProof/>
        </w:rPr>
      </w:r>
      <w:r>
        <w:rPr>
          <w:noProof/>
        </w:rPr>
        <w:fldChar w:fldCharType="separate"/>
      </w:r>
      <w:r>
        <w:rPr>
          <w:noProof/>
        </w:rPr>
        <w:t>62</w:t>
      </w:r>
      <w:r>
        <w:rPr>
          <w:noProof/>
        </w:rPr>
        <w:fldChar w:fldCharType="end"/>
      </w:r>
    </w:p>
    <w:p w14:paraId="2188778A" w14:textId="7F510D1A" w:rsidR="00A804CF" w:rsidRDefault="00A804CF">
      <w:pPr>
        <w:pStyle w:val="TOC4"/>
        <w:tabs>
          <w:tab w:val="right" w:leader="dot" w:pos="9350"/>
        </w:tabs>
        <w:rPr>
          <w:rFonts w:asciiTheme="minorHAnsi" w:eastAsiaTheme="minorEastAsia" w:hAnsiTheme="minorHAnsi"/>
          <w:noProof/>
        </w:rPr>
      </w:pPr>
      <w:r>
        <w:rPr>
          <w:noProof/>
        </w:rPr>
        <w:t>Social</w:t>
      </w:r>
      <w:r>
        <w:rPr>
          <w:noProof/>
        </w:rPr>
        <w:tab/>
      </w:r>
      <w:r>
        <w:rPr>
          <w:noProof/>
        </w:rPr>
        <w:fldChar w:fldCharType="begin"/>
      </w:r>
      <w:r>
        <w:rPr>
          <w:noProof/>
        </w:rPr>
        <w:instrText xml:space="preserve"> PAGEREF _Toc8062291 \h </w:instrText>
      </w:r>
      <w:r>
        <w:rPr>
          <w:noProof/>
        </w:rPr>
      </w:r>
      <w:r>
        <w:rPr>
          <w:noProof/>
        </w:rPr>
        <w:fldChar w:fldCharType="separate"/>
      </w:r>
      <w:r>
        <w:rPr>
          <w:noProof/>
        </w:rPr>
        <w:t>62</w:t>
      </w:r>
      <w:r>
        <w:rPr>
          <w:noProof/>
        </w:rPr>
        <w:fldChar w:fldCharType="end"/>
      </w:r>
    </w:p>
    <w:p w14:paraId="0B5EA441" w14:textId="22A2FAD4" w:rsidR="00A804CF" w:rsidRDefault="00A804CF">
      <w:pPr>
        <w:pStyle w:val="TOC4"/>
        <w:tabs>
          <w:tab w:val="right" w:leader="dot" w:pos="9350"/>
        </w:tabs>
        <w:rPr>
          <w:rFonts w:asciiTheme="minorHAnsi" w:eastAsiaTheme="minorEastAsia" w:hAnsiTheme="minorHAnsi"/>
          <w:noProof/>
        </w:rPr>
      </w:pPr>
      <w:r>
        <w:rPr>
          <w:noProof/>
        </w:rPr>
        <w:t>Cultural</w:t>
      </w:r>
      <w:r>
        <w:rPr>
          <w:noProof/>
        </w:rPr>
        <w:tab/>
      </w:r>
      <w:r>
        <w:rPr>
          <w:noProof/>
        </w:rPr>
        <w:fldChar w:fldCharType="begin"/>
      </w:r>
      <w:r>
        <w:rPr>
          <w:noProof/>
        </w:rPr>
        <w:instrText xml:space="preserve"> PAGEREF _Toc8062292 \h </w:instrText>
      </w:r>
      <w:r>
        <w:rPr>
          <w:noProof/>
        </w:rPr>
      </w:r>
      <w:r>
        <w:rPr>
          <w:noProof/>
        </w:rPr>
        <w:fldChar w:fldCharType="separate"/>
      </w:r>
      <w:r>
        <w:rPr>
          <w:noProof/>
        </w:rPr>
        <w:t>63</w:t>
      </w:r>
      <w:r>
        <w:rPr>
          <w:noProof/>
        </w:rPr>
        <w:fldChar w:fldCharType="end"/>
      </w:r>
    </w:p>
    <w:p w14:paraId="48D01127" w14:textId="459CC54F" w:rsidR="00A804CF" w:rsidRDefault="00A804CF">
      <w:pPr>
        <w:pStyle w:val="TOC3"/>
        <w:tabs>
          <w:tab w:val="right" w:leader="dot" w:pos="9350"/>
        </w:tabs>
        <w:rPr>
          <w:rFonts w:asciiTheme="minorHAnsi" w:hAnsiTheme="minorHAnsi" w:cstheme="minorBidi"/>
          <w:noProof/>
        </w:rPr>
      </w:pPr>
      <w:r>
        <w:rPr>
          <w:noProof/>
        </w:rPr>
        <w:t>Economic Dimension</w:t>
      </w:r>
      <w:r>
        <w:rPr>
          <w:noProof/>
        </w:rPr>
        <w:tab/>
      </w:r>
      <w:r>
        <w:rPr>
          <w:noProof/>
        </w:rPr>
        <w:fldChar w:fldCharType="begin"/>
      </w:r>
      <w:r>
        <w:rPr>
          <w:noProof/>
        </w:rPr>
        <w:instrText xml:space="preserve"> PAGEREF _Toc8062293 \h </w:instrText>
      </w:r>
      <w:r>
        <w:rPr>
          <w:noProof/>
        </w:rPr>
      </w:r>
      <w:r>
        <w:rPr>
          <w:noProof/>
        </w:rPr>
        <w:fldChar w:fldCharType="separate"/>
      </w:r>
      <w:r>
        <w:rPr>
          <w:noProof/>
        </w:rPr>
        <w:t>64</w:t>
      </w:r>
      <w:r>
        <w:rPr>
          <w:noProof/>
        </w:rPr>
        <w:fldChar w:fldCharType="end"/>
      </w:r>
    </w:p>
    <w:p w14:paraId="712EE034" w14:textId="670B8AAB" w:rsidR="00A804CF" w:rsidRDefault="00A804CF">
      <w:pPr>
        <w:pStyle w:val="TOC4"/>
        <w:tabs>
          <w:tab w:val="right" w:leader="dot" w:pos="9350"/>
        </w:tabs>
        <w:rPr>
          <w:rFonts w:asciiTheme="minorHAnsi" w:eastAsiaTheme="minorEastAsia" w:hAnsiTheme="minorHAnsi"/>
          <w:noProof/>
        </w:rPr>
      </w:pPr>
      <w:r>
        <w:rPr>
          <w:noProof/>
        </w:rPr>
        <w:t>Unit price</w:t>
      </w:r>
      <w:r>
        <w:rPr>
          <w:noProof/>
        </w:rPr>
        <w:tab/>
      </w:r>
      <w:r>
        <w:rPr>
          <w:noProof/>
        </w:rPr>
        <w:fldChar w:fldCharType="begin"/>
      </w:r>
      <w:r>
        <w:rPr>
          <w:noProof/>
        </w:rPr>
        <w:instrText xml:space="preserve"> PAGEREF _Toc8062294 \h </w:instrText>
      </w:r>
      <w:r>
        <w:rPr>
          <w:noProof/>
        </w:rPr>
      </w:r>
      <w:r>
        <w:rPr>
          <w:noProof/>
        </w:rPr>
        <w:fldChar w:fldCharType="separate"/>
      </w:r>
      <w:r>
        <w:rPr>
          <w:noProof/>
        </w:rPr>
        <w:t>64</w:t>
      </w:r>
      <w:r>
        <w:rPr>
          <w:noProof/>
        </w:rPr>
        <w:fldChar w:fldCharType="end"/>
      </w:r>
    </w:p>
    <w:p w14:paraId="2E5C1F55" w14:textId="1BE1EE0B" w:rsidR="00A804CF" w:rsidRDefault="00A804CF">
      <w:pPr>
        <w:pStyle w:val="TOC4"/>
        <w:tabs>
          <w:tab w:val="right" w:leader="dot" w:pos="9350"/>
        </w:tabs>
        <w:rPr>
          <w:rFonts w:asciiTheme="minorHAnsi" w:eastAsiaTheme="minorEastAsia" w:hAnsiTheme="minorHAnsi"/>
          <w:noProof/>
        </w:rPr>
      </w:pPr>
      <w:r>
        <w:rPr>
          <w:noProof/>
        </w:rPr>
        <w:t>Energy</w:t>
      </w:r>
      <w:r>
        <w:rPr>
          <w:noProof/>
        </w:rPr>
        <w:tab/>
      </w:r>
      <w:r>
        <w:rPr>
          <w:noProof/>
        </w:rPr>
        <w:fldChar w:fldCharType="begin"/>
      </w:r>
      <w:r>
        <w:rPr>
          <w:noProof/>
        </w:rPr>
        <w:instrText xml:space="preserve"> PAGEREF _Toc8062295 \h </w:instrText>
      </w:r>
      <w:r>
        <w:rPr>
          <w:noProof/>
        </w:rPr>
      </w:r>
      <w:r>
        <w:rPr>
          <w:noProof/>
        </w:rPr>
        <w:fldChar w:fldCharType="separate"/>
      </w:r>
      <w:r>
        <w:rPr>
          <w:noProof/>
        </w:rPr>
        <w:t>66</w:t>
      </w:r>
      <w:r>
        <w:rPr>
          <w:noProof/>
        </w:rPr>
        <w:fldChar w:fldCharType="end"/>
      </w:r>
    </w:p>
    <w:p w14:paraId="1F2ABDD9" w14:textId="71F515D4" w:rsidR="00A804CF" w:rsidRDefault="00A804CF">
      <w:pPr>
        <w:pStyle w:val="TOC4"/>
        <w:tabs>
          <w:tab w:val="right" w:leader="dot" w:pos="9350"/>
        </w:tabs>
        <w:rPr>
          <w:rFonts w:asciiTheme="minorHAnsi" w:eastAsiaTheme="minorEastAsia" w:hAnsiTheme="minorHAnsi"/>
          <w:noProof/>
        </w:rPr>
      </w:pPr>
      <w:r>
        <w:rPr>
          <w:noProof/>
        </w:rPr>
        <w:t>Water retrieval</w:t>
      </w:r>
      <w:r>
        <w:rPr>
          <w:noProof/>
        </w:rPr>
        <w:tab/>
      </w:r>
      <w:r>
        <w:rPr>
          <w:noProof/>
        </w:rPr>
        <w:fldChar w:fldCharType="begin"/>
      </w:r>
      <w:r>
        <w:rPr>
          <w:noProof/>
        </w:rPr>
        <w:instrText xml:space="preserve"> PAGEREF _Toc8062296 \h </w:instrText>
      </w:r>
      <w:r>
        <w:rPr>
          <w:noProof/>
        </w:rPr>
      </w:r>
      <w:r>
        <w:rPr>
          <w:noProof/>
        </w:rPr>
        <w:fldChar w:fldCharType="separate"/>
      </w:r>
      <w:r>
        <w:rPr>
          <w:noProof/>
        </w:rPr>
        <w:t>68</w:t>
      </w:r>
      <w:r>
        <w:rPr>
          <w:noProof/>
        </w:rPr>
        <w:fldChar w:fldCharType="end"/>
      </w:r>
    </w:p>
    <w:p w14:paraId="45C1E9A0" w14:textId="63D26F6E" w:rsidR="00A804CF" w:rsidRDefault="00A804CF">
      <w:pPr>
        <w:pStyle w:val="TOC3"/>
        <w:tabs>
          <w:tab w:val="right" w:leader="dot" w:pos="9350"/>
        </w:tabs>
        <w:rPr>
          <w:rFonts w:asciiTheme="minorHAnsi" w:hAnsiTheme="minorHAnsi" w:cstheme="minorBidi"/>
          <w:noProof/>
        </w:rPr>
      </w:pPr>
      <w:r>
        <w:rPr>
          <w:noProof/>
        </w:rPr>
        <w:t>Environmental Dimension</w:t>
      </w:r>
      <w:r>
        <w:rPr>
          <w:noProof/>
        </w:rPr>
        <w:tab/>
      </w:r>
      <w:r>
        <w:rPr>
          <w:noProof/>
        </w:rPr>
        <w:fldChar w:fldCharType="begin"/>
      </w:r>
      <w:r>
        <w:rPr>
          <w:noProof/>
        </w:rPr>
        <w:instrText xml:space="preserve"> PAGEREF _Toc8062297 \h </w:instrText>
      </w:r>
      <w:r>
        <w:rPr>
          <w:noProof/>
        </w:rPr>
      </w:r>
      <w:r>
        <w:rPr>
          <w:noProof/>
        </w:rPr>
        <w:fldChar w:fldCharType="separate"/>
      </w:r>
      <w:r>
        <w:rPr>
          <w:noProof/>
        </w:rPr>
        <w:t>69</w:t>
      </w:r>
      <w:r>
        <w:rPr>
          <w:noProof/>
        </w:rPr>
        <w:fldChar w:fldCharType="end"/>
      </w:r>
    </w:p>
    <w:p w14:paraId="3B2C7704" w14:textId="584F6569" w:rsidR="00A804CF" w:rsidRDefault="00A804CF">
      <w:pPr>
        <w:pStyle w:val="TOC4"/>
        <w:tabs>
          <w:tab w:val="right" w:leader="dot" w:pos="9350"/>
        </w:tabs>
        <w:rPr>
          <w:rFonts w:asciiTheme="minorHAnsi" w:eastAsiaTheme="minorEastAsia" w:hAnsiTheme="minorHAnsi"/>
          <w:noProof/>
        </w:rPr>
      </w:pPr>
      <w:r>
        <w:rPr>
          <w:noProof/>
        </w:rPr>
        <w:t>Energy consumption</w:t>
      </w:r>
      <w:r>
        <w:rPr>
          <w:noProof/>
        </w:rPr>
        <w:tab/>
      </w:r>
      <w:r>
        <w:rPr>
          <w:noProof/>
        </w:rPr>
        <w:fldChar w:fldCharType="begin"/>
      </w:r>
      <w:r>
        <w:rPr>
          <w:noProof/>
        </w:rPr>
        <w:instrText xml:space="preserve"> PAGEREF _Toc8062298 \h </w:instrText>
      </w:r>
      <w:r>
        <w:rPr>
          <w:noProof/>
        </w:rPr>
      </w:r>
      <w:r>
        <w:rPr>
          <w:noProof/>
        </w:rPr>
        <w:fldChar w:fldCharType="separate"/>
      </w:r>
      <w:r>
        <w:rPr>
          <w:noProof/>
        </w:rPr>
        <w:t>69</w:t>
      </w:r>
      <w:r>
        <w:rPr>
          <w:noProof/>
        </w:rPr>
        <w:fldChar w:fldCharType="end"/>
      </w:r>
    </w:p>
    <w:p w14:paraId="33DEB0C4" w14:textId="1A27E894" w:rsidR="00A804CF" w:rsidRDefault="00A804CF">
      <w:pPr>
        <w:pStyle w:val="TOC4"/>
        <w:tabs>
          <w:tab w:val="right" w:leader="dot" w:pos="9350"/>
        </w:tabs>
        <w:rPr>
          <w:rFonts w:asciiTheme="minorHAnsi" w:eastAsiaTheme="minorEastAsia" w:hAnsiTheme="minorHAnsi"/>
          <w:noProof/>
        </w:rPr>
      </w:pPr>
      <w:r>
        <w:rPr>
          <w:noProof/>
        </w:rPr>
        <w:t>Water consumption</w:t>
      </w:r>
      <w:r>
        <w:rPr>
          <w:noProof/>
        </w:rPr>
        <w:tab/>
      </w:r>
      <w:r>
        <w:rPr>
          <w:noProof/>
        </w:rPr>
        <w:fldChar w:fldCharType="begin"/>
      </w:r>
      <w:r>
        <w:rPr>
          <w:noProof/>
        </w:rPr>
        <w:instrText xml:space="preserve"> PAGEREF _Toc8062299 \h </w:instrText>
      </w:r>
      <w:r>
        <w:rPr>
          <w:noProof/>
        </w:rPr>
      </w:r>
      <w:r>
        <w:rPr>
          <w:noProof/>
        </w:rPr>
        <w:fldChar w:fldCharType="separate"/>
      </w:r>
      <w:r>
        <w:rPr>
          <w:noProof/>
        </w:rPr>
        <w:t>69</w:t>
      </w:r>
      <w:r>
        <w:rPr>
          <w:noProof/>
        </w:rPr>
        <w:fldChar w:fldCharType="end"/>
      </w:r>
    </w:p>
    <w:p w14:paraId="013020A8" w14:textId="22946A78" w:rsidR="00A804CF" w:rsidRDefault="00A804CF">
      <w:pPr>
        <w:pStyle w:val="TOC3"/>
        <w:tabs>
          <w:tab w:val="right" w:leader="dot" w:pos="9350"/>
        </w:tabs>
        <w:rPr>
          <w:rFonts w:asciiTheme="minorHAnsi" w:hAnsiTheme="minorHAnsi" w:cstheme="minorBidi"/>
          <w:noProof/>
        </w:rPr>
      </w:pPr>
      <w:r>
        <w:rPr>
          <w:noProof/>
        </w:rPr>
        <w:t>Social Dimension</w:t>
      </w:r>
      <w:r>
        <w:rPr>
          <w:noProof/>
        </w:rPr>
        <w:tab/>
      </w:r>
      <w:r>
        <w:rPr>
          <w:noProof/>
        </w:rPr>
        <w:fldChar w:fldCharType="begin"/>
      </w:r>
      <w:r>
        <w:rPr>
          <w:noProof/>
        </w:rPr>
        <w:instrText xml:space="preserve"> PAGEREF _Toc8062300 \h </w:instrText>
      </w:r>
      <w:r>
        <w:rPr>
          <w:noProof/>
        </w:rPr>
      </w:r>
      <w:r>
        <w:rPr>
          <w:noProof/>
        </w:rPr>
        <w:fldChar w:fldCharType="separate"/>
      </w:r>
      <w:r>
        <w:rPr>
          <w:noProof/>
        </w:rPr>
        <w:t>71</w:t>
      </w:r>
      <w:r>
        <w:rPr>
          <w:noProof/>
        </w:rPr>
        <w:fldChar w:fldCharType="end"/>
      </w:r>
    </w:p>
    <w:p w14:paraId="2E616B27" w14:textId="769039D1" w:rsidR="00A804CF" w:rsidRDefault="00A804CF">
      <w:pPr>
        <w:pStyle w:val="TOC4"/>
        <w:tabs>
          <w:tab w:val="right" w:leader="dot" w:pos="9350"/>
        </w:tabs>
        <w:rPr>
          <w:rFonts w:asciiTheme="minorHAnsi" w:eastAsiaTheme="minorEastAsia" w:hAnsiTheme="minorHAnsi"/>
          <w:noProof/>
        </w:rPr>
      </w:pPr>
      <w:r>
        <w:rPr>
          <w:noProof/>
        </w:rPr>
        <w:t>Formaldehyde exposure</w:t>
      </w:r>
      <w:r>
        <w:rPr>
          <w:noProof/>
        </w:rPr>
        <w:tab/>
      </w:r>
      <w:r>
        <w:rPr>
          <w:noProof/>
        </w:rPr>
        <w:fldChar w:fldCharType="begin"/>
      </w:r>
      <w:r>
        <w:rPr>
          <w:noProof/>
        </w:rPr>
        <w:instrText xml:space="preserve"> PAGEREF _Toc8062301 \h </w:instrText>
      </w:r>
      <w:r>
        <w:rPr>
          <w:noProof/>
        </w:rPr>
      </w:r>
      <w:r>
        <w:rPr>
          <w:noProof/>
        </w:rPr>
        <w:fldChar w:fldCharType="separate"/>
      </w:r>
      <w:r>
        <w:rPr>
          <w:noProof/>
        </w:rPr>
        <w:t>71</w:t>
      </w:r>
      <w:r>
        <w:rPr>
          <w:noProof/>
        </w:rPr>
        <w:fldChar w:fldCharType="end"/>
      </w:r>
    </w:p>
    <w:p w14:paraId="6A5891C1" w14:textId="698C7098" w:rsidR="00A804CF" w:rsidRDefault="00A804CF">
      <w:pPr>
        <w:pStyle w:val="TOC4"/>
        <w:tabs>
          <w:tab w:val="right" w:leader="dot" w:pos="9350"/>
        </w:tabs>
        <w:rPr>
          <w:rFonts w:asciiTheme="minorHAnsi" w:eastAsiaTheme="minorEastAsia" w:hAnsiTheme="minorHAnsi"/>
          <w:noProof/>
        </w:rPr>
      </w:pPr>
      <w:r>
        <w:rPr>
          <w:noProof/>
        </w:rPr>
        <w:t>Indoor environment</w:t>
      </w:r>
      <w:r>
        <w:rPr>
          <w:noProof/>
        </w:rPr>
        <w:tab/>
      </w:r>
      <w:r>
        <w:rPr>
          <w:noProof/>
        </w:rPr>
        <w:fldChar w:fldCharType="begin"/>
      </w:r>
      <w:r>
        <w:rPr>
          <w:noProof/>
        </w:rPr>
        <w:instrText xml:space="preserve"> PAGEREF _Toc8062302 \h </w:instrText>
      </w:r>
      <w:r>
        <w:rPr>
          <w:noProof/>
        </w:rPr>
      </w:r>
      <w:r>
        <w:rPr>
          <w:noProof/>
        </w:rPr>
        <w:fldChar w:fldCharType="separate"/>
      </w:r>
      <w:r>
        <w:rPr>
          <w:noProof/>
        </w:rPr>
        <w:t>72</w:t>
      </w:r>
      <w:r>
        <w:rPr>
          <w:noProof/>
        </w:rPr>
        <w:fldChar w:fldCharType="end"/>
      </w:r>
    </w:p>
    <w:p w14:paraId="62DC959B" w14:textId="2FE8AD51" w:rsidR="00A804CF" w:rsidRDefault="00A804CF">
      <w:pPr>
        <w:pStyle w:val="TOC4"/>
        <w:tabs>
          <w:tab w:val="right" w:leader="dot" w:pos="9350"/>
        </w:tabs>
        <w:rPr>
          <w:rFonts w:asciiTheme="minorHAnsi" w:eastAsiaTheme="minorEastAsia" w:hAnsiTheme="minorHAnsi"/>
          <w:noProof/>
        </w:rPr>
      </w:pPr>
      <w:r>
        <w:rPr>
          <w:noProof/>
        </w:rPr>
        <w:t>Social capital</w:t>
      </w:r>
      <w:r>
        <w:rPr>
          <w:noProof/>
        </w:rPr>
        <w:tab/>
      </w:r>
      <w:r>
        <w:rPr>
          <w:noProof/>
        </w:rPr>
        <w:fldChar w:fldCharType="begin"/>
      </w:r>
      <w:r>
        <w:rPr>
          <w:noProof/>
        </w:rPr>
        <w:instrText xml:space="preserve"> PAGEREF _Toc8062303 \h </w:instrText>
      </w:r>
      <w:r>
        <w:rPr>
          <w:noProof/>
        </w:rPr>
      </w:r>
      <w:r>
        <w:rPr>
          <w:noProof/>
        </w:rPr>
        <w:fldChar w:fldCharType="separate"/>
      </w:r>
      <w:r>
        <w:rPr>
          <w:noProof/>
        </w:rPr>
        <w:t>73</w:t>
      </w:r>
      <w:r>
        <w:rPr>
          <w:noProof/>
        </w:rPr>
        <w:fldChar w:fldCharType="end"/>
      </w:r>
    </w:p>
    <w:p w14:paraId="43644076" w14:textId="3C655A81" w:rsidR="00A804CF" w:rsidRDefault="00A804CF">
      <w:pPr>
        <w:pStyle w:val="TOC3"/>
        <w:tabs>
          <w:tab w:val="right" w:leader="dot" w:pos="9350"/>
        </w:tabs>
        <w:rPr>
          <w:rFonts w:asciiTheme="minorHAnsi" w:hAnsiTheme="minorHAnsi" w:cstheme="minorBidi"/>
          <w:noProof/>
        </w:rPr>
      </w:pPr>
      <w:r>
        <w:rPr>
          <w:noProof/>
        </w:rPr>
        <w:t>Cultural Dimension</w:t>
      </w:r>
      <w:r>
        <w:rPr>
          <w:noProof/>
        </w:rPr>
        <w:tab/>
      </w:r>
      <w:r>
        <w:rPr>
          <w:noProof/>
        </w:rPr>
        <w:fldChar w:fldCharType="begin"/>
      </w:r>
      <w:r>
        <w:rPr>
          <w:noProof/>
        </w:rPr>
        <w:instrText xml:space="preserve"> PAGEREF _Toc8062304 \h </w:instrText>
      </w:r>
      <w:r>
        <w:rPr>
          <w:noProof/>
        </w:rPr>
      </w:r>
      <w:r>
        <w:rPr>
          <w:noProof/>
        </w:rPr>
        <w:fldChar w:fldCharType="separate"/>
      </w:r>
      <w:r>
        <w:rPr>
          <w:noProof/>
        </w:rPr>
        <w:t>73</w:t>
      </w:r>
      <w:r>
        <w:rPr>
          <w:noProof/>
        </w:rPr>
        <w:fldChar w:fldCharType="end"/>
      </w:r>
    </w:p>
    <w:p w14:paraId="7809D0F2" w14:textId="6559D050" w:rsidR="00A804CF" w:rsidRDefault="00A804CF">
      <w:pPr>
        <w:pStyle w:val="TOC1"/>
        <w:rPr>
          <w:rFonts w:asciiTheme="minorHAnsi" w:hAnsiTheme="minorHAnsi" w:cstheme="minorBidi"/>
          <w:noProof/>
          <w:sz w:val="22"/>
        </w:rPr>
      </w:pPr>
      <w:r>
        <w:rPr>
          <w:noProof/>
        </w:rPr>
        <w:t>CHAPTER 4: ANALYSIS</w:t>
      </w:r>
      <w:r>
        <w:rPr>
          <w:noProof/>
        </w:rPr>
        <w:tab/>
      </w:r>
      <w:r>
        <w:rPr>
          <w:noProof/>
        </w:rPr>
        <w:fldChar w:fldCharType="begin"/>
      </w:r>
      <w:r>
        <w:rPr>
          <w:noProof/>
        </w:rPr>
        <w:instrText xml:space="preserve"> PAGEREF _Toc8062305 \h </w:instrText>
      </w:r>
      <w:r>
        <w:rPr>
          <w:noProof/>
        </w:rPr>
      </w:r>
      <w:r>
        <w:rPr>
          <w:noProof/>
        </w:rPr>
        <w:fldChar w:fldCharType="separate"/>
      </w:r>
      <w:r>
        <w:rPr>
          <w:noProof/>
        </w:rPr>
        <w:t>75</w:t>
      </w:r>
      <w:r>
        <w:rPr>
          <w:noProof/>
        </w:rPr>
        <w:fldChar w:fldCharType="end"/>
      </w:r>
    </w:p>
    <w:p w14:paraId="2BA1CB34" w14:textId="532FA0D6" w:rsidR="00A804CF" w:rsidRDefault="00A804CF">
      <w:pPr>
        <w:pStyle w:val="TOC2"/>
        <w:rPr>
          <w:rFonts w:asciiTheme="minorHAnsi" w:hAnsiTheme="minorHAnsi" w:cstheme="minorBidi"/>
          <w:noProof/>
        </w:rPr>
      </w:pPr>
      <w:r>
        <w:rPr>
          <w:noProof/>
        </w:rPr>
        <w:t>4.1 Financial Costs of Relief Housing</w:t>
      </w:r>
      <w:r>
        <w:rPr>
          <w:noProof/>
        </w:rPr>
        <w:tab/>
      </w:r>
      <w:r>
        <w:rPr>
          <w:noProof/>
        </w:rPr>
        <w:fldChar w:fldCharType="begin"/>
      </w:r>
      <w:r>
        <w:rPr>
          <w:noProof/>
        </w:rPr>
        <w:instrText xml:space="preserve"> PAGEREF _Toc8062306 \h </w:instrText>
      </w:r>
      <w:r>
        <w:rPr>
          <w:noProof/>
        </w:rPr>
      </w:r>
      <w:r>
        <w:rPr>
          <w:noProof/>
        </w:rPr>
        <w:fldChar w:fldCharType="separate"/>
      </w:r>
      <w:r>
        <w:rPr>
          <w:noProof/>
        </w:rPr>
        <w:t>75</w:t>
      </w:r>
      <w:r>
        <w:rPr>
          <w:noProof/>
        </w:rPr>
        <w:fldChar w:fldCharType="end"/>
      </w:r>
    </w:p>
    <w:p w14:paraId="78FD43F5" w14:textId="04F8E4B5" w:rsidR="00A804CF" w:rsidRDefault="00A804CF">
      <w:pPr>
        <w:pStyle w:val="TOC3"/>
        <w:tabs>
          <w:tab w:val="right" w:leader="dot" w:pos="9350"/>
        </w:tabs>
        <w:rPr>
          <w:rFonts w:asciiTheme="minorHAnsi" w:hAnsiTheme="minorHAnsi" w:cstheme="minorBidi"/>
          <w:noProof/>
        </w:rPr>
      </w:pPr>
      <w:r>
        <w:rPr>
          <w:noProof/>
        </w:rPr>
        <w:t>Unit Cost</w:t>
      </w:r>
      <w:r>
        <w:rPr>
          <w:noProof/>
        </w:rPr>
        <w:tab/>
      </w:r>
      <w:r>
        <w:rPr>
          <w:noProof/>
        </w:rPr>
        <w:fldChar w:fldCharType="begin"/>
      </w:r>
      <w:r>
        <w:rPr>
          <w:noProof/>
        </w:rPr>
        <w:instrText xml:space="preserve"> PAGEREF _Toc8062307 \h </w:instrText>
      </w:r>
      <w:r>
        <w:rPr>
          <w:noProof/>
        </w:rPr>
      </w:r>
      <w:r>
        <w:rPr>
          <w:noProof/>
        </w:rPr>
        <w:fldChar w:fldCharType="separate"/>
      </w:r>
      <w:r>
        <w:rPr>
          <w:noProof/>
        </w:rPr>
        <w:t>75</w:t>
      </w:r>
      <w:r>
        <w:rPr>
          <w:noProof/>
        </w:rPr>
        <w:fldChar w:fldCharType="end"/>
      </w:r>
    </w:p>
    <w:p w14:paraId="27250571" w14:textId="7CC3B844" w:rsidR="00A804CF" w:rsidRDefault="00A804CF">
      <w:pPr>
        <w:pStyle w:val="TOC3"/>
        <w:tabs>
          <w:tab w:val="right" w:leader="dot" w:pos="9350"/>
        </w:tabs>
        <w:rPr>
          <w:rFonts w:asciiTheme="minorHAnsi" w:hAnsiTheme="minorHAnsi" w:cstheme="minorBidi"/>
          <w:noProof/>
        </w:rPr>
      </w:pPr>
      <w:r>
        <w:rPr>
          <w:noProof/>
        </w:rPr>
        <w:lastRenderedPageBreak/>
        <w:t>Going Tiny</w:t>
      </w:r>
      <w:r>
        <w:rPr>
          <w:noProof/>
        </w:rPr>
        <w:tab/>
      </w:r>
      <w:r>
        <w:rPr>
          <w:noProof/>
        </w:rPr>
        <w:fldChar w:fldCharType="begin"/>
      </w:r>
      <w:r>
        <w:rPr>
          <w:noProof/>
        </w:rPr>
        <w:instrText xml:space="preserve"> PAGEREF _Toc8062308 \h </w:instrText>
      </w:r>
      <w:r>
        <w:rPr>
          <w:noProof/>
        </w:rPr>
      </w:r>
      <w:r>
        <w:rPr>
          <w:noProof/>
        </w:rPr>
        <w:fldChar w:fldCharType="separate"/>
      </w:r>
      <w:r>
        <w:rPr>
          <w:noProof/>
        </w:rPr>
        <w:t>78</w:t>
      </w:r>
      <w:r>
        <w:rPr>
          <w:noProof/>
        </w:rPr>
        <w:fldChar w:fldCharType="end"/>
      </w:r>
    </w:p>
    <w:p w14:paraId="524E8835" w14:textId="7215B15E" w:rsidR="00A804CF" w:rsidRDefault="00A804CF">
      <w:pPr>
        <w:pStyle w:val="TOC2"/>
        <w:rPr>
          <w:rFonts w:asciiTheme="minorHAnsi" w:hAnsiTheme="minorHAnsi" w:cstheme="minorBidi"/>
          <w:noProof/>
        </w:rPr>
      </w:pPr>
      <w:r>
        <w:rPr>
          <w:noProof/>
        </w:rPr>
        <w:t>4.2 Environmental Impact</w:t>
      </w:r>
      <w:r>
        <w:rPr>
          <w:noProof/>
        </w:rPr>
        <w:tab/>
      </w:r>
      <w:r>
        <w:rPr>
          <w:noProof/>
        </w:rPr>
        <w:fldChar w:fldCharType="begin"/>
      </w:r>
      <w:r>
        <w:rPr>
          <w:noProof/>
        </w:rPr>
        <w:instrText xml:space="preserve"> PAGEREF _Toc8062309 \h </w:instrText>
      </w:r>
      <w:r>
        <w:rPr>
          <w:noProof/>
        </w:rPr>
      </w:r>
      <w:r>
        <w:rPr>
          <w:noProof/>
        </w:rPr>
        <w:fldChar w:fldCharType="separate"/>
      </w:r>
      <w:r>
        <w:rPr>
          <w:noProof/>
        </w:rPr>
        <w:t>79</w:t>
      </w:r>
      <w:r>
        <w:rPr>
          <w:noProof/>
        </w:rPr>
        <w:fldChar w:fldCharType="end"/>
      </w:r>
    </w:p>
    <w:p w14:paraId="29CC3006" w14:textId="67C97260" w:rsidR="00A804CF" w:rsidRDefault="00A804CF">
      <w:pPr>
        <w:pStyle w:val="TOC3"/>
        <w:tabs>
          <w:tab w:val="right" w:leader="dot" w:pos="9350"/>
        </w:tabs>
        <w:rPr>
          <w:rFonts w:asciiTheme="minorHAnsi" w:hAnsiTheme="minorHAnsi" w:cstheme="minorBidi"/>
          <w:noProof/>
        </w:rPr>
      </w:pPr>
      <w:r>
        <w:rPr>
          <w:noProof/>
        </w:rPr>
        <w:t>Energy Usage</w:t>
      </w:r>
      <w:r>
        <w:rPr>
          <w:noProof/>
        </w:rPr>
        <w:tab/>
      </w:r>
      <w:r>
        <w:rPr>
          <w:noProof/>
        </w:rPr>
        <w:fldChar w:fldCharType="begin"/>
      </w:r>
      <w:r>
        <w:rPr>
          <w:noProof/>
        </w:rPr>
        <w:instrText xml:space="preserve"> PAGEREF _Toc8062310 \h </w:instrText>
      </w:r>
      <w:r>
        <w:rPr>
          <w:noProof/>
        </w:rPr>
      </w:r>
      <w:r>
        <w:rPr>
          <w:noProof/>
        </w:rPr>
        <w:fldChar w:fldCharType="separate"/>
      </w:r>
      <w:r>
        <w:rPr>
          <w:noProof/>
        </w:rPr>
        <w:t>79</w:t>
      </w:r>
      <w:r>
        <w:rPr>
          <w:noProof/>
        </w:rPr>
        <w:fldChar w:fldCharType="end"/>
      </w:r>
    </w:p>
    <w:p w14:paraId="195B16B2" w14:textId="7C8C8B1B" w:rsidR="00A804CF" w:rsidRDefault="00A804CF">
      <w:pPr>
        <w:pStyle w:val="TOC3"/>
        <w:tabs>
          <w:tab w:val="right" w:leader="dot" w:pos="9350"/>
        </w:tabs>
        <w:rPr>
          <w:rFonts w:asciiTheme="minorHAnsi" w:hAnsiTheme="minorHAnsi" w:cstheme="minorBidi"/>
          <w:noProof/>
        </w:rPr>
      </w:pPr>
      <w:r>
        <w:rPr>
          <w:noProof/>
        </w:rPr>
        <w:t>Water and Waste Management</w:t>
      </w:r>
      <w:r>
        <w:rPr>
          <w:noProof/>
        </w:rPr>
        <w:tab/>
      </w:r>
      <w:r>
        <w:rPr>
          <w:noProof/>
        </w:rPr>
        <w:fldChar w:fldCharType="begin"/>
      </w:r>
      <w:r>
        <w:rPr>
          <w:noProof/>
        </w:rPr>
        <w:instrText xml:space="preserve"> PAGEREF _Toc8062311 \h </w:instrText>
      </w:r>
      <w:r>
        <w:rPr>
          <w:noProof/>
        </w:rPr>
      </w:r>
      <w:r>
        <w:rPr>
          <w:noProof/>
        </w:rPr>
        <w:fldChar w:fldCharType="separate"/>
      </w:r>
      <w:r>
        <w:rPr>
          <w:noProof/>
        </w:rPr>
        <w:t>80</w:t>
      </w:r>
      <w:r>
        <w:rPr>
          <w:noProof/>
        </w:rPr>
        <w:fldChar w:fldCharType="end"/>
      </w:r>
    </w:p>
    <w:p w14:paraId="56826D33" w14:textId="11CB9793" w:rsidR="00A804CF" w:rsidRDefault="00A804CF">
      <w:pPr>
        <w:pStyle w:val="TOC3"/>
        <w:tabs>
          <w:tab w:val="right" w:leader="dot" w:pos="9350"/>
        </w:tabs>
        <w:rPr>
          <w:rFonts w:asciiTheme="minorHAnsi" w:hAnsiTheme="minorHAnsi" w:cstheme="minorBidi"/>
          <w:noProof/>
        </w:rPr>
      </w:pPr>
      <w:r>
        <w:rPr>
          <w:noProof/>
        </w:rPr>
        <w:t>Materials</w:t>
      </w:r>
      <w:r>
        <w:rPr>
          <w:noProof/>
        </w:rPr>
        <w:tab/>
      </w:r>
      <w:r>
        <w:rPr>
          <w:noProof/>
        </w:rPr>
        <w:fldChar w:fldCharType="begin"/>
      </w:r>
      <w:r>
        <w:rPr>
          <w:noProof/>
        </w:rPr>
        <w:instrText xml:space="preserve"> PAGEREF _Toc8062312 \h </w:instrText>
      </w:r>
      <w:r>
        <w:rPr>
          <w:noProof/>
        </w:rPr>
      </w:r>
      <w:r>
        <w:rPr>
          <w:noProof/>
        </w:rPr>
        <w:fldChar w:fldCharType="separate"/>
      </w:r>
      <w:r>
        <w:rPr>
          <w:noProof/>
        </w:rPr>
        <w:t>82</w:t>
      </w:r>
      <w:r>
        <w:rPr>
          <w:noProof/>
        </w:rPr>
        <w:fldChar w:fldCharType="end"/>
      </w:r>
    </w:p>
    <w:p w14:paraId="64A422C1" w14:textId="5B0ABB92" w:rsidR="00A804CF" w:rsidRDefault="00A804CF">
      <w:pPr>
        <w:pStyle w:val="TOC3"/>
        <w:tabs>
          <w:tab w:val="right" w:leader="dot" w:pos="9350"/>
        </w:tabs>
        <w:rPr>
          <w:rFonts w:asciiTheme="minorHAnsi" w:hAnsiTheme="minorHAnsi" w:cstheme="minorBidi"/>
          <w:noProof/>
        </w:rPr>
      </w:pPr>
      <w:r>
        <w:rPr>
          <w:noProof/>
        </w:rPr>
        <w:t>System Longevity</w:t>
      </w:r>
      <w:r>
        <w:rPr>
          <w:noProof/>
        </w:rPr>
        <w:tab/>
      </w:r>
      <w:r>
        <w:rPr>
          <w:noProof/>
        </w:rPr>
        <w:fldChar w:fldCharType="begin"/>
      </w:r>
      <w:r>
        <w:rPr>
          <w:noProof/>
        </w:rPr>
        <w:instrText xml:space="preserve"> PAGEREF _Toc8062313 \h </w:instrText>
      </w:r>
      <w:r>
        <w:rPr>
          <w:noProof/>
        </w:rPr>
      </w:r>
      <w:r>
        <w:rPr>
          <w:noProof/>
        </w:rPr>
        <w:fldChar w:fldCharType="separate"/>
      </w:r>
      <w:r>
        <w:rPr>
          <w:noProof/>
        </w:rPr>
        <w:t>83</w:t>
      </w:r>
      <w:r>
        <w:rPr>
          <w:noProof/>
        </w:rPr>
        <w:fldChar w:fldCharType="end"/>
      </w:r>
    </w:p>
    <w:p w14:paraId="07D62F2B" w14:textId="08921AA6" w:rsidR="00A804CF" w:rsidRDefault="00A804CF">
      <w:pPr>
        <w:pStyle w:val="TOC2"/>
        <w:rPr>
          <w:rFonts w:asciiTheme="minorHAnsi" w:hAnsiTheme="minorHAnsi" w:cstheme="minorBidi"/>
          <w:noProof/>
        </w:rPr>
      </w:pPr>
      <w:r>
        <w:rPr>
          <w:noProof/>
        </w:rPr>
        <w:t>4.3 Social Factors</w:t>
      </w:r>
      <w:r>
        <w:rPr>
          <w:noProof/>
        </w:rPr>
        <w:tab/>
      </w:r>
      <w:r>
        <w:rPr>
          <w:noProof/>
        </w:rPr>
        <w:fldChar w:fldCharType="begin"/>
      </w:r>
      <w:r>
        <w:rPr>
          <w:noProof/>
        </w:rPr>
        <w:instrText xml:space="preserve"> PAGEREF _Toc8062314 \h </w:instrText>
      </w:r>
      <w:r>
        <w:rPr>
          <w:noProof/>
        </w:rPr>
      </w:r>
      <w:r>
        <w:rPr>
          <w:noProof/>
        </w:rPr>
        <w:fldChar w:fldCharType="separate"/>
      </w:r>
      <w:r>
        <w:rPr>
          <w:noProof/>
        </w:rPr>
        <w:t>84</w:t>
      </w:r>
      <w:r>
        <w:rPr>
          <w:noProof/>
        </w:rPr>
        <w:fldChar w:fldCharType="end"/>
      </w:r>
    </w:p>
    <w:p w14:paraId="3EDC2B0F" w14:textId="37D4ED69" w:rsidR="00A804CF" w:rsidRDefault="00A804CF">
      <w:pPr>
        <w:pStyle w:val="TOC3"/>
        <w:tabs>
          <w:tab w:val="right" w:leader="dot" w:pos="9350"/>
        </w:tabs>
        <w:rPr>
          <w:rFonts w:asciiTheme="minorHAnsi" w:hAnsiTheme="minorHAnsi" w:cstheme="minorBidi"/>
          <w:noProof/>
        </w:rPr>
      </w:pPr>
      <w:r>
        <w:rPr>
          <w:noProof/>
        </w:rPr>
        <w:t>Toxicity</w:t>
      </w:r>
      <w:r>
        <w:rPr>
          <w:noProof/>
        </w:rPr>
        <w:tab/>
      </w:r>
      <w:r>
        <w:rPr>
          <w:noProof/>
        </w:rPr>
        <w:fldChar w:fldCharType="begin"/>
      </w:r>
      <w:r>
        <w:rPr>
          <w:noProof/>
        </w:rPr>
        <w:instrText xml:space="preserve"> PAGEREF _Toc8062315 \h </w:instrText>
      </w:r>
      <w:r>
        <w:rPr>
          <w:noProof/>
        </w:rPr>
      </w:r>
      <w:r>
        <w:rPr>
          <w:noProof/>
        </w:rPr>
        <w:fldChar w:fldCharType="separate"/>
      </w:r>
      <w:r>
        <w:rPr>
          <w:noProof/>
        </w:rPr>
        <w:t>84</w:t>
      </w:r>
      <w:r>
        <w:rPr>
          <w:noProof/>
        </w:rPr>
        <w:fldChar w:fldCharType="end"/>
      </w:r>
    </w:p>
    <w:p w14:paraId="1F6CBF42" w14:textId="1EEB0045" w:rsidR="00A804CF" w:rsidRDefault="00A804CF">
      <w:pPr>
        <w:pStyle w:val="TOC3"/>
        <w:tabs>
          <w:tab w:val="right" w:leader="dot" w:pos="9350"/>
        </w:tabs>
        <w:rPr>
          <w:rFonts w:asciiTheme="minorHAnsi" w:hAnsiTheme="minorHAnsi" w:cstheme="minorBidi"/>
          <w:noProof/>
        </w:rPr>
      </w:pPr>
      <w:r>
        <w:rPr>
          <w:noProof/>
        </w:rPr>
        <w:t>Thermal Comfort</w:t>
      </w:r>
      <w:r>
        <w:rPr>
          <w:noProof/>
        </w:rPr>
        <w:tab/>
      </w:r>
      <w:r>
        <w:rPr>
          <w:noProof/>
        </w:rPr>
        <w:fldChar w:fldCharType="begin"/>
      </w:r>
      <w:r>
        <w:rPr>
          <w:noProof/>
        </w:rPr>
        <w:instrText xml:space="preserve"> PAGEREF _Toc8062316 \h </w:instrText>
      </w:r>
      <w:r>
        <w:rPr>
          <w:noProof/>
        </w:rPr>
      </w:r>
      <w:r>
        <w:rPr>
          <w:noProof/>
        </w:rPr>
        <w:fldChar w:fldCharType="separate"/>
      </w:r>
      <w:r>
        <w:rPr>
          <w:noProof/>
        </w:rPr>
        <w:t>86</w:t>
      </w:r>
      <w:r>
        <w:rPr>
          <w:noProof/>
        </w:rPr>
        <w:fldChar w:fldCharType="end"/>
      </w:r>
    </w:p>
    <w:p w14:paraId="29F21487" w14:textId="18081710" w:rsidR="00A804CF" w:rsidRDefault="00A804CF">
      <w:pPr>
        <w:pStyle w:val="TOC3"/>
        <w:tabs>
          <w:tab w:val="right" w:leader="dot" w:pos="9350"/>
        </w:tabs>
        <w:rPr>
          <w:rFonts w:asciiTheme="minorHAnsi" w:hAnsiTheme="minorHAnsi" w:cstheme="minorBidi"/>
          <w:noProof/>
        </w:rPr>
      </w:pPr>
      <w:r>
        <w:rPr>
          <w:noProof/>
        </w:rPr>
        <w:t>Social Capital</w:t>
      </w:r>
      <w:r>
        <w:rPr>
          <w:noProof/>
        </w:rPr>
        <w:tab/>
      </w:r>
      <w:r>
        <w:rPr>
          <w:noProof/>
        </w:rPr>
        <w:fldChar w:fldCharType="begin"/>
      </w:r>
      <w:r>
        <w:rPr>
          <w:noProof/>
        </w:rPr>
        <w:instrText xml:space="preserve"> PAGEREF _Toc8062317 \h </w:instrText>
      </w:r>
      <w:r>
        <w:rPr>
          <w:noProof/>
        </w:rPr>
      </w:r>
      <w:r>
        <w:rPr>
          <w:noProof/>
        </w:rPr>
        <w:fldChar w:fldCharType="separate"/>
      </w:r>
      <w:r>
        <w:rPr>
          <w:noProof/>
        </w:rPr>
        <w:t>87</w:t>
      </w:r>
      <w:r>
        <w:rPr>
          <w:noProof/>
        </w:rPr>
        <w:fldChar w:fldCharType="end"/>
      </w:r>
    </w:p>
    <w:p w14:paraId="470A58CF" w14:textId="0435942E" w:rsidR="00A804CF" w:rsidRDefault="00A804CF">
      <w:pPr>
        <w:pStyle w:val="TOC2"/>
        <w:rPr>
          <w:rFonts w:asciiTheme="minorHAnsi" w:hAnsiTheme="minorHAnsi" w:cstheme="minorBidi"/>
          <w:noProof/>
        </w:rPr>
      </w:pPr>
      <w:r>
        <w:rPr>
          <w:noProof/>
        </w:rPr>
        <w:t>4.4 Importance of Home and Culture</w:t>
      </w:r>
      <w:r>
        <w:rPr>
          <w:noProof/>
        </w:rPr>
        <w:tab/>
      </w:r>
      <w:r>
        <w:rPr>
          <w:noProof/>
        </w:rPr>
        <w:fldChar w:fldCharType="begin"/>
      </w:r>
      <w:r>
        <w:rPr>
          <w:noProof/>
        </w:rPr>
        <w:instrText xml:space="preserve"> PAGEREF _Toc8062318 \h </w:instrText>
      </w:r>
      <w:r>
        <w:rPr>
          <w:noProof/>
        </w:rPr>
      </w:r>
      <w:r>
        <w:rPr>
          <w:noProof/>
        </w:rPr>
        <w:fldChar w:fldCharType="separate"/>
      </w:r>
      <w:r>
        <w:rPr>
          <w:noProof/>
        </w:rPr>
        <w:t>88</w:t>
      </w:r>
      <w:r>
        <w:rPr>
          <w:noProof/>
        </w:rPr>
        <w:fldChar w:fldCharType="end"/>
      </w:r>
    </w:p>
    <w:p w14:paraId="72FDC7E6" w14:textId="31855D72" w:rsidR="00A804CF" w:rsidRDefault="00A804CF">
      <w:pPr>
        <w:pStyle w:val="TOC2"/>
        <w:rPr>
          <w:rFonts w:asciiTheme="minorHAnsi" w:hAnsiTheme="minorHAnsi" w:cstheme="minorBidi"/>
          <w:noProof/>
        </w:rPr>
      </w:pPr>
      <w:r>
        <w:rPr>
          <w:noProof/>
        </w:rPr>
        <w:t>4.5 Design Strategy</w:t>
      </w:r>
      <w:r>
        <w:rPr>
          <w:noProof/>
        </w:rPr>
        <w:tab/>
      </w:r>
      <w:r>
        <w:rPr>
          <w:noProof/>
        </w:rPr>
        <w:fldChar w:fldCharType="begin"/>
      </w:r>
      <w:r>
        <w:rPr>
          <w:noProof/>
        </w:rPr>
        <w:instrText xml:space="preserve"> PAGEREF _Toc8062319 \h </w:instrText>
      </w:r>
      <w:r>
        <w:rPr>
          <w:noProof/>
        </w:rPr>
      </w:r>
      <w:r>
        <w:rPr>
          <w:noProof/>
        </w:rPr>
        <w:fldChar w:fldCharType="separate"/>
      </w:r>
      <w:r>
        <w:rPr>
          <w:noProof/>
        </w:rPr>
        <w:t>89</w:t>
      </w:r>
      <w:r>
        <w:rPr>
          <w:noProof/>
        </w:rPr>
        <w:fldChar w:fldCharType="end"/>
      </w:r>
    </w:p>
    <w:p w14:paraId="0CEAC66F" w14:textId="4412A250" w:rsidR="00A804CF" w:rsidRDefault="00A804CF">
      <w:pPr>
        <w:pStyle w:val="TOC2"/>
        <w:rPr>
          <w:rFonts w:asciiTheme="minorHAnsi" w:hAnsiTheme="minorHAnsi" w:cstheme="minorBidi"/>
          <w:noProof/>
        </w:rPr>
      </w:pPr>
      <w:r>
        <w:rPr>
          <w:noProof/>
        </w:rPr>
        <w:t>4.6 Findings</w:t>
      </w:r>
      <w:r>
        <w:rPr>
          <w:noProof/>
        </w:rPr>
        <w:tab/>
      </w:r>
      <w:r>
        <w:rPr>
          <w:noProof/>
        </w:rPr>
        <w:fldChar w:fldCharType="begin"/>
      </w:r>
      <w:r>
        <w:rPr>
          <w:noProof/>
        </w:rPr>
        <w:instrText xml:space="preserve"> PAGEREF _Toc8062320 \h </w:instrText>
      </w:r>
      <w:r>
        <w:rPr>
          <w:noProof/>
        </w:rPr>
      </w:r>
      <w:r>
        <w:rPr>
          <w:noProof/>
        </w:rPr>
        <w:fldChar w:fldCharType="separate"/>
      </w:r>
      <w:r>
        <w:rPr>
          <w:noProof/>
        </w:rPr>
        <w:t>91</w:t>
      </w:r>
      <w:r>
        <w:rPr>
          <w:noProof/>
        </w:rPr>
        <w:fldChar w:fldCharType="end"/>
      </w:r>
    </w:p>
    <w:p w14:paraId="25CB37D0" w14:textId="432FCB3A" w:rsidR="00A804CF" w:rsidRDefault="00A804CF">
      <w:pPr>
        <w:pStyle w:val="TOC1"/>
        <w:rPr>
          <w:rFonts w:asciiTheme="minorHAnsi" w:hAnsiTheme="minorHAnsi" w:cstheme="minorBidi"/>
          <w:noProof/>
          <w:sz w:val="22"/>
        </w:rPr>
      </w:pPr>
      <w:r>
        <w:rPr>
          <w:noProof/>
        </w:rPr>
        <w:t>CHAPTER 5: DISCUSSION</w:t>
      </w:r>
      <w:r>
        <w:rPr>
          <w:noProof/>
        </w:rPr>
        <w:tab/>
      </w:r>
      <w:r>
        <w:rPr>
          <w:noProof/>
        </w:rPr>
        <w:fldChar w:fldCharType="begin"/>
      </w:r>
      <w:r>
        <w:rPr>
          <w:noProof/>
        </w:rPr>
        <w:instrText xml:space="preserve"> PAGEREF _Toc8062321 \h </w:instrText>
      </w:r>
      <w:r>
        <w:rPr>
          <w:noProof/>
        </w:rPr>
      </w:r>
      <w:r>
        <w:rPr>
          <w:noProof/>
        </w:rPr>
        <w:fldChar w:fldCharType="separate"/>
      </w:r>
      <w:r>
        <w:rPr>
          <w:noProof/>
        </w:rPr>
        <w:t>94</w:t>
      </w:r>
      <w:r>
        <w:rPr>
          <w:noProof/>
        </w:rPr>
        <w:fldChar w:fldCharType="end"/>
      </w:r>
    </w:p>
    <w:p w14:paraId="0028F5D7" w14:textId="37774AB1" w:rsidR="00A804CF" w:rsidRDefault="00A804CF">
      <w:pPr>
        <w:pStyle w:val="TOC2"/>
        <w:rPr>
          <w:rFonts w:asciiTheme="minorHAnsi" w:hAnsiTheme="minorHAnsi" w:cstheme="minorBidi"/>
          <w:noProof/>
        </w:rPr>
      </w:pPr>
      <w:r>
        <w:rPr>
          <w:noProof/>
        </w:rPr>
        <w:t>5.1 Implementation</w:t>
      </w:r>
      <w:r>
        <w:rPr>
          <w:noProof/>
        </w:rPr>
        <w:tab/>
      </w:r>
      <w:r>
        <w:rPr>
          <w:noProof/>
        </w:rPr>
        <w:fldChar w:fldCharType="begin"/>
      </w:r>
      <w:r>
        <w:rPr>
          <w:noProof/>
        </w:rPr>
        <w:instrText xml:space="preserve"> PAGEREF _Toc8062322 \h </w:instrText>
      </w:r>
      <w:r>
        <w:rPr>
          <w:noProof/>
        </w:rPr>
      </w:r>
      <w:r>
        <w:rPr>
          <w:noProof/>
        </w:rPr>
        <w:fldChar w:fldCharType="separate"/>
      </w:r>
      <w:r>
        <w:rPr>
          <w:noProof/>
        </w:rPr>
        <w:t>94</w:t>
      </w:r>
      <w:r>
        <w:rPr>
          <w:noProof/>
        </w:rPr>
        <w:fldChar w:fldCharType="end"/>
      </w:r>
    </w:p>
    <w:p w14:paraId="3E6BF353" w14:textId="6E176688" w:rsidR="00A804CF" w:rsidRDefault="00A804CF">
      <w:pPr>
        <w:pStyle w:val="TOC3"/>
        <w:tabs>
          <w:tab w:val="right" w:leader="dot" w:pos="9350"/>
        </w:tabs>
        <w:rPr>
          <w:rFonts w:asciiTheme="minorHAnsi" w:hAnsiTheme="minorHAnsi" w:cstheme="minorBidi"/>
          <w:noProof/>
        </w:rPr>
      </w:pPr>
      <w:r>
        <w:rPr>
          <w:noProof/>
        </w:rPr>
        <w:t>Preparedness</w:t>
      </w:r>
      <w:r>
        <w:rPr>
          <w:noProof/>
        </w:rPr>
        <w:tab/>
      </w:r>
      <w:r>
        <w:rPr>
          <w:noProof/>
        </w:rPr>
        <w:fldChar w:fldCharType="begin"/>
      </w:r>
      <w:r>
        <w:rPr>
          <w:noProof/>
        </w:rPr>
        <w:instrText xml:space="preserve"> PAGEREF _Toc8062323 \h </w:instrText>
      </w:r>
      <w:r>
        <w:rPr>
          <w:noProof/>
        </w:rPr>
      </w:r>
      <w:r>
        <w:rPr>
          <w:noProof/>
        </w:rPr>
        <w:fldChar w:fldCharType="separate"/>
      </w:r>
      <w:r>
        <w:rPr>
          <w:noProof/>
        </w:rPr>
        <w:t>94</w:t>
      </w:r>
      <w:r>
        <w:rPr>
          <w:noProof/>
        </w:rPr>
        <w:fldChar w:fldCharType="end"/>
      </w:r>
    </w:p>
    <w:p w14:paraId="4E62962A" w14:textId="0E15B986" w:rsidR="00A804CF" w:rsidRDefault="00A804CF">
      <w:pPr>
        <w:pStyle w:val="TOC3"/>
        <w:tabs>
          <w:tab w:val="right" w:leader="dot" w:pos="9350"/>
        </w:tabs>
        <w:rPr>
          <w:rFonts w:asciiTheme="minorHAnsi" w:hAnsiTheme="minorHAnsi" w:cstheme="minorBidi"/>
          <w:noProof/>
        </w:rPr>
      </w:pPr>
      <w:r>
        <w:rPr>
          <w:noProof/>
        </w:rPr>
        <w:t>Adaptive Capacity</w:t>
      </w:r>
      <w:r>
        <w:rPr>
          <w:noProof/>
        </w:rPr>
        <w:tab/>
      </w:r>
      <w:r>
        <w:rPr>
          <w:noProof/>
        </w:rPr>
        <w:fldChar w:fldCharType="begin"/>
      </w:r>
      <w:r>
        <w:rPr>
          <w:noProof/>
        </w:rPr>
        <w:instrText xml:space="preserve"> PAGEREF _Toc8062324 \h </w:instrText>
      </w:r>
      <w:r>
        <w:rPr>
          <w:noProof/>
        </w:rPr>
      </w:r>
      <w:r>
        <w:rPr>
          <w:noProof/>
        </w:rPr>
        <w:fldChar w:fldCharType="separate"/>
      </w:r>
      <w:r>
        <w:rPr>
          <w:noProof/>
        </w:rPr>
        <w:t>96</w:t>
      </w:r>
      <w:r>
        <w:rPr>
          <w:noProof/>
        </w:rPr>
        <w:fldChar w:fldCharType="end"/>
      </w:r>
    </w:p>
    <w:p w14:paraId="37279769" w14:textId="14332162" w:rsidR="00A804CF" w:rsidRDefault="00A804CF">
      <w:pPr>
        <w:pStyle w:val="TOC2"/>
        <w:rPr>
          <w:rFonts w:asciiTheme="minorHAnsi" w:hAnsiTheme="minorHAnsi" w:cstheme="minorBidi"/>
          <w:noProof/>
        </w:rPr>
      </w:pPr>
      <w:r>
        <w:rPr>
          <w:noProof/>
        </w:rPr>
        <w:t>5.2 Moving Forward</w:t>
      </w:r>
      <w:r>
        <w:rPr>
          <w:noProof/>
        </w:rPr>
        <w:tab/>
      </w:r>
      <w:r>
        <w:rPr>
          <w:noProof/>
        </w:rPr>
        <w:fldChar w:fldCharType="begin"/>
      </w:r>
      <w:r>
        <w:rPr>
          <w:noProof/>
        </w:rPr>
        <w:instrText xml:space="preserve"> PAGEREF _Toc8062325 \h </w:instrText>
      </w:r>
      <w:r>
        <w:rPr>
          <w:noProof/>
        </w:rPr>
      </w:r>
      <w:r>
        <w:rPr>
          <w:noProof/>
        </w:rPr>
        <w:fldChar w:fldCharType="separate"/>
      </w:r>
      <w:r>
        <w:rPr>
          <w:noProof/>
        </w:rPr>
        <w:t>97</w:t>
      </w:r>
      <w:r>
        <w:rPr>
          <w:noProof/>
        </w:rPr>
        <w:fldChar w:fldCharType="end"/>
      </w:r>
    </w:p>
    <w:p w14:paraId="04E85BEF" w14:textId="4B4BADE6" w:rsidR="00A804CF" w:rsidRDefault="00A804CF">
      <w:pPr>
        <w:pStyle w:val="TOC3"/>
        <w:tabs>
          <w:tab w:val="right" w:leader="dot" w:pos="9350"/>
        </w:tabs>
        <w:rPr>
          <w:rFonts w:asciiTheme="minorHAnsi" w:hAnsiTheme="minorHAnsi" w:cstheme="minorBidi"/>
          <w:noProof/>
        </w:rPr>
      </w:pPr>
      <w:r>
        <w:rPr>
          <w:noProof/>
        </w:rPr>
        <w:t>Recommendations</w:t>
      </w:r>
      <w:r>
        <w:rPr>
          <w:noProof/>
        </w:rPr>
        <w:tab/>
      </w:r>
      <w:r>
        <w:rPr>
          <w:noProof/>
        </w:rPr>
        <w:fldChar w:fldCharType="begin"/>
      </w:r>
      <w:r>
        <w:rPr>
          <w:noProof/>
        </w:rPr>
        <w:instrText xml:space="preserve"> PAGEREF _Toc8062326 \h </w:instrText>
      </w:r>
      <w:r>
        <w:rPr>
          <w:noProof/>
        </w:rPr>
      </w:r>
      <w:r>
        <w:rPr>
          <w:noProof/>
        </w:rPr>
        <w:fldChar w:fldCharType="separate"/>
      </w:r>
      <w:r>
        <w:rPr>
          <w:noProof/>
        </w:rPr>
        <w:t>97</w:t>
      </w:r>
      <w:r>
        <w:rPr>
          <w:noProof/>
        </w:rPr>
        <w:fldChar w:fldCharType="end"/>
      </w:r>
    </w:p>
    <w:p w14:paraId="611B898F" w14:textId="28575CB2" w:rsidR="00A804CF" w:rsidRDefault="00A804CF">
      <w:pPr>
        <w:pStyle w:val="TOC3"/>
        <w:tabs>
          <w:tab w:val="right" w:leader="dot" w:pos="9350"/>
        </w:tabs>
        <w:rPr>
          <w:rFonts w:asciiTheme="minorHAnsi" w:hAnsiTheme="minorHAnsi" w:cstheme="minorBidi"/>
          <w:noProof/>
        </w:rPr>
      </w:pPr>
      <w:r>
        <w:rPr>
          <w:noProof/>
        </w:rPr>
        <w:t>Future Research</w:t>
      </w:r>
      <w:r>
        <w:rPr>
          <w:noProof/>
        </w:rPr>
        <w:tab/>
      </w:r>
      <w:r>
        <w:rPr>
          <w:noProof/>
        </w:rPr>
        <w:fldChar w:fldCharType="begin"/>
      </w:r>
      <w:r>
        <w:rPr>
          <w:noProof/>
        </w:rPr>
        <w:instrText xml:space="preserve"> PAGEREF _Toc8062327 \h </w:instrText>
      </w:r>
      <w:r>
        <w:rPr>
          <w:noProof/>
        </w:rPr>
      </w:r>
      <w:r>
        <w:rPr>
          <w:noProof/>
        </w:rPr>
        <w:fldChar w:fldCharType="separate"/>
      </w:r>
      <w:r>
        <w:rPr>
          <w:noProof/>
        </w:rPr>
        <w:t>100</w:t>
      </w:r>
      <w:r>
        <w:rPr>
          <w:noProof/>
        </w:rPr>
        <w:fldChar w:fldCharType="end"/>
      </w:r>
    </w:p>
    <w:p w14:paraId="78791374" w14:textId="0FEB17AD" w:rsidR="00A804CF" w:rsidRDefault="00A804CF">
      <w:pPr>
        <w:pStyle w:val="TOC3"/>
        <w:tabs>
          <w:tab w:val="right" w:leader="dot" w:pos="9350"/>
        </w:tabs>
        <w:rPr>
          <w:rFonts w:asciiTheme="minorHAnsi" w:hAnsiTheme="minorHAnsi" w:cstheme="minorBidi"/>
          <w:noProof/>
        </w:rPr>
      </w:pPr>
      <w:r>
        <w:rPr>
          <w:noProof/>
        </w:rPr>
        <w:t>Conclusion</w:t>
      </w:r>
      <w:r>
        <w:rPr>
          <w:noProof/>
        </w:rPr>
        <w:tab/>
      </w:r>
      <w:r>
        <w:rPr>
          <w:noProof/>
        </w:rPr>
        <w:fldChar w:fldCharType="begin"/>
      </w:r>
      <w:r>
        <w:rPr>
          <w:noProof/>
        </w:rPr>
        <w:instrText xml:space="preserve"> PAGEREF _Toc8062328 \h </w:instrText>
      </w:r>
      <w:r>
        <w:rPr>
          <w:noProof/>
        </w:rPr>
      </w:r>
      <w:r>
        <w:rPr>
          <w:noProof/>
        </w:rPr>
        <w:fldChar w:fldCharType="separate"/>
      </w:r>
      <w:r>
        <w:rPr>
          <w:noProof/>
        </w:rPr>
        <w:t>102</w:t>
      </w:r>
      <w:r>
        <w:rPr>
          <w:noProof/>
        </w:rPr>
        <w:fldChar w:fldCharType="end"/>
      </w:r>
    </w:p>
    <w:p w14:paraId="57EC478B" w14:textId="432373A8" w:rsidR="00A804CF" w:rsidRDefault="00A804CF">
      <w:pPr>
        <w:pStyle w:val="TOC2"/>
        <w:rPr>
          <w:rFonts w:asciiTheme="minorHAnsi" w:hAnsiTheme="minorHAnsi" w:cstheme="minorBidi"/>
          <w:noProof/>
        </w:rPr>
      </w:pPr>
      <w:r>
        <w:rPr>
          <w:noProof/>
        </w:rPr>
        <w:t>Bibliography</w:t>
      </w:r>
      <w:r>
        <w:rPr>
          <w:noProof/>
        </w:rPr>
        <w:tab/>
      </w:r>
      <w:r>
        <w:rPr>
          <w:noProof/>
        </w:rPr>
        <w:fldChar w:fldCharType="begin"/>
      </w:r>
      <w:r>
        <w:rPr>
          <w:noProof/>
        </w:rPr>
        <w:instrText xml:space="preserve"> PAGEREF _Toc8062329 \h </w:instrText>
      </w:r>
      <w:r>
        <w:rPr>
          <w:noProof/>
        </w:rPr>
      </w:r>
      <w:r>
        <w:rPr>
          <w:noProof/>
        </w:rPr>
        <w:fldChar w:fldCharType="separate"/>
      </w:r>
      <w:r>
        <w:rPr>
          <w:noProof/>
        </w:rPr>
        <w:t>105</w:t>
      </w:r>
      <w:r>
        <w:rPr>
          <w:noProof/>
        </w:rPr>
        <w:fldChar w:fldCharType="end"/>
      </w:r>
    </w:p>
    <w:p w14:paraId="27AF5C4C" w14:textId="4DA71347" w:rsidR="00103507" w:rsidRPr="0014270C" w:rsidRDefault="002A3AAF" w:rsidP="00707B2C">
      <w:pPr>
        <w:pStyle w:val="THESISLVL1"/>
      </w:pPr>
      <w:r>
        <w:rPr>
          <w:sz w:val="22"/>
          <w:szCs w:val="22"/>
        </w:rPr>
        <w:fldChar w:fldCharType="end"/>
      </w:r>
      <w:r w:rsidR="00707B2C">
        <w:rPr>
          <w:sz w:val="22"/>
          <w:szCs w:val="22"/>
        </w:rPr>
        <w:br w:type="page"/>
      </w:r>
      <w:bookmarkStart w:id="4" w:name="_Toc8062243"/>
      <w:r w:rsidR="00B03B31" w:rsidRPr="0014270C">
        <w:lastRenderedPageBreak/>
        <w:t>TABLE OF FIGURES</w:t>
      </w:r>
      <w:bookmarkEnd w:id="4"/>
    </w:p>
    <w:p w14:paraId="0EF9BC6E" w14:textId="6A465982" w:rsidR="00A804CF" w:rsidRDefault="007860B2">
      <w:pPr>
        <w:pStyle w:val="TableofFigures"/>
        <w:tabs>
          <w:tab w:val="right" w:leader="hyphen" w:pos="9350"/>
        </w:tabs>
        <w:rPr>
          <w:rFonts w:asciiTheme="minorHAnsi" w:eastAsiaTheme="minorEastAsia" w:hAnsiTheme="minorHAnsi"/>
          <w:noProof/>
          <w:sz w:val="22"/>
          <w:szCs w:val="22"/>
        </w:rPr>
      </w:pPr>
      <w:r w:rsidRPr="0014270C">
        <w:rPr>
          <w:b/>
          <w:bCs/>
        </w:rPr>
        <w:fldChar w:fldCharType="begin"/>
      </w:r>
      <w:r w:rsidRPr="0014270C">
        <w:rPr>
          <w:b/>
          <w:bCs/>
        </w:rPr>
        <w:instrText xml:space="preserve"> TOC \t "THESIS Figure Head" \c </w:instrText>
      </w:r>
      <w:r w:rsidRPr="0014270C">
        <w:rPr>
          <w:b/>
          <w:bCs/>
        </w:rPr>
        <w:fldChar w:fldCharType="separate"/>
      </w:r>
      <w:r w:rsidR="00A804CF">
        <w:rPr>
          <w:noProof/>
        </w:rPr>
        <w:t>Figure 1. Hybrid rainwater-greywater system design.</w:t>
      </w:r>
      <w:r w:rsidR="00A804CF">
        <w:rPr>
          <w:noProof/>
        </w:rPr>
        <w:tab/>
      </w:r>
      <w:r w:rsidR="00A804CF">
        <w:rPr>
          <w:noProof/>
        </w:rPr>
        <w:fldChar w:fldCharType="begin"/>
      </w:r>
      <w:r w:rsidR="00A804CF">
        <w:rPr>
          <w:noProof/>
        </w:rPr>
        <w:instrText xml:space="preserve"> PAGEREF _Toc8062330 \h </w:instrText>
      </w:r>
      <w:r w:rsidR="00A804CF">
        <w:rPr>
          <w:noProof/>
        </w:rPr>
      </w:r>
      <w:r w:rsidR="00A804CF">
        <w:rPr>
          <w:noProof/>
        </w:rPr>
        <w:fldChar w:fldCharType="separate"/>
      </w:r>
      <w:r w:rsidR="00A804CF">
        <w:rPr>
          <w:noProof/>
        </w:rPr>
        <w:t>30</w:t>
      </w:r>
      <w:r w:rsidR="00A804CF">
        <w:rPr>
          <w:noProof/>
        </w:rPr>
        <w:fldChar w:fldCharType="end"/>
      </w:r>
    </w:p>
    <w:p w14:paraId="1DBE881A" w14:textId="5A27E819" w:rsidR="00A804CF" w:rsidRDefault="00A804CF">
      <w:pPr>
        <w:pStyle w:val="TableofFigures"/>
        <w:tabs>
          <w:tab w:val="right" w:leader="hyphen" w:pos="9350"/>
        </w:tabs>
        <w:rPr>
          <w:rFonts w:asciiTheme="minorHAnsi" w:eastAsiaTheme="minorEastAsia" w:hAnsiTheme="minorHAnsi"/>
          <w:noProof/>
          <w:sz w:val="22"/>
          <w:szCs w:val="22"/>
        </w:rPr>
      </w:pPr>
      <w:r>
        <w:rPr>
          <w:noProof/>
        </w:rPr>
        <w:t>Figure 2. Life Cycle of a product or service.</w:t>
      </w:r>
      <w:r>
        <w:rPr>
          <w:noProof/>
        </w:rPr>
        <w:tab/>
      </w:r>
      <w:r>
        <w:rPr>
          <w:noProof/>
        </w:rPr>
        <w:fldChar w:fldCharType="begin"/>
      </w:r>
      <w:r>
        <w:rPr>
          <w:noProof/>
        </w:rPr>
        <w:instrText xml:space="preserve"> PAGEREF _Toc8062331 \h </w:instrText>
      </w:r>
      <w:r>
        <w:rPr>
          <w:noProof/>
        </w:rPr>
      </w:r>
      <w:r>
        <w:rPr>
          <w:noProof/>
        </w:rPr>
        <w:fldChar w:fldCharType="separate"/>
      </w:r>
      <w:r>
        <w:rPr>
          <w:noProof/>
        </w:rPr>
        <w:t>46</w:t>
      </w:r>
      <w:r>
        <w:rPr>
          <w:noProof/>
        </w:rPr>
        <w:fldChar w:fldCharType="end"/>
      </w:r>
    </w:p>
    <w:p w14:paraId="31781381" w14:textId="05AA876C" w:rsidR="00A804CF" w:rsidRDefault="00A804CF">
      <w:pPr>
        <w:pStyle w:val="TableofFigures"/>
        <w:tabs>
          <w:tab w:val="right" w:leader="hyphen" w:pos="9350"/>
        </w:tabs>
        <w:rPr>
          <w:rFonts w:asciiTheme="minorHAnsi" w:eastAsiaTheme="minorEastAsia" w:hAnsiTheme="minorHAnsi"/>
          <w:noProof/>
          <w:sz w:val="22"/>
          <w:szCs w:val="22"/>
        </w:rPr>
      </w:pPr>
      <w:r>
        <w:rPr>
          <w:noProof/>
        </w:rPr>
        <w:t>Figure 3. The Framework for understanding Sustainable Housing</w:t>
      </w:r>
      <w:r>
        <w:rPr>
          <w:noProof/>
        </w:rPr>
        <w:tab/>
      </w:r>
      <w:r>
        <w:rPr>
          <w:noProof/>
        </w:rPr>
        <w:fldChar w:fldCharType="begin"/>
      </w:r>
      <w:r>
        <w:rPr>
          <w:noProof/>
        </w:rPr>
        <w:instrText xml:space="preserve"> PAGEREF _Toc8062332 \h </w:instrText>
      </w:r>
      <w:r>
        <w:rPr>
          <w:noProof/>
        </w:rPr>
      </w:r>
      <w:r>
        <w:rPr>
          <w:noProof/>
        </w:rPr>
        <w:fldChar w:fldCharType="separate"/>
      </w:r>
      <w:r>
        <w:rPr>
          <w:noProof/>
        </w:rPr>
        <w:t>61</w:t>
      </w:r>
      <w:r>
        <w:rPr>
          <w:noProof/>
        </w:rPr>
        <w:fldChar w:fldCharType="end"/>
      </w:r>
    </w:p>
    <w:p w14:paraId="66910F55" w14:textId="27A7F40E" w:rsidR="00A804CF" w:rsidRDefault="00A804CF">
      <w:pPr>
        <w:pStyle w:val="TableofFigures"/>
        <w:tabs>
          <w:tab w:val="right" w:leader="hyphen" w:pos="9350"/>
        </w:tabs>
        <w:rPr>
          <w:rFonts w:asciiTheme="minorHAnsi" w:eastAsiaTheme="minorEastAsia" w:hAnsiTheme="minorHAnsi"/>
          <w:noProof/>
          <w:sz w:val="22"/>
          <w:szCs w:val="22"/>
        </w:rPr>
      </w:pPr>
      <w:r>
        <w:rPr>
          <w:noProof/>
        </w:rPr>
        <w:t>Figure 4. Average cost and size of a tiny house.</w:t>
      </w:r>
      <w:r>
        <w:rPr>
          <w:noProof/>
        </w:rPr>
        <w:tab/>
      </w:r>
      <w:r>
        <w:rPr>
          <w:noProof/>
        </w:rPr>
        <w:fldChar w:fldCharType="begin"/>
      </w:r>
      <w:r>
        <w:rPr>
          <w:noProof/>
        </w:rPr>
        <w:instrText xml:space="preserve"> PAGEREF _Toc8062333 \h </w:instrText>
      </w:r>
      <w:r>
        <w:rPr>
          <w:noProof/>
        </w:rPr>
      </w:r>
      <w:r>
        <w:rPr>
          <w:noProof/>
        </w:rPr>
        <w:fldChar w:fldCharType="separate"/>
      </w:r>
      <w:r>
        <w:rPr>
          <w:noProof/>
        </w:rPr>
        <w:t>66</w:t>
      </w:r>
      <w:r>
        <w:rPr>
          <w:noProof/>
        </w:rPr>
        <w:fldChar w:fldCharType="end"/>
      </w:r>
    </w:p>
    <w:p w14:paraId="6606170E" w14:textId="53AB92D4" w:rsidR="00A804CF" w:rsidRDefault="00A804CF">
      <w:pPr>
        <w:pStyle w:val="TableofFigures"/>
        <w:tabs>
          <w:tab w:val="right" w:leader="hyphen" w:pos="9350"/>
        </w:tabs>
        <w:rPr>
          <w:rFonts w:asciiTheme="minorHAnsi" w:eastAsiaTheme="minorEastAsia" w:hAnsiTheme="minorHAnsi"/>
          <w:noProof/>
          <w:sz w:val="22"/>
          <w:szCs w:val="22"/>
        </w:rPr>
      </w:pPr>
      <w:r>
        <w:rPr>
          <w:noProof/>
        </w:rPr>
        <w:t>Figure 5. Load calculator.</w:t>
      </w:r>
      <w:r>
        <w:rPr>
          <w:noProof/>
        </w:rPr>
        <w:tab/>
      </w:r>
      <w:r>
        <w:rPr>
          <w:noProof/>
        </w:rPr>
        <w:fldChar w:fldCharType="begin"/>
      </w:r>
      <w:r>
        <w:rPr>
          <w:noProof/>
        </w:rPr>
        <w:instrText xml:space="preserve"> PAGEREF _Toc8062334 \h </w:instrText>
      </w:r>
      <w:r>
        <w:rPr>
          <w:noProof/>
        </w:rPr>
      </w:r>
      <w:r>
        <w:rPr>
          <w:noProof/>
        </w:rPr>
        <w:fldChar w:fldCharType="separate"/>
      </w:r>
      <w:r>
        <w:rPr>
          <w:noProof/>
        </w:rPr>
        <w:t>66</w:t>
      </w:r>
      <w:r>
        <w:rPr>
          <w:noProof/>
        </w:rPr>
        <w:fldChar w:fldCharType="end"/>
      </w:r>
    </w:p>
    <w:p w14:paraId="12AF5280" w14:textId="6806EAA9" w:rsidR="00A804CF" w:rsidRDefault="00A804CF">
      <w:pPr>
        <w:pStyle w:val="TableofFigures"/>
        <w:tabs>
          <w:tab w:val="right" w:leader="hyphen" w:pos="9350"/>
        </w:tabs>
        <w:rPr>
          <w:rFonts w:asciiTheme="minorHAnsi" w:eastAsiaTheme="minorEastAsia" w:hAnsiTheme="minorHAnsi"/>
          <w:noProof/>
          <w:sz w:val="22"/>
          <w:szCs w:val="22"/>
        </w:rPr>
      </w:pPr>
      <w:r>
        <w:rPr>
          <w:noProof/>
        </w:rPr>
        <w:t>Figure 6. Average water usage in an off-grid tiny house.</w:t>
      </w:r>
      <w:r>
        <w:rPr>
          <w:noProof/>
        </w:rPr>
        <w:tab/>
      </w:r>
      <w:r>
        <w:rPr>
          <w:noProof/>
        </w:rPr>
        <w:fldChar w:fldCharType="begin"/>
      </w:r>
      <w:r>
        <w:rPr>
          <w:noProof/>
        </w:rPr>
        <w:instrText xml:space="preserve"> PAGEREF _Toc8062335 \h </w:instrText>
      </w:r>
      <w:r>
        <w:rPr>
          <w:noProof/>
        </w:rPr>
      </w:r>
      <w:r>
        <w:rPr>
          <w:noProof/>
        </w:rPr>
        <w:fldChar w:fldCharType="separate"/>
      </w:r>
      <w:r>
        <w:rPr>
          <w:noProof/>
        </w:rPr>
        <w:t>71</w:t>
      </w:r>
      <w:r>
        <w:rPr>
          <w:noProof/>
        </w:rPr>
        <w:fldChar w:fldCharType="end"/>
      </w:r>
    </w:p>
    <w:p w14:paraId="6AFCA6E1" w14:textId="530F97AF" w:rsidR="00A804CF" w:rsidRDefault="00A804CF">
      <w:pPr>
        <w:pStyle w:val="TableofFigures"/>
        <w:tabs>
          <w:tab w:val="right" w:leader="hyphen" w:pos="9350"/>
        </w:tabs>
        <w:rPr>
          <w:rFonts w:asciiTheme="minorHAnsi" w:eastAsiaTheme="minorEastAsia" w:hAnsiTheme="minorHAnsi"/>
          <w:noProof/>
          <w:sz w:val="22"/>
          <w:szCs w:val="22"/>
        </w:rPr>
      </w:pPr>
      <w:r>
        <w:rPr>
          <w:noProof/>
        </w:rPr>
        <w:t>Figure 7. Housing unit cost comparison in US$ for the first year.</w:t>
      </w:r>
      <w:r>
        <w:rPr>
          <w:noProof/>
        </w:rPr>
        <w:tab/>
      </w:r>
      <w:r>
        <w:rPr>
          <w:noProof/>
        </w:rPr>
        <w:fldChar w:fldCharType="begin"/>
      </w:r>
      <w:r>
        <w:rPr>
          <w:noProof/>
        </w:rPr>
        <w:instrText xml:space="preserve"> PAGEREF _Toc8062336 \h </w:instrText>
      </w:r>
      <w:r>
        <w:rPr>
          <w:noProof/>
        </w:rPr>
      </w:r>
      <w:r>
        <w:rPr>
          <w:noProof/>
        </w:rPr>
        <w:fldChar w:fldCharType="separate"/>
      </w:r>
      <w:r>
        <w:rPr>
          <w:noProof/>
        </w:rPr>
        <w:t>91</w:t>
      </w:r>
      <w:r>
        <w:rPr>
          <w:noProof/>
        </w:rPr>
        <w:fldChar w:fldCharType="end"/>
      </w:r>
    </w:p>
    <w:p w14:paraId="70075C26" w14:textId="68B1FB11" w:rsidR="00AB570D" w:rsidRPr="00707B2C" w:rsidRDefault="007860B2" w:rsidP="00707B2C">
      <w:pPr>
        <w:pStyle w:val="THESISLVL1"/>
      </w:pPr>
      <w:r w:rsidRPr="0014270C">
        <w:rPr>
          <w:rFonts w:eastAsiaTheme="minorHAnsi" w:cstheme="minorBidi"/>
          <w:noProof w:val="0"/>
        </w:rPr>
        <w:fldChar w:fldCharType="end"/>
      </w:r>
      <w:r w:rsidR="00FC0AB5" w:rsidRPr="0014270C">
        <w:rPr>
          <w:rFonts w:eastAsiaTheme="minorHAnsi" w:cstheme="minorBidi"/>
          <w:noProof w:val="0"/>
        </w:rPr>
        <w:br w:type="page"/>
      </w:r>
      <w:bookmarkStart w:id="5" w:name="_Toc8062244"/>
      <w:r w:rsidR="00AB570D" w:rsidRPr="00707B2C">
        <w:lastRenderedPageBreak/>
        <w:t>I</w:t>
      </w:r>
      <w:r w:rsidR="002A3AAF" w:rsidRPr="00707B2C">
        <w:t>NDEX OF TERMS</w:t>
      </w:r>
      <w:bookmarkEnd w:id="5"/>
    </w:p>
    <w:p w14:paraId="3B7EF7F2"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CDC</w:t>
      </w:r>
      <w:r w:rsidRPr="0014270C">
        <w:rPr>
          <w:rFonts w:ascii="Bookman Old Style" w:hAnsi="Bookman Old Style"/>
          <w:bCs/>
          <w:sz w:val="24"/>
          <w:szCs w:val="24"/>
        </w:rPr>
        <w:t xml:space="preserve"> – Centers for Disease Control and Prevention</w:t>
      </w:r>
    </w:p>
    <w:p w14:paraId="10FAD5D6"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CH</w:t>
      </w:r>
      <w:r w:rsidRPr="0014270C">
        <w:rPr>
          <w:rFonts w:ascii="Bookman Old Style" w:hAnsi="Bookman Old Style"/>
          <w:b/>
          <w:bCs/>
          <w:sz w:val="24"/>
          <w:szCs w:val="24"/>
          <w:vertAlign w:val="subscript"/>
        </w:rPr>
        <w:t>2</w:t>
      </w:r>
      <w:r w:rsidRPr="0014270C">
        <w:rPr>
          <w:rFonts w:ascii="Bookman Old Style" w:hAnsi="Bookman Old Style"/>
          <w:b/>
          <w:bCs/>
          <w:sz w:val="24"/>
          <w:szCs w:val="24"/>
        </w:rPr>
        <w:t>O</w:t>
      </w:r>
      <w:r w:rsidRPr="0014270C">
        <w:rPr>
          <w:rFonts w:ascii="Bookman Old Style" w:hAnsi="Bookman Old Style"/>
          <w:bCs/>
          <w:sz w:val="24"/>
          <w:szCs w:val="24"/>
        </w:rPr>
        <w:t xml:space="preserve"> - formaldehyde</w:t>
      </w:r>
    </w:p>
    <w:p w14:paraId="01EA1AD5"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CO</w:t>
      </w:r>
      <w:r w:rsidRPr="0014270C">
        <w:rPr>
          <w:rFonts w:ascii="Bookman Old Style" w:hAnsi="Bookman Old Style"/>
          <w:b/>
          <w:bCs/>
          <w:sz w:val="24"/>
          <w:szCs w:val="24"/>
          <w:vertAlign w:val="subscript"/>
        </w:rPr>
        <w:t>2</w:t>
      </w:r>
      <w:r w:rsidRPr="0014270C">
        <w:rPr>
          <w:rFonts w:ascii="Bookman Old Style" w:hAnsi="Bookman Old Style"/>
          <w:bCs/>
          <w:sz w:val="24"/>
          <w:szCs w:val="24"/>
        </w:rPr>
        <w:t xml:space="preserve"> – carbon dioxide</w:t>
      </w:r>
    </w:p>
    <w:p w14:paraId="1CD0469E" w14:textId="77777777" w:rsidR="00AB570D" w:rsidRPr="0014270C" w:rsidRDefault="00AB570D" w:rsidP="00AB570D">
      <w:pPr>
        <w:spacing w:line="480" w:lineRule="auto"/>
        <w:rPr>
          <w:rFonts w:ascii="Bookman Old Style" w:hAnsi="Bookman Old Style"/>
          <w:sz w:val="24"/>
          <w:szCs w:val="24"/>
        </w:rPr>
      </w:pPr>
      <w:r w:rsidRPr="0014270C">
        <w:rPr>
          <w:rFonts w:ascii="Bookman Old Style" w:hAnsi="Bookman Old Style"/>
          <w:b/>
          <w:sz w:val="24"/>
          <w:szCs w:val="24"/>
        </w:rPr>
        <w:t xml:space="preserve">ESF </w:t>
      </w:r>
      <w:r w:rsidRPr="0014270C">
        <w:rPr>
          <w:rFonts w:ascii="Bookman Old Style" w:hAnsi="Bookman Old Style"/>
          <w:sz w:val="24"/>
          <w:szCs w:val="24"/>
        </w:rPr>
        <w:t>– Emergency Support Function</w:t>
      </w:r>
    </w:p>
    <w:p w14:paraId="7D31D876" w14:textId="77777777" w:rsidR="00AB570D" w:rsidRPr="0014270C" w:rsidRDefault="00AB570D" w:rsidP="00AB570D">
      <w:pPr>
        <w:spacing w:line="480" w:lineRule="auto"/>
        <w:rPr>
          <w:rFonts w:ascii="Bookman Old Style" w:hAnsi="Bookman Old Style"/>
          <w:sz w:val="24"/>
          <w:szCs w:val="24"/>
        </w:rPr>
      </w:pPr>
      <w:r w:rsidRPr="0014270C">
        <w:rPr>
          <w:rFonts w:ascii="Bookman Old Style" w:hAnsi="Bookman Old Style"/>
          <w:b/>
          <w:sz w:val="24"/>
          <w:szCs w:val="24"/>
        </w:rPr>
        <w:t>GAO</w:t>
      </w:r>
      <w:r w:rsidRPr="0014270C">
        <w:rPr>
          <w:rFonts w:ascii="Bookman Old Style" w:hAnsi="Bookman Old Style"/>
          <w:sz w:val="24"/>
          <w:szCs w:val="24"/>
        </w:rPr>
        <w:t xml:space="preserve"> – Government Accountability Office</w:t>
      </w:r>
    </w:p>
    <w:p w14:paraId="7C4A287D" w14:textId="77777777" w:rsidR="00AB570D" w:rsidRPr="0014270C" w:rsidRDefault="00AB570D" w:rsidP="00AB570D">
      <w:pPr>
        <w:spacing w:line="480" w:lineRule="auto"/>
        <w:rPr>
          <w:rFonts w:ascii="Bookman Old Style" w:hAnsi="Bookman Old Style"/>
          <w:sz w:val="24"/>
          <w:szCs w:val="24"/>
        </w:rPr>
      </w:pPr>
      <w:r w:rsidRPr="0014270C">
        <w:rPr>
          <w:rFonts w:ascii="Bookman Old Style" w:hAnsi="Bookman Old Style"/>
          <w:b/>
          <w:sz w:val="24"/>
          <w:szCs w:val="24"/>
        </w:rPr>
        <w:t>HUD</w:t>
      </w:r>
      <w:r w:rsidRPr="0014270C">
        <w:rPr>
          <w:rFonts w:ascii="Bookman Old Style" w:hAnsi="Bookman Old Style"/>
          <w:sz w:val="24"/>
          <w:szCs w:val="24"/>
        </w:rPr>
        <w:t xml:space="preserve"> – Department of Housing and Urban Development</w:t>
      </w:r>
    </w:p>
    <w:p w14:paraId="44004CE7" w14:textId="0FD90DEC" w:rsidR="00AB570D" w:rsidRDefault="00AB570D" w:rsidP="00AB570D">
      <w:pPr>
        <w:spacing w:line="480" w:lineRule="auto"/>
        <w:rPr>
          <w:rFonts w:ascii="Bookman Old Style" w:hAnsi="Bookman Old Style"/>
          <w:sz w:val="24"/>
          <w:szCs w:val="24"/>
        </w:rPr>
      </w:pPr>
      <w:r w:rsidRPr="0014270C">
        <w:rPr>
          <w:rFonts w:ascii="Bookman Old Style" w:hAnsi="Bookman Old Style"/>
          <w:b/>
          <w:sz w:val="24"/>
          <w:szCs w:val="24"/>
        </w:rPr>
        <w:t>IDP</w:t>
      </w:r>
      <w:r w:rsidRPr="0014270C">
        <w:rPr>
          <w:rFonts w:ascii="Bookman Old Style" w:hAnsi="Bookman Old Style"/>
          <w:sz w:val="24"/>
          <w:szCs w:val="24"/>
        </w:rPr>
        <w:t xml:space="preserve"> - Integrated Design Process</w:t>
      </w:r>
    </w:p>
    <w:p w14:paraId="14F7C1F9" w14:textId="4A20A9E4" w:rsidR="00B42ECC" w:rsidRPr="00B42ECC" w:rsidRDefault="00B42ECC" w:rsidP="00AB570D">
      <w:pPr>
        <w:spacing w:line="480" w:lineRule="auto"/>
        <w:rPr>
          <w:rFonts w:ascii="Bookman Old Style" w:hAnsi="Bookman Old Style"/>
          <w:sz w:val="24"/>
          <w:szCs w:val="24"/>
        </w:rPr>
      </w:pPr>
      <w:r>
        <w:rPr>
          <w:rFonts w:ascii="Bookman Old Style" w:hAnsi="Bookman Old Style"/>
          <w:b/>
          <w:sz w:val="24"/>
          <w:szCs w:val="24"/>
        </w:rPr>
        <w:t>IPD</w:t>
      </w:r>
      <w:r>
        <w:rPr>
          <w:rFonts w:ascii="Bookman Old Style" w:hAnsi="Bookman Old Style"/>
          <w:sz w:val="24"/>
          <w:szCs w:val="24"/>
        </w:rPr>
        <w:t xml:space="preserve"> – Integrated Project Delivery</w:t>
      </w:r>
    </w:p>
    <w:p w14:paraId="5A931FBF"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 xml:space="preserve">FEMA </w:t>
      </w:r>
      <w:r w:rsidRPr="0014270C">
        <w:rPr>
          <w:rFonts w:ascii="Bookman Old Style" w:hAnsi="Bookman Old Style"/>
          <w:bCs/>
          <w:sz w:val="24"/>
          <w:szCs w:val="24"/>
        </w:rPr>
        <w:t xml:space="preserve">– Federal Emergency Management Agency </w:t>
      </w:r>
    </w:p>
    <w:p w14:paraId="7CA578B2"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LCA</w:t>
      </w:r>
      <w:r w:rsidRPr="0014270C">
        <w:rPr>
          <w:rFonts w:ascii="Bookman Old Style" w:hAnsi="Bookman Old Style"/>
          <w:bCs/>
          <w:sz w:val="24"/>
          <w:szCs w:val="24"/>
        </w:rPr>
        <w:t xml:space="preserve"> – life cycle analysis</w:t>
      </w:r>
    </w:p>
    <w:p w14:paraId="73144ED4"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LEED</w:t>
      </w:r>
      <w:r w:rsidRPr="0014270C">
        <w:rPr>
          <w:rFonts w:ascii="Bookman Old Style" w:hAnsi="Bookman Old Style"/>
          <w:bCs/>
          <w:sz w:val="24"/>
          <w:szCs w:val="24"/>
        </w:rPr>
        <w:t xml:space="preserve"> – Leaders in Energy and Environmental Design</w:t>
      </w:r>
    </w:p>
    <w:p w14:paraId="6D21191E"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MHU</w:t>
      </w:r>
      <w:r w:rsidRPr="0014270C">
        <w:rPr>
          <w:rFonts w:ascii="Bookman Old Style" w:hAnsi="Bookman Old Style"/>
          <w:bCs/>
          <w:sz w:val="24"/>
          <w:szCs w:val="24"/>
        </w:rPr>
        <w:t xml:space="preserve"> – manufactured housing unit</w:t>
      </w:r>
    </w:p>
    <w:p w14:paraId="29CD88B7"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NDRF</w:t>
      </w:r>
      <w:r w:rsidRPr="0014270C">
        <w:rPr>
          <w:rFonts w:ascii="Bookman Old Style" w:hAnsi="Bookman Old Style"/>
          <w:bCs/>
          <w:sz w:val="24"/>
          <w:szCs w:val="24"/>
        </w:rPr>
        <w:t xml:space="preserve"> - National Disaster Recovery Framework</w:t>
      </w:r>
    </w:p>
    <w:p w14:paraId="0BCD1E1E"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NRF</w:t>
      </w:r>
      <w:r w:rsidRPr="0014270C">
        <w:rPr>
          <w:rFonts w:ascii="Bookman Old Style" w:hAnsi="Bookman Old Style"/>
          <w:bCs/>
          <w:sz w:val="24"/>
          <w:szCs w:val="24"/>
        </w:rPr>
        <w:t xml:space="preserve"> – National Response Framework</w:t>
      </w:r>
    </w:p>
    <w:p w14:paraId="57092689"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NRP</w:t>
      </w:r>
      <w:r w:rsidRPr="0014270C">
        <w:rPr>
          <w:rFonts w:ascii="Bookman Old Style" w:hAnsi="Bookman Old Style"/>
          <w:bCs/>
          <w:sz w:val="24"/>
          <w:szCs w:val="24"/>
        </w:rPr>
        <w:t xml:space="preserve"> – National Response Plan</w:t>
      </w:r>
    </w:p>
    <w:p w14:paraId="1518341B" w14:textId="01FAF7EE"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sz w:val="24"/>
          <w:szCs w:val="24"/>
        </w:rPr>
        <w:t xml:space="preserve">NZGW </w:t>
      </w:r>
      <w:r w:rsidRPr="0014270C">
        <w:rPr>
          <w:rFonts w:ascii="Bookman Old Style" w:hAnsi="Bookman Old Style"/>
          <w:sz w:val="24"/>
          <w:szCs w:val="24"/>
        </w:rPr>
        <w:t>- net-zero greywater</w:t>
      </w:r>
    </w:p>
    <w:p w14:paraId="5C93BD95"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 xml:space="preserve">MIR </w:t>
      </w:r>
      <w:r w:rsidRPr="0014270C">
        <w:rPr>
          <w:rFonts w:ascii="Bookman Old Style" w:hAnsi="Bookman Old Style"/>
          <w:bCs/>
          <w:sz w:val="24"/>
          <w:szCs w:val="24"/>
        </w:rPr>
        <w:t>– Make It Right</w:t>
      </w:r>
    </w:p>
    <w:p w14:paraId="2ADCEBCD"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PV</w:t>
      </w:r>
      <w:r w:rsidRPr="0014270C">
        <w:rPr>
          <w:rFonts w:ascii="Bookman Old Style" w:hAnsi="Bookman Old Style"/>
          <w:bCs/>
          <w:sz w:val="24"/>
          <w:szCs w:val="24"/>
        </w:rPr>
        <w:t xml:space="preserve"> – photovoltaic </w:t>
      </w:r>
    </w:p>
    <w:p w14:paraId="784ED5CF"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RV</w:t>
      </w:r>
      <w:r w:rsidRPr="0014270C">
        <w:rPr>
          <w:rFonts w:ascii="Bookman Old Style" w:hAnsi="Bookman Old Style"/>
          <w:bCs/>
          <w:sz w:val="24"/>
          <w:szCs w:val="24"/>
        </w:rPr>
        <w:t xml:space="preserve"> – recreational vehicle </w:t>
      </w:r>
    </w:p>
    <w:p w14:paraId="036D6B33"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RWH</w:t>
      </w:r>
      <w:r w:rsidRPr="0014270C">
        <w:rPr>
          <w:rFonts w:ascii="Bookman Old Style" w:hAnsi="Bookman Old Style"/>
          <w:bCs/>
          <w:sz w:val="24"/>
          <w:szCs w:val="24"/>
        </w:rPr>
        <w:t xml:space="preserve"> – rainwater harvesting</w:t>
      </w:r>
    </w:p>
    <w:p w14:paraId="17B646E4" w14:textId="77777777" w:rsidR="00AB570D" w:rsidRPr="0014270C" w:rsidRDefault="00AB570D" w:rsidP="00AB570D">
      <w:pPr>
        <w:spacing w:line="480" w:lineRule="auto"/>
        <w:rPr>
          <w:rFonts w:ascii="Bookman Old Style" w:hAnsi="Bookman Old Style"/>
          <w:bCs/>
          <w:sz w:val="24"/>
          <w:szCs w:val="24"/>
        </w:rPr>
      </w:pPr>
      <w:r w:rsidRPr="0014270C">
        <w:rPr>
          <w:rFonts w:ascii="Bookman Old Style" w:hAnsi="Bookman Old Style"/>
          <w:b/>
          <w:bCs/>
          <w:sz w:val="24"/>
          <w:szCs w:val="24"/>
        </w:rPr>
        <w:t>US</w:t>
      </w:r>
      <w:r w:rsidRPr="0014270C">
        <w:rPr>
          <w:rFonts w:ascii="Bookman Old Style" w:hAnsi="Bookman Old Style"/>
          <w:bCs/>
          <w:sz w:val="24"/>
          <w:szCs w:val="24"/>
        </w:rPr>
        <w:t xml:space="preserve"> – United States</w:t>
      </w:r>
    </w:p>
    <w:p w14:paraId="0DFD0039" w14:textId="615FD159" w:rsidR="00D61195" w:rsidRPr="002C2E21" w:rsidRDefault="00AB570D" w:rsidP="00D972AB">
      <w:pPr>
        <w:spacing w:line="480" w:lineRule="auto"/>
        <w:rPr>
          <w:rFonts w:ascii="Bookman Old Style" w:hAnsi="Bookman Old Style"/>
          <w:bCs/>
          <w:sz w:val="24"/>
          <w:szCs w:val="24"/>
        </w:rPr>
      </w:pPr>
      <w:r w:rsidRPr="0014270C">
        <w:rPr>
          <w:rFonts w:ascii="Bookman Old Style" w:hAnsi="Bookman Old Style"/>
          <w:b/>
          <w:bCs/>
          <w:sz w:val="24"/>
          <w:szCs w:val="24"/>
        </w:rPr>
        <w:t>US$</w:t>
      </w:r>
      <w:r w:rsidRPr="0014270C">
        <w:rPr>
          <w:rFonts w:ascii="Bookman Old Style" w:hAnsi="Bookman Old Style"/>
          <w:bCs/>
          <w:sz w:val="24"/>
          <w:szCs w:val="24"/>
        </w:rPr>
        <w:t xml:space="preserve"> – United States Dollar</w:t>
      </w:r>
      <w:r w:rsidR="00D61195" w:rsidRPr="0014270C">
        <w:rPr>
          <w:rFonts w:ascii="Bookman Old Style" w:hAnsi="Bookman Old Style"/>
          <w:sz w:val="24"/>
          <w:szCs w:val="24"/>
        </w:rPr>
        <w:br w:type="page"/>
      </w:r>
    </w:p>
    <w:p w14:paraId="07F4B51B" w14:textId="34BB3C17" w:rsidR="00726E41" w:rsidRPr="0014270C" w:rsidRDefault="00726E41" w:rsidP="00726E41">
      <w:pPr>
        <w:spacing w:line="480" w:lineRule="auto"/>
        <w:jc w:val="center"/>
        <w:rPr>
          <w:rFonts w:ascii="Bookman Old Style" w:hAnsi="Bookman Old Style"/>
          <w:sz w:val="24"/>
          <w:szCs w:val="24"/>
        </w:rPr>
      </w:pPr>
      <w:r w:rsidRPr="0014270C">
        <w:rPr>
          <w:rFonts w:ascii="Bookman Old Style" w:hAnsi="Bookman Old Style"/>
          <w:sz w:val="24"/>
          <w:szCs w:val="24"/>
        </w:rPr>
        <w:lastRenderedPageBreak/>
        <w:t>Abstract</w:t>
      </w:r>
    </w:p>
    <w:p w14:paraId="51D491F7" w14:textId="77CA2C91" w:rsidR="00726E41" w:rsidRPr="0014270C" w:rsidRDefault="00726E41" w:rsidP="00726E41">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Over the last fifteen years, the United States has experienced an exceedingly high number of devastating hurricanes; these storms have affected the nation in ways that are still </w:t>
      </w:r>
      <w:proofErr w:type="gramStart"/>
      <w:r w:rsidRPr="0014270C">
        <w:rPr>
          <w:rFonts w:ascii="Bookman Old Style" w:hAnsi="Bookman Old Style"/>
          <w:sz w:val="24"/>
          <w:szCs w:val="24"/>
        </w:rPr>
        <w:t>being examined</w:t>
      </w:r>
      <w:proofErr w:type="gramEnd"/>
      <w:r w:rsidRPr="0014270C">
        <w:rPr>
          <w:rFonts w:ascii="Bookman Old Style" w:hAnsi="Bookman Old Style"/>
          <w:sz w:val="24"/>
          <w:szCs w:val="24"/>
        </w:rPr>
        <w:t xml:space="preserve"> and dealt with years after the last raindrop. The Federal Emergency Management Agency has responded to these catastrophes in many ways. The focus of this research is the handling of disaster relief housing by the United States government and how the decisions made have impacted the environment, society, and the economy. After a thorough analysis of the impacts of decisions made in the aftermath of some of the costliest hurricanes in American history, a</w:t>
      </w:r>
      <w:r w:rsidR="00D9082A">
        <w:rPr>
          <w:rFonts w:ascii="Bookman Old Style" w:hAnsi="Bookman Old Style"/>
          <w:sz w:val="24"/>
          <w:szCs w:val="24"/>
        </w:rPr>
        <w:t xml:space="preserve"> more sustainable</w:t>
      </w:r>
      <w:r w:rsidRPr="0014270C">
        <w:rPr>
          <w:rFonts w:ascii="Bookman Old Style" w:hAnsi="Bookman Old Style"/>
          <w:sz w:val="24"/>
          <w:szCs w:val="24"/>
        </w:rPr>
        <w:t xml:space="preserve"> alternative </w:t>
      </w:r>
      <w:proofErr w:type="gramStart"/>
      <w:r w:rsidRPr="0014270C">
        <w:rPr>
          <w:rFonts w:ascii="Bookman Old Style" w:hAnsi="Bookman Old Style"/>
          <w:sz w:val="24"/>
          <w:szCs w:val="24"/>
        </w:rPr>
        <w:t>is presented</w:t>
      </w:r>
      <w:proofErr w:type="gramEnd"/>
      <w:r w:rsidR="00D9082A">
        <w:rPr>
          <w:rFonts w:ascii="Bookman Old Style" w:hAnsi="Bookman Old Style"/>
          <w:sz w:val="24"/>
          <w:szCs w:val="24"/>
        </w:rPr>
        <w:t xml:space="preserve"> for the implementation of housing</w:t>
      </w:r>
      <w:r w:rsidRPr="0014270C">
        <w:rPr>
          <w:rFonts w:ascii="Bookman Old Style" w:hAnsi="Bookman Old Style"/>
          <w:sz w:val="24"/>
          <w:szCs w:val="24"/>
        </w:rPr>
        <w:t xml:space="preserve"> in the form of off-grid tiny ho</w:t>
      </w:r>
      <w:r w:rsidR="00D9082A">
        <w:rPr>
          <w:rFonts w:ascii="Bookman Old Style" w:hAnsi="Bookman Old Style"/>
          <w:sz w:val="24"/>
          <w:szCs w:val="24"/>
        </w:rPr>
        <w:t>mes,</w:t>
      </w:r>
      <w:r w:rsidRPr="0014270C">
        <w:rPr>
          <w:rFonts w:ascii="Bookman Old Style" w:hAnsi="Bookman Old Style"/>
          <w:sz w:val="24"/>
          <w:szCs w:val="24"/>
        </w:rPr>
        <w:t xml:space="preserve"> </w:t>
      </w:r>
      <w:r w:rsidR="002556E9">
        <w:rPr>
          <w:rFonts w:ascii="Bookman Old Style" w:hAnsi="Bookman Old Style"/>
          <w:sz w:val="24"/>
          <w:szCs w:val="24"/>
        </w:rPr>
        <w:t>supporting</w:t>
      </w:r>
      <w:r w:rsidRPr="0014270C">
        <w:rPr>
          <w:rFonts w:ascii="Bookman Old Style" w:hAnsi="Bookman Old Style"/>
          <w:sz w:val="24"/>
          <w:szCs w:val="24"/>
        </w:rPr>
        <w:t xml:space="preserve"> a sanguine future for </w:t>
      </w:r>
      <w:r w:rsidR="00D9082A">
        <w:rPr>
          <w:rFonts w:ascii="Bookman Old Style" w:hAnsi="Bookman Old Style"/>
          <w:sz w:val="24"/>
          <w:szCs w:val="24"/>
        </w:rPr>
        <w:t>storm victims</w:t>
      </w:r>
      <w:r w:rsidRPr="0014270C">
        <w:rPr>
          <w:rFonts w:ascii="Bookman Old Style" w:hAnsi="Bookman Old Style"/>
          <w:sz w:val="24"/>
          <w:szCs w:val="24"/>
        </w:rPr>
        <w:t>. </w:t>
      </w:r>
    </w:p>
    <w:p w14:paraId="62F0A3AB" w14:textId="77777777" w:rsidR="00726E41" w:rsidRPr="0014270C" w:rsidRDefault="00726E41" w:rsidP="00726E41">
      <w:pPr>
        <w:spacing w:line="480" w:lineRule="auto"/>
        <w:jc w:val="center"/>
        <w:rPr>
          <w:rFonts w:ascii="Bookman Old Style" w:hAnsi="Bookman Old Style"/>
          <w:bCs/>
          <w:sz w:val="24"/>
          <w:szCs w:val="24"/>
        </w:rPr>
      </w:pPr>
    </w:p>
    <w:p w14:paraId="44C3C963" w14:textId="589F0316" w:rsidR="00726E41" w:rsidRPr="0014270C" w:rsidRDefault="00726E41" w:rsidP="00726E41">
      <w:pPr>
        <w:spacing w:line="480" w:lineRule="auto"/>
        <w:rPr>
          <w:rFonts w:ascii="Bookman Old Style" w:hAnsi="Bookman Old Style"/>
          <w:bCs/>
          <w:sz w:val="24"/>
          <w:szCs w:val="24"/>
        </w:rPr>
      </w:pPr>
      <w:r w:rsidRPr="0014270C">
        <w:rPr>
          <w:rFonts w:ascii="Bookman Old Style" w:hAnsi="Bookman Old Style"/>
          <w:bCs/>
          <w:i/>
          <w:sz w:val="24"/>
          <w:szCs w:val="24"/>
        </w:rPr>
        <w:t>Keywords</w:t>
      </w:r>
      <w:r w:rsidRPr="0014270C">
        <w:rPr>
          <w:rFonts w:ascii="Bookman Old Style" w:hAnsi="Bookman Old Style"/>
          <w:bCs/>
          <w:sz w:val="24"/>
          <w:szCs w:val="24"/>
        </w:rPr>
        <w:t xml:space="preserve">: disaster relief housing, </w:t>
      </w:r>
      <w:r w:rsidR="00542C4F">
        <w:rPr>
          <w:rFonts w:ascii="Bookman Old Style" w:hAnsi="Bookman Old Style"/>
          <w:bCs/>
          <w:sz w:val="24"/>
          <w:szCs w:val="24"/>
        </w:rPr>
        <w:t>hurricane recovery,</w:t>
      </w:r>
      <w:r w:rsidRPr="0014270C">
        <w:rPr>
          <w:rFonts w:ascii="Bookman Old Style" w:hAnsi="Bookman Old Style"/>
          <w:bCs/>
          <w:sz w:val="24"/>
          <w:szCs w:val="24"/>
        </w:rPr>
        <w:t xml:space="preserve"> </w:t>
      </w:r>
      <w:r w:rsidR="00FB60DE" w:rsidRPr="0014270C">
        <w:rPr>
          <w:rFonts w:ascii="Bookman Old Style" w:hAnsi="Bookman Old Style"/>
          <w:bCs/>
          <w:sz w:val="24"/>
          <w:szCs w:val="24"/>
        </w:rPr>
        <w:t>off-grid</w:t>
      </w:r>
      <w:r w:rsidR="00542C4F">
        <w:rPr>
          <w:rFonts w:ascii="Bookman Old Style" w:hAnsi="Bookman Old Style"/>
          <w:bCs/>
          <w:sz w:val="24"/>
          <w:szCs w:val="24"/>
        </w:rPr>
        <w:t xml:space="preserve"> housing</w:t>
      </w:r>
      <w:r w:rsidR="00FB60DE" w:rsidRPr="0014270C">
        <w:rPr>
          <w:rFonts w:ascii="Bookman Old Style" w:hAnsi="Bookman Old Style"/>
          <w:bCs/>
          <w:sz w:val="24"/>
          <w:szCs w:val="24"/>
        </w:rPr>
        <w:t xml:space="preserve">, </w:t>
      </w:r>
      <w:r w:rsidRPr="0014270C">
        <w:rPr>
          <w:rFonts w:ascii="Bookman Old Style" w:hAnsi="Bookman Old Style"/>
          <w:bCs/>
          <w:sz w:val="24"/>
          <w:szCs w:val="24"/>
        </w:rPr>
        <w:t xml:space="preserve">resilience, </w:t>
      </w:r>
      <w:r w:rsidR="009B025B" w:rsidRPr="0014270C">
        <w:rPr>
          <w:rFonts w:ascii="Bookman Old Style" w:hAnsi="Bookman Old Style"/>
          <w:bCs/>
          <w:sz w:val="24"/>
          <w:szCs w:val="24"/>
        </w:rPr>
        <w:t xml:space="preserve">social capital, </w:t>
      </w:r>
      <w:r w:rsidRPr="0014270C">
        <w:rPr>
          <w:rFonts w:ascii="Bookman Old Style" w:hAnsi="Bookman Old Style"/>
          <w:bCs/>
          <w:sz w:val="24"/>
          <w:szCs w:val="24"/>
        </w:rPr>
        <w:t>sustainability, tiny ho</w:t>
      </w:r>
      <w:r w:rsidR="00542C4F">
        <w:rPr>
          <w:rFonts w:ascii="Bookman Old Style" w:hAnsi="Bookman Old Style"/>
          <w:bCs/>
          <w:sz w:val="24"/>
          <w:szCs w:val="24"/>
        </w:rPr>
        <w:t>mes</w:t>
      </w:r>
      <w:r w:rsidRPr="0014270C">
        <w:rPr>
          <w:rFonts w:ascii="Bookman Old Style" w:hAnsi="Bookman Old Style"/>
          <w:bCs/>
          <w:sz w:val="24"/>
          <w:szCs w:val="24"/>
        </w:rPr>
        <w:t xml:space="preserve"> </w:t>
      </w:r>
    </w:p>
    <w:p w14:paraId="00D6EFFE" w14:textId="77777777" w:rsidR="00624A18" w:rsidRPr="0014270C" w:rsidRDefault="00624A18" w:rsidP="00AB570D">
      <w:pPr>
        <w:widowControl w:val="0"/>
        <w:autoSpaceDE w:val="0"/>
        <w:autoSpaceDN w:val="0"/>
        <w:adjustRightInd w:val="0"/>
        <w:spacing w:line="480" w:lineRule="auto"/>
        <w:rPr>
          <w:rFonts w:ascii="Bookman Old Style" w:hAnsi="Bookman Old Style"/>
          <w:b/>
          <w:sz w:val="24"/>
          <w:szCs w:val="24"/>
        </w:rPr>
      </w:pPr>
    </w:p>
    <w:p w14:paraId="7E1E2DDE" w14:textId="2A00EED3" w:rsidR="0092243A" w:rsidRPr="0014270C" w:rsidRDefault="0092243A" w:rsidP="00AB570D">
      <w:pPr>
        <w:widowControl w:val="0"/>
        <w:autoSpaceDE w:val="0"/>
        <w:autoSpaceDN w:val="0"/>
        <w:adjustRightInd w:val="0"/>
        <w:spacing w:line="480" w:lineRule="auto"/>
        <w:rPr>
          <w:rFonts w:ascii="Bookman Old Style" w:hAnsi="Bookman Old Style"/>
          <w:bCs/>
          <w:sz w:val="24"/>
          <w:szCs w:val="24"/>
        </w:rPr>
        <w:sectPr w:rsidR="0092243A" w:rsidRPr="0014270C" w:rsidSect="003A1AA7">
          <w:headerReference w:type="default" r:id="rId11"/>
          <w:footerReference w:type="default" r:id="rId12"/>
          <w:pgSz w:w="12240" w:h="15840"/>
          <w:pgMar w:top="1440" w:right="1440" w:bottom="1440" w:left="1440" w:header="720" w:footer="720" w:gutter="0"/>
          <w:pgNumType w:fmt="lowerRoman" w:start="4"/>
          <w:cols w:space="720"/>
          <w:docGrid w:linePitch="360"/>
        </w:sectPr>
      </w:pPr>
    </w:p>
    <w:p w14:paraId="6BCFB18E" w14:textId="5751BBC9" w:rsidR="00BC7576" w:rsidRPr="0014270C" w:rsidRDefault="00BC7576" w:rsidP="001F4ED5">
      <w:pPr>
        <w:pStyle w:val="THESISLVL1"/>
      </w:pPr>
      <w:bookmarkStart w:id="6" w:name="_Toc8062245"/>
      <w:r w:rsidRPr="0014270C">
        <w:lastRenderedPageBreak/>
        <w:t>C</w:t>
      </w:r>
      <w:r w:rsidR="006A1BE4" w:rsidRPr="0014270C">
        <w:t>HAPTER</w:t>
      </w:r>
      <w:r w:rsidRPr="0014270C">
        <w:t xml:space="preserve"> 1: I</w:t>
      </w:r>
      <w:r w:rsidR="006A1BE4" w:rsidRPr="0014270C">
        <w:t>NTRODUCTION</w:t>
      </w:r>
      <w:bookmarkEnd w:id="6"/>
    </w:p>
    <w:p w14:paraId="44462273" w14:textId="77777777" w:rsidR="00D22212" w:rsidRPr="0014270C" w:rsidRDefault="004E6BBC" w:rsidP="00B81410">
      <w:pPr>
        <w:spacing w:line="480" w:lineRule="auto"/>
        <w:ind w:firstLine="720"/>
        <w:rPr>
          <w:rFonts w:ascii="Bookman Old Style" w:hAnsi="Bookman Old Style"/>
          <w:sz w:val="24"/>
          <w:szCs w:val="24"/>
        </w:rPr>
      </w:pPr>
      <w:r w:rsidRPr="0014270C">
        <w:rPr>
          <w:rFonts w:ascii="Bookman Old Style" w:hAnsi="Bookman Old Style"/>
          <w:sz w:val="24"/>
          <w:szCs w:val="24"/>
        </w:rPr>
        <w:t>This research looks at the impacts of the decisions</w:t>
      </w:r>
      <w:r w:rsidR="00C5236F" w:rsidRPr="0014270C">
        <w:rPr>
          <w:rFonts w:ascii="Bookman Old Style" w:hAnsi="Bookman Old Style"/>
          <w:sz w:val="24"/>
          <w:szCs w:val="24"/>
        </w:rPr>
        <w:t xml:space="preserve"> made by</w:t>
      </w:r>
      <w:r w:rsidRPr="0014270C">
        <w:rPr>
          <w:rFonts w:ascii="Bookman Old Style" w:hAnsi="Bookman Old Style"/>
          <w:sz w:val="24"/>
          <w:szCs w:val="24"/>
        </w:rPr>
        <w:t xml:space="preserve"> the Federal Emergency Management Agency (FEMA) </w:t>
      </w:r>
      <w:r w:rsidR="00EC49BA" w:rsidRPr="0014270C">
        <w:rPr>
          <w:rFonts w:ascii="Bookman Old Style" w:hAnsi="Bookman Old Style"/>
          <w:sz w:val="24"/>
          <w:szCs w:val="24"/>
        </w:rPr>
        <w:t>after</w:t>
      </w:r>
      <w:r w:rsidRPr="0014270C">
        <w:rPr>
          <w:rFonts w:ascii="Bookman Old Style" w:hAnsi="Bookman Old Style"/>
          <w:sz w:val="24"/>
          <w:szCs w:val="24"/>
        </w:rPr>
        <w:t xml:space="preserve"> </w:t>
      </w:r>
      <w:r w:rsidR="00656D47" w:rsidRPr="0014270C">
        <w:rPr>
          <w:rFonts w:ascii="Bookman Old Style" w:hAnsi="Bookman Old Style"/>
          <w:sz w:val="24"/>
          <w:szCs w:val="24"/>
        </w:rPr>
        <w:t xml:space="preserve">Hurricane </w:t>
      </w:r>
      <w:r w:rsidRPr="0014270C">
        <w:rPr>
          <w:rFonts w:ascii="Bookman Old Style" w:hAnsi="Bookman Old Style"/>
          <w:sz w:val="24"/>
          <w:szCs w:val="24"/>
        </w:rPr>
        <w:t>Katrina for housing people displaced after the storm and compares them to the decisions ma</w:t>
      </w:r>
      <w:bookmarkStart w:id="7" w:name="_GoBack"/>
      <w:bookmarkEnd w:id="7"/>
      <w:r w:rsidRPr="0014270C">
        <w:rPr>
          <w:rFonts w:ascii="Bookman Old Style" w:hAnsi="Bookman Old Style"/>
          <w:sz w:val="24"/>
          <w:szCs w:val="24"/>
        </w:rPr>
        <w:t xml:space="preserve">de </w:t>
      </w:r>
      <w:r w:rsidR="00D01ACC" w:rsidRPr="0014270C">
        <w:rPr>
          <w:rFonts w:ascii="Bookman Old Style" w:hAnsi="Bookman Old Style"/>
          <w:sz w:val="24"/>
          <w:szCs w:val="24"/>
        </w:rPr>
        <w:t xml:space="preserve">over a decade later </w:t>
      </w:r>
      <w:r w:rsidRPr="0014270C">
        <w:rPr>
          <w:rFonts w:ascii="Bookman Old Style" w:hAnsi="Bookman Old Style"/>
          <w:sz w:val="24"/>
          <w:szCs w:val="24"/>
        </w:rPr>
        <w:t>fo</w:t>
      </w:r>
      <w:r w:rsidR="00172D9E" w:rsidRPr="0014270C">
        <w:rPr>
          <w:rFonts w:ascii="Bookman Old Style" w:hAnsi="Bookman Old Style"/>
          <w:sz w:val="24"/>
          <w:szCs w:val="24"/>
        </w:rPr>
        <w:t>llowing</w:t>
      </w:r>
      <w:r w:rsidRPr="0014270C">
        <w:rPr>
          <w:rFonts w:ascii="Bookman Old Style" w:hAnsi="Bookman Old Style"/>
          <w:sz w:val="24"/>
          <w:szCs w:val="24"/>
        </w:rPr>
        <w:t xml:space="preserve"> Hurricane Harvey to determine what has been done to improve the process and what areas have continued to be ignored</w:t>
      </w:r>
      <w:r w:rsidR="00143A9F" w:rsidRPr="0014270C">
        <w:rPr>
          <w:rFonts w:ascii="Bookman Old Style" w:hAnsi="Bookman Old Style"/>
          <w:sz w:val="24"/>
          <w:szCs w:val="24"/>
        </w:rPr>
        <w:t>.</w:t>
      </w:r>
      <w:r w:rsidRPr="0014270C">
        <w:rPr>
          <w:rFonts w:ascii="Bookman Old Style" w:hAnsi="Bookman Old Style"/>
          <w:sz w:val="24"/>
          <w:szCs w:val="24"/>
        </w:rPr>
        <w:t xml:space="preserve"> </w:t>
      </w:r>
      <w:r w:rsidR="00FF3905" w:rsidRPr="0014270C">
        <w:rPr>
          <w:rFonts w:ascii="Bookman Old Style" w:hAnsi="Bookman Old Style"/>
          <w:sz w:val="24"/>
          <w:szCs w:val="24"/>
        </w:rPr>
        <w:t xml:space="preserve">The significance of this study is to gain a thorough understanding of the needs yet to </w:t>
      </w:r>
      <w:proofErr w:type="gramStart"/>
      <w:r w:rsidR="00FF3905" w:rsidRPr="0014270C">
        <w:rPr>
          <w:rFonts w:ascii="Bookman Old Style" w:hAnsi="Bookman Old Style"/>
          <w:sz w:val="24"/>
          <w:szCs w:val="24"/>
        </w:rPr>
        <w:t>be addressed</w:t>
      </w:r>
      <w:proofErr w:type="gramEnd"/>
      <w:r w:rsidR="00FF3905" w:rsidRPr="0014270C">
        <w:rPr>
          <w:rFonts w:ascii="Bookman Old Style" w:hAnsi="Bookman Old Style"/>
          <w:sz w:val="24"/>
          <w:szCs w:val="24"/>
        </w:rPr>
        <w:t xml:space="preserve"> and to provide sustainable answers to housing and recovery problems regularly faced in post-hurricane disaster planning. </w:t>
      </w:r>
    </w:p>
    <w:p w14:paraId="2E38C78E" w14:textId="6F12BF68" w:rsidR="00D22212" w:rsidRPr="0014270C" w:rsidRDefault="00D22212" w:rsidP="00B81410">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questions presented in this research are </w:t>
      </w:r>
    </w:p>
    <w:p w14:paraId="0F6476BE" w14:textId="0641BBBE" w:rsidR="00D22212" w:rsidRPr="0014270C" w:rsidRDefault="00D22212" w:rsidP="00324DE7">
      <w:pPr>
        <w:pStyle w:val="ListParagraph"/>
        <w:numPr>
          <w:ilvl w:val="0"/>
          <w:numId w:val="17"/>
        </w:numPr>
        <w:spacing w:line="480" w:lineRule="auto"/>
        <w:rPr>
          <w:rFonts w:ascii="Bookman Old Style" w:hAnsi="Bookman Old Style"/>
          <w:sz w:val="24"/>
          <w:szCs w:val="24"/>
        </w:rPr>
      </w:pPr>
      <w:r w:rsidRPr="0014270C">
        <w:rPr>
          <w:rFonts w:ascii="Bookman Old Style" w:hAnsi="Bookman Old Style"/>
          <w:sz w:val="24"/>
          <w:szCs w:val="24"/>
        </w:rPr>
        <w:t xml:space="preserve">Is there a </w:t>
      </w:r>
      <w:r w:rsidR="00117571" w:rsidRPr="0014270C">
        <w:rPr>
          <w:rFonts w:ascii="Bookman Old Style" w:hAnsi="Bookman Old Style"/>
          <w:sz w:val="24"/>
          <w:szCs w:val="24"/>
        </w:rPr>
        <w:t xml:space="preserve">more </w:t>
      </w:r>
      <w:r w:rsidRPr="0014270C">
        <w:rPr>
          <w:rFonts w:ascii="Bookman Old Style" w:hAnsi="Bookman Old Style"/>
          <w:sz w:val="24"/>
          <w:szCs w:val="24"/>
        </w:rPr>
        <w:t xml:space="preserve">sustainable </w:t>
      </w:r>
      <w:r w:rsidR="00CB281C" w:rsidRPr="0014270C">
        <w:rPr>
          <w:rFonts w:ascii="Bookman Old Style" w:hAnsi="Bookman Old Style"/>
          <w:sz w:val="24"/>
          <w:szCs w:val="24"/>
        </w:rPr>
        <w:t>solution</w:t>
      </w:r>
      <w:r w:rsidRPr="0014270C">
        <w:rPr>
          <w:rFonts w:ascii="Bookman Old Style" w:hAnsi="Bookman Old Style"/>
          <w:sz w:val="24"/>
          <w:szCs w:val="24"/>
        </w:rPr>
        <w:t xml:space="preserve"> for disaster relief housing than the trailers that have </w:t>
      </w:r>
      <w:proofErr w:type="gramStart"/>
      <w:r w:rsidRPr="0014270C">
        <w:rPr>
          <w:rFonts w:ascii="Bookman Old Style" w:hAnsi="Bookman Old Style"/>
          <w:sz w:val="24"/>
          <w:szCs w:val="24"/>
        </w:rPr>
        <w:t>been used</w:t>
      </w:r>
      <w:proofErr w:type="gramEnd"/>
      <w:r w:rsidRPr="0014270C">
        <w:rPr>
          <w:rFonts w:ascii="Bookman Old Style" w:hAnsi="Bookman Old Style"/>
          <w:sz w:val="24"/>
          <w:szCs w:val="24"/>
        </w:rPr>
        <w:t xml:space="preserve"> in the past?</w:t>
      </w:r>
    </w:p>
    <w:p w14:paraId="28CE9F5C" w14:textId="4D8D564C" w:rsidR="00D22212" w:rsidRPr="0014270C" w:rsidRDefault="00D22212" w:rsidP="00324DE7">
      <w:pPr>
        <w:pStyle w:val="ListParagraph"/>
        <w:numPr>
          <w:ilvl w:val="0"/>
          <w:numId w:val="17"/>
        </w:numPr>
        <w:spacing w:line="480" w:lineRule="auto"/>
        <w:rPr>
          <w:rFonts w:ascii="Bookman Old Style" w:hAnsi="Bookman Old Style"/>
          <w:sz w:val="24"/>
          <w:szCs w:val="24"/>
        </w:rPr>
      </w:pPr>
      <w:r w:rsidRPr="0014270C">
        <w:rPr>
          <w:rFonts w:ascii="Bookman Old Style" w:hAnsi="Bookman Old Style"/>
          <w:sz w:val="24"/>
          <w:szCs w:val="24"/>
        </w:rPr>
        <w:t xml:space="preserve">What can </w:t>
      </w:r>
      <w:proofErr w:type="gramStart"/>
      <w:r w:rsidRPr="0014270C">
        <w:rPr>
          <w:rFonts w:ascii="Bookman Old Style" w:hAnsi="Bookman Old Style"/>
          <w:sz w:val="24"/>
          <w:szCs w:val="24"/>
        </w:rPr>
        <w:t>be done</w:t>
      </w:r>
      <w:proofErr w:type="gramEnd"/>
      <w:r w:rsidRPr="0014270C">
        <w:rPr>
          <w:rFonts w:ascii="Bookman Old Style" w:hAnsi="Bookman Old Style"/>
          <w:sz w:val="24"/>
          <w:szCs w:val="24"/>
        </w:rPr>
        <w:t xml:space="preserve"> to implement the solution found?</w:t>
      </w:r>
    </w:p>
    <w:p w14:paraId="79173585" w14:textId="611B7ED1" w:rsidR="00417D8B" w:rsidRPr="0014270C" w:rsidRDefault="00270F8F" w:rsidP="00324DE7">
      <w:pPr>
        <w:spacing w:line="480" w:lineRule="auto"/>
        <w:rPr>
          <w:rFonts w:ascii="Bookman Old Style" w:hAnsi="Bookman Old Style"/>
          <w:sz w:val="24"/>
          <w:szCs w:val="24"/>
        </w:rPr>
      </w:pPr>
      <w:r w:rsidRPr="0014270C">
        <w:rPr>
          <w:rFonts w:ascii="Bookman Old Style" w:hAnsi="Bookman Old Style"/>
          <w:sz w:val="24"/>
          <w:szCs w:val="24"/>
        </w:rPr>
        <w:t>To address the core concepts of sustainability, which include economy, environment, and society, t</w:t>
      </w:r>
      <w:r w:rsidR="004E6BBC" w:rsidRPr="0014270C">
        <w:rPr>
          <w:rFonts w:ascii="Bookman Old Style" w:hAnsi="Bookman Old Style"/>
          <w:sz w:val="24"/>
          <w:szCs w:val="24"/>
        </w:rPr>
        <w:t xml:space="preserve">he scope </w:t>
      </w:r>
      <w:r w:rsidRPr="0014270C">
        <w:rPr>
          <w:rFonts w:ascii="Bookman Old Style" w:hAnsi="Bookman Old Style"/>
          <w:sz w:val="24"/>
          <w:szCs w:val="24"/>
        </w:rPr>
        <w:t>focuses on</w:t>
      </w:r>
      <w:r w:rsidR="004E6BBC" w:rsidRPr="0014270C">
        <w:rPr>
          <w:rFonts w:ascii="Bookman Old Style" w:hAnsi="Bookman Old Style"/>
          <w:sz w:val="24"/>
          <w:szCs w:val="24"/>
        </w:rPr>
        <w:t xml:space="preserve"> the expense in US dollars </w:t>
      </w:r>
      <w:r w:rsidR="009514FE" w:rsidRPr="0014270C">
        <w:rPr>
          <w:rFonts w:ascii="Bookman Old Style" w:hAnsi="Bookman Old Style"/>
          <w:sz w:val="24"/>
          <w:szCs w:val="24"/>
        </w:rPr>
        <w:t xml:space="preserve">(US$) </w:t>
      </w:r>
      <w:r w:rsidR="004E6BBC" w:rsidRPr="0014270C">
        <w:rPr>
          <w:rFonts w:ascii="Bookman Old Style" w:hAnsi="Bookman Old Style"/>
          <w:sz w:val="24"/>
          <w:szCs w:val="24"/>
        </w:rPr>
        <w:t xml:space="preserve">regarding </w:t>
      </w:r>
      <w:r w:rsidR="00D15720" w:rsidRPr="0014270C">
        <w:rPr>
          <w:rFonts w:ascii="Bookman Old Style" w:hAnsi="Bookman Old Style"/>
          <w:sz w:val="24"/>
          <w:szCs w:val="24"/>
        </w:rPr>
        <w:t xml:space="preserve">emergency relief </w:t>
      </w:r>
      <w:r w:rsidR="004E6BBC" w:rsidRPr="0014270C">
        <w:rPr>
          <w:rFonts w:ascii="Bookman Old Style" w:hAnsi="Bookman Old Style"/>
          <w:sz w:val="24"/>
          <w:szCs w:val="24"/>
        </w:rPr>
        <w:t>housing</w:t>
      </w:r>
      <w:r w:rsidR="00061A3A" w:rsidRPr="0014270C">
        <w:rPr>
          <w:rFonts w:ascii="Bookman Old Style" w:hAnsi="Bookman Old Style"/>
          <w:sz w:val="24"/>
          <w:szCs w:val="24"/>
        </w:rPr>
        <w:t xml:space="preserve">, impact on </w:t>
      </w:r>
      <w:r w:rsidR="00CF276D" w:rsidRPr="0014270C">
        <w:rPr>
          <w:rFonts w:ascii="Bookman Old Style" w:hAnsi="Bookman Old Style"/>
          <w:sz w:val="24"/>
          <w:szCs w:val="24"/>
        </w:rPr>
        <w:t xml:space="preserve">the </w:t>
      </w:r>
      <w:r w:rsidR="00061A3A" w:rsidRPr="0014270C">
        <w:rPr>
          <w:rFonts w:ascii="Bookman Old Style" w:hAnsi="Bookman Old Style"/>
          <w:sz w:val="24"/>
          <w:szCs w:val="24"/>
        </w:rPr>
        <w:t xml:space="preserve">environment due to </w:t>
      </w:r>
      <w:r w:rsidR="00C37134" w:rsidRPr="0014270C">
        <w:rPr>
          <w:rFonts w:ascii="Bookman Old Style" w:hAnsi="Bookman Old Style"/>
          <w:sz w:val="24"/>
          <w:szCs w:val="24"/>
        </w:rPr>
        <w:t xml:space="preserve">water consumption and </w:t>
      </w:r>
      <w:r w:rsidR="00061A3A" w:rsidRPr="0014270C">
        <w:rPr>
          <w:rFonts w:ascii="Bookman Old Style" w:hAnsi="Bookman Old Style"/>
          <w:sz w:val="24"/>
          <w:szCs w:val="24"/>
        </w:rPr>
        <w:t>carbon dioxide (CO</w:t>
      </w:r>
      <w:r w:rsidR="00061A3A" w:rsidRPr="0014270C">
        <w:rPr>
          <w:rFonts w:ascii="Bookman Old Style" w:hAnsi="Bookman Old Style"/>
          <w:sz w:val="24"/>
          <w:szCs w:val="24"/>
          <w:vertAlign w:val="subscript"/>
        </w:rPr>
        <w:t>2</w:t>
      </w:r>
      <w:r w:rsidR="00172D9E" w:rsidRPr="0014270C">
        <w:rPr>
          <w:rFonts w:ascii="Bookman Old Style" w:hAnsi="Bookman Old Style"/>
          <w:sz w:val="24"/>
          <w:szCs w:val="24"/>
        </w:rPr>
        <w:t xml:space="preserve">) </w:t>
      </w:r>
      <w:r w:rsidR="00061A3A" w:rsidRPr="0014270C">
        <w:rPr>
          <w:rFonts w:ascii="Bookman Old Style" w:hAnsi="Bookman Old Style"/>
          <w:sz w:val="24"/>
          <w:szCs w:val="24"/>
        </w:rPr>
        <w:t>emissions from energy use, and human health concerns raised in respect to formaldehyde exposure and mental stress</w:t>
      </w:r>
      <w:r w:rsidR="004E6BBC" w:rsidRPr="0014270C">
        <w:rPr>
          <w:rFonts w:ascii="Bookman Old Style" w:hAnsi="Bookman Old Style"/>
          <w:sz w:val="24"/>
          <w:szCs w:val="24"/>
        </w:rPr>
        <w:t>.</w:t>
      </w:r>
      <w:r w:rsidR="00B30429" w:rsidRPr="0014270C">
        <w:rPr>
          <w:rFonts w:ascii="Bookman Old Style" w:hAnsi="Bookman Old Style"/>
          <w:sz w:val="24"/>
          <w:szCs w:val="24"/>
        </w:rPr>
        <w:t xml:space="preserve"> </w:t>
      </w:r>
    </w:p>
    <w:p w14:paraId="00A8B8C7" w14:textId="524AA46F" w:rsidR="008378A9" w:rsidRPr="0014270C" w:rsidRDefault="00954D8E" w:rsidP="00F34C17">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topics discussed are </w:t>
      </w:r>
    </w:p>
    <w:p w14:paraId="566FB355" w14:textId="4A74BB34" w:rsidR="00F71BA9" w:rsidRPr="0014270C" w:rsidRDefault="00DB17FD" w:rsidP="000A5FD2">
      <w:pPr>
        <w:pStyle w:val="ListParagraph"/>
        <w:numPr>
          <w:ilvl w:val="0"/>
          <w:numId w:val="1"/>
        </w:numPr>
        <w:spacing w:line="480" w:lineRule="auto"/>
        <w:ind w:left="1080"/>
        <w:rPr>
          <w:rFonts w:ascii="Bookman Old Style" w:hAnsi="Bookman Old Style"/>
          <w:sz w:val="24"/>
          <w:szCs w:val="24"/>
        </w:rPr>
      </w:pPr>
      <w:r w:rsidRPr="0014270C">
        <w:rPr>
          <w:rFonts w:ascii="Bookman Old Style" w:hAnsi="Bookman Old Style"/>
          <w:sz w:val="24"/>
          <w:szCs w:val="24"/>
        </w:rPr>
        <w:t>tiny houses and their use throughout history as adaptable</w:t>
      </w:r>
      <w:r w:rsidR="00CD7084">
        <w:rPr>
          <w:rFonts w:ascii="Bookman Old Style" w:hAnsi="Bookman Old Style"/>
          <w:sz w:val="24"/>
          <w:szCs w:val="24"/>
        </w:rPr>
        <w:t>,</w:t>
      </w:r>
      <w:r w:rsidRPr="0014270C">
        <w:rPr>
          <w:rFonts w:ascii="Bookman Old Style" w:hAnsi="Bookman Old Style"/>
          <w:sz w:val="24"/>
          <w:szCs w:val="24"/>
        </w:rPr>
        <w:t xml:space="preserve"> affordable homes, and how these dwellings can </w:t>
      </w:r>
      <w:proofErr w:type="gramStart"/>
      <w:r w:rsidRPr="0014270C">
        <w:rPr>
          <w:rFonts w:ascii="Bookman Old Style" w:hAnsi="Bookman Old Style"/>
          <w:sz w:val="24"/>
          <w:szCs w:val="24"/>
        </w:rPr>
        <w:t>be used</w:t>
      </w:r>
      <w:proofErr w:type="gramEnd"/>
      <w:r w:rsidRPr="0014270C">
        <w:rPr>
          <w:rFonts w:ascii="Bookman Old Style" w:hAnsi="Bookman Old Style"/>
          <w:sz w:val="24"/>
          <w:szCs w:val="24"/>
        </w:rPr>
        <w:t xml:space="preserve"> as effective relief housing; </w:t>
      </w:r>
    </w:p>
    <w:p w14:paraId="4EDE99D5" w14:textId="76DD1068" w:rsidR="00F71BA9" w:rsidRPr="0014270C" w:rsidRDefault="00DB17FD" w:rsidP="000A5FD2">
      <w:pPr>
        <w:pStyle w:val="ListParagraph"/>
        <w:numPr>
          <w:ilvl w:val="0"/>
          <w:numId w:val="1"/>
        </w:numPr>
        <w:spacing w:line="480" w:lineRule="auto"/>
        <w:ind w:left="1080"/>
        <w:rPr>
          <w:rFonts w:ascii="Bookman Old Style" w:hAnsi="Bookman Old Style"/>
          <w:sz w:val="24"/>
          <w:szCs w:val="24"/>
        </w:rPr>
      </w:pPr>
      <w:r w:rsidRPr="0014270C">
        <w:rPr>
          <w:rFonts w:ascii="Bookman Old Style" w:hAnsi="Bookman Old Style"/>
          <w:sz w:val="24"/>
          <w:szCs w:val="24"/>
        </w:rPr>
        <w:lastRenderedPageBreak/>
        <w:t xml:space="preserve">design techniques as a means of reducing environmental impact through energy efficiency and improving human health with better indoor air quality by utilizing proper ventilation and flow; </w:t>
      </w:r>
    </w:p>
    <w:p w14:paraId="3DAD9029" w14:textId="1C4C70E0" w:rsidR="005A1F5F" w:rsidRPr="0014270C" w:rsidRDefault="00DB17FD" w:rsidP="000A5FD2">
      <w:pPr>
        <w:pStyle w:val="ListParagraph"/>
        <w:numPr>
          <w:ilvl w:val="0"/>
          <w:numId w:val="1"/>
        </w:numPr>
        <w:spacing w:line="480" w:lineRule="auto"/>
        <w:ind w:left="1080"/>
        <w:rPr>
          <w:rFonts w:ascii="Bookman Old Style" w:hAnsi="Bookman Old Style"/>
          <w:sz w:val="24"/>
          <w:szCs w:val="24"/>
        </w:rPr>
      </w:pPr>
      <w:r w:rsidRPr="0014270C">
        <w:rPr>
          <w:rFonts w:ascii="Bookman Old Style" w:hAnsi="Bookman Old Style"/>
          <w:sz w:val="24"/>
          <w:szCs w:val="24"/>
        </w:rPr>
        <w:t xml:space="preserve">the mental and physical health benefits of building </w:t>
      </w:r>
      <w:r w:rsidR="00AE6502" w:rsidRPr="0014270C">
        <w:rPr>
          <w:rFonts w:ascii="Bookman Old Style" w:hAnsi="Bookman Old Style"/>
          <w:sz w:val="24"/>
          <w:szCs w:val="24"/>
        </w:rPr>
        <w:t>social capital</w:t>
      </w:r>
      <w:r w:rsidR="003A0304" w:rsidRPr="0014270C">
        <w:rPr>
          <w:rFonts w:ascii="Bookman Old Style" w:hAnsi="Bookman Old Style"/>
          <w:sz w:val="24"/>
          <w:szCs w:val="24"/>
        </w:rPr>
        <w:t xml:space="preserve"> and </w:t>
      </w:r>
      <w:r w:rsidR="002556E9">
        <w:rPr>
          <w:rFonts w:ascii="Bookman Old Style" w:hAnsi="Bookman Old Style"/>
          <w:sz w:val="24"/>
          <w:szCs w:val="24"/>
        </w:rPr>
        <w:t>the</w:t>
      </w:r>
      <w:r w:rsidR="003A0304" w:rsidRPr="0014270C">
        <w:rPr>
          <w:rFonts w:ascii="Bookman Old Style" w:hAnsi="Bookman Old Style"/>
          <w:sz w:val="24"/>
          <w:szCs w:val="24"/>
        </w:rPr>
        <w:t xml:space="preserve"> role</w:t>
      </w:r>
      <w:r w:rsidR="002556E9">
        <w:rPr>
          <w:rFonts w:ascii="Bookman Old Style" w:hAnsi="Bookman Old Style"/>
          <w:sz w:val="24"/>
          <w:szCs w:val="24"/>
        </w:rPr>
        <w:t xml:space="preserve"> of social capital</w:t>
      </w:r>
      <w:r w:rsidR="003A0304" w:rsidRPr="0014270C">
        <w:rPr>
          <w:rFonts w:ascii="Bookman Old Style" w:hAnsi="Bookman Old Style"/>
          <w:sz w:val="24"/>
          <w:szCs w:val="24"/>
        </w:rPr>
        <w:t xml:space="preserve"> in coordinating relief efforts</w:t>
      </w:r>
      <w:r w:rsidRPr="0014270C">
        <w:rPr>
          <w:rFonts w:ascii="Bookman Old Style" w:hAnsi="Bookman Old Style"/>
          <w:sz w:val="24"/>
          <w:szCs w:val="24"/>
        </w:rPr>
        <w:t>.</w:t>
      </w:r>
      <w:r w:rsidRPr="0014270C" w:rsidDel="00DB17FD">
        <w:rPr>
          <w:rFonts w:ascii="Bookman Old Style" w:hAnsi="Bookman Old Style"/>
          <w:sz w:val="24"/>
          <w:szCs w:val="24"/>
        </w:rPr>
        <w:t xml:space="preserve"> </w:t>
      </w:r>
    </w:p>
    <w:p w14:paraId="5F218E51" w14:textId="77777777" w:rsidR="005A1F5F" w:rsidRPr="0014270C" w:rsidRDefault="005A1F5F" w:rsidP="00B93546">
      <w:pPr>
        <w:pStyle w:val="THESISLVL2"/>
        <w:rPr>
          <w:bCs w:val="0"/>
        </w:rPr>
      </w:pPr>
    </w:p>
    <w:p w14:paraId="27428F89" w14:textId="7ACE806B" w:rsidR="00140C0C" w:rsidRPr="0014270C" w:rsidRDefault="00836392" w:rsidP="00B93546">
      <w:pPr>
        <w:pStyle w:val="THESISLVL2"/>
      </w:pPr>
      <w:bookmarkStart w:id="8" w:name="_Toc8062246"/>
      <w:r w:rsidRPr="0014270C">
        <w:t xml:space="preserve">1.1 </w:t>
      </w:r>
      <w:r w:rsidR="00411E96" w:rsidRPr="0014270C">
        <w:t>Background</w:t>
      </w:r>
      <w:bookmarkEnd w:id="8"/>
    </w:p>
    <w:p w14:paraId="47A14EFE" w14:textId="0CC571E7" w:rsidR="00F12359" w:rsidRPr="0014270C" w:rsidRDefault="00F12359" w:rsidP="00B93546">
      <w:pPr>
        <w:pStyle w:val="THESISLVL3"/>
      </w:pPr>
      <w:bookmarkStart w:id="9" w:name="_Toc8062247"/>
      <w:r w:rsidRPr="0014270C">
        <w:t xml:space="preserve">Hurricane </w:t>
      </w:r>
      <w:r w:rsidR="0020778C" w:rsidRPr="0014270C">
        <w:t>Katrina</w:t>
      </w:r>
      <w:bookmarkEnd w:id="9"/>
      <w:r w:rsidR="005E5608" w:rsidRPr="0014270C">
        <w:t xml:space="preserve"> </w:t>
      </w:r>
    </w:p>
    <w:p w14:paraId="5CD2807D" w14:textId="5CDE61AD" w:rsidR="006A341A" w:rsidRPr="0014270C" w:rsidRDefault="00F12359" w:rsidP="00140C0C">
      <w:pPr>
        <w:spacing w:line="480" w:lineRule="auto"/>
        <w:ind w:firstLine="720"/>
        <w:rPr>
          <w:rFonts w:ascii="Bookman Old Style" w:hAnsi="Bookman Old Style"/>
          <w:sz w:val="24"/>
          <w:szCs w:val="24"/>
        </w:rPr>
      </w:pPr>
      <w:bookmarkStart w:id="10" w:name="_Toc8062248"/>
      <w:r w:rsidRPr="0014270C">
        <w:rPr>
          <w:rStyle w:val="THESISLVL4Char"/>
        </w:rPr>
        <w:t>The storm</w:t>
      </w:r>
      <w:bookmarkEnd w:id="10"/>
      <w:r w:rsidR="00D249A9" w:rsidRPr="0014270C">
        <w:rPr>
          <w:rFonts w:ascii="Bookman Old Style" w:hAnsi="Bookman Old Style"/>
          <w:sz w:val="24"/>
          <w:szCs w:val="24"/>
        </w:rPr>
        <w:t>.</w:t>
      </w:r>
      <w:r w:rsidRPr="0014270C">
        <w:rPr>
          <w:rFonts w:ascii="Bookman Old Style" w:hAnsi="Bookman Old Style"/>
          <w:sz w:val="24"/>
          <w:szCs w:val="24"/>
        </w:rPr>
        <w:t xml:space="preserve"> </w:t>
      </w:r>
      <w:r w:rsidR="00FC47E1" w:rsidRPr="0014270C">
        <w:rPr>
          <w:rFonts w:ascii="Bookman Old Style" w:hAnsi="Bookman Old Style"/>
          <w:sz w:val="24"/>
          <w:szCs w:val="24"/>
        </w:rPr>
        <w:t xml:space="preserve">Hurricane </w:t>
      </w:r>
      <w:r w:rsidR="000719F0" w:rsidRPr="0014270C">
        <w:rPr>
          <w:rFonts w:ascii="Bookman Old Style" w:hAnsi="Bookman Old Style"/>
          <w:sz w:val="24"/>
          <w:szCs w:val="24"/>
        </w:rPr>
        <w:t>Katrina</w:t>
      </w:r>
      <w:r w:rsidR="00531399" w:rsidRPr="0014270C">
        <w:rPr>
          <w:rFonts w:ascii="Bookman Old Style" w:hAnsi="Bookman Old Style"/>
          <w:sz w:val="24"/>
          <w:szCs w:val="24"/>
        </w:rPr>
        <w:t xml:space="preserve"> was a </w:t>
      </w:r>
      <w:r w:rsidR="00E714C2" w:rsidRPr="0014270C">
        <w:rPr>
          <w:rFonts w:ascii="Bookman Old Style" w:hAnsi="Bookman Old Style"/>
          <w:sz w:val="24"/>
          <w:szCs w:val="24"/>
        </w:rPr>
        <w:t>week-long event</w:t>
      </w:r>
      <w:r w:rsidR="000719F0" w:rsidRPr="0014270C">
        <w:rPr>
          <w:rFonts w:ascii="Bookman Old Style" w:hAnsi="Bookman Old Style"/>
          <w:sz w:val="24"/>
          <w:szCs w:val="24"/>
        </w:rPr>
        <w:t xml:space="preserve"> </w:t>
      </w:r>
      <w:r w:rsidR="009875E3" w:rsidRPr="0014270C">
        <w:rPr>
          <w:rFonts w:ascii="Bookman Old Style" w:hAnsi="Bookman Old Style"/>
          <w:sz w:val="24"/>
          <w:szCs w:val="24"/>
        </w:rPr>
        <w:t>that</w:t>
      </w:r>
      <w:r w:rsidR="00A83EE1" w:rsidRPr="0014270C">
        <w:rPr>
          <w:rFonts w:ascii="Bookman Old Style" w:hAnsi="Bookman Old Style"/>
          <w:sz w:val="24"/>
          <w:szCs w:val="24"/>
        </w:rPr>
        <w:t xml:space="preserve"> started on August </w:t>
      </w:r>
      <w:r w:rsidR="00F04DBC" w:rsidRPr="0014270C">
        <w:rPr>
          <w:rFonts w:ascii="Bookman Old Style" w:hAnsi="Bookman Old Style"/>
          <w:sz w:val="24"/>
          <w:szCs w:val="24"/>
        </w:rPr>
        <w:t>23</w:t>
      </w:r>
      <w:r w:rsidR="00B02A2D" w:rsidRPr="0014270C">
        <w:rPr>
          <w:rFonts w:ascii="Bookman Old Style" w:hAnsi="Bookman Old Style"/>
          <w:sz w:val="24"/>
          <w:szCs w:val="24"/>
        </w:rPr>
        <w:t>,</w:t>
      </w:r>
      <w:r w:rsidR="00A83EE1" w:rsidRPr="0014270C">
        <w:rPr>
          <w:rFonts w:ascii="Bookman Old Style" w:hAnsi="Bookman Old Style"/>
          <w:sz w:val="24"/>
          <w:szCs w:val="24"/>
        </w:rPr>
        <w:t xml:space="preserve"> </w:t>
      </w:r>
      <w:r w:rsidR="00A83EE1" w:rsidRPr="0014270C">
        <w:rPr>
          <w:rFonts w:ascii="Bookman Old Style" w:hAnsi="Bookman Old Style"/>
          <w:noProof/>
          <w:sz w:val="24"/>
          <w:szCs w:val="24"/>
        </w:rPr>
        <w:t>2005</w:t>
      </w:r>
      <w:r w:rsidR="00243712" w:rsidRPr="0014270C">
        <w:rPr>
          <w:rFonts w:ascii="Bookman Old Style" w:hAnsi="Bookman Old Style"/>
          <w:noProof/>
          <w:sz w:val="24"/>
          <w:szCs w:val="24"/>
        </w:rPr>
        <w:t>,</w:t>
      </w:r>
      <w:r w:rsidR="00A83EE1" w:rsidRPr="0014270C">
        <w:rPr>
          <w:rFonts w:ascii="Bookman Old Style" w:hAnsi="Bookman Old Style"/>
          <w:sz w:val="24"/>
          <w:szCs w:val="24"/>
        </w:rPr>
        <w:t xml:space="preserve"> in The Bahamas</w:t>
      </w:r>
      <w:r w:rsidR="00C17F58" w:rsidRPr="0014270C">
        <w:rPr>
          <w:rFonts w:ascii="Bookman Old Style" w:hAnsi="Bookman Old Style"/>
          <w:sz w:val="24"/>
          <w:szCs w:val="24"/>
        </w:rPr>
        <w:t xml:space="preserve">, making its way through the southern tip of </w:t>
      </w:r>
      <w:r w:rsidR="00C17F58" w:rsidRPr="0014270C">
        <w:rPr>
          <w:rFonts w:ascii="Bookman Old Style" w:hAnsi="Bookman Old Style"/>
          <w:noProof/>
          <w:sz w:val="24"/>
          <w:szCs w:val="24"/>
        </w:rPr>
        <w:t>Florida</w:t>
      </w:r>
      <w:r w:rsidR="00C17F58" w:rsidRPr="0014270C">
        <w:rPr>
          <w:rFonts w:ascii="Bookman Old Style" w:hAnsi="Bookman Old Style"/>
          <w:sz w:val="24"/>
          <w:szCs w:val="24"/>
        </w:rPr>
        <w:t xml:space="preserve"> </w:t>
      </w:r>
      <w:r w:rsidR="00377B9B" w:rsidRPr="0014270C">
        <w:rPr>
          <w:rFonts w:ascii="Bookman Old Style" w:hAnsi="Bookman Old Style"/>
          <w:sz w:val="24"/>
          <w:szCs w:val="24"/>
        </w:rPr>
        <w:t xml:space="preserve">and </w:t>
      </w:r>
      <w:r w:rsidR="00C17F58" w:rsidRPr="0014270C">
        <w:rPr>
          <w:rFonts w:ascii="Bookman Old Style" w:hAnsi="Bookman Old Style"/>
          <w:sz w:val="24"/>
          <w:szCs w:val="24"/>
        </w:rPr>
        <w:t xml:space="preserve">circling down into the Gulf of Mexico </w:t>
      </w:r>
      <w:r w:rsidR="004C6B55" w:rsidRPr="0014270C">
        <w:rPr>
          <w:rFonts w:ascii="Bookman Old Style" w:hAnsi="Bookman Old Style"/>
          <w:sz w:val="24"/>
          <w:szCs w:val="24"/>
        </w:rPr>
        <w:t xml:space="preserve">before heading north through </w:t>
      </w:r>
      <w:r w:rsidR="00333014" w:rsidRPr="0014270C">
        <w:rPr>
          <w:rFonts w:ascii="Bookman Old Style" w:hAnsi="Bookman Old Style"/>
          <w:sz w:val="24"/>
          <w:szCs w:val="24"/>
        </w:rPr>
        <w:t>the American Bible Belt</w:t>
      </w:r>
      <w:r w:rsidR="00A83EE1" w:rsidRPr="0014270C">
        <w:rPr>
          <w:rFonts w:ascii="Bookman Old Style" w:hAnsi="Bookman Old Style"/>
          <w:sz w:val="24"/>
          <w:szCs w:val="24"/>
        </w:rPr>
        <w:t xml:space="preserve">. The storm </w:t>
      </w:r>
      <w:r w:rsidR="00E16B56" w:rsidRPr="0014270C">
        <w:rPr>
          <w:rFonts w:ascii="Bookman Old Style" w:hAnsi="Bookman Old Style"/>
          <w:sz w:val="24"/>
          <w:szCs w:val="24"/>
        </w:rPr>
        <w:t xml:space="preserve">affected </w:t>
      </w:r>
      <w:r w:rsidR="000B28CA" w:rsidRPr="0014270C">
        <w:rPr>
          <w:rFonts w:ascii="Bookman Old Style" w:hAnsi="Bookman Old Style"/>
          <w:sz w:val="24"/>
          <w:szCs w:val="24"/>
        </w:rPr>
        <w:t xml:space="preserve">several </w:t>
      </w:r>
      <w:r w:rsidR="00491089" w:rsidRPr="0014270C">
        <w:rPr>
          <w:rFonts w:ascii="Bookman Old Style" w:hAnsi="Bookman Old Style"/>
          <w:sz w:val="24"/>
          <w:szCs w:val="24"/>
        </w:rPr>
        <w:t>G</w:t>
      </w:r>
      <w:r w:rsidR="00A83EE1" w:rsidRPr="0014270C">
        <w:rPr>
          <w:rFonts w:ascii="Bookman Old Style" w:hAnsi="Bookman Old Style"/>
          <w:sz w:val="24"/>
          <w:szCs w:val="24"/>
        </w:rPr>
        <w:t>ulf countries</w:t>
      </w:r>
      <w:r w:rsidR="00491089" w:rsidRPr="0014270C">
        <w:rPr>
          <w:rFonts w:ascii="Bookman Old Style" w:hAnsi="Bookman Old Style"/>
          <w:sz w:val="24"/>
          <w:szCs w:val="24"/>
        </w:rPr>
        <w:t xml:space="preserve">, including at least </w:t>
      </w:r>
      <w:r w:rsidR="00197639" w:rsidRPr="0014270C">
        <w:rPr>
          <w:rFonts w:ascii="Bookman Old Style" w:hAnsi="Bookman Old Style"/>
          <w:sz w:val="24"/>
          <w:szCs w:val="24"/>
        </w:rPr>
        <w:t>three</w:t>
      </w:r>
      <w:r w:rsidR="00491089" w:rsidRPr="0014270C">
        <w:rPr>
          <w:rFonts w:ascii="Bookman Old Style" w:hAnsi="Bookman Old Style"/>
          <w:sz w:val="24"/>
          <w:szCs w:val="24"/>
        </w:rPr>
        <w:t xml:space="preserve"> </w:t>
      </w:r>
      <w:r w:rsidR="00FA5A69" w:rsidRPr="0014270C">
        <w:rPr>
          <w:rFonts w:ascii="Bookman Old Style" w:hAnsi="Bookman Old Style"/>
          <w:sz w:val="24"/>
          <w:szCs w:val="24"/>
        </w:rPr>
        <w:t xml:space="preserve">states in the </w:t>
      </w:r>
      <w:r w:rsidR="00491089" w:rsidRPr="0014270C">
        <w:rPr>
          <w:rFonts w:ascii="Bookman Old Style" w:hAnsi="Bookman Old Style"/>
          <w:sz w:val="24"/>
          <w:szCs w:val="24"/>
        </w:rPr>
        <w:t>U</w:t>
      </w:r>
      <w:r w:rsidR="00FA5A69" w:rsidRPr="0014270C">
        <w:rPr>
          <w:rFonts w:ascii="Bookman Old Style" w:hAnsi="Bookman Old Style"/>
          <w:sz w:val="24"/>
          <w:szCs w:val="24"/>
        </w:rPr>
        <w:t xml:space="preserve">nited </w:t>
      </w:r>
      <w:r w:rsidR="00491089" w:rsidRPr="0014270C">
        <w:rPr>
          <w:rFonts w:ascii="Bookman Old Style" w:hAnsi="Bookman Old Style"/>
          <w:sz w:val="24"/>
          <w:szCs w:val="24"/>
        </w:rPr>
        <w:t>States</w:t>
      </w:r>
      <w:r w:rsidR="00FA5A69" w:rsidRPr="0014270C">
        <w:rPr>
          <w:rFonts w:ascii="Bookman Old Style" w:hAnsi="Bookman Old Style"/>
          <w:sz w:val="24"/>
          <w:szCs w:val="24"/>
        </w:rPr>
        <w:t xml:space="preserve"> (US)</w:t>
      </w:r>
      <w:r w:rsidR="00AC22F7" w:rsidRPr="0014270C">
        <w:rPr>
          <w:rFonts w:ascii="Bookman Old Style" w:hAnsi="Bookman Old Style"/>
          <w:sz w:val="24"/>
          <w:szCs w:val="24"/>
        </w:rPr>
        <w:t xml:space="preserve"> – the hardest hit being Louisiana, particularly the city of New Orleans</w:t>
      </w:r>
      <w:r w:rsidR="00AD3108" w:rsidRPr="0014270C">
        <w:rPr>
          <w:rFonts w:ascii="Bookman Old Style" w:hAnsi="Bookman Old Style"/>
          <w:sz w:val="24"/>
          <w:szCs w:val="24"/>
        </w:rPr>
        <w:t xml:space="preserve"> on August 29</w:t>
      </w:r>
      <w:r w:rsidR="007A34D3" w:rsidRPr="0014270C">
        <w:rPr>
          <w:rFonts w:ascii="Bookman Old Style" w:hAnsi="Bookman Old Style"/>
          <w:sz w:val="24"/>
          <w:szCs w:val="24"/>
        </w:rPr>
        <w:t>.</w:t>
      </w:r>
      <w:r w:rsidR="008D03A1" w:rsidRPr="0014270C">
        <w:rPr>
          <w:rStyle w:val="FootnoteReference"/>
          <w:rFonts w:ascii="Bookman Old Style" w:hAnsi="Bookman Old Style"/>
          <w:sz w:val="24"/>
          <w:szCs w:val="24"/>
        </w:rPr>
        <w:footnoteReference w:id="2"/>
      </w:r>
      <w:r w:rsidR="000719F0" w:rsidRPr="0014270C">
        <w:rPr>
          <w:rFonts w:ascii="Bookman Old Style" w:hAnsi="Bookman Old Style"/>
          <w:sz w:val="24"/>
          <w:szCs w:val="24"/>
        </w:rPr>
        <w:t xml:space="preserve"> </w:t>
      </w:r>
      <w:r w:rsidR="00625DA1" w:rsidRPr="0014270C">
        <w:rPr>
          <w:rFonts w:ascii="Bookman Old Style" w:hAnsi="Bookman Old Style"/>
          <w:sz w:val="24"/>
          <w:szCs w:val="24"/>
        </w:rPr>
        <w:t xml:space="preserve">According to </w:t>
      </w:r>
      <w:r w:rsidR="00D92A8B" w:rsidRPr="0014270C">
        <w:rPr>
          <w:rFonts w:ascii="Bookman Old Style" w:hAnsi="Bookman Old Style"/>
          <w:sz w:val="24"/>
          <w:szCs w:val="24"/>
        </w:rPr>
        <w:t>the National Hurricane Center</w:t>
      </w:r>
      <w:r w:rsidR="00FA4FF9" w:rsidRPr="0014270C">
        <w:rPr>
          <w:rFonts w:ascii="Bookman Old Style" w:hAnsi="Bookman Old Style"/>
          <w:sz w:val="24"/>
          <w:szCs w:val="24"/>
        </w:rPr>
        <w:t>, a division of the National Oceanic and Atmospheric Administration,</w:t>
      </w:r>
      <w:r w:rsidR="000F1501" w:rsidRPr="0014270C">
        <w:rPr>
          <w:rFonts w:ascii="Bookman Old Style" w:hAnsi="Bookman Old Style"/>
          <w:sz w:val="24"/>
          <w:szCs w:val="24"/>
        </w:rPr>
        <w:t xml:space="preserve"> approximately 80% of the city of New Orleans was flooded in waters up to 20 feet </w:t>
      </w:r>
      <w:r w:rsidR="00915381" w:rsidRPr="0014270C">
        <w:rPr>
          <w:rFonts w:ascii="Bookman Old Style" w:hAnsi="Bookman Old Style"/>
          <w:sz w:val="24"/>
          <w:szCs w:val="24"/>
        </w:rPr>
        <w:t>(6.</w:t>
      </w:r>
      <w:r w:rsidR="002E7397" w:rsidRPr="0014270C">
        <w:rPr>
          <w:rFonts w:ascii="Bookman Old Style" w:hAnsi="Bookman Old Style"/>
          <w:sz w:val="24"/>
          <w:szCs w:val="24"/>
        </w:rPr>
        <w:t xml:space="preserve">10 meters) </w:t>
      </w:r>
      <w:r w:rsidR="000F1501" w:rsidRPr="0014270C">
        <w:rPr>
          <w:rFonts w:ascii="Bookman Old Style" w:hAnsi="Bookman Old Style"/>
          <w:sz w:val="24"/>
          <w:szCs w:val="24"/>
        </w:rPr>
        <w:t>deep</w:t>
      </w:r>
      <w:r w:rsidR="00FF3D5A" w:rsidRPr="0014270C">
        <w:rPr>
          <w:rFonts w:ascii="Bookman Old Style" w:hAnsi="Bookman Old Style"/>
          <w:sz w:val="24"/>
          <w:szCs w:val="24"/>
        </w:rPr>
        <w:t xml:space="preserve"> due to</w:t>
      </w:r>
      <w:r w:rsidR="00BB7028" w:rsidRPr="0014270C">
        <w:rPr>
          <w:rFonts w:ascii="Bookman Old Style" w:hAnsi="Bookman Old Style"/>
          <w:sz w:val="24"/>
          <w:szCs w:val="24"/>
        </w:rPr>
        <w:t xml:space="preserve"> storm surges</w:t>
      </w:r>
      <w:r w:rsidR="001373FB" w:rsidRPr="0014270C">
        <w:rPr>
          <w:rFonts w:ascii="Bookman Old Style" w:hAnsi="Bookman Old Style"/>
          <w:sz w:val="24"/>
          <w:szCs w:val="24"/>
        </w:rPr>
        <w:t xml:space="preserve"> </w:t>
      </w:r>
      <w:r w:rsidR="0022252A" w:rsidRPr="0014270C">
        <w:rPr>
          <w:rFonts w:ascii="Bookman Old Style" w:hAnsi="Bookman Old Style"/>
          <w:sz w:val="24"/>
          <w:szCs w:val="24"/>
        </w:rPr>
        <w:t>that</w:t>
      </w:r>
      <w:r w:rsidR="001373FB" w:rsidRPr="0014270C">
        <w:rPr>
          <w:rFonts w:ascii="Bookman Old Style" w:hAnsi="Bookman Old Style"/>
          <w:sz w:val="24"/>
          <w:szCs w:val="24"/>
        </w:rPr>
        <w:t xml:space="preserve"> stressed and </w:t>
      </w:r>
      <w:r w:rsidR="00BB7028" w:rsidRPr="0014270C">
        <w:rPr>
          <w:rFonts w:ascii="Bookman Old Style" w:hAnsi="Bookman Old Style"/>
          <w:sz w:val="24"/>
          <w:szCs w:val="24"/>
        </w:rPr>
        <w:t>breache</w:t>
      </w:r>
      <w:r w:rsidR="001373FB" w:rsidRPr="0014270C">
        <w:rPr>
          <w:rFonts w:ascii="Bookman Old Style" w:hAnsi="Bookman Old Style"/>
          <w:sz w:val="24"/>
          <w:szCs w:val="24"/>
        </w:rPr>
        <w:t>d the levee system</w:t>
      </w:r>
      <w:r w:rsidR="007A34D3" w:rsidRPr="0014270C">
        <w:rPr>
          <w:rFonts w:ascii="Bookman Old Style" w:hAnsi="Bookman Old Style"/>
          <w:sz w:val="24"/>
          <w:szCs w:val="24"/>
        </w:rPr>
        <w:t>.</w:t>
      </w:r>
      <w:r w:rsidR="008D03A1" w:rsidRPr="0014270C">
        <w:rPr>
          <w:rStyle w:val="FootnoteReference"/>
          <w:rFonts w:ascii="Bookman Old Style" w:hAnsi="Bookman Old Style"/>
          <w:sz w:val="24"/>
          <w:szCs w:val="24"/>
        </w:rPr>
        <w:footnoteReference w:id="3"/>
      </w:r>
      <w:r w:rsidR="00FA4FF9" w:rsidRPr="0014270C">
        <w:rPr>
          <w:rFonts w:ascii="Bookman Old Style" w:hAnsi="Bookman Old Style"/>
          <w:sz w:val="24"/>
          <w:szCs w:val="24"/>
        </w:rPr>
        <w:t xml:space="preserve"> </w:t>
      </w:r>
    </w:p>
    <w:p w14:paraId="6899CD78" w14:textId="56117733" w:rsidR="00556643" w:rsidRPr="0014270C" w:rsidRDefault="00D4315A" w:rsidP="006A341A">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damage was significant, </w:t>
      </w:r>
      <w:r w:rsidR="00FB286A" w:rsidRPr="0014270C">
        <w:rPr>
          <w:rFonts w:ascii="Bookman Old Style" w:hAnsi="Bookman Old Style"/>
          <w:sz w:val="24"/>
          <w:szCs w:val="24"/>
        </w:rPr>
        <w:t xml:space="preserve">the total </w:t>
      </w:r>
      <w:r w:rsidR="00555795" w:rsidRPr="0014270C">
        <w:rPr>
          <w:rFonts w:ascii="Bookman Old Style" w:hAnsi="Bookman Old Style"/>
          <w:sz w:val="24"/>
          <w:szCs w:val="24"/>
        </w:rPr>
        <w:t>loss</w:t>
      </w:r>
      <w:r w:rsidR="00FB286A" w:rsidRPr="0014270C">
        <w:rPr>
          <w:rFonts w:ascii="Bookman Old Style" w:hAnsi="Bookman Old Style"/>
          <w:sz w:val="24"/>
          <w:szCs w:val="24"/>
        </w:rPr>
        <w:t xml:space="preserve"> amounted to </w:t>
      </w:r>
      <w:r w:rsidR="00DF0621" w:rsidRPr="0014270C">
        <w:rPr>
          <w:rFonts w:ascii="Bookman Old Style" w:hAnsi="Bookman Old Style"/>
          <w:sz w:val="24"/>
          <w:szCs w:val="24"/>
        </w:rPr>
        <w:t>US$</w:t>
      </w:r>
      <w:r w:rsidR="00FB286A" w:rsidRPr="0014270C">
        <w:rPr>
          <w:rFonts w:ascii="Bookman Old Style" w:hAnsi="Bookman Old Style"/>
          <w:sz w:val="24"/>
          <w:szCs w:val="24"/>
        </w:rPr>
        <w:t>125 billi</w:t>
      </w:r>
      <w:r w:rsidR="006E7D19" w:rsidRPr="0014270C">
        <w:rPr>
          <w:rFonts w:ascii="Bookman Old Style" w:hAnsi="Bookman Old Style"/>
          <w:sz w:val="24"/>
          <w:szCs w:val="24"/>
        </w:rPr>
        <w:t>on</w:t>
      </w:r>
      <w:r w:rsidR="007F586B" w:rsidRPr="0014270C">
        <w:rPr>
          <w:rFonts w:ascii="Bookman Old Style" w:hAnsi="Bookman Old Style"/>
          <w:sz w:val="24"/>
          <w:szCs w:val="24"/>
        </w:rPr>
        <w:t xml:space="preserve"> (</w:t>
      </w:r>
      <w:r w:rsidR="006E7D19" w:rsidRPr="0014270C">
        <w:rPr>
          <w:rFonts w:ascii="Bookman Old Style" w:hAnsi="Bookman Old Style"/>
          <w:sz w:val="24"/>
          <w:szCs w:val="24"/>
        </w:rPr>
        <w:t>not adjusted for inflation</w:t>
      </w:r>
      <w:r w:rsidR="007F586B" w:rsidRPr="0014270C">
        <w:rPr>
          <w:rFonts w:ascii="Bookman Old Style" w:hAnsi="Bookman Old Style"/>
          <w:sz w:val="24"/>
          <w:szCs w:val="24"/>
        </w:rPr>
        <w:t>)</w:t>
      </w:r>
      <w:r w:rsidR="006E1F10" w:rsidRPr="0014270C">
        <w:rPr>
          <w:rFonts w:ascii="Bookman Old Style" w:hAnsi="Bookman Old Style"/>
          <w:sz w:val="24"/>
          <w:szCs w:val="24"/>
        </w:rPr>
        <w:t>,</w:t>
      </w:r>
      <w:r w:rsidR="00290CE3" w:rsidRPr="0014270C">
        <w:rPr>
          <w:rFonts w:ascii="Bookman Old Style" w:hAnsi="Bookman Old Style"/>
          <w:sz w:val="24"/>
          <w:szCs w:val="24"/>
        </w:rPr>
        <w:t xml:space="preserve"> making it the </w:t>
      </w:r>
      <w:r w:rsidR="00E94E56" w:rsidRPr="0014270C">
        <w:rPr>
          <w:rFonts w:ascii="Bookman Old Style" w:hAnsi="Bookman Old Style"/>
          <w:sz w:val="24"/>
          <w:szCs w:val="24"/>
        </w:rPr>
        <w:t xml:space="preserve">costliest hurricane to hit the United </w:t>
      </w:r>
      <w:r w:rsidR="00E94E56" w:rsidRPr="0014270C">
        <w:rPr>
          <w:rFonts w:ascii="Bookman Old Style" w:hAnsi="Bookman Old Style"/>
          <w:sz w:val="24"/>
          <w:szCs w:val="24"/>
        </w:rPr>
        <w:lastRenderedPageBreak/>
        <w:t>States since 1900</w:t>
      </w:r>
      <w:r w:rsidR="007A34D3" w:rsidRPr="0014270C">
        <w:rPr>
          <w:rFonts w:ascii="Bookman Old Style" w:hAnsi="Bookman Old Style"/>
          <w:sz w:val="24"/>
          <w:szCs w:val="24"/>
        </w:rPr>
        <w:t>.</w:t>
      </w:r>
      <w:r w:rsidR="008D03A1" w:rsidRPr="0014270C">
        <w:rPr>
          <w:rStyle w:val="FootnoteReference"/>
          <w:rFonts w:ascii="Bookman Old Style" w:hAnsi="Bookman Old Style"/>
          <w:sz w:val="24"/>
          <w:szCs w:val="24"/>
        </w:rPr>
        <w:footnoteReference w:id="4"/>
      </w:r>
      <w:r w:rsidR="006A341A" w:rsidRPr="0014270C">
        <w:rPr>
          <w:rFonts w:ascii="Bookman Old Style" w:hAnsi="Bookman Old Style"/>
          <w:sz w:val="24"/>
          <w:szCs w:val="24"/>
        </w:rPr>
        <w:t xml:space="preserve"> </w:t>
      </w:r>
      <w:r w:rsidR="00956FB2" w:rsidRPr="0014270C">
        <w:rPr>
          <w:rFonts w:ascii="Bookman Old Style" w:hAnsi="Bookman Old Style"/>
          <w:sz w:val="24"/>
          <w:szCs w:val="24"/>
        </w:rPr>
        <w:t>Due to</w:t>
      </w:r>
      <w:r w:rsidR="008B1AA3" w:rsidRPr="0014270C">
        <w:rPr>
          <w:rFonts w:ascii="Bookman Old Style" w:hAnsi="Bookman Old Style"/>
          <w:sz w:val="24"/>
          <w:szCs w:val="24"/>
        </w:rPr>
        <w:t xml:space="preserve"> </w:t>
      </w:r>
      <w:r w:rsidR="003A4F1A" w:rsidRPr="0014270C">
        <w:rPr>
          <w:rFonts w:ascii="Bookman Old Style" w:hAnsi="Bookman Old Style"/>
          <w:sz w:val="24"/>
          <w:szCs w:val="24"/>
        </w:rPr>
        <w:t>widespread</w:t>
      </w:r>
      <w:r w:rsidR="00956FB2" w:rsidRPr="0014270C">
        <w:rPr>
          <w:rFonts w:ascii="Bookman Old Style" w:hAnsi="Bookman Old Style"/>
          <w:sz w:val="24"/>
          <w:szCs w:val="24"/>
        </w:rPr>
        <w:t xml:space="preserve"> flooding, many people lost</w:t>
      </w:r>
      <w:r w:rsidR="00817153" w:rsidRPr="0014270C">
        <w:rPr>
          <w:rFonts w:ascii="Bookman Old Style" w:hAnsi="Bookman Old Style"/>
          <w:sz w:val="24"/>
          <w:szCs w:val="24"/>
        </w:rPr>
        <w:t xml:space="preserve"> </w:t>
      </w:r>
      <w:r w:rsidR="00956FB2" w:rsidRPr="0014270C">
        <w:rPr>
          <w:rFonts w:ascii="Bookman Old Style" w:hAnsi="Bookman Old Style"/>
          <w:sz w:val="24"/>
          <w:szCs w:val="24"/>
        </w:rPr>
        <w:t>their hom</w:t>
      </w:r>
      <w:r w:rsidR="00A43EE7" w:rsidRPr="0014270C">
        <w:rPr>
          <w:rFonts w:ascii="Bookman Old Style" w:hAnsi="Bookman Old Style"/>
          <w:sz w:val="24"/>
          <w:szCs w:val="24"/>
        </w:rPr>
        <w:t>es</w:t>
      </w:r>
      <w:r w:rsidR="009947BC" w:rsidRPr="0014270C">
        <w:rPr>
          <w:rFonts w:ascii="Bookman Old Style" w:hAnsi="Bookman Old Style"/>
          <w:sz w:val="24"/>
          <w:szCs w:val="24"/>
        </w:rPr>
        <w:t>, whether permanently or temporarily,</w:t>
      </w:r>
      <w:r w:rsidR="00A43EE7" w:rsidRPr="0014270C">
        <w:rPr>
          <w:rFonts w:ascii="Bookman Old Style" w:hAnsi="Bookman Old Style"/>
          <w:sz w:val="24"/>
          <w:szCs w:val="24"/>
        </w:rPr>
        <w:t xml:space="preserve"> and </w:t>
      </w:r>
      <w:r w:rsidR="0097735F" w:rsidRPr="0014270C">
        <w:rPr>
          <w:rFonts w:ascii="Bookman Old Style" w:hAnsi="Bookman Old Style"/>
          <w:sz w:val="24"/>
          <w:szCs w:val="24"/>
        </w:rPr>
        <w:t xml:space="preserve">local governments </w:t>
      </w:r>
      <w:r w:rsidR="00A43EE7" w:rsidRPr="0014270C">
        <w:rPr>
          <w:rFonts w:ascii="Bookman Old Style" w:hAnsi="Bookman Old Style"/>
          <w:sz w:val="24"/>
          <w:szCs w:val="24"/>
        </w:rPr>
        <w:t xml:space="preserve">had to seek </w:t>
      </w:r>
      <w:r w:rsidR="00794A38" w:rsidRPr="0014270C">
        <w:rPr>
          <w:rFonts w:ascii="Bookman Old Style" w:hAnsi="Bookman Old Style"/>
          <w:sz w:val="24"/>
          <w:szCs w:val="24"/>
        </w:rPr>
        <w:t>federal</w:t>
      </w:r>
      <w:r w:rsidR="00A43EE7" w:rsidRPr="0014270C">
        <w:rPr>
          <w:rFonts w:ascii="Bookman Old Style" w:hAnsi="Bookman Old Style"/>
          <w:sz w:val="24"/>
          <w:szCs w:val="24"/>
        </w:rPr>
        <w:t xml:space="preserve"> assistance</w:t>
      </w:r>
      <w:r w:rsidR="00720393" w:rsidRPr="0014270C">
        <w:rPr>
          <w:rFonts w:ascii="Bookman Old Style" w:hAnsi="Bookman Old Style"/>
          <w:sz w:val="24"/>
          <w:szCs w:val="24"/>
        </w:rPr>
        <w:t xml:space="preserve"> to house those displaced by </w:t>
      </w:r>
      <w:r w:rsidR="00A53CD6" w:rsidRPr="0014270C">
        <w:rPr>
          <w:rFonts w:ascii="Bookman Old Style" w:hAnsi="Bookman Old Style"/>
          <w:sz w:val="24"/>
          <w:szCs w:val="24"/>
        </w:rPr>
        <w:t>the storm</w:t>
      </w:r>
      <w:r w:rsidR="00A43EE7" w:rsidRPr="0014270C">
        <w:rPr>
          <w:rFonts w:ascii="Bookman Old Style" w:hAnsi="Bookman Old Style"/>
          <w:sz w:val="24"/>
          <w:szCs w:val="24"/>
        </w:rPr>
        <w:t xml:space="preserve">. </w:t>
      </w:r>
      <w:r w:rsidR="003668D1" w:rsidRPr="0014270C">
        <w:rPr>
          <w:rFonts w:ascii="Bookman Old Style" w:hAnsi="Bookman Old Style"/>
          <w:sz w:val="24"/>
          <w:szCs w:val="24"/>
        </w:rPr>
        <w:t>President George W. Bush declared a state of emergency, enacting the Stafford Act</w:t>
      </w:r>
      <w:r w:rsidR="00B92594" w:rsidRPr="0014270C">
        <w:rPr>
          <w:rStyle w:val="FootnoteReference"/>
          <w:rFonts w:ascii="Bookman Old Style" w:hAnsi="Bookman Old Style"/>
          <w:sz w:val="24"/>
          <w:szCs w:val="24"/>
        </w:rPr>
        <w:footnoteReference w:id="5"/>
      </w:r>
      <w:r w:rsidR="003668D1" w:rsidRPr="0014270C">
        <w:rPr>
          <w:rFonts w:ascii="Bookman Old Style" w:hAnsi="Bookman Old Style"/>
          <w:sz w:val="24"/>
          <w:szCs w:val="24"/>
        </w:rPr>
        <w:t xml:space="preserve"> and triggering </w:t>
      </w:r>
      <w:r w:rsidR="00C267E1" w:rsidRPr="0014270C">
        <w:rPr>
          <w:rFonts w:ascii="Bookman Old Style" w:hAnsi="Bookman Old Style"/>
          <w:sz w:val="24"/>
          <w:szCs w:val="24"/>
        </w:rPr>
        <w:t>a</w:t>
      </w:r>
      <w:r w:rsidR="003C5E27" w:rsidRPr="0014270C">
        <w:rPr>
          <w:rFonts w:ascii="Bookman Old Style" w:hAnsi="Bookman Old Style"/>
          <w:sz w:val="24"/>
          <w:szCs w:val="24"/>
        </w:rPr>
        <w:t xml:space="preserve"> response from FEMA. </w:t>
      </w:r>
    </w:p>
    <w:p w14:paraId="36BED90A" w14:textId="4ED2780B" w:rsidR="00300F47" w:rsidRPr="0014270C" w:rsidRDefault="00CD7084" w:rsidP="00FC47E1">
      <w:pPr>
        <w:spacing w:line="480" w:lineRule="auto"/>
        <w:ind w:firstLine="720"/>
        <w:rPr>
          <w:rFonts w:ascii="Bookman Old Style" w:hAnsi="Bookman Old Style"/>
          <w:sz w:val="24"/>
          <w:szCs w:val="24"/>
        </w:rPr>
      </w:pPr>
      <w:r w:rsidRPr="0014270C">
        <w:rPr>
          <w:rFonts w:ascii="Bookman Old Style" w:hAnsi="Bookman Old Style"/>
          <w:sz w:val="24"/>
          <w:szCs w:val="24"/>
        </w:rPr>
        <w:t>Pr</w:t>
      </w:r>
      <w:r>
        <w:rPr>
          <w:rFonts w:ascii="Bookman Old Style" w:hAnsi="Bookman Old Style"/>
          <w:sz w:val="24"/>
          <w:szCs w:val="24"/>
        </w:rPr>
        <w:t>e-Katrina</w:t>
      </w:r>
      <w:r w:rsidRPr="0014270C">
        <w:rPr>
          <w:rFonts w:ascii="Bookman Old Style" w:hAnsi="Bookman Old Style"/>
          <w:sz w:val="24"/>
          <w:szCs w:val="24"/>
        </w:rPr>
        <w:t>, FEMA was utilizing the Federal Response Plan, a framework that had been in place since 1992, with its most recent changes implemented in 2003.</w:t>
      </w:r>
      <w:r>
        <w:rPr>
          <w:rFonts w:ascii="Bookman Old Style" w:hAnsi="Bookman Old Style"/>
          <w:sz w:val="24"/>
          <w:szCs w:val="24"/>
        </w:rPr>
        <w:t xml:space="preserve"> </w:t>
      </w:r>
      <w:r w:rsidRPr="0014270C">
        <w:rPr>
          <w:rFonts w:ascii="Bookman Old Style" w:hAnsi="Bookman Old Style"/>
          <w:sz w:val="24"/>
          <w:szCs w:val="24"/>
        </w:rPr>
        <w:t xml:space="preserve">In the Federal Response Plan, the Red Cross was the sole entity responsible for </w:t>
      </w:r>
      <w:r w:rsidRPr="0014270C">
        <w:rPr>
          <w:rFonts w:ascii="Bookman Old Style" w:hAnsi="Bookman Old Style"/>
          <w:noProof/>
          <w:sz w:val="24"/>
          <w:szCs w:val="24"/>
        </w:rPr>
        <w:t>mass</w:t>
      </w:r>
      <w:r w:rsidRPr="0014270C">
        <w:rPr>
          <w:rFonts w:ascii="Bookman Old Style" w:hAnsi="Bookman Old Style"/>
          <w:sz w:val="24"/>
          <w:szCs w:val="24"/>
        </w:rPr>
        <w:t>-care and relief housing.</w:t>
      </w:r>
      <w:r w:rsidRPr="0014270C">
        <w:rPr>
          <w:rStyle w:val="FootnoteReference"/>
          <w:rFonts w:ascii="Bookman Old Style" w:hAnsi="Bookman Old Style"/>
          <w:sz w:val="24"/>
          <w:szCs w:val="24"/>
        </w:rPr>
        <w:footnoteReference w:id="6"/>
      </w:r>
      <w:r w:rsidRPr="0014270C">
        <w:rPr>
          <w:rFonts w:ascii="Bookman Old Style" w:hAnsi="Bookman Old Style"/>
          <w:sz w:val="24"/>
          <w:szCs w:val="24"/>
        </w:rPr>
        <w:t xml:space="preserve"> </w:t>
      </w:r>
      <w:r>
        <w:rPr>
          <w:rFonts w:ascii="Bookman Old Style" w:hAnsi="Bookman Old Style"/>
          <w:sz w:val="24"/>
          <w:szCs w:val="24"/>
        </w:rPr>
        <w:t xml:space="preserve">After </w:t>
      </w:r>
      <w:r w:rsidR="00CF78DC" w:rsidRPr="0014270C">
        <w:rPr>
          <w:rFonts w:ascii="Bookman Old Style" w:hAnsi="Bookman Old Style"/>
          <w:sz w:val="24"/>
          <w:szCs w:val="24"/>
        </w:rPr>
        <w:t>Katrina</w:t>
      </w:r>
      <w:r w:rsidR="00EA6FED" w:rsidRPr="0014270C">
        <w:rPr>
          <w:rFonts w:ascii="Bookman Old Style" w:hAnsi="Bookman Old Style"/>
          <w:sz w:val="24"/>
          <w:szCs w:val="24"/>
        </w:rPr>
        <w:t xml:space="preserve">, FEMA was operating under the </w:t>
      </w:r>
      <w:r w:rsidR="007877A2" w:rsidRPr="0014270C">
        <w:rPr>
          <w:rFonts w:ascii="Bookman Old Style" w:hAnsi="Bookman Old Style"/>
          <w:sz w:val="24"/>
          <w:szCs w:val="24"/>
        </w:rPr>
        <w:t>National Response Plan</w:t>
      </w:r>
      <w:r w:rsidR="00FD21E0" w:rsidRPr="0014270C">
        <w:rPr>
          <w:rFonts w:ascii="Bookman Old Style" w:hAnsi="Bookman Old Style"/>
          <w:sz w:val="24"/>
          <w:szCs w:val="24"/>
        </w:rPr>
        <w:t xml:space="preserve"> (NRP)</w:t>
      </w:r>
      <w:r w:rsidR="00D72B50" w:rsidRPr="0014270C">
        <w:rPr>
          <w:rFonts w:ascii="Bookman Old Style" w:hAnsi="Bookman Old Style"/>
          <w:sz w:val="24"/>
          <w:szCs w:val="24"/>
        </w:rPr>
        <w:t xml:space="preserve"> </w:t>
      </w:r>
      <w:r w:rsidR="00522A45" w:rsidRPr="0014270C">
        <w:rPr>
          <w:rFonts w:ascii="Bookman Old Style" w:hAnsi="Bookman Old Style"/>
          <w:sz w:val="24"/>
          <w:szCs w:val="24"/>
        </w:rPr>
        <w:t>of 2004</w:t>
      </w:r>
      <w:r w:rsidR="008D03A1" w:rsidRPr="0014270C">
        <w:rPr>
          <w:rStyle w:val="FootnoteReference"/>
          <w:rFonts w:ascii="Bookman Old Style" w:hAnsi="Bookman Old Style"/>
          <w:sz w:val="24"/>
          <w:szCs w:val="24"/>
        </w:rPr>
        <w:footnoteReference w:id="7"/>
      </w:r>
      <w:r w:rsidR="00041DDA" w:rsidRPr="0014270C">
        <w:rPr>
          <w:rFonts w:ascii="Bookman Old Style" w:hAnsi="Bookman Old Style"/>
          <w:sz w:val="24"/>
          <w:szCs w:val="24"/>
        </w:rPr>
        <w:t xml:space="preserve"> </w:t>
      </w:r>
      <w:r w:rsidR="008B1528" w:rsidRPr="0014270C">
        <w:rPr>
          <w:rFonts w:ascii="Bookman Old Style" w:hAnsi="Bookman Old Style"/>
          <w:sz w:val="24"/>
          <w:szCs w:val="24"/>
        </w:rPr>
        <w:t>under which relief housing was part of</w:t>
      </w:r>
      <w:r w:rsidR="005F7DD4" w:rsidRPr="0014270C">
        <w:rPr>
          <w:rFonts w:ascii="Bookman Old Style" w:hAnsi="Bookman Old Style"/>
          <w:sz w:val="24"/>
          <w:szCs w:val="24"/>
        </w:rPr>
        <w:t xml:space="preserve"> </w:t>
      </w:r>
      <w:r w:rsidR="008B1528" w:rsidRPr="0014270C">
        <w:rPr>
          <w:rFonts w:ascii="Bookman Old Style" w:hAnsi="Bookman Old Style"/>
          <w:sz w:val="24"/>
          <w:szCs w:val="24"/>
        </w:rPr>
        <w:t>the Emergency Support Function</w:t>
      </w:r>
      <w:r w:rsidR="004A167A" w:rsidRPr="0014270C">
        <w:rPr>
          <w:rFonts w:ascii="Bookman Old Style" w:hAnsi="Bookman Old Style"/>
          <w:sz w:val="24"/>
          <w:szCs w:val="24"/>
        </w:rPr>
        <w:t xml:space="preserve"> (ESF)</w:t>
      </w:r>
      <w:r w:rsidR="008B1528" w:rsidRPr="0014270C">
        <w:rPr>
          <w:rFonts w:ascii="Bookman Old Style" w:hAnsi="Bookman Old Style"/>
          <w:sz w:val="24"/>
          <w:szCs w:val="24"/>
        </w:rPr>
        <w:t xml:space="preserve"> #6</w:t>
      </w:r>
      <w:r w:rsidR="00162064" w:rsidRPr="0014270C">
        <w:rPr>
          <w:rFonts w:ascii="Bookman Old Style" w:hAnsi="Bookman Old Style"/>
          <w:sz w:val="24"/>
          <w:szCs w:val="24"/>
        </w:rPr>
        <w:t xml:space="preserve"> and </w:t>
      </w:r>
      <w:r w:rsidR="00E026AB" w:rsidRPr="0014270C">
        <w:rPr>
          <w:rFonts w:ascii="Bookman Old Style" w:hAnsi="Bookman Old Style"/>
          <w:sz w:val="24"/>
          <w:szCs w:val="24"/>
        </w:rPr>
        <w:t>deemed FEMA and the American</w:t>
      </w:r>
      <w:r w:rsidR="008A5D9A" w:rsidRPr="0014270C">
        <w:rPr>
          <w:rFonts w:ascii="Bookman Old Style" w:hAnsi="Bookman Old Style"/>
          <w:sz w:val="24"/>
          <w:szCs w:val="24"/>
        </w:rPr>
        <w:t xml:space="preserve"> National Red Cross</w:t>
      </w:r>
      <w:r w:rsidR="006F3A55" w:rsidRPr="0014270C">
        <w:rPr>
          <w:rFonts w:ascii="Bookman Old Style" w:hAnsi="Bookman Old Style"/>
          <w:sz w:val="24"/>
          <w:szCs w:val="24"/>
        </w:rPr>
        <w:t xml:space="preserve"> </w:t>
      </w:r>
      <w:r w:rsidR="008A5D9A" w:rsidRPr="0014270C">
        <w:rPr>
          <w:rFonts w:ascii="Bookman Old Style" w:hAnsi="Bookman Old Style"/>
          <w:sz w:val="24"/>
          <w:szCs w:val="24"/>
        </w:rPr>
        <w:t>duly responsible</w:t>
      </w:r>
      <w:r w:rsidR="00DF1BB9" w:rsidRPr="0014270C">
        <w:rPr>
          <w:rFonts w:ascii="Bookman Old Style" w:hAnsi="Bookman Old Style"/>
          <w:sz w:val="24"/>
          <w:szCs w:val="24"/>
        </w:rPr>
        <w:t xml:space="preserve"> for coordinating </w:t>
      </w:r>
      <w:r w:rsidR="007825B7" w:rsidRPr="0014270C">
        <w:rPr>
          <w:rFonts w:ascii="Bookman Old Style" w:hAnsi="Bookman Old Style"/>
          <w:sz w:val="24"/>
          <w:szCs w:val="24"/>
        </w:rPr>
        <w:t>action</w:t>
      </w:r>
      <w:r w:rsidR="007D1DD9" w:rsidRPr="0014270C">
        <w:rPr>
          <w:rFonts w:ascii="Bookman Old Style" w:hAnsi="Bookman Old Style"/>
          <w:sz w:val="24"/>
          <w:szCs w:val="24"/>
        </w:rPr>
        <w:t>.</w:t>
      </w:r>
      <w:r w:rsidR="000E49E6" w:rsidRPr="0014270C">
        <w:rPr>
          <w:rFonts w:ascii="Bookman Old Style" w:hAnsi="Bookman Old Style"/>
          <w:sz w:val="24"/>
          <w:szCs w:val="24"/>
        </w:rPr>
        <w:t xml:space="preserve"> </w:t>
      </w:r>
      <w:r w:rsidR="00B30587" w:rsidRPr="0014270C">
        <w:rPr>
          <w:rFonts w:ascii="Bookman Old Style" w:hAnsi="Bookman Old Style"/>
          <w:sz w:val="24"/>
          <w:szCs w:val="24"/>
        </w:rPr>
        <w:t>Thus,</w:t>
      </w:r>
      <w:r w:rsidR="00073E6A" w:rsidRPr="0014270C">
        <w:rPr>
          <w:rFonts w:ascii="Bookman Old Style" w:hAnsi="Bookman Old Style"/>
          <w:sz w:val="24"/>
          <w:szCs w:val="24"/>
        </w:rPr>
        <w:t xml:space="preserve"> the</w:t>
      </w:r>
      <w:r w:rsidR="00651048" w:rsidRPr="0014270C">
        <w:rPr>
          <w:rFonts w:ascii="Bookman Old Style" w:hAnsi="Bookman Old Style"/>
          <w:sz w:val="24"/>
          <w:szCs w:val="24"/>
        </w:rPr>
        <w:t xml:space="preserve"> </w:t>
      </w:r>
      <w:r w:rsidR="00DA6E9D" w:rsidRPr="0014270C">
        <w:rPr>
          <w:rFonts w:ascii="Bookman Old Style" w:hAnsi="Bookman Old Style"/>
          <w:sz w:val="24"/>
          <w:szCs w:val="24"/>
        </w:rPr>
        <w:t>NRP, being a year old and untested</w:t>
      </w:r>
      <w:r w:rsidR="004A0AF9" w:rsidRPr="0014270C">
        <w:rPr>
          <w:rFonts w:ascii="Bookman Old Style" w:hAnsi="Bookman Old Style"/>
          <w:sz w:val="24"/>
          <w:szCs w:val="24"/>
        </w:rPr>
        <w:t xml:space="preserve"> as an action plan</w:t>
      </w:r>
      <w:r w:rsidR="00DA6E9D" w:rsidRPr="0014270C">
        <w:rPr>
          <w:rFonts w:ascii="Bookman Old Style" w:hAnsi="Bookman Old Style"/>
          <w:sz w:val="24"/>
          <w:szCs w:val="24"/>
        </w:rPr>
        <w:t>, especially on a Katrina-level scale,</w:t>
      </w:r>
      <w:r w:rsidR="00073E6A" w:rsidRPr="0014270C">
        <w:rPr>
          <w:rFonts w:ascii="Bookman Old Style" w:hAnsi="Bookman Old Style"/>
          <w:sz w:val="24"/>
          <w:szCs w:val="24"/>
        </w:rPr>
        <w:t xml:space="preserve"> was FEMA’s first exposure to coordinating </w:t>
      </w:r>
      <w:r w:rsidR="00AE5F61" w:rsidRPr="0014270C">
        <w:rPr>
          <w:rFonts w:ascii="Bookman Old Style" w:hAnsi="Bookman Old Style"/>
          <w:sz w:val="24"/>
          <w:szCs w:val="24"/>
        </w:rPr>
        <w:t>this effort</w:t>
      </w:r>
      <w:r w:rsidR="00073E6A" w:rsidRPr="0014270C">
        <w:rPr>
          <w:rFonts w:ascii="Bookman Old Style" w:hAnsi="Bookman Old Style"/>
          <w:sz w:val="24"/>
          <w:szCs w:val="24"/>
        </w:rPr>
        <w:t>.</w:t>
      </w:r>
      <w:r w:rsidR="004A167A" w:rsidRPr="0014270C">
        <w:rPr>
          <w:rFonts w:ascii="Bookman Old Style" w:hAnsi="Bookman Old Style"/>
          <w:sz w:val="24"/>
          <w:szCs w:val="24"/>
        </w:rPr>
        <w:t xml:space="preserve"> </w:t>
      </w:r>
    </w:p>
    <w:p w14:paraId="7BDDB851" w14:textId="2FFE35E7" w:rsidR="00AF7166" w:rsidRPr="0014270C" w:rsidRDefault="00142388" w:rsidP="00AF7166">
      <w:pPr>
        <w:spacing w:line="480" w:lineRule="auto"/>
        <w:ind w:firstLine="720"/>
        <w:rPr>
          <w:rFonts w:ascii="Bookman Old Style" w:hAnsi="Bookman Old Style"/>
          <w:sz w:val="24"/>
          <w:szCs w:val="24"/>
        </w:rPr>
      </w:pPr>
      <w:r w:rsidRPr="0014270C">
        <w:rPr>
          <w:rFonts w:ascii="Bookman Old Style" w:hAnsi="Bookman Old Style"/>
          <w:noProof/>
          <w:sz w:val="24"/>
          <w:szCs w:val="24"/>
        </w:rPr>
        <w:t>ESF</w:t>
      </w:r>
      <w:r w:rsidRPr="0014270C">
        <w:rPr>
          <w:rFonts w:ascii="Bookman Old Style" w:hAnsi="Bookman Old Style"/>
          <w:sz w:val="24"/>
          <w:szCs w:val="24"/>
        </w:rPr>
        <w:t xml:space="preserve"> #6</w:t>
      </w:r>
      <w:r w:rsidR="00432467" w:rsidRPr="0014270C">
        <w:rPr>
          <w:rFonts w:ascii="Bookman Old Style" w:hAnsi="Bookman Old Style"/>
          <w:sz w:val="24"/>
          <w:szCs w:val="24"/>
        </w:rPr>
        <w:t xml:space="preserve"> contained short- and long-term housing assistance, including rentals, temporary housing, loans, and replacement of primary residences</w:t>
      </w:r>
      <w:r w:rsidR="001F7770" w:rsidRPr="0014270C">
        <w:rPr>
          <w:rFonts w:ascii="Bookman Old Style" w:hAnsi="Bookman Old Style"/>
          <w:sz w:val="24"/>
          <w:szCs w:val="24"/>
        </w:rPr>
        <w:t>; i</w:t>
      </w:r>
      <w:r w:rsidR="002E2C04" w:rsidRPr="0014270C">
        <w:rPr>
          <w:rFonts w:ascii="Bookman Old Style" w:hAnsi="Bookman Old Style"/>
          <w:sz w:val="24"/>
          <w:szCs w:val="24"/>
        </w:rPr>
        <w:t>t</w:t>
      </w:r>
      <w:r w:rsidRPr="0014270C">
        <w:rPr>
          <w:rFonts w:ascii="Bookman Old Style" w:hAnsi="Bookman Old Style"/>
          <w:sz w:val="24"/>
          <w:szCs w:val="24"/>
        </w:rPr>
        <w:t xml:space="preserve"> also in</w:t>
      </w:r>
      <w:r w:rsidR="00DA5F4F" w:rsidRPr="0014270C">
        <w:rPr>
          <w:rFonts w:ascii="Bookman Old Style" w:hAnsi="Bookman Old Style"/>
          <w:sz w:val="24"/>
          <w:szCs w:val="24"/>
        </w:rPr>
        <w:t>volved</w:t>
      </w:r>
      <w:r w:rsidRPr="0014270C">
        <w:rPr>
          <w:rFonts w:ascii="Bookman Old Style" w:hAnsi="Bookman Old Style"/>
          <w:sz w:val="24"/>
          <w:szCs w:val="24"/>
        </w:rPr>
        <w:t xml:space="preserve"> human services </w:t>
      </w:r>
      <w:r w:rsidR="008C2A1C" w:rsidRPr="0014270C">
        <w:rPr>
          <w:rFonts w:ascii="Bookman Old Style" w:hAnsi="Bookman Old Style"/>
          <w:sz w:val="24"/>
          <w:szCs w:val="24"/>
        </w:rPr>
        <w:t>that</w:t>
      </w:r>
      <w:r w:rsidRPr="0014270C">
        <w:rPr>
          <w:rFonts w:ascii="Bookman Old Style" w:hAnsi="Bookman Old Style"/>
          <w:sz w:val="24"/>
          <w:szCs w:val="24"/>
        </w:rPr>
        <w:t xml:space="preserve"> focused on </w:t>
      </w:r>
      <w:r w:rsidR="00207F74" w:rsidRPr="0014270C">
        <w:rPr>
          <w:rFonts w:ascii="Bookman Old Style" w:hAnsi="Bookman Old Style"/>
          <w:sz w:val="24"/>
          <w:szCs w:val="24"/>
        </w:rPr>
        <w:t xml:space="preserve">assisting </w:t>
      </w:r>
      <w:r w:rsidR="00643A72" w:rsidRPr="0014270C">
        <w:rPr>
          <w:rFonts w:ascii="Bookman Old Style" w:hAnsi="Bookman Old Style"/>
          <w:sz w:val="24"/>
          <w:szCs w:val="24"/>
        </w:rPr>
        <w:t xml:space="preserve">individuals with special needs, dealing with emotional trauma, </w:t>
      </w:r>
      <w:r w:rsidR="00F66458" w:rsidRPr="0014270C">
        <w:rPr>
          <w:rFonts w:ascii="Bookman Old Style" w:hAnsi="Bookman Old Style"/>
          <w:sz w:val="24"/>
          <w:szCs w:val="24"/>
        </w:rPr>
        <w:t xml:space="preserve">and </w:t>
      </w:r>
      <w:r w:rsidR="00F4100B" w:rsidRPr="0014270C">
        <w:rPr>
          <w:rFonts w:ascii="Bookman Old Style" w:hAnsi="Bookman Old Style"/>
          <w:sz w:val="24"/>
          <w:szCs w:val="24"/>
        </w:rPr>
        <w:t xml:space="preserve">providing </w:t>
      </w:r>
      <w:r w:rsidR="00F66458" w:rsidRPr="0014270C">
        <w:rPr>
          <w:rFonts w:ascii="Bookman Old Style" w:hAnsi="Bookman Old Style"/>
          <w:sz w:val="24"/>
          <w:szCs w:val="24"/>
        </w:rPr>
        <w:t>other supportive post-</w:t>
      </w:r>
      <w:r w:rsidR="00F66458" w:rsidRPr="0014270C">
        <w:rPr>
          <w:rFonts w:ascii="Bookman Old Style" w:hAnsi="Bookman Old Style"/>
          <w:sz w:val="24"/>
          <w:szCs w:val="24"/>
        </w:rPr>
        <w:lastRenderedPageBreak/>
        <w:t xml:space="preserve">disaster </w:t>
      </w:r>
      <w:r w:rsidR="00860BBE" w:rsidRPr="0014270C">
        <w:rPr>
          <w:rFonts w:ascii="Bookman Old Style" w:hAnsi="Bookman Old Style"/>
          <w:sz w:val="24"/>
          <w:szCs w:val="24"/>
        </w:rPr>
        <w:t xml:space="preserve">services. </w:t>
      </w:r>
      <w:r w:rsidR="005E6641" w:rsidRPr="0014270C">
        <w:rPr>
          <w:rFonts w:ascii="Bookman Old Style" w:hAnsi="Bookman Old Style"/>
          <w:sz w:val="24"/>
          <w:szCs w:val="24"/>
        </w:rPr>
        <w:t xml:space="preserve">ESF #14 </w:t>
      </w:r>
      <w:r w:rsidR="008673D9" w:rsidRPr="0014270C">
        <w:rPr>
          <w:rFonts w:ascii="Bookman Old Style" w:hAnsi="Bookman Old Style"/>
          <w:sz w:val="24"/>
          <w:szCs w:val="24"/>
        </w:rPr>
        <w:t xml:space="preserve">included long-term community recovery </w:t>
      </w:r>
      <w:r w:rsidR="005E6641" w:rsidRPr="0014270C">
        <w:rPr>
          <w:rFonts w:ascii="Bookman Old Style" w:hAnsi="Bookman Old Style"/>
          <w:sz w:val="24"/>
          <w:szCs w:val="24"/>
        </w:rPr>
        <w:t xml:space="preserve">to ensure </w:t>
      </w:r>
      <w:r w:rsidR="004D5C03" w:rsidRPr="0014270C">
        <w:rPr>
          <w:rFonts w:ascii="Bookman Old Style" w:hAnsi="Bookman Old Style"/>
          <w:sz w:val="24"/>
          <w:szCs w:val="24"/>
        </w:rPr>
        <w:t xml:space="preserve">restoration of </w:t>
      </w:r>
      <w:r w:rsidR="004F2891" w:rsidRPr="0014270C">
        <w:rPr>
          <w:rFonts w:ascii="Bookman Old Style" w:hAnsi="Bookman Old Style"/>
          <w:sz w:val="24"/>
          <w:szCs w:val="24"/>
        </w:rPr>
        <w:t xml:space="preserve">permanent </w:t>
      </w:r>
      <w:r w:rsidR="004D5C03" w:rsidRPr="0014270C">
        <w:rPr>
          <w:rFonts w:ascii="Bookman Old Style" w:hAnsi="Bookman Old Style"/>
          <w:sz w:val="24"/>
          <w:szCs w:val="24"/>
        </w:rPr>
        <w:t xml:space="preserve">housing, </w:t>
      </w:r>
      <w:r w:rsidR="00A22DCD" w:rsidRPr="0014270C">
        <w:rPr>
          <w:rFonts w:ascii="Bookman Old Style" w:hAnsi="Bookman Old Style"/>
          <w:sz w:val="24"/>
          <w:szCs w:val="24"/>
        </w:rPr>
        <w:t>infrastructure</w:t>
      </w:r>
      <w:r w:rsidR="004D5C03" w:rsidRPr="0014270C">
        <w:rPr>
          <w:rFonts w:ascii="Bookman Old Style" w:hAnsi="Bookman Old Style"/>
          <w:sz w:val="24"/>
          <w:szCs w:val="24"/>
        </w:rPr>
        <w:t xml:space="preserve">, </w:t>
      </w:r>
      <w:r w:rsidR="00A22DCD" w:rsidRPr="0014270C">
        <w:rPr>
          <w:rFonts w:ascii="Bookman Old Style" w:hAnsi="Bookman Old Style"/>
          <w:sz w:val="24"/>
          <w:szCs w:val="24"/>
        </w:rPr>
        <w:t>and the local economy.</w:t>
      </w:r>
      <w:r w:rsidR="0020790A" w:rsidRPr="0014270C">
        <w:rPr>
          <w:rFonts w:ascii="Bookman Old Style" w:hAnsi="Bookman Old Style"/>
          <w:sz w:val="24"/>
          <w:szCs w:val="24"/>
        </w:rPr>
        <w:t xml:space="preserve"> This section also involved mitigation</w:t>
      </w:r>
      <w:r w:rsidR="001E5181" w:rsidRPr="0014270C">
        <w:rPr>
          <w:rFonts w:ascii="Bookman Old Style" w:hAnsi="Bookman Old Style"/>
          <w:sz w:val="24"/>
          <w:szCs w:val="24"/>
        </w:rPr>
        <w:t xml:space="preserve"> </w:t>
      </w:r>
      <w:r w:rsidR="00A3714E" w:rsidRPr="0014270C">
        <w:rPr>
          <w:rFonts w:ascii="Bookman Old Style" w:hAnsi="Bookman Old Style"/>
          <w:sz w:val="24"/>
          <w:szCs w:val="24"/>
        </w:rPr>
        <w:t xml:space="preserve">planning </w:t>
      </w:r>
      <w:r w:rsidR="001E5181" w:rsidRPr="0014270C">
        <w:rPr>
          <w:rFonts w:ascii="Bookman Old Style" w:hAnsi="Bookman Old Style"/>
          <w:sz w:val="24"/>
          <w:szCs w:val="24"/>
        </w:rPr>
        <w:t xml:space="preserve">by assessing areas post-disaster to measure the effectiveness of previous recovery </w:t>
      </w:r>
      <w:r w:rsidR="00F13694" w:rsidRPr="0014270C">
        <w:rPr>
          <w:rFonts w:ascii="Bookman Old Style" w:hAnsi="Bookman Old Style"/>
          <w:sz w:val="24"/>
          <w:szCs w:val="24"/>
        </w:rPr>
        <w:t>strategies.</w:t>
      </w:r>
      <w:r w:rsidR="00531458" w:rsidRPr="0014270C">
        <w:rPr>
          <w:rFonts w:ascii="Bookman Old Style" w:hAnsi="Bookman Old Style"/>
          <w:sz w:val="24"/>
          <w:szCs w:val="24"/>
        </w:rPr>
        <w:t xml:space="preserve"> Despite this </w:t>
      </w:r>
      <w:r w:rsidR="00A31685" w:rsidRPr="0014270C">
        <w:rPr>
          <w:rFonts w:ascii="Bookman Old Style" w:hAnsi="Bookman Old Style"/>
          <w:sz w:val="24"/>
          <w:szCs w:val="24"/>
        </w:rPr>
        <w:t xml:space="preserve">framework, the </w:t>
      </w:r>
      <w:r w:rsidR="009911DB" w:rsidRPr="0014270C">
        <w:rPr>
          <w:rFonts w:ascii="Bookman Old Style" w:hAnsi="Bookman Old Style"/>
          <w:sz w:val="24"/>
          <w:szCs w:val="24"/>
        </w:rPr>
        <w:t>country</w:t>
      </w:r>
      <w:r w:rsidR="00A31685" w:rsidRPr="0014270C">
        <w:rPr>
          <w:rFonts w:ascii="Bookman Old Style" w:hAnsi="Bookman Old Style"/>
          <w:sz w:val="24"/>
          <w:szCs w:val="24"/>
        </w:rPr>
        <w:t xml:space="preserve"> was not </w:t>
      </w:r>
      <w:r w:rsidR="00197AB8" w:rsidRPr="0014270C">
        <w:rPr>
          <w:rFonts w:ascii="Bookman Old Style" w:hAnsi="Bookman Old Style"/>
          <w:sz w:val="24"/>
          <w:szCs w:val="24"/>
        </w:rPr>
        <w:t xml:space="preserve">prepared or </w:t>
      </w:r>
      <w:r w:rsidR="00A31685" w:rsidRPr="0014270C">
        <w:rPr>
          <w:rFonts w:ascii="Bookman Old Style" w:hAnsi="Bookman Old Style"/>
          <w:sz w:val="24"/>
          <w:szCs w:val="24"/>
        </w:rPr>
        <w:t xml:space="preserve">equipped to handle the </w:t>
      </w:r>
      <w:r w:rsidR="0085579A" w:rsidRPr="0014270C">
        <w:rPr>
          <w:rFonts w:ascii="Bookman Old Style" w:hAnsi="Bookman Old Style"/>
          <w:sz w:val="24"/>
          <w:szCs w:val="24"/>
        </w:rPr>
        <w:t>ravaging</w:t>
      </w:r>
      <w:r w:rsidR="00A31685" w:rsidRPr="0014270C">
        <w:rPr>
          <w:rFonts w:ascii="Bookman Old Style" w:hAnsi="Bookman Old Style"/>
          <w:sz w:val="24"/>
          <w:szCs w:val="24"/>
        </w:rPr>
        <w:t xml:space="preserve"> destruction brought </w:t>
      </w:r>
      <w:r w:rsidR="000961DE" w:rsidRPr="0014270C">
        <w:rPr>
          <w:rFonts w:ascii="Bookman Old Style" w:hAnsi="Bookman Old Style"/>
          <w:sz w:val="24"/>
          <w:szCs w:val="24"/>
        </w:rPr>
        <w:t xml:space="preserve">about </w:t>
      </w:r>
      <w:r w:rsidR="00A31685" w:rsidRPr="0014270C">
        <w:rPr>
          <w:rFonts w:ascii="Bookman Old Style" w:hAnsi="Bookman Old Style"/>
          <w:sz w:val="24"/>
          <w:szCs w:val="24"/>
        </w:rPr>
        <w:t xml:space="preserve">by </w:t>
      </w:r>
      <w:r w:rsidR="00197AB8" w:rsidRPr="0014270C">
        <w:rPr>
          <w:rFonts w:ascii="Bookman Old Style" w:hAnsi="Bookman Old Style"/>
          <w:sz w:val="24"/>
          <w:szCs w:val="24"/>
        </w:rPr>
        <w:t>Hurricane Katrina.</w:t>
      </w:r>
    </w:p>
    <w:p w14:paraId="5DB9D11C" w14:textId="5D1CFDC3" w:rsidR="005067BE" w:rsidRPr="0014270C" w:rsidRDefault="004204A2" w:rsidP="00780677">
      <w:pPr>
        <w:spacing w:line="480" w:lineRule="auto"/>
        <w:ind w:firstLine="720"/>
        <w:rPr>
          <w:rFonts w:ascii="Bookman Old Style" w:hAnsi="Bookman Old Style"/>
          <w:b/>
          <w:sz w:val="24"/>
          <w:szCs w:val="24"/>
        </w:rPr>
      </w:pPr>
      <w:bookmarkStart w:id="11" w:name="_Toc8062249"/>
      <w:r w:rsidRPr="0014270C">
        <w:rPr>
          <w:rStyle w:val="THESISLVL4Char"/>
        </w:rPr>
        <w:t xml:space="preserve">What </w:t>
      </w:r>
      <w:r w:rsidR="00B10712" w:rsidRPr="0014270C">
        <w:rPr>
          <w:rStyle w:val="THESISLVL4Char"/>
        </w:rPr>
        <w:t>w</w:t>
      </w:r>
      <w:r w:rsidR="002D001B" w:rsidRPr="0014270C">
        <w:rPr>
          <w:rStyle w:val="THESISLVL4Char"/>
        </w:rPr>
        <w:t>ent</w:t>
      </w:r>
      <w:r w:rsidRPr="0014270C">
        <w:rPr>
          <w:rStyle w:val="THESISLVL4Char"/>
        </w:rPr>
        <w:t xml:space="preserve"> </w:t>
      </w:r>
      <w:r w:rsidR="00B10712" w:rsidRPr="0014270C">
        <w:rPr>
          <w:rStyle w:val="THESISLVL4Char"/>
        </w:rPr>
        <w:t>w</w:t>
      </w:r>
      <w:r w:rsidR="0062184A" w:rsidRPr="0014270C">
        <w:rPr>
          <w:rStyle w:val="THESISLVL4Char"/>
        </w:rPr>
        <w:t>rong</w:t>
      </w:r>
      <w:bookmarkEnd w:id="11"/>
      <w:r w:rsidR="00B10712" w:rsidRPr="0014270C">
        <w:rPr>
          <w:rFonts w:ascii="Bookman Old Style" w:hAnsi="Bookman Old Style"/>
          <w:sz w:val="24"/>
          <w:szCs w:val="24"/>
        </w:rPr>
        <w:t>.</w:t>
      </w:r>
      <w:r w:rsidR="00B10712" w:rsidRPr="0014270C">
        <w:rPr>
          <w:rFonts w:ascii="Bookman Old Style" w:hAnsi="Bookman Old Style"/>
          <w:b/>
          <w:sz w:val="24"/>
          <w:szCs w:val="24"/>
        </w:rPr>
        <w:t xml:space="preserve"> </w:t>
      </w:r>
      <w:r w:rsidR="00593A65" w:rsidRPr="0014270C">
        <w:rPr>
          <w:rFonts w:ascii="Bookman Old Style" w:hAnsi="Bookman Old Style"/>
          <w:sz w:val="24"/>
          <w:szCs w:val="24"/>
        </w:rPr>
        <w:t xml:space="preserve">In February 2006, at the request of President Bush, a team directed by Frances Townsend, Assistant to the President for Homeland Security and Counterterrorism, </w:t>
      </w:r>
      <w:r w:rsidR="00066E95" w:rsidRPr="0014270C">
        <w:rPr>
          <w:rFonts w:ascii="Bookman Old Style" w:hAnsi="Bookman Old Style"/>
          <w:sz w:val="24"/>
          <w:szCs w:val="24"/>
        </w:rPr>
        <w:t xml:space="preserve">conducted a full report </w:t>
      </w:r>
      <w:r w:rsidR="00593A65" w:rsidRPr="0014270C">
        <w:rPr>
          <w:rFonts w:ascii="Bookman Old Style" w:hAnsi="Bookman Old Style"/>
          <w:sz w:val="24"/>
          <w:szCs w:val="24"/>
        </w:rPr>
        <w:t xml:space="preserve">detailing </w:t>
      </w:r>
      <w:r w:rsidR="000961DE" w:rsidRPr="0014270C">
        <w:rPr>
          <w:rFonts w:ascii="Bookman Old Style" w:hAnsi="Bookman Old Style"/>
          <w:sz w:val="24"/>
          <w:szCs w:val="24"/>
        </w:rPr>
        <w:t>the storm</w:t>
      </w:r>
      <w:r w:rsidR="00593A65" w:rsidRPr="0014270C">
        <w:rPr>
          <w:rFonts w:ascii="Bookman Old Style" w:hAnsi="Bookman Old Style"/>
          <w:sz w:val="24"/>
          <w:szCs w:val="24"/>
        </w:rPr>
        <w:t xml:space="preserve">’s path and </w:t>
      </w:r>
      <w:r w:rsidR="006F580E" w:rsidRPr="0014270C">
        <w:rPr>
          <w:rFonts w:ascii="Bookman Old Style" w:hAnsi="Bookman Old Style"/>
          <w:sz w:val="24"/>
          <w:szCs w:val="24"/>
        </w:rPr>
        <w:t>havoc</w:t>
      </w:r>
      <w:r w:rsidR="00593A65" w:rsidRPr="0014270C">
        <w:rPr>
          <w:rFonts w:ascii="Bookman Old Style" w:hAnsi="Bookman Old Style"/>
          <w:sz w:val="24"/>
          <w:szCs w:val="24"/>
        </w:rPr>
        <w:t>, the federal response to the disaster, what went wrong</w:t>
      </w:r>
      <w:r w:rsidR="006F580E" w:rsidRPr="0014270C">
        <w:rPr>
          <w:rFonts w:ascii="Bookman Old Style" w:hAnsi="Bookman Old Style"/>
          <w:sz w:val="24"/>
          <w:szCs w:val="24"/>
        </w:rPr>
        <w:t xml:space="preserve"> with the plan that was in place</w:t>
      </w:r>
      <w:r w:rsidR="00593A65" w:rsidRPr="0014270C">
        <w:rPr>
          <w:rFonts w:ascii="Bookman Old Style" w:hAnsi="Bookman Old Style"/>
          <w:sz w:val="24"/>
          <w:szCs w:val="24"/>
        </w:rPr>
        <w:t xml:space="preserve">, and most importantly, what was learned. </w:t>
      </w:r>
      <w:r w:rsidR="008C0ADA" w:rsidRPr="0014270C">
        <w:rPr>
          <w:rFonts w:ascii="Bookman Old Style" w:hAnsi="Bookman Old Style"/>
          <w:sz w:val="24"/>
          <w:szCs w:val="24"/>
        </w:rPr>
        <w:t xml:space="preserve">The 228-page report Townsend provided, titled </w:t>
      </w:r>
      <w:r w:rsidR="00BE28BE" w:rsidRPr="0014270C">
        <w:rPr>
          <w:rFonts w:ascii="Bookman Old Style" w:hAnsi="Bookman Old Style"/>
          <w:sz w:val="24"/>
          <w:szCs w:val="24"/>
        </w:rPr>
        <w:t>“</w:t>
      </w:r>
      <w:r w:rsidR="008C0ADA" w:rsidRPr="0014270C">
        <w:rPr>
          <w:rFonts w:ascii="Bookman Old Style" w:hAnsi="Bookman Old Style"/>
          <w:sz w:val="24"/>
          <w:szCs w:val="24"/>
        </w:rPr>
        <w:t>The Federal Response to Hurricane Katrina: Lessons Learned,</w:t>
      </w:r>
      <w:r w:rsidR="00BE28BE" w:rsidRPr="0014270C">
        <w:rPr>
          <w:rFonts w:ascii="Bookman Old Style" w:hAnsi="Bookman Old Style"/>
          <w:sz w:val="24"/>
          <w:szCs w:val="24"/>
        </w:rPr>
        <w:t>”</w:t>
      </w:r>
      <w:r w:rsidR="008C0ADA" w:rsidRPr="0014270C">
        <w:rPr>
          <w:rStyle w:val="FootnoteReference"/>
          <w:rFonts w:ascii="Bookman Old Style" w:hAnsi="Bookman Old Style"/>
          <w:sz w:val="24"/>
          <w:szCs w:val="24"/>
        </w:rPr>
        <w:footnoteReference w:id="8"/>
      </w:r>
      <w:r w:rsidR="008C0ADA" w:rsidRPr="0014270C">
        <w:rPr>
          <w:rFonts w:ascii="Bookman Old Style" w:hAnsi="Bookman Old Style"/>
          <w:sz w:val="24"/>
          <w:szCs w:val="24"/>
        </w:rPr>
        <w:t xml:space="preserve"> include</w:t>
      </w:r>
      <w:r w:rsidR="00F7731F" w:rsidRPr="0014270C">
        <w:rPr>
          <w:rFonts w:ascii="Bookman Old Style" w:hAnsi="Bookman Old Style"/>
          <w:sz w:val="24"/>
          <w:szCs w:val="24"/>
        </w:rPr>
        <w:t>d</w:t>
      </w:r>
      <w:r w:rsidR="008C0ADA" w:rsidRPr="0014270C">
        <w:rPr>
          <w:rFonts w:ascii="Bookman Old Style" w:hAnsi="Bookman Old Style"/>
          <w:sz w:val="24"/>
          <w:szCs w:val="24"/>
        </w:rPr>
        <w:t xml:space="preserve"> a list of recommendations following each lesson, setting the stage for a more robust framework to </w:t>
      </w:r>
      <w:proofErr w:type="gramStart"/>
      <w:r w:rsidR="008C0ADA" w:rsidRPr="0014270C">
        <w:rPr>
          <w:rFonts w:ascii="Bookman Old Style" w:hAnsi="Bookman Old Style"/>
          <w:sz w:val="24"/>
          <w:szCs w:val="24"/>
        </w:rPr>
        <w:t>be established</w:t>
      </w:r>
      <w:proofErr w:type="gramEnd"/>
      <w:r w:rsidR="008C0ADA" w:rsidRPr="0014270C">
        <w:rPr>
          <w:rFonts w:ascii="Bookman Old Style" w:hAnsi="Bookman Old Style"/>
          <w:sz w:val="24"/>
          <w:szCs w:val="24"/>
        </w:rPr>
        <w:t>.</w:t>
      </w:r>
      <w:r w:rsidR="00780677" w:rsidRPr="0014270C">
        <w:rPr>
          <w:rFonts w:ascii="Bookman Old Style" w:hAnsi="Bookman Old Style"/>
          <w:b/>
          <w:sz w:val="24"/>
          <w:szCs w:val="24"/>
        </w:rPr>
        <w:t xml:space="preserve"> </w:t>
      </w:r>
      <w:r w:rsidR="00520214" w:rsidRPr="0014270C">
        <w:rPr>
          <w:rFonts w:ascii="Bookman Old Style" w:hAnsi="Bookman Old Style"/>
          <w:sz w:val="24"/>
          <w:szCs w:val="24"/>
        </w:rPr>
        <w:t xml:space="preserve">The report </w:t>
      </w:r>
      <w:r w:rsidR="00B74CAE" w:rsidRPr="0014270C">
        <w:rPr>
          <w:rFonts w:ascii="Bookman Old Style" w:hAnsi="Bookman Old Style"/>
          <w:sz w:val="24"/>
          <w:szCs w:val="24"/>
        </w:rPr>
        <w:t xml:space="preserve">takes the opportunity to address </w:t>
      </w:r>
      <w:r w:rsidR="00AD570F" w:rsidRPr="0014270C">
        <w:rPr>
          <w:rFonts w:ascii="Bookman Old Style" w:hAnsi="Bookman Old Style"/>
          <w:sz w:val="24"/>
          <w:szCs w:val="24"/>
        </w:rPr>
        <w:t xml:space="preserve">the fact that </w:t>
      </w:r>
      <w:r w:rsidR="008A2EBC" w:rsidRPr="0014270C">
        <w:rPr>
          <w:rFonts w:ascii="Bookman Old Style" w:hAnsi="Bookman Old Style"/>
          <w:sz w:val="24"/>
          <w:szCs w:val="24"/>
        </w:rPr>
        <w:t xml:space="preserve">FEMA </w:t>
      </w:r>
      <w:r w:rsidR="00CC4ADA" w:rsidRPr="0014270C">
        <w:rPr>
          <w:rFonts w:ascii="Bookman Old Style" w:hAnsi="Bookman Old Style"/>
          <w:sz w:val="24"/>
          <w:szCs w:val="24"/>
        </w:rPr>
        <w:t>is a</w:t>
      </w:r>
      <w:r w:rsidR="009806E2" w:rsidRPr="0014270C">
        <w:rPr>
          <w:rFonts w:ascii="Bookman Old Style" w:hAnsi="Bookman Old Style"/>
          <w:sz w:val="24"/>
          <w:szCs w:val="24"/>
        </w:rPr>
        <w:t xml:space="preserve"> small</w:t>
      </w:r>
      <w:r w:rsidR="00CC4ADA" w:rsidRPr="0014270C">
        <w:rPr>
          <w:rFonts w:ascii="Bookman Old Style" w:hAnsi="Bookman Old Style"/>
          <w:sz w:val="24"/>
          <w:szCs w:val="24"/>
        </w:rPr>
        <w:t xml:space="preserve"> </w:t>
      </w:r>
      <w:r w:rsidR="00901D56" w:rsidRPr="0014270C">
        <w:rPr>
          <w:rFonts w:ascii="Bookman Old Style" w:hAnsi="Bookman Old Style"/>
          <w:sz w:val="24"/>
          <w:szCs w:val="24"/>
        </w:rPr>
        <w:t>organization</w:t>
      </w:r>
      <w:r w:rsidR="00CC4ADA" w:rsidRPr="0014270C">
        <w:rPr>
          <w:rFonts w:ascii="Bookman Old Style" w:hAnsi="Bookman Old Style"/>
          <w:sz w:val="24"/>
          <w:szCs w:val="24"/>
        </w:rPr>
        <w:t xml:space="preserve"> meant to coordinate and manage </w:t>
      </w:r>
      <w:r w:rsidR="0077232B" w:rsidRPr="0014270C">
        <w:rPr>
          <w:rFonts w:ascii="Bookman Old Style" w:hAnsi="Bookman Old Style"/>
          <w:sz w:val="24"/>
          <w:szCs w:val="24"/>
        </w:rPr>
        <w:t>communication between federal agencies</w:t>
      </w:r>
      <w:r w:rsidR="0055013F" w:rsidRPr="0014270C">
        <w:rPr>
          <w:rFonts w:ascii="Bookman Old Style" w:hAnsi="Bookman Old Style"/>
          <w:sz w:val="24"/>
          <w:szCs w:val="24"/>
        </w:rPr>
        <w:t>.</w:t>
      </w:r>
      <w:r w:rsidR="009806E2" w:rsidRPr="0014270C">
        <w:rPr>
          <w:rFonts w:ascii="Bookman Old Style" w:hAnsi="Bookman Old Style"/>
          <w:sz w:val="24"/>
          <w:szCs w:val="24"/>
        </w:rPr>
        <w:t xml:space="preserve"> </w:t>
      </w:r>
      <w:r w:rsidR="002B14D0" w:rsidRPr="0014270C">
        <w:rPr>
          <w:rFonts w:ascii="Bookman Old Style" w:hAnsi="Bookman Old Style"/>
          <w:sz w:val="24"/>
          <w:szCs w:val="24"/>
        </w:rPr>
        <w:t>However, t</w:t>
      </w:r>
      <w:r w:rsidR="00585F8F" w:rsidRPr="0014270C">
        <w:rPr>
          <w:rFonts w:ascii="Bookman Old Style" w:hAnsi="Bookman Old Style"/>
          <w:sz w:val="24"/>
          <w:szCs w:val="24"/>
        </w:rPr>
        <w:t xml:space="preserve">he scale of Katrina’s devastation overwhelmed the </w:t>
      </w:r>
      <w:r w:rsidR="00A93BB2" w:rsidRPr="0014270C">
        <w:rPr>
          <w:rFonts w:ascii="Bookman Old Style" w:hAnsi="Bookman Old Style"/>
          <w:sz w:val="24"/>
          <w:szCs w:val="24"/>
        </w:rPr>
        <w:t xml:space="preserve">appropriate </w:t>
      </w:r>
      <w:r w:rsidR="00E81BD3" w:rsidRPr="0014270C">
        <w:rPr>
          <w:rFonts w:ascii="Bookman Old Style" w:hAnsi="Bookman Old Style"/>
          <w:sz w:val="24"/>
          <w:szCs w:val="24"/>
        </w:rPr>
        <w:t>entities</w:t>
      </w:r>
      <w:r w:rsidR="004F197E" w:rsidRPr="0014270C">
        <w:rPr>
          <w:rFonts w:ascii="Bookman Old Style" w:hAnsi="Bookman Old Style"/>
          <w:sz w:val="24"/>
          <w:szCs w:val="24"/>
        </w:rPr>
        <w:t xml:space="preserve"> meant to handle relief housing</w:t>
      </w:r>
      <w:r w:rsidR="002B14D0" w:rsidRPr="0014270C">
        <w:rPr>
          <w:rFonts w:ascii="Bookman Old Style" w:hAnsi="Bookman Old Style"/>
          <w:sz w:val="24"/>
          <w:szCs w:val="24"/>
        </w:rPr>
        <w:t xml:space="preserve">; </w:t>
      </w:r>
      <w:r w:rsidR="008233B0" w:rsidRPr="0014270C">
        <w:rPr>
          <w:rFonts w:ascii="Bookman Old Style" w:hAnsi="Bookman Old Style"/>
          <w:sz w:val="24"/>
          <w:szCs w:val="24"/>
        </w:rPr>
        <w:t xml:space="preserve">due to this, </w:t>
      </w:r>
      <w:r w:rsidR="002B14D0" w:rsidRPr="0014270C">
        <w:rPr>
          <w:rFonts w:ascii="Bookman Old Style" w:hAnsi="Bookman Old Style"/>
          <w:sz w:val="24"/>
          <w:szCs w:val="24"/>
        </w:rPr>
        <w:t>t</w:t>
      </w:r>
      <w:r w:rsidR="009854DC" w:rsidRPr="0014270C">
        <w:rPr>
          <w:rFonts w:ascii="Bookman Old Style" w:hAnsi="Bookman Old Style"/>
          <w:sz w:val="24"/>
          <w:szCs w:val="24"/>
        </w:rPr>
        <w:t xml:space="preserve">he agency </w:t>
      </w:r>
      <w:r w:rsidR="00057382" w:rsidRPr="0014270C">
        <w:rPr>
          <w:rFonts w:ascii="Bookman Old Style" w:hAnsi="Bookman Old Style"/>
          <w:sz w:val="24"/>
          <w:szCs w:val="24"/>
        </w:rPr>
        <w:t xml:space="preserve">was </w:t>
      </w:r>
      <w:r w:rsidR="00931ECE" w:rsidRPr="0014270C">
        <w:rPr>
          <w:rFonts w:ascii="Bookman Old Style" w:hAnsi="Bookman Old Style"/>
          <w:sz w:val="24"/>
          <w:szCs w:val="24"/>
        </w:rPr>
        <w:t xml:space="preserve">no longer acting in its role of coordinator </w:t>
      </w:r>
      <w:r w:rsidR="0084627D" w:rsidRPr="0014270C">
        <w:rPr>
          <w:rFonts w:ascii="Bookman Old Style" w:hAnsi="Bookman Old Style"/>
          <w:sz w:val="24"/>
          <w:szCs w:val="24"/>
        </w:rPr>
        <w:t xml:space="preserve">forcing </w:t>
      </w:r>
      <w:r w:rsidR="00854C1E" w:rsidRPr="0014270C">
        <w:rPr>
          <w:rFonts w:ascii="Bookman Old Style" w:hAnsi="Bookman Old Style"/>
          <w:sz w:val="24"/>
          <w:szCs w:val="24"/>
        </w:rPr>
        <w:t>it</w:t>
      </w:r>
      <w:r w:rsidR="0084627D" w:rsidRPr="0014270C">
        <w:rPr>
          <w:rFonts w:ascii="Bookman Old Style" w:hAnsi="Bookman Old Style"/>
          <w:sz w:val="24"/>
          <w:szCs w:val="24"/>
        </w:rPr>
        <w:t xml:space="preserve"> into direct involvement with meeting the housing needs of victims</w:t>
      </w:r>
      <w:r w:rsidR="00CC4ADA" w:rsidRPr="0014270C">
        <w:rPr>
          <w:rFonts w:ascii="Bookman Old Style" w:hAnsi="Bookman Old Style"/>
          <w:sz w:val="24"/>
          <w:szCs w:val="24"/>
        </w:rPr>
        <w:t xml:space="preserve">. </w:t>
      </w:r>
      <w:r w:rsidR="008B4F30" w:rsidRPr="0014270C">
        <w:rPr>
          <w:rFonts w:ascii="Bookman Old Style" w:hAnsi="Bookman Old Style"/>
          <w:sz w:val="24"/>
          <w:szCs w:val="24"/>
        </w:rPr>
        <w:t>At that point, FEMA was</w:t>
      </w:r>
      <w:r w:rsidR="00482676" w:rsidRPr="0014270C">
        <w:rPr>
          <w:rFonts w:ascii="Bookman Old Style" w:hAnsi="Bookman Old Style"/>
          <w:sz w:val="24"/>
          <w:szCs w:val="24"/>
        </w:rPr>
        <w:t xml:space="preserve"> operating</w:t>
      </w:r>
      <w:r w:rsidR="008B4F30" w:rsidRPr="0014270C">
        <w:rPr>
          <w:rFonts w:ascii="Bookman Old Style" w:hAnsi="Bookman Old Style"/>
          <w:sz w:val="24"/>
          <w:szCs w:val="24"/>
        </w:rPr>
        <w:t xml:space="preserve"> outside of</w:t>
      </w:r>
      <w:r w:rsidR="00482676" w:rsidRPr="0014270C">
        <w:rPr>
          <w:rFonts w:ascii="Bookman Old Style" w:hAnsi="Bookman Old Style"/>
          <w:sz w:val="24"/>
          <w:szCs w:val="24"/>
        </w:rPr>
        <w:t xml:space="preserve"> </w:t>
      </w:r>
      <w:r w:rsidR="00482676" w:rsidRPr="0014270C">
        <w:rPr>
          <w:rFonts w:ascii="Bookman Old Style" w:hAnsi="Bookman Old Style"/>
          <w:sz w:val="24"/>
          <w:szCs w:val="24"/>
        </w:rPr>
        <w:lastRenderedPageBreak/>
        <w:t>standard procedure</w:t>
      </w:r>
      <w:r w:rsidR="00966728" w:rsidRPr="0014270C">
        <w:rPr>
          <w:rFonts w:ascii="Bookman Old Style" w:hAnsi="Bookman Old Style"/>
          <w:sz w:val="24"/>
          <w:szCs w:val="24"/>
        </w:rPr>
        <w:t xml:space="preserve">, </w:t>
      </w:r>
      <w:r w:rsidR="00571098" w:rsidRPr="0014270C">
        <w:rPr>
          <w:rFonts w:ascii="Bookman Old Style" w:hAnsi="Bookman Old Style"/>
          <w:sz w:val="24"/>
          <w:szCs w:val="24"/>
        </w:rPr>
        <w:t>having to make daily, critical decisions</w:t>
      </w:r>
      <w:r w:rsidR="00D83AA9" w:rsidRPr="0014270C">
        <w:rPr>
          <w:rFonts w:ascii="Bookman Old Style" w:hAnsi="Bookman Old Style"/>
          <w:sz w:val="24"/>
          <w:szCs w:val="24"/>
        </w:rPr>
        <w:t xml:space="preserve"> with little experience </w:t>
      </w:r>
      <w:r w:rsidR="001E3E24" w:rsidRPr="0014270C">
        <w:rPr>
          <w:rFonts w:ascii="Bookman Old Style" w:hAnsi="Bookman Old Style"/>
          <w:sz w:val="24"/>
          <w:szCs w:val="24"/>
        </w:rPr>
        <w:t>or</w:t>
      </w:r>
      <w:r w:rsidR="00D83AA9" w:rsidRPr="0014270C">
        <w:rPr>
          <w:rFonts w:ascii="Bookman Old Style" w:hAnsi="Bookman Old Style"/>
          <w:sz w:val="24"/>
          <w:szCs w:val="24"/>
        </w:rPr>
        <w:t xml:space="preserve"> information</w:t>
      </w:r>
      <w:r w:rsidR="007A34D3" w:rsidRPr="0014270C">
        <w:rPr>
          <w:rFonts w:ascii="Bookman Old Style" w:hAnsi="Bookman Old Style"/>
          <w:sz w:val="24"/>
          <w:szCs w:val="24"/>
        </w:rPr>
        <w:t>.</w:t>
      </w:r>
      <w:r w:rsidR="008D03A1" w:rsidRPr="0014270C">
        <w:rPr>
          <w:rStyle w:val="FootnoteReference"/>
          <w:rFonts w:ascii="Bookman Old Style" w:hAnsi="Bookman Old Style"/>
          <w:sz w:val="24"/>
          <w:szCs w:val="24"/>
        </w:rPr>
        <w:footnoteReference w:id="9"/>
      </w:r>
      <w:r w:rsidR="00571098" w:rsidRPr="0014270C">
        <w:rPr>
          <w:rFonts w:ascii="Bookman Old Style" w:hAnsi="Bookman Old Style"/>
          <w:sz w:val="24"/>
          <w:szCs w:val="24"/>
        </w:rPr>
        <w:t xml:space="preserve"> </w:t>
      </w:r>
    </w:p>
    <w:p w14:paraId="078DA4FB" w14:textId="77777777" w:rsidR="004543B5" w:rsidRPr="0014270C" w:rsidRDefault="00241094" w:rsidP="00584D73">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As is evident by the literature reviewed, a lack of </w:t>
      </w:r>
      <w:r w:rsidR="00B16ABC" w:rsidRPr="0014270C">
        <w:rPr>
          <w:rFonts w:ascii="Bookman Old Style" w:hAnsi="Bookman Old Style"/>
          <w:sz w:val="24"/>
          <w:szCs w:val="24"/>
        </w:rPr>
        <w:t>communication</w:t>
      </w:r>
      <w:r w:rsidR="00056DF9" w:rsidRPr="0014270C">
        <w:rPr>
          <w:rFonts w:ascii="Bookman Old Style" w:hAnsi="Bookman Old Style"/>
          <w:sz w:val="24"/>
          <w:szCs w:val="24"/>
        </w:rPr>
        <w:t xml:space="preserve"> and planning</w:t>
      </w:r>
      <w:r w:rsidR="00F659BF" w:rsidRPr="0014270C">
        <w:rPr>
          <w:rFonts w:ascii="Bookman Old Style" w:hAnsi="Bookman Old Style"/>
          <w:sz w:val="24"/>
          <w:szCs w:val="24"/>
        </w:rPr>
        <w:t xml:space="preserve"> led to</w:t>
      </w:r>
      <w:r w:rsidR="00DB32F7" w:rsidRPr="0014270C">
        <w:rPr>
          <w:rFonts w:ascii="Bookman Old Style" w:hAnsi="Bookman Old Style"/>
          <w:sz w:val="24"/>
          <w:szCs w:val="24"/>
        </w:rPr>
        <w:t xml:space="preserve"> many situations </w:t>
      </w:r>
      <w:r w:rsidRPr="0014270C">
        <w:rPr>
          <w:rFonts w:ascii="Bookman Old Style" w:hAnsi="Bookman Old Style"/>
          <w:sz w:val="24"/>
          <w:szCs w:val="24"/>
        </w:rPr>
        <w:t>in which</w:t>
      </w:r>
      <w:r w:rsidR="00DB32F7" w:rsidRPr="0014270C">
        <w:rPr>
          <w:rFonts w:ascii="Bookman Old Style" w:hAnsi="Bookman Old Style"/>
          <w:sz w:val="24"/>
          <w:szCs w:val="24"/>
        </w:rPr>
        <w:t xml:space="preserve"> </w:t>
      </w:r>
      <w:r w:rsidR="009036D9" w:rsidRPr="0014270C">
        <w:rPr>
          <w:rFonts w:ascii="Bookman Old Style" w:hAnsi="Bookman Old Style"/>
          <w:sz w:val="24"/>
          <w:szCs w:val="24"/>
        </w:rPr>
        <w:t xml:space="preserve">FEMA </w:t>
      </w:r>
      <w:r w:rsidR="00FA2C9A" w:rsidRPr="0014270C">
        <w:rPr>
          <w:rFonts w:ascii="Bookman Old Style" w:hAnsi="Bookman Old Style"/>
          <w:sz w:val="24"/>
          <w:szCs w:val="24"/>
        </w:rPr>
        <w:t>was unable to accept</w:t>
      </w:r>
      <w:r w:rsidR="009036D9" w:rsidRPr="0014270C">
        <w:rPr>
          <w:rFonts w:ascii="Bookman Old Style" w:hAnsi="Bookman Old Style"/>
          <w:sz w:val="24"/>
          <w:szCs w:val="24"/>
        </w:rPr>
        <w:t xml:space="preserve"> assistance</w:t>
      </w:r>
      <w:r w:rsidR="00BC03AE" w:rsidRPr="0014270C">
        <w:rPr>
          <w:rFonts w:ascii="Bookman Old Style" w:hAnsi="Bookman Old Style"/>
          <w:sz w:val="24"/>
          <w:szCs w:val="24"/>
        </w:rPr>
        <w:t xml:space="preserve"> from a variety of </w:t>
      </w:r>
      <w:r w:rsidR="0066270D" w:rsidRPr="0014270C">
        <w:rPr>
          <w:rFonts w:ascii="Bookman Old Style" w:hAnsi="Bookman Old Style"/>
          <w:sz w:val="24"/>
          <w:szCs w:val="24"/>
        </w:rPr>
        <w:t>sources including</w:t>
      </w:r>
      <w:r w:rsidR="00D93F9E" w:rsidRPr="0014270C">
        <w:rPr>
          <w:rFonts w:ascii="Bookman Old Style" w:hAnsi="Bookman Old Style"/>
          <w:sz w:val="24"/>
          <w:szCs w:val="24"/>
        </w:rPr>
        <w:t xml:space="preserve"> </w:t>
      </w:r>
      <w:r w:rsidR="00823A05" w:rsidRPr="0014270C">
        <w:rPr>
          <w:rFonts w:ascii="Bookman Old Style" w:hAnsi="Bookman Old Style"/>
          <w:sz w:val="24"/>
          <w:szCs w:val="24"/>
        </w:rPr>
        <w:t>domestic</w:t>
      </w:r>
      <w:r w:rsidR="004A61A3" w:rsidRPr="0014270C">
        <w:rPr>
          <w:rFonts w:ascii="Bookman Old Style" w:hAnsi="Bookman Old Style"/>
          <w:sz w:val="24"/>
          <w:szCs w:val="24"/>
        </w:rPr>
        <w:t xml:space="preserve"> and international</w:t>
      </w:r>
      <w:r w:rsidR="00D93F9E" w:rsidRPr="0014270C">
        <w:rPr>
          <w:rFonts w:ascii="Bookman Old Style" w:hAnsi="Bookman Old Style"/>
          <w:sz w:val="24"/>
          <w:szCs w:val="24"/>
        </w:rPr>
        <w:t xml:space="preserve"> governments, non-profit organizations, and </w:t>
      </w:r>
      <w:r w:rsidR="006C01A7" w:rsidRPr="0014270C">
        <w:rPr>
          <w:rFonts w:ascii="Bookman Old Style" w:hAnsi="Bookman Old Style"/>
          <w:sz w:val="24"/>
          <w:szCs w:val="24"/>
        </w:rPr>
        <w:t>other federal agencies</w:t>
      </w:r>
      <w:r w:rsidR="003A69C0" w:rsidRPr="0014270C">
        <w:rPr>
          <w:rFonts w:ascii="Bookman Old Style" w:hAnsi="Bookman Old Style"/>
          <w:sz w:val="24"/>
          <w:szCs w:val="24"/>
        </w:rPr>
        <w:t>; because of this,</w:t>
      </w:r>
      <w:r w:rsidR="006C01A7" w:rsidRPr="0014270C">
        <w:rPr>
          <w:rFonts w:ascii="Bookman Old Style" w:hAnsi="Bookman Old Style"/>
          <w:sz w:val="24"/>
          <w:szCs w:val="24"/>
        </w:rPr>
        <w:t xml:space="preserve"> many </w:t>
      </w:r>
      <w:r w:rsidR="00E64D7F" w:rsidRPr="0014270C">
        <w:rPr>
          <w:rFonts w:ascii="Bookman Old Style" w:hAnsi="Bookman Old Style"/>
          <w:sz w:val="24"/>
          <w:szCs w:val="24"/>
        </w:rPr>
        <w:t xml:space="preserve">housing </w:t>
      </w:r>
      <w:r w:rsidR="00E91F15" w:rsidRPr="0014270C">
        <w:rPr>
          <w:rFonts w:ascii="Bookman Old Style" w:hAnsi="Bookman Old Style"/>
          <w:sz w:val="24"/>
          <w:szCs w:val="24"/>
        </w:rPr>
        <w:t>units and resources were left unused, though desperately needed</w:t>
      </w:r>
      <w:r w:rsidR="007A34D3" w:rsidRPr="0014270C">
        <w:rPr>
          <w:rFonts w:ascii="Bookman Old Style" w:hAnsi="Bookman Old Style"/>
          <w:sz w:val="24"/>
          <w:szCs w:val="24"/>
        </w:rPr>
        <w:t>.</w:t>
      </w:r>
      <w:r w:rsidR="008D03A1" w:rsidRPr="0014270C">
        <w:rPr>
          <w:rStyle w:val="FootnoteReference"/>
          <w:rFonts w:ascii="Bookman Old Style" w:hAnsi="Bookman Old Style"/>
          <w:sz w:val="24"/>
          <w:szCs w:val="24"/>
        </w:rPr>
        <w:footnoteReference w:id="10"/>
      </w:r>
      <w:r w:rsidR="00DE0571" w:rsidRPr="0014270C">
        <w:rPr>
          <w:rFonts w:ascii="Bookman Old Style" w:hAnsi="Bookman Old Style"/>
          <w:sz w:val="24"/>
          <w:szCs w:val="24"/>
        </w:rPr>
        <w:t xml:space="preserve"> </w:t>
      </w:r>
      <w:r w:rsidR="00A728A7" w:rsidRPr="0014270C">
        <w:rPr>
          <w:rFonts w:ascii="Bookman Old Style" w:hAnsi="Bookman Old Style"/>
          <w:sz w:val="24"/>
          <w:szCs w:val="24"/>
        </w:rPr>
        <w:t xml:space="preserve">Many residents of New Orleans who were willing and able to evacuate </w:t>
      </w:r>
      <w:r w:rsidR="00DE2D78" w:rsidRPr="0014270C">
        <w:rPr>
          <w:rFonts w:ascii="Bookman Old Style" w:hAnsi="Bookman Old Style"/>
          <w:sz w:val="24"/>
          <w:szCs w:val="24"/>
        </w:rPr>
        <w:t>found</w:t>
      </w:r>
      <w:r w:rsidR="00A728A7" w:rsidRPr="0014270C">
        <w:rPr>
          <w:rFonts w:ascii="Bookman Old Style" w:hAnsi="Bookman Old Style"/>
          <w:sz w:val="24"/>
          <w:szCs w:val="24"/>
        </w:rPr>
        <w:t xml:space="preserve"> shelter </w:t>
      </w:r>
      <w:r w:rsidR="00F52478" w:rsidRPr="0014270C">
        <w:rPr>
          <w:rFonts w:ascii="Bookman Old Style" w:hAnsi="Bookman Old Style"/>
          <w:sz w:val="24"/>
          <w:szCs w:val="24"/>
        </w:rPr>
        <w:t xml:space="preserve">in other states; </w:t>
      </w:r>
      <w:r w:rsidR="00CC0B62" w:rsidRPr="0014270C">
        <w:rPr>
          <w:rFonts w:ascii="Bookman Old Style" w:hAnsi="Bookman Old Style"/>
          <w:sz w:val="24"/>
          <w:szCs w:val="24"/>
        </w:rPr>
        <w:t>however,</w:t>
      </w:r>
      <w:r w:rsidR="00F52478" w:rsidRPr="0014270C">
        <w:rPr>
          <w:rFonts w:ascii="Bookman Old Style" w:hAnsi="Bookman Old Style"/>
          <w:sz w:val="24"/>
          <w:szCs w:val="24"/>
        </w:rPr>
        <w:t xml:space="preserve"> those who were unable due to disability, </w:t>
      </w:r>
      <w:r w:rsidR="00A20A38" w:rsidRPr="0014270C">
        <w:rPr>
          <w:rFonts w:ascii="Bookman Old Style" w:hAnsi="Bookman Old Style"/>
          <w:sz w:val="24"/>
          <w:szCs w:val="24"/>
        </w:rPr>
        <w:t xml:space="preserve">ill </w:t>
      </w:r>
      <w:r w:rsidR="00AD74D2" w:rsidRPr="0014270C">
        <w:rPr>
          <w:rFonts w:ascii="Bookman Old Style" w:hAnsi="Bookman Old Style"/>
          <w:sz w:val="24"/>
          <w:szCs w:val="24"/>
        </w:rPr>
        <w:t>health</w:t>
      </w:r>
      <w:r w:rsidR="00A20A38" w:rsidRPr="0014270C">
        <w:rPr>
          <w:rFonts w:ascii="Bookman Old Style" w:hAnsi="Bookman Old Style"/>
          <w:sz w:val="24"/>
          <w:szCs w:val="24"/>
        </w:rPr>
        <w:t>, a</w:t>
      </w:r>
      <w:r w:rsidR="00F52478" w:rsidRPr="0014270C">
        <w:rPr>
          <w:rFonts w:ascii="Bookman Old Style" w:hAnsi="Bookman Old Style"/>
          <w:sz w:val="24"/>
          <w:szCs w:val="24"/>
        </w:rPr>
        <w:t xml:space="preserve">ge, </w:t>
      </w:r>
      <w:r w:rsidR="00DD32D7" w:rsidRPr="0014270C">
        <w:rPr>
          <w:rFonts w:ascii="Bookman Old Style" w:hAnsi="Bookman Old Style"/>
          <w:sz w:val="24"/>
          <w:szCs w:val="24"/>
        </w:rPr>
        <w:t>or income restrictions were forced to seek</w:t>
      </w:r>
      <w:r w:rsidR="00EA5A3F" w:rsidRPr="0014270C">
        <w:rPr>
          <w:rFonts w:ascii="Bookman Old Style" w:hAnsi="Bookman Old Style"/>
          <w:sz w:val="24"/>
          <w:szCs w:val="24"/>
        </w:rPr>
        <w:t xml:space="preserve"> refuge</w:t>
      </w:r>
      <w:r w:rsidR="00DD32D7" w:rsidRPr="0014270C">
        <w:rPr>
          <w:rFonts w:ascii="Bookman Old Style" w:hAnsi="Bookman Old Style"/>
          <w:sz w:val="24"/>
          <w:szCs w:val="24"/>
        </w:rPr>
        <w:t xml:space="preserve"> in the h</w:t>
      </w:r>
      <w:r w:rsidR="00DE0571" w:rsidRPr="0014270C">
        <w:rPr>
          <w:rFonts w:ascii="Bookman Old Style" w:hAnsi="Bookman Old Style"/>
          <w:sz w:val="24"/>
          <w:szCs w:val="24"/>
        </w:rPr>
        <w:t>otels,</w:t>
      </w:r>
      <w:r w:rsidR="00CC0B62" w:rsidRPr="0014270C">
        <w:rPr>
          <w:rFonts w:ascii="Bookman Old Style" w:hAnsi="Bookman Old Style"/>
          <w:sz w:val="24"/>
          <w:szCs w:val="24"/>
        </w:rPr>
        <w:t xml:space="preserve"> </w:t>
      </w:r>
      <w:r w:rsidR="009D1787" w:rsidRPr="0014270C">
        <w:rPr>
          <w:rFonts w:ascii="Bookman Old Style" w:hAnsi="Bookman Old Style"/>
          <w:sz w:val="24"/>
          <w:szCs w:val="24"/>
        </w:rPr>
        <w:t>apartments, and condominiums in and around affected areas</w:t>
      </w:r>
      <w:r w:rsidR="00D97E1D" w:rsidRPr="0014270C">
        <w:rPr>
          <w:rFonts w:ascii="Bookman Old Style" w:hAnsi="Bookman Old Style"/>
          <w:sz w:val="24"/>
          <w:szCs w:val="24"/>
        </w:rPr>
        <w:t>.</w:t>
      </w:r>
      <w:r w:rsidR="009D1787" w:rsidRPr="0014270C">
        <w:rPr>
          <w:rFonts w:ascii="Bookman Old Style" w:hAnsi="Bookman Old Style"/>
          <w:sz w:val="24"/>
          <w:szCs w:val="24"/>
        </w:rPr>
        <w:t xml:space="preserve"> </w:t>
      </w:r>
      <w:r w:rsidR="00D97E1D" w:rsidRPr="0014270C">
        <w:rPr>
          <w:rFonts w:ascii="Bookman Old Style" w:hAnsi="Bookman Old Style"/>
          <w:sz w:val="24"/>
          <w:szCs w:val="24"/>
        </w:rPr>
        <w:t xml:space="preserve">The </w:t>
      </w:r>
      <w:r w:rsidR="00841183" w:rsidRPr="0014270C">
        <w:rPr>
          <w:rFonts w:ascii="Bookman Old Style" w:hAnsi="Bookman Old Style"/>
          <w:sz w:val="24"/>
          <w:szCs w:val="24"/>
        </w:rPr>
        <w:t xml:space="preserve">demand for </w:t>
      </w:r>
      <w:r w:rsidR="00823146" w:rsidRPr="0014270C">
        <w:rPr>
          <w:rFonts w:ascii="Bookman Old Style" w:hAnsi="Bookman Old Style"/>
          <w:sz w:val="24"/>
          <w:szCs w:val="24"/>
        </w:rPr>
        <w:t>shelter</w:t>
      </w:r>
      <w:r w:rsidR="00841183" w:rsidRPr="0014270C">
        <w:rPr>
          <w:rFonts w:ascii="Bookman Old Style" w:hAnsi="Bookman Old Style"/>
          <w:sz w:val="24"/>
          <w:szCs w:val="24"/>
        </w:rPr>
        <w:t xml:space="preserve"> overwhelmed </w:t>
      </w:r>
      <w:r w:rsidR="00823146" w:rsidRPr="0014270C">
        <w:rPr>
          <w:rFonts w:ascii="Bookman Old Style" w:hAnsi="Bookman Old Style"/>
          <w:sz w:val="24"/>
          <w:szCs w:val="24"/>
        </w:rPr>
        <w:t>local accommodations</w:t>
      </w:r>
      <w:r w:rsidR="009D1787" w:rsidRPr="0014270C">
        <w:rPr>
          <w:rFonts w:ascii="Bookman Old Style" w:hAnsi="Bookman Old Style"/>
          <w:sz w:val="24"/>
          <w:szCs w:val="24"/>
        </w:rPr>
        <w:t xml:space="preserve"> leading to the necessity of </w:t>
      </w:r>
      <w:r w:rsidR="00DB2529" w:rsidRPr="0014270C">
        <w:rPr>
          <w:rFonts w:ascii="Bookman Old Style" w:hAnsi="Bookman Old Style"/>
          <w:sz w:val="24"/>
          <w:szCs w:val="24"/>
        </w:rPr>
        <w:t xml:space="preserve">temporary housing </w:t>
      </w:r>
      <w:r w:rsidR="008E04AB" w:rsidRPr="0014270C">
        <w:rPr>
          <w:rFonts w:ascii="Bookman Old Style" w:hAnsi="Bookman Old Style"/>
          <w:sz w:val="24"/>
          <w:szCs w:val="24"/>
        </w:rPr>
        <w:t xml:space="preserve">units </w:t>
      </w:r>
      <w:r w:rsidR="00DB2529" w:rsidRPr="0014270C">
        <w:rPr>
          <w:rFonts w:ascii="Bookman Old Style" w:hAnsi="Bookman Old Style"/>
          <w:sz w:val="24"/>
          <w:szCs w:val="24"/>
        </w:rPr>
        <w:t>for victims</w:t>
      </w:r>
      <w:r w:rsidR="00E8395E" w:rsidRPr="0014270C">
        <w:rPr>
          <w:rFonts w:ascii="Bookman Old Style" w:hAnsi="Bookman Old Style"/>
          <w:sz w:val="24"/>
          <w:szCs w:val="24"/>
        </w:rPr>
        <w:t>.</w:t>
      </w:r>
    </w:p>
    <w:p w14:paraId="450BFFBA" w14:textId="0A271AE9" w:rsidR="00584D73" w:rsidRPr="0014270C" w:rsidRDefault="004543B5" w:rsidP="00584D73">
      <w:pPr>
        <w:spacing w:line="480" w:lineRule="auto"/>
        <w:ind w:firstLine="720"/>
        <w:rPr>
          <w:rFonts w:ascii="Bookman Old Style" w:hAnsi="Bookman Old Style"/>
          <w:color w:val="C00000"/>
          <w:sz w:val="24"/>
          <w:szCs w:val="24"/>
        </w:rPr>
      </w:pPr>
      <w:r w:rsidRPr="0014270C">
        <w:rPr>
          <w:rFonts w:ascii="Bookman Old Style" w:hAnsi="Bookman Old Style"/>
          <w:sz w:val="24"/>
          <w:szCs w:val="24"/>
        </w:rPr>
        <w:t xml:space="preserve">Qualification for assistance </w:t>
      </w:r>
      <w:r w:rsidR="002264B8" w:rsidRPr="0014270C">
        <w:rPr>
          <w:rFonts w:ascii="Bookman Old Style" w:hAnsi="Bookman Old Style"/>
          <w:sz w:val="24"/>
          <w:szCs w:val="24"/>
        </w:rPr>
        <w:t>was loosely determined upon applications and inspections</w:t>
      </w:r>
      <w:r w:rsidR="0005336D" w:rsidRPr="0014270C">
        <w:rPr>
          <w:rFonts w:ascii="Bookman Old Style" w:hAnsi="Bookman Old Style"/>
          <w:sz w:val="24"/>
          <w:szCs w:val="24"/>
        </w:rPr>
        <w:t xml:space="preserve">. It </w:t>
      </w:r>
      <w:proofErr w:type="gramStart"/>
      <w:r w:rsidR="0005336D" w:rsidRPr="0014270C">
        <w:rPr>
          <w:rFonts w:ascii="Bookman Old Style" w:hAnsi="Bookman Old Style"/>
          <w:sz w:val="24"/>
          <w:szCs w:val="24"/>
        </w:rPr>
        <w:t>was found</w:t>
      </w:r>
      <w:proofErr w:type="gramEnd"/>
      <w:r w:rsidR="0005336D" w:rsidRPr="0014270C">
        <w:rPr>
          <w:rFonts w:ascii="Bookman Old Style" w:hAnsi="Bookman Old Style"/>
          <w:sz w:val="24"/>
          <w:szCs w:val="24"/>
        </w:rPr>
        <w:t xml:space="preserve"> that </w:t>
      </w:r>
      <w:r w:rsidR="002264B8" w:rsidRPr="0014270C">
        <w:rPr>
          <w:rFonts w:ascii="Bookman Old Style" w:hAnsi="Bookman Old Style"/>
          <w:sz w:val="24"/>
          <w:szCs w:val="24"/>
        </w:rPr>
        <w:t xml:space="preserve">FEMA staff was </w:t>
      </w:r>
      <w:r w:rsidR="00B91334" w:rsidRPr="0014270C">
        <w:rPr>
          <w:rFonts w:ascii="Bookman Old Style" w:hAnsi="Bookman Old Style"/>
          <w:sz w:val="24"/>
          <w:szCs w:val="24"/>
        </w:rPr>
        <w:t>not trained to review</w:t>
      </w:r>
      <w:r w:rsidR="0005336D" w:rsidRPr="0014270C">
        <w:rPr>
          <w:rFonts w:ascii="Bookman Old Style" w:hAnsi="Bookman Old Style"/>
          <w:sz w:val="24"/>
          <w:szCs w:val="24"/>
        </w:rPr>
        <w:t xml:space="preserve"> the applications</w:t>
      </w:r>
      <w:r w:rsidR="00B91334" w:rsidRPr="0014270C">
        <w:rPr>
          <w:rFonts w:ascii="Bookman Old Style" w:hAnsi="Bookman Old Style"/>
          <w:sz w:val="24"/>
          <w:szCs w:val="24"/>
        </w:rPr>
        <w:t xml:space="preserve"> properly</w:t>
      </w:r>
      <w:r w:rsidR="002E3CA6" w:rsidRPr="0014270C">
        <w:rPr>
          <w:rFonts w:ascii="Bookman Old Style" w:hAnsi="Bookman Old Style"/>
          <w:sz w:val="24"/>
          <w:szCs w:val="24"/>
        </w:rPr>
        <w:t xml:space="preserve"> to ensure valid social security</w:t>
      </w:r>
      <w:r w:rsidR="00EB3515" w:rsidRPr="0014270C">
        <w:rPr>
          <w:rFonts w:ascii="Bookman Old Style" w:hAnsi="Bookman Old Style"/>
          <w:sz w:val="24"/>
          <w:szCs w:val="24"/>
        </w:rPr>
        <w:t xml:space="preserve"> </w:t>
      </w:r>
      <w:r w:rsidR="002E3CA6" w:rsidRPr="0014270C">
        <w:rPr>
          <w:rFonts w:ascii="Bookman Old Style" w:hAnsi="Bookman Old Style"/>
          <w:sz w:val="24"/>
          <w:szCs w:val="24"/>
        </w:rPr>
        <w:t>and address data was used</w:t>
      </w:r>
      <w:r w:rsidR="00B91334" w:rsidRPr="0014270C">
        <w:rPr>
          <w:rFonts w:ascii="Bookman Old Style" w:hAnsi="Bookman Old Style"/>
          <w:sz w:val="24"/>
          <w:szCs w:val="24"/>
        </w:rPr>
        <w:t>. This led to approximately US$1 billion</w:t>
      </w:r>
      <w:r w:rsidR="00925F2C" w:rsidRPr="0014270C">
        <w:rPr>
          <w:rFonts w:ascii="Bookman Old Style" w:hAnsi="Bookman Old Style"/>
          <w:sz w:val="24"/>
          <w:szCs w:val="24"/>
        </w:rPr>
        <w:t xml:space="preserve"> in </w:t>
      </w:r>
      <w:r w:rsidR="00E807A7" w:rsidRPr="0014270C">
        <w:rPr>
          <w:rFonts w:ascii="Bookman Old Style" w:hAnsi="Bookman Old Style"/>
          <w:sz w:val="24"/>
          <w:szCs w:val="24"/>
        </w:rPr>
        <w:t>improper and fraudulent</w:t>
      </w:r>
      <w:r w:rsidR="00925F2C" w:rsidRPr="0014270C">
        <w:rPr>
          <w:rFonts w:ascii="Bookman Old Style" w:hAnsi="Bookman Old Style"/>
          <w:sz w:val="24"/>
          <w:szCs w:val="24"/>
        </w:rPr>
        <w:t xml:space="preserve"> housing assistance payments</w:t>
      </w:r>
      <w:r w:rsidR="00E807A7" w:rsidRPr="0014270C">
        <w:rPr>
          <w:rFonts w:ascii="Bookman Old Style" w:hAnsi="Bookman Old Style"/>
          <w:sz w:val="24"/>
          <w:szCs w:val="24"/>
        </w:rPr>
        <w:t xml:space="preserve"> </w:t>
      </w:r>
      <w:r w:rsidR="00EB3515" w:rsidRPr="0014270C">
        <w:rPr>
          <w:rFonts w:ascii="Bookman Old Style" w:hAnsi="Bookman Old Style"/>
          <w:sz w:val="24"/>
          <w:szCs w:val="24"/>
        </w:rPr>
        <w:t>made</w:t>
      </w:r>
      <w:r w:rsidR="002E3CA6" w:rsidRPr="0014270C">
        <w:rPr>
          <w:rFonts w:ascii="Bookman Old Style" w:hAnsi="Bookman Old Style"/>
          <w:sz w:val="24"/>
          <w:szCs w:val="24"/>
        </w:rPr>
        <w:t>.</w:t>
      </w:r>
      <w:r w:rsidR="005C23AD" w:rsidRPr="0014270C">
        <w:rPr>
          <w:rStyle w:val="FootnoteReference"/>
          <w:rFonts w:ascii="Bookman Old Style" w:hAnsi="Bookman Old Style"/>
          <w:sz w:val="24"/>
          <w:szCs w:val="24"/>
        </w:rPr>
        <w:footnoteReference w:id="11"/>
      </w:r>
      <w:r w:rsidR="005C23AD" w:rsidRPr="0014270C">
        <w:rPr>
          <w:rFonts w:ascii="Bookman Old Style" w:hAnsi="Bookman Old Style"/>
          <w:sz w:val="24"/>
          <w:szCs w:val="24"/>
        </w:rPr>
        <w:t xml:space="preserve"> </w:t>
      </w:r>
      <w:r w:rsidR="00A65F40" w:rsidRPr="0014270C">
        <w:rPr>
          <w:rFonts w:ascii="Bookman Old Style" w:hAnsi="Bookman Old Style"/>
          <w:sz w:val="24"/>
          <w:szCs w:val="24"/>
        </w:rPr>
        <w:t xml:space="preserve">This mishandling of funds </w:t>
      </w:r>
      <w:r w:rsidR="008B40FD" w:rsidRPr="0014270C">
        <w:rPr>
          <w:rFonts w:ascii="Bookman Old Style" w:hAnsi="Bookman Old Style"/>
          <w:sz w:val="24"/>
          <w:szCs w:val="24"/>
        </w:rPr>
        <w:t xml:space="preserve">is one more </w:t>
      </w:r>
      <w:r w:rsidR="008B40FD" w:rsidRPr="0014270C">
        <w:rPr>
          <w:rFonts w:ascii="Bookman Old Style" w:hAnsi="Bookman Old Style"/>
          <w:sz w:val="24"/>
          <w:szCs w:val="24"/>
        </w:rPr>
        <w:lastRenderedPageBreak/>
        <w:t xml:space="preserve">piece of evidence of a lack of planning and miscommunication </w:t>
      </w:r>
      <w:r w:rsidR="00D91504" w:rsidRPr="0014270C">
        <w:rPr>
          <w:rFonts w:ascii="Bookman Old Style" w:hAnsi="Bookman Old Style"/>
          <w:sz w:val="24"/>
          <w:szCs w:val="24"/>
        </w:rPr>
        <w:t xml:space="preserve">within government agencies. </w:t>
      </w:r>
    </w:p>
    <w:p w14:paraId="12F869FC" w14:textId="2CD203FC" w:rsidR="006C6C30" w:rsidRPr="0014270C" w:rsidRDefault="004931CA" w:rsidP="00647BED">
      <w:pPr>
        <w:spacing w:line="480" w:lineRule="auto"/>
        <w:ind w:firstLine="720"/>
        <w:rPr>
          <w:rFonts w:ascii="Bookman Old Style" w:hAnsi="Bookman Old Style"/>
          <w:sz w:val="24"/>
          <w:szCs w:val="24"/>
        </w:rPr>
      </w:pPr>
      <w:bookmarkStart w:id="12" w:name="_Toc8062250"/>
      <w:r w:rsidRPr="0014270C">
        <w:rPr>
          <w:rStyle w:val="THESISLVL4Char"/>
        </w:rPr>
        <w:t>A toxic environment</w:t>
      </w:r>
      <w:bookmarkEnd w:id="12"/>
      <w:r w:rsidRPr="0014270C">
        <w:rPr>
          <w:rFonts w:ascii="Bookman Old Style" w:hAnsi="Bookman Old Style"/>
          <w:sz w:val="24"/>
          <w:szCs w:val="24"/>
        </w:rPr>
        <w:t>.</w:t>
      </w:r>
      <w:r w:rsidRPr="0014270C">
        <w:rPr>
          <w:rFonts w:ascii="Bookman Old Style" w:hAnsi="Bookman Old Style"/>
          <w:b/>
          <w:sz w:val="24"/>
          <w:szCs w:val="24"/>
        </w:rPr>
        <w:t xml:space="preserve"> </w:t>
      </w:r>
      <w:r w:rsidR="00EE3249" w:rsidRPr="0014270C">
        <w:rPr>
          <w:rFonts w:ascii="Bookman Old Style" w:hAnsi="Bookman Old Style"/>
          <w:sz w:val="24"/>
          <w:szCs w:val="24"/>
        </w:rPr>
        <w:t>In the event of a disaster, the Stafford Act would normally require</w:t>
      </w:r>
      <w:r w:rsidR="00121178" w:rsidRPr="0014270C">
        <w:rPr>
          <w:rFonts w:ascii="Bookman Old Style" w:hAnsi="Bookman Old Style"/>
          <w:sz w:val="24"/>
          <w:szCs w:val="24"/>
        </w:rPr>
        <w:t xml:space="preserve"> FEMA to first seek local contractors in the </w:t>
      </w:r>
      <w:r w:rsidR="0051129D" w:rsidRPr="0014270C">
        <w:rPr>
          <w:rFonts w:ascii="Bookman Old Style" w:hAnsi="Bookman Old Style"/>
          <w:sz w:val="24"/>
          <w:szCs w:val="24"/>
        </w:rPr>
        <w:t xml:space="preserve">areas </w:t>
      </w:r>
      <w:r w:rsidR="004A4ECE" w:rsidRPr="0014270C">
        <w:rPr>
          <w:rFonts w:ascii="Bookman Old Style" w:hAnsi="Bookman Old Style"/>
          <w:sz w:val="24"/>
          <w:szCs w:val="24"/>
        </w:rPr>
        <w:t>involved</w:t>
      </w:r>
      <w:r w:rsidR="00736E28" w:rsidRPr="0014270C">
        <w:rPr>
          <w:rFonts w:ascii="Bookman Old Style" w:hAnsi="Bookman Old Style"/>
          <w:sz w:val="24"/>
          <w:szCs w:val="24"/>
        </w:rPr>
        <w:t xml:space="preserve">, </w:t>
      </w:r>
      <w:r w:rsidR="00736E28" w:rsidRPr="0014270C">
        <w:rPr>
          <w:rFonts w:ascii="Bookman Old Style" w:hAnsi="Bookman Old Style"/>
          <w:noProof/>
          <w:sz w:val="24"/>
          <w:szCs w:val="24"/>
        </w:rPr>
        <w:t>however</w:t>
      </w:r>
      <w:r w:rsidR="00455982" w:rsidRPr="0014270C">
        <w:rPr>
          <w:rFonts w:ascii="Bookman Old Style" w:hAnsi="Bookman Old Style"/>
          <w:noProof/>
          <w:sz w:val="24"/>
          <w:szCs w:val="24"/>
        </w:rPr>
        <w:t>,</w:t>
      </w:r>
      <w:r w:rsidR="00736E28" w:rsidRPr="0014270C">
        <w:rPr>
          <w:rFonts w:ascii="Bookman Old Style" w:hAnsi="Bookman Old Style"/>
          <w:sz w:val="24"/>
          <w:szCs w:val="24"/>
        </w:rPr>
        <w:t xml:space="preserve"> </w:t>
      </w:r>
      <w:r w:rsidR="00DA3633" w:rsidRPr="0014270C">
        <w:rPr>
          <w:rFonts w:ascii="Bookman Old Style" w:hAnsi="Bookman Old Style"/>
          <w:noProof/>
          <w:sz w:val="24"/>
          <w:szCs w:val="24"/>
        </w:rPr>
        <w:t>uncertainty</w:t>
      </w:r>
      <w:r w:rsidR="00DA3633" w:rsidRPr="0014270C">
        <w:rPr>
          <w:rFonts w:ascii="Bookman Old Style" w:hAnsi="Bookman Old Style"/>
          <w:sz w:val="24"/>
          <w:szCs w:val="24"/>
        </w:rPr>
        <w:t xml:space="preserve"> of </w:t>
      </w:r>
      <w:r w:rsidR="00736E28" w:rsidRPr="0014270C">
        <w:rPr>
          <w:rFonts w:ascii="Bookman Old Style" w:hAnsi="Bookman Old Style"/>
          <w:sz w:val="24"/>
          <w:szCs w:val="24"/>
        </w:rPr>
        <w:t>the</w:t>
      </w:r>
      <w:r w:rsidR="00DA3633" w:rsidRPr="0014270C">
        <w:rPr>
          <w:rFonts w:ascii="Bookman Old Style" w:hAnsi="Bookman Old Style"/>
          <w:sz w:val="24"/>
          <w:szCs w:val="24"/>
        </w:rPr>
        <w:t xml:space="preserve"> </w:t>
      </w:r>
      <w:r w:rsidR="00736E28" w:rsidRPr="0014270C">
        <w:rPr>
          <w:rFonts w:ascii="Bookman Old Style" w:hAnsi="Bookman Old Style"/>
          <w:sz w:val="24"/>
          <w:szCs w:val="24"/>
        </w:rPr>
        <w:t xml:space="preserve">scale and </w:t>
      </w:r>
      <w:r w:rsidR="008756D4" w:rsidRPr="0014270C">
        <w:rPr>
          <w:rFonts w:ascii="Bookman Old Style" w:hAnsi="Bookman Old Style"/>
          <w:sz w:val="24"/>
          <w:szCs w:val="24"/>
        </w:rPr>
        <w:t>devastation</w:t>
      </w:r>
      <w:r w:rsidR="0058026E" w:rsidRPr="0014270C">
        <w:rPr>
          <w:rFonts w:ascii="Bookman Old Style" w:hAnsi="Bookman Old Style"/>
          <w:sz w:val="24"/>
          <w:szCs w:val="24"/>
        </w:rPr>
        <w:t xml:space="preserve"> </w:t>
      </w:r>
      <w:r w:rsidR="00A970AE" w:rsidRPr="0014270C">
        <w:rPr>
          <w:rFonts w:ascii="Bookman Old Style" w:hAnsi="Bookman Old Style"/>
          <w:sz w:val="24"/>
          <w:szCs w:val="24"/>
        </w:rPr>
        <w:t xml:space="preserve">of the storm </w:t>
      </w:r>
      <w:r w:rsidR="0058026E" w:rsidRPr="0014270C">
        <w:rPr>
          <w:rFonts w:ascii="Bookman Old Style" w:hAnsi="Bookman Old Style"/>
          <w:sz w:val="24"/>
          <w:szCs w:val="24"/>
        </w:rPr>
        <w:t xml:space="preserve">led the agency to seek </w:t>
      </w:r>
      <w:r w:rsidR="0084640B" w:rsidRPr="0014270C">
        <w:rPr>
          <w:rFonts w:ascii="Bookman Old Style" w:hAnsi="Bookman Old Style"/>
          <w:sz w:val="24"/>
          <w:szCs w:val="24"/>
        </w:rPr>
        <w:t xml:space="preserve">assistance outside of </w:t>
      </w:r>
      <w:r w:rsidR="00152E1A" w:rsidRPr="0014270C">
        <w:rPr>
          <w:rFonts w:ascii="Bookman Old Style" w:hAnsi="Bookman Old Style"/>
          <w:sz w:val="24"/>
          <w:szCs w:val="24"/>
        </w:rPr>
        <w:t>the states affected</w:t>
      </w:r>
      <w:r w:rsidR="0084640B" w:rsidRPr="0014270C">
        <w:rPr>
          <w:rFonts w:ascii="Bookman Old Style" w:hAnsi="Bookman Old Style"/>
          <w:sz w:val="24"/>
          <w:szCs w:val="24"/>
        </w:rPr>
        <w:t xml:space="preserve">. </w:t>
      </w:r>
      <w:r w:rsidR="00E95EB2" w:rsidRPr="0014270C">
        <w:rPr>
          <w:rFonts w:ascii="Bookman Old Style" w:hAnsi="Bookman Old Style"/>
          <w:sz w:val="24"/>
          <w:szCs w:val="24"/>
        </w:rPr>
        <w:t>Some of t</w:t>
      </w:r>
      <w:r w:rsidR="00C01862" w:rsidRPr="0014270C">
        <w:rPr>
          <w:rFonts w:ascii="Bookman Old Style" w:hAnsi="Bookman Old Style"/>
          <w:sz w:val="24"/>
          <w:szCs w:val="24"/>
        </w:rPr>
        <w:t xml:space="preserve">he </w:t>
      </w:r>
      <w:r w:rsidR="00646098" w:rsidRPr="0014270C">
        <w:rPr>
          <w:rFonts w:ascii="Bookman Old Style" w:hAnsi="Bookman Old Style"/>
          <w:sz w:val="24"/>
          <w:szCs w:val="24"/>
        </w:rPr>
        <w:t>main contractors hired by FEMA were</w:t>
      </w:r>
      <w:r w:rsidR="00E2763D" w:rsidRPr="0014270C">
        <w:rPr>
          <w:rFonts w:ascii="Bookman Old Style" w:hAnsi="Bookman Old Style"/>
          <w:sz w:val="24"/>
          <w:szCs w:val="24"/>
        </w:rPr>
        <w:t xml:space="preserve"> </w:t>
      </w:r>
      <w:r w:rsidR="00E95EB2" w:rsidRPr="0014270C">
        <w:rPr>
          <w:rFonts w:ascii="Bookman Old Style" w:hAnsi="Bookman Old Style"/>
          <w:sz w:val="24"/>
          <w:szCs w:val="24"/>
        </w:rPr>
        <w:t>Gulf</w:t>
      </w:r>
      <w:r w:rsidR="00B75587" w:rsidRPr="0014270C">
        <w:rPr>
          <w:rFonts w:ascii="Bookman Old Style" w:hAnsi="Bookman Old Style"/>
          <w:sz w:val="24"/>
          <w:szCs w:val="24"/>
        </w:rPr>
        <w:t xml:space="preserve"> Stream Coach, Inc., </w:t>
      </w:r>
      <w:r w:rsidR="007D3461" w:rsidRPr="0014270C">
        <w:rPr>
          <w:rFonts w:ascii="Bookman Old Style" w:hAnsi="Bookman Old Style"/>
          <w:sz w:val="24"/>
          <w:szCs w:val="24"/>
        </w:rPr>
        <w:t xml:space="preserve">Shaw Group, Inc., </w:t>
      </w:r>
      <w:r w:rsidR="00E2763D" w:rsidRPr="0014270C">
        <w:rPr>
          <w:rFonts w:ascii="Bookman Old Style" w:hAnsi="Bookman Old Style"/>
          <w:sz w:val="24"/>
          <w:szCs w:val="24"/>
        </w:rPr>
        <w:t xml:space="preserve">Bechtel </w:t>
      </w:r>
      <w:r w:rsidR="00E558AC" w:rsidRPr="0014270C">
        <w:rPr>
          <w:rFonts w:ascii="Bookman Old Style" w:hAnsi="Bookman Old Style"/>
          <w:sz w:val="24"/>
          <w:szCs w:val="24"/>
        </w:rPr>
        <w:t>National, Inc.</w:t>
      </w:r>
      <w:r w:rsidR="00E2763D" w:rsidRPr="0014270C">
        <w:rPr>
          <w:rFonts w:ascii="Bookman Old Style" w:hAnsi="Bookman Old Style"/>
          <w:sz w:val="24"/>
          <w:szCs w:val="24"/>
        </w:rPr>
        <w:t>, Fluor Enterprises, Inc., and CH2M Hill Constructors, Inc.</w:t>
      </w:r>
      <w:r w:rsidR="0006318B" w:rsidRPr="0014270C">
        <w:rPr>
          <w:rFonts w:ascii="Bookman Old Style" w:hAnsi="Bookman Old Style"/>
          <w:sz w:val="24"/>
          <w:szCs w:val="24"/>
        </w:rPr>
        <w:t xml:space="preserve"> </w:t>
      </w:r>
      <w:r w:rsidR="0036287D" w:rsidRPr="0014270C">
        <w:rPr>
          <w:rFonts w:ascii="Bookman Old Style" w:hAnsi="Bookman Old Style"/>
          <w:sz w:val="24"/>
          <w:szCs w:val="24"/>
        </w:rPr>
        <w:t>T</w:t>
      </w:r>
      <w:r w:rsidR="0006318B" w:rsidRPr="0014270C">
        <w:rPr>
          <w:rFonts w:ascii="Bookman Old Style" w:hAnsi="Bookman Old Style"/>
          <w:sz w:val="24"/>
          <w:szCs w:val="24"/>
        </w:rPr>
        <w:t xml:space="preserve">hese companies were </w:t>
      </w:r>
      <w:r w:rsidR="00813568" w:rsidRPr="0014270C">
        <w:rPr>
          <w:rFonts w:ascii="Bookman Old Style" w:hAnsi="Bookman Old Style"/>
          <w:sz w:val="24"/>
          <w:szCs w:val="24"/>
        </w:rPr>
        <w:t xml:space="preserve">some of those </w:t>
      </w:r>
      <w:r w:rsidR="00A62591" w:rsidRPr="0014270C">
        <w:rPr>
          <w:rFonts w:ascii="Bookman Old Style" w:hAnsi="Bookman Old Style"/>
          <w:sz w:val="24"/>
          <w:szCs w:val="24"/>
        </w:rPr>
        <w:t>contracted to design, manufacture, install, and inspect the</w:t>
      </w:r>
      <w:r w:rsidR="00035B13" w:rsidRPr="0014270C">
        <w:rPr>
          <w:rFonts w:ascii="Bookman Old Style" w:hAnsi="Bookman Old Style"/>
          <w:sz w:val="24"/>
          <w:szCs w:val="24"/>
        </w:rPr>
        <w:t xml:space="preserve"> t</w:t>
      </w:r>
      <w:r w:rsidR="00A62591" w:rsidRPr="0014270C">
        <w:rPr>
          <w:rFonts w:ascii="Bookman Old Style" w:hAnsi="Bookman Old Style"/>
          <w:sz w:val="24"/>
          <w:szCs w:val="24"/>
        </w:rPr>
        <w:t>railers provided to victims of Hurricane Katrina.</w:t>
      </w:r>
      <w:r w:rsidR="0033223D" w:rsidRPr="0014270C">
        <w:rPr>
          <w:rFonts w:ascii="Bookman Old Style" w:hAnsi="Bookman Old Style"/>
          <w:sz w:val="24"/>
          <w:szCs w:val="24"/>
        </w:rPr>
        <w:t xml:space="preserve"> </w:t>
      </w:r>
      <w:r w:rsidR="008E517E" w:rsidRPr="0014270C">
        <w:rPr>
          <w:rFonts w:ascii="Bookman Old Style" w:hAnsi="Bookman Old Style"/>
          <w:sz w:val="24"/>
          <w:szCs w:val="24"/>
        </w:rPr>
        <w:t xml:space="preserve">Tessa Anderson, </w:t>
      </w:r>
      <w:r w:rsidR="0036287D" w:rsidRPr="0014270C">
        <w:rPr>
          <w:rFonts w:ascii="Bookman Old Style" w:hAnsi="Bookman Old Style"/>
          <w:sz w:val="24"/>
          <w:szCs w:val="24"/>
        </w:rPr>
        <w:t xml:space="preserve">who was </w:t>
      </w:r>
      <w:r w:rsidR="008E517E" w:rsidRPr="0014270C">
        <w:rPr>
          <w:rFonts w:ascii="Bookman Old Style" w:hAnsi="Bookman Old Style"/>
          <w:sz w:val="24"/>
          <w:szCs w:val="24"/>
        </w:rPr>
        <w:t xml:space="preserve">involved in Strategic Communications of CH2M Hill, </w:t>
      </w:r>
      <w:r w:rsidR="00A96A11" w:rsidRPr="0014270C">
        <w:rPr>
          <w:rFonts w:ascii="Bookman Old Style" w:hAnsi="Bookman Old Style"/>
          <w:sz w:val="24"/>
          <w:szCs w:val="24"/>
        </w:rPr>
        <w:t>acknowledged</w:t>
      </w:r>
      <w:r w:rsidR="00214982" w:rsidRPr="0014270C">
        <w:rPr>
          <w:rFonts w:ascii="Bookman Old Style" w:hAnsi="Bookman Old Style"/>
          <w:sz w:val="24"/>
          <w:szCs w:val="24"/>
        </w:rPr>
        <w:t xml:space="preserve"> in an article she wrote</w:t>
      </w:r>
      <w:r w:rsidR="00BF6378" w:rsidRPr="0014270C">
        <w:rPr>
          <w:rFonts w:ascii="Bookman Old Style" w:hAnsi="Bookman Old Style"/>
          <w:sz w:val="24"/>
          <w:szCs w:val="24"/>
        </w:rPr>
        <w:t>,</w:t>
      </w:r>
      <w:r w:rsidR="00A96A11" w:rsidRPr="0014270C">
        <w:rPr>
          <w:rFonts w:ascii="Bookman Old Style" w:hAnsi="Bookman Old Style"/>
          <w:sz w:val="24"/>
          <w:szCs w:val="24"/>
        </w:rPr>
        <w:t xml:space="preserve"> that</w:t>
      </w:r>
      <w:r w:rsidR="008E517E" w:rsidRPr="0014270C">
        <w:rPr>
          <w:rFonts w:ascii="Bookman Old Style" w:hAnsi="Bookman Old Style"/>
          <w:sz w:val="24"/>
          <w:szCs w:val="24"/>
        </w:rPr>
        <w:t xml:space="preserve"> under the FEMA contract, the company was responsible for assessing sites and the installation and maintenance of temporary housing units. </w:t>
      </w:r>
      <w:r w:rsidR="00D53837" w:rsidRPr="0014270C">
        <w:rPr>
          <w:rFonts w:ascii="Bookman Old Style" w:hAnsi="Bookman Old Style"/>
          <w:sz w:val="24"/>
          <w:szCs w:val="24"/>
        </w:rPr>
        <w:t>She</w:t>
      </w:r>
      <w:r w:rsidR="008E517E" w:rsidRPr="0014270C">
        <w:rPr>
          <w:rFonts w:ascii="Bookman Old Style" w:hAnsi="Bookman Old Style"/>
          <w:sz w:val="24"/>
          <w:szCs w:val="24"/>
        </w:rPr>
        <w:t xml:space="preserve"> also states that CH2M Hill engineers and architects designed the units and that </w:t>
      </w:r>
      <w:r w:rsidR="000E389F" w:rsidRPr="0014270C">
        <w:rPr>
          <w:rFonts w:ascii="Bookman Old Style" w:hAnsi="Bookman Old Style"/>
          <w:sz w:val="24"/>
          <w:szCs w:val="24"/>
        </w:rPr>
        <w:t xml:space="preserve">the company was to conduct </w:t>
      </w:r>
      <w:r w:rsidR="008E517E" w:rsidRPr="0014270C">
        <w:rPr>
          <w:rFonts w:ascii="Bookman Old Style" w:hAnsi="Bookman Old Style"/>
          <w:sz w:val="24"/>
          <w:szCs w:val="24"/>
        </w:rPr>
        <w:t>monthly preventative maintenance inspection</w:t>
      </w:r>
      <w:r w:rsidR="00D9211B" w:rsidRPr="0014270C">
        <w:rPr>
          <w:rFonts w:ascii="Bookman Old Style" w:hAnsi="Bookman Old Style"/>
          <w:sz w:val="24"/>
          <w:szCs w:val="24"/>
        </w:rPr>
        <w:t>s</w:t>
      </w:r>
      <w:r w:rsidR="008E517E" w:rsidRPr="0014270C">
        <w:rPr>
          <w:rFonts w:ascii="Bookman Old Style" w:hAnsi="Bookman Old Style"/>
          <w:sz w:val="24"/>
          <w:szCs w:val="24"/>
        </w:rPr>
        <w:t>.</w:t>
      </w:r>
      <w:r w:rsidR="008E517E" w:rsidRPr="0014270C">
        <w:rPr>
          <w:rStyle w:val="FootnoteReference"/>
          <w:rFonts w:ascii="Bookman Old Style" w:hAnsi="Bookman Old Style"/>
          <w:sz w:val="24"/>
          <w:szCs w:val="24"/>
        </w:rPr>
        <w:footnoteReference w:id="12"/>
      </w:r>
      <w:r w:rsidR="008E517E" w:rsidRPr="0014270C">
        <w:rPr>
          <w:rFonts w:ascii="Bookman Old Style" w:hAnsi="Bookman Old Style"/>
          <w:sz w:val="24"/>
          <w:szCs w:val="24"/>
        </w:rPr>
        <w:t xml:space="preserve"> </w:t>
      </w:r>
      <w:r w:rsidR="000F0877" w:rsidRPr="0014270C">
        <w:rPr>
          <w:rFonts w:ascii="Bookman Old Style" w:hAnsi="Bookman Old Style"/>
          <w:sz w:val="24"/>
          <w:szCs w:val="24"/>
        </w:rPr>
        <w:t xml:space="preserve">Despite </w:t>
      </w:r>
      <w:r w:rsidR="00267FA0" w:rsidRPr="0014270C">
        <w:rPr>
          <w:rFonts w:ascii="Bookman Old Style" w:hAnsi="Bookman Old Style"/>
          <w:sz w:val="24"/>
          <w:szCs w:val="24"/>
        </w:rPr>
        <w:t>Anderson’s</w:t>
      </w:r>
      <w:r w:rsidR="000F0877" w:rsidRPr="0014270C">
        <w:rPr>
          <w:rFonts w:ascii="Bookman Old Style" w:hAnsi="Bookman Old Style"/>
          <w:sz w:val="24"/>
          <w:szCs w:val="24"/>
        </w:rPr>
        <w:t xml:space="preserve"> article, </w:t>
      </w:r>
      <w:r w:rsidR="008E517E" w:rsidRPr="0014270C">
        <w:rPr>
          <w:rFonts w:ascii="Bookman Old Style" w:hAnsi="Bookman Old Style"/>
          <w:sz w:val="24"/>
          <w:szCs w:val="24"/>
        </w:rPr>
        <w:t xml:space="preserve">a </w:t>
      </w:r>
      <w:r w:rsidR="00BD4AB6" w:rsidRPr="0014270C">
        <w:rPr>
          <w:rFonts w:ascii="Bookman Old Style" w:hAnsi="Bookman Old Style"/>
          <w:sz w:val="24"/>
          <w:szCs w:val="24"/>
        </w:rPr>
        <w:t>survey</w:t>
      </w:r>
      <w:r w:rsidR="008E517E" w:rsidRPr="0014270C">
        <w:rPr>
          <w:rFonts w:ascii="Bookman Old Style" w:hAnsi="Bookman Old Style"/>
          <w:sz w:val="24"/>
          <w:szCs w:val="24"/>
        </w:rPr>
        <w:t xml:space="preserve"> conducted by the US Government Accountability Office (GAO)</w:t>
      </w:r>
      <w:r w:rsidR="000F0877" w:rsidRPr="0014270C">
        <w:rPr>
          <w:rFonts w:ascii="Bookman Old Style" w:hAnsi="Bookman Old Style"/>
          <w:sz w:val="24"/>
          <w:szCs w:val="24"/>
        </w:rPr>
        <w:t xml:space="preserve"> </w:t>
      </w:r>
      <w:r w:rsidR="008E517E" w:rsidRPr="0014270C">
        <w:rPr>
          <w:rFonts w:ascii="Bookman Old Style" w:hAnsi="Bookman Old Style"/>
          <w:sz w:val="24"/>
          <w:szCs w:val="24"/>
        </w:rPr>
        <w:t xml:space="preserve">found that many of the contractors </w:t>
      </w:r>
      <w:r w:rsidR="00D53837" w:rsidRPr="0014270C">
        <w:rPr>
          <w:rFonts w:ascii="Bookman Old Style" w:hAnsi="Bookman Old Style"/>
          <w:sz w:val="24"/>
          <w:szCs w:val="24"/>
        </w:rPr>
        <w:t>claimed to be</w:t>
      </w:r>
      <w:r w:rsidR="008E517E" w:rsidRPr="0014270C">
        <w:rPr>
          <w:rFonts w:ascii="Bookman Old Style" w:hAnsi="Bookman Old Style"/>
          <w:sz w:val="24"/>
          <w:szCs w:val="24"/>
        </w:rPr>
        <w:t xml:space="preserve"> unsure of</w:t>
      </w:r>
      <w:r w:rsidR="00FF07B4" w:rsidRPr="0014270C">
        <w:rPr>
          <w:rFonts w:ascii="Bookman Old Style" w:hAnsi="Bookman Old Style"/>
          <w:sz w:val="24"/>
          <w:szCs w:val="24"/>
        </w:rPr>
        <w:t xml:space="preserve"> their responsibilities due to</w:t>
      </w:r>
      <w:r w:rsidR="008E517E" w:rsidRPr="0014270C">
        <w:rPr>
          <w:rFonts w:ascii="Bookman Old Style" w:hAnsi="Bookman Old Style"/>
          <w:sz w:val="24"/>
          <w:szCs w:val="24"/>
        </w:rPr>
        <w:t xml:space="preserve"> miscommunication from</w:t>
      </w:r>
      <w:r w:rsidR="00486076" w:rsidRPr="0014270C">
        <w:rPr>
          <w:rFonts w:ascii="Bookman Old Style" w:hAnsi="Bookman Old Style"/>
          <w:sz w:val="24"/>
          <w:szCs w:val="24"/>
        </w:rPr>
        <w:t xml:space="preserve"> </w:t>
      </w:r>
      <w:r w:rsidR="008E517E" w:rsidRPr="0014270C">
        <w:rPr>
          <w:rFonts w:ascii="Bookman Old Style" w:hAnsi="Bookman Old Style"/>
          <w:sz w:val="24"/>
          <w:szCs w:val="24"/>
        </w:rPr>
        <w:t>government coordinators.</w:t>
      </w:r>
      <w:r w:rsidR="008E517E" w:rsidRPr="0014270C">
        <w:rPr>
          <w:rStyle w:val="FootnoteReference"/>
          <w:rFonts w:ascii="Bookman Old Style" w:hAnsi="Bookman Old Style"/>
          <w:sz w:val="24"/>
          <w:szCs w:val="24"/>
        </w:rPr>
        <w:footnoteReference w:id="13"/>
      </w:r>
      <w:r w:rsidR="00C21399" w:rsidRPr="0014270C">
        <w:rPr>
          <w:rFonts w:ascii="Bookman Old Style" w:hAnsi="Bookman Old Style"/>
          <w:sz w:val="24"/>
          <w:szCs w:val="24"/>
        </w:rPr>
        <w:t xml:space="preserve"> </w:t>
      </w:r>
    </w:p>
    <w:p w14:paraId="7FF0DA79" w14:textId="36CBBD8D" w:rsidR="00954E1D" w:rsidRPr="0014270C" w:rsidRDefault="000C5CC1" w:rsidP="00647BED">
      <w:pPr>
        <w:spacing w:line="480" w:lineRule="auto"/>
        <w:ind w:firstLine="720"/>
        <w:rPr>
          <w:rFonts w:ascii="Bookman Old Style" w:hAnsi="Bookman Old Style"/>
          <w:sz w:val="24"/>
          <w:szCs w:val="24"/>
        </w:rPr>
      </w:pPr>
      <w:r w:rsidRPr="0014270C">
        <w:rPr>
          <w:rFonts w:ascii="Bookman Old Style" w:hAnsi="Bookman Old Style"/>
          <w:sz w:val="24"/>
          <w:szCs w:val="24"/>
        </w:rPr>
        <w:lastRenderedPageBreak/>
        <w:t>FEMA traditionally contracted and issued manufactured ho</w:t>
      </w:r>
      <w:r w:rsidR="004F7DC6" w:rsidRPr="0014270C">
        <w:rPr>
          <w:rFonts w:ascii="Bookman Old Style" w:hAnsi="Bookman Old Style"/>
          <w:sz w:val="24"/>
          <w:szCs w:val="24"/>
        </w:rPr>
        <w:t>using units (MHU)</w:t>
      </w:r>
      <w:r w:rsidRPr="0014270C">
        <w:rPr>
          <w:rFonts w:ascii="Bookman Old Style" w:hAnsi="Bookman Old Style"/>
          <w:sz w:val="24"/>
          <w:szCs w:val="24"/>
        </w:rPr>
        <w:t xml:space="preserve"> as long-term temporary housing, while</w:t>
      </w:r>
      <w:r w:rsidR="00E97C83" w:rsidRPr="0014270C">
        <w:rPr>
          <w:rFonts w:ascii="Bookman Old Style" w:hAnsi="Bookman Old Style"/>
          <w:sz w:val="24"/>
          <w:szCs w:val="24"/>
        </w:rPr>
        <w:t xml:space="preserve"> using</w:t>
      </w:r>
      <w:r w:rsidR="00615725" w:rsidRPr="0014270C">
        <w:rPr>
          <w:rFonts w:ascii="Bookman Old Style" w:hAnsi="Bookman Old Style"/>
          <w:sz w:val="24"/>
          <w:szCs w:val="24"/>
        </w:rPr>
        <w:t xml:space="preserve"> </w:t>
      </w:r>
      <w:r w:rsidRPr="0014270C">
        <w:rPr>
          <w:rFonts w:ascii="Bookman Old Style" w:hAnsi="Bookman Old Style"/>
          <w:sz w:val="24"/>
          <w:szCs w:val="24"/>
        </w:rPr>
        <w:t>trailers</w:t>
      </w:r>
      <w:r w:rsidR="00095B14" w:rsidRPr="0014270C">
        <w:rPr>
          <w:rStyle w:val="FootnoteReference"/>
          <w:rFonts w:ascii="Bookman Old Style" w:hAnsi="Bookman Old Style"/>
          <w:sz w:val="24"/>
          <w:szCs w:val="24"/>
        </w:rPr>
        <w:footnoteReference w:id="14"/>
      </w:r>
      <w:r w:rsidR="00B36EE2" w:rsidRPr="0014270C">
        <w:rPr>
          <w:rFonts w:ascii="Bookman Old Style" w:hAnsi="Bookman Old Style"/>
          <w:sz w:val="24"/>
          <w:szCs w:val="24"/>
        </w:rPr>
        <w:t xml:space="preserve"> </w:t>
      </w:r>
      <w:r w:rsidRPr="0014270C">
        <w:rPr>
          <w:rFonts w:ascii="Bookman Old Style" w:hAnsi="Bookman Old Style"/>
          <w:sz w:val="24"/>
          <w:szCs w:val="24"/>
        </w:rPr>
        <w:t xml:space="preserve">as a short-term solution allowing victims to </w:t>
      </w:r>
      <w:proofErr w:type="gramStart"/>
      <w:r w:rsidRPr="0014270C">
        <w:rPr>
          <w:rFonts w:ascii="Bookman Old Style" w:hAnsi="Bookman Old Style"/>
          <w:sz w:val="24"/>
          <w:szCs w:val="24"/>
        </w:rPr>
        <w:t>be quartered</w:t>
      </w:r>
      <w:proofErr w:type="gramEnd"/>
      <w:r w:rsidRPr="0014270C">
        <w:rPr>
          <w:rFonts w:ascii="Bookman Old Style" w:hAnsi="Bookman Old Style"/>
          <w:sz w:val="24"/>
          <w:szCs w:val="24"/>
        </w:rPr>
        <w:t xml:space="preserve"> in </w:t>
      </w:r>
      <w:r w:rsidRPr="0014270C">
        <w:rPr>
          <w:rFonts w:ascii="Bookman Old Style" w:hAnsi="Bookman Old Style"/>
          <w:noProof/>
          <w:sz w:val="24"/>
          <w:szCs w:val="24"/>
        </w:rPr>
        <w:t>floodplains</w:t>
      </w:r>
      <w:r w:rsidRPr="0014270C">
        <w:rPr>
          <w:rFonts w:ascii="Bookman Old Style" w:hAnsi="Bookman Old Style"/>
          <w:sz w:val="24"/>
          <w:szCs w:val="24"/>
        </w:rPr>
        <w:t xml:space="preserve"> near their damaged properties. Dissimilar to </w:t>
      </w:r>
      <w:r w:rsidR="00A673A0" w:rsidRPr="0014270C">
        <w:rPr>
          <w:rFonts w:ascii="Bookman Old Style" w:hAnsi="Bookman Old Style"/>
          <w:sz w:val="24"/>
          <w:szCs w:val="24"/>
        </w:rPr>
        <w:t>MHUs</w:t>
      </w:r>
      <w:r w:rsidRPr="0014270C">
        <w:rPr>
          <w:rFonts w:ascii="Bookman Old Style" w:hAnsi="Bookman Old Style"/>
          <w:sz w:val="24"/>
          <w:szCs w:val="24"/>
        </w:rPr>
        <w:t>, trailers</w:t>
      </w:r>
      <w:r w:rsidR="003D0EC8" w:rsidRPr="0014270C">
        <w:rPr>
          <w:rFonts w:ascii="Bookman Old Style" w:hAnsi="Bookman Old Style"/>
          <w:sz w:val="24"/>
          <w:szCs w:val="24"/>
        </w:rPr>
        <w:t xml:space="preserve"> </w:t>
      </w:r>
      <w:proofErr w:type="gramStart"/>
      <w:r w:rsidRPr="0014270C">
        <w:rPr>
          <w:rFonts w:ascii="Bookman Old Style" w:hAnsi="Bookman Old Style"/>
          <w:sz w:val="24"/>
          <w:szCs w:val="24"/>
        </w:rPr>
        <w:t>are classified</w:t>
      </w:r>
      <w:proofErr w:type="gramEnd"/>
      <w:r w:rsidRPr="0014270C">
        <w:rPr>
          <w:rFonts w:ascii="Bookman Old Style" w:hAnsi="Bookman Old Style"/>
          <w:sz w:val="24"/>
          <w:szCs w:val="24"/>
        </w:rPr>
        <w:t xml:space="preserve"> as transportation</w:t>
      </w:r>
      <w:r w:rsidR="00301469" w:rsidRPr="0014270C">
        <w:rPr>
          <w:rFonts w:ascii="Bookman Old Style" w:hAnsi="Bookman Old Style"/>
          <w:sz w:val="24"/>
          <w:szCs w:val="24"/>
        </w:rPr>
        <w:t xml:space="preserve"> and </w:t>
      </w:r>
      <w:r w:rsidRPr="0014270C">
        <w:rPr>
          <w:rFonts w:ascii="Bookman Old Style" w:hAnsi="Bookman Old Style"/>
          <w:sz w:val="24"/>
          <w:szCs w:val="24"/>
        </w:rPr>
        <w:t xml:space="preserve">because of this, </w:t>
      </w:r>
      <w:r w:rsidR="00D26132">
        <w:rPr>
          <w:rFonts w:ascii="Bookman Old Style" w:hAnsi="Bookman Old Style"/>
          <w:sz w:val="24"/>
          <w:szCs w:val="24"/>
        </w:rPr>
        <w:t>the Department of Housing and Urban Development (</w:t>
      </w:r>
      <w:r w:rsidRPr="0014270C">
        <w:rPr>
          <w:rFonts w:ascii="Bookman Old Style" w:hAnsi="Bookman Old Style"/>
          <w:sz w:val="24"/>
          <w:szCs w:val="24"/>
        </w:rPr>
        <w:t>HUD</w:t>
      </w:r>
      <w:r w:rsidR="00D26132">
        <w:rPr>
          <w:rFonts w:ascii="Bookman Old Style" w:hAnsi="Bookman Old Style"/>
          <w:sz w:val="24"/>
          <w:szCs w:val="24"/>
        </w:rPr>
        <w:t>)</w:t>
      </w:r>
      <w:r w:rsidRPr="0014270C">
        <w:rPr>
          <w:rFonts w:ascii="Bookman Old Style" w:hAnsi="Bookman Old Style"/>
          <w:sz w:val="24"/>
          <w:szCs w:val="24"/>
        </w:rPr>
        <w:t xml:space="preserve"> had no established standards for long-term viability as housing. This lack of standards led to rising health concerns for victims </w:t>
      </w:r>
      <w:r w:rsidR="00703FCC" w:rsidRPr="0014270C">
        <w:rPr>
          <w:rFonts w:ascii="Bookman Old Style" w:hAnsi="Bookman Old Style"/>
          <w:sz w:val="24"/>
          <w:szCs w:val="24"/>
        </w:rPr>
        <w:t>who were using the</w:t>
      </w:r>
      <w:r w:rsidR="008638AC" w:rsidRPr="0014270C">
        <w:rPr>
          <w:rFonts w:ascii="Bookman Old Style" w:hAnsi="Bookman Old Style"/>
          <w:sz w:val="24"/>
          <w:szCs w:val="24"/>
        </w:rPr>
        <w:t xml:space="preserve"> vehicles as long</w:t>
      </w:r>
      <w:r w:rsidR="00517F78" w:rsidRPr="0014270C">
        <w:rPr>
          <w:rFonts w:ascii="Bookman Old Style" w:hAnsi="Bookman Old Style"/>
          <w:sz w:val="24"/>
          <w:szCs w:val="24"/>
        </w:rPr>
        <w:t>-</w:t>
      </w:r>
      <w:r w:rsidR="008638AC" w:rsidRPr="0014270C">
        <w:rPr>
          <w:rFonts w:ascii="Bookman Old Style" w:hAnsi="Bookman Old Style"/>
          <w:sz w:val="24"/>
          <w:szCs w:val="24"/>
        </w:rPr>
        <w:t xml:space="preserve">term living solutions </w:t>
      </w:r>
      <w:r w:rsidRPr="0014270C">
        <w:rPr>
          <w:rFonts w:ascii="Bookman Old Style" w:hAnsi="Bookman Old Style"/>
          <w:sz w:val="24"/>
          <w:szCs w:val="24"/>
        </w:rPr>
        <w:t xml:space="preserve">and quickly became a topic of discussion across news outlets, leaving a lasting imprint on American history. </w:t>
      </w:r>
    </w:p>
    <w:p w14:paraId="593ABBC8" w14:textId="3B5A1268" w:rsidR="00443AD1" w:rsidRPr="0014270C" w:rsidRDefault="006A01E5" w:rsidP="00B10712">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A rise in reports of illness from the victims of Katrina started pouring in </w:t>
      </w:r>
      <w:r w:rsidR="00A45989" w:rsidRPr="0014270C">
        <w:rPr>
          <w:rFonts w:ascii="Bookman Old Style" w:hAnsi="Bookman Old Style"/>
          <w:sz w:val="24"/>
          <w:szCs w:val="24"/>
        </w:rPr>
        <w:t xml:space="preserve">by early 2006, mostly from upper respiratory </w:t>
      </w:r>
      <w:r w:rsidR="007F76D2" w:rsidRPr="0014270C">
        <w:rPr>
          <w:rFonts w:ascii="Bookman Old Style" w:hAnsi="Bookman Old Style"/>
          <w:sz w:val="24"/>
          <w:szCs w:val="24"/>
        </w:rPr>
        <w:t>symptoms such as sore throat, itching</w:t>
      </w:r>
      <w:r w:rsidR="00E34F54" w:rsidRPr="0014270C">
        <w:rPr>
          <w:rFonts w:ascii="Bookman Old Style" w:hAnsi="Bookman Old Style"/>
          <w:sz w:val="24"/>
          <w:szCs w:val="24"/>
        </w:rPr>
        <w:t xml:space="preserve"> and</w:t>
      </w:r>
      <w:r w:rsidR="007F76D2" w:rsidRPr="0014270C">
        <w:rPr>
          <w:rFonts w:ascii="Bookman Old Style" w:hAnsi="Bookman Old Style"/>
          <w:sz w:val="24"/>
          <w:szCs w:val="24"/>
        </w:rPr>
        <w:t xml:space="preserve"> burning </w:t>
      </w:r>
      <w:r w:rsidR="00A47386" w:rsidRPr="0014270C">
        <w:rPr>
          <w:rFonts w:ascii="Bookman Old Style" w:hAnsi="Bookman Old Style"/>
          <w:sz w:val="24"/>
          <w:szCs w:val="24"/>
        </w:rPr>
        <w:t xml:space="preserve">in the nose and eyes, and </w:t>
      </w:r>
      <w:r w:rsidR="00E34F54" w:rsidRPr="0014270C">
        <w:rPr>
          <w:rFonts w:ascii="Bookman Old Style" w:hAnsi="Bookman Old Style"/>
          <w:sz w:val="24"/>
          <w:szCs w:val="24"/>
        </w:rPr>
        <w:t xml:space="preserve">nasal </w:t>
      </w:r>
      <w:r w:rsidR="00FF07B4" w:rsidRPr="0014270C">
        <w:rPr>
          <w:rFonts w:ascii="Bookman Old Style" w:hAnsi="Bookman Old Style"/>
          <w:sz w:val="24"/>
          <w:szCs w:val="24"/>
        </w:rPr>
        <w:t>congestion. While it was no</w:t>
      </w:r>
      <w:r w:rsidR="00A47386" w:rsidRPr="0014270C">
        <w:rPr>
          <w:rFonts w:ascii="Bookman Old Style" w:hAnsi="Bookman Old Style"/>
          <w:sz w:val="24"/>
          <w:szCs w:val="24"/>
        </w:rPr>
        <w:t xml:space="preserve">t known for </w:t>
      </w:r>
      <w:r w:rsidR="00E903A7" w:rsidRPr="0014270C">
        <w:rPr>
          <w:rFonts w:ascii="Bookman Old Style" w:hAnsi="Bookman Old Style"/>
          <w:sz w:val="24"/>
          <w:szCs w:val="24"/>
        </w:rPr>
        <w:t>certain</w:t>
      </w:r>
      <w:r w:rsidR="00A47386" w:rsidRPr="0014270C">
        <w:rPr>
          <w:rFonts w:ascii="Bookman Old Style" w:hAnsi="Bookman Old Style"/>
          <w:sz w:val="24"/>
          <w:szCs w:val="24"/>
        </w:rPr>
        <w:t xml:space="preserve"> at the time, </w:t>
      </w:r>
      <w:r w:rsidR="00E2270A" w:rsidRPr="0014270C">
        <w:rPr>
          <w:rFonts w:ascii="Bookman Old Style" w:hAnsi="Bookman Old Style"/>
          <w:sz w:val="24"/>
          <w:szCs w:val="24"/>
        </w:rPr>
        <w:t>an explanation that physicians w</w:t>
      </w:r>
      <w:r w:rsidR="00E903A7" w:rsidRPr="0014270C">
        <w:rPr>
          <w:rFonts w:ascii="Bookman Old Style" w:hAnsi="Bookman Old Style"/>
          <w:sz w:val="24"/>
          <w:szCs w:val="24"/>
        </w:rPr>
        <w:t>ere</w:t>
      </w:r>
      <w:r w:rsidR="00E2270A" w:rsidRPr="0014270C">
        <w:rPr>
          <w:rFonts w:ascii="Bookman Old Style" w:hAnsi="Bookman Old Style"/>
          <w:sz w:val="24"/>
          <w:szCs w:val="24"/>
        </w:rPr>
        <w:t xml:space="preserve"> suggesting was </w:t>
      </w:r>
      <w:r w:rsidR="00E903A7" w:rsidRPr="0014270C">
        <w:rPr>
          <w:rFonts w:ascii="Bookman Old Style" w:hAnsi="Bookman Old Style"/>
          <w:sz w:val="24"/>
          <w:szCs w:val="24"/>
        </w:rPr>
        <w:t>formaldehyde exposure.</w:t>
      </w:r>
      <w:r w:rsidR="002E790E" w:rsidRPr="0014270C">
        <w:rPr>
          <w:rStyle w:val="FootnoteReference"/>
          <w:rFonts w:ascii="Bookman Old Style" w:hAnsi="Bookman Old Style"/>
          <w:sz w:val="24"/>
          <w:szCs w:val="24"/>
        </w:rPr>
        <w:footnoteReference w:id="15"/>
      </w:r>
      <w:r w:rsidR="00E903A7" w:rsidRPr="0014270C">
        <w:rPr>
          <w:rFonts w:ascii="Bookman Old Style" w:hAnsi="Bookman Old Style"/>
          <w:sz w:val="24"/>
          <w:szCs w:val="24"/>
        </w:rPr>
        <w:t xml:space="preserve"> </w:t>
      </w:r>
      <w:r w:rsidR="00D915B8" w:rsidRPr="0014270C">
        <w:rPr>
          <w:rFonts w:ascii="Bookman Old Style" w:hAnsi="Bookman Old Style"/>
          <w:sz w:val="24"/>
          <w:szCs w:val="24"/>
        </w:rPr>
        <w:t>Formaldehyde</w:t>
      </w:r>
      <w:r w:rsidR="002614B6" w:rsidRPr="0014270C">
        <w:rPr>
          <w:rFonts w:ascii="Bookman Old Style" w:hAnsi="Bookman Old Style"/>
          <w:sz w:val="24"/>
          <w:szCs w:val="24"/>
        </w:rPr>
        <w:t xml:space="preserve"> (CH</w:t>
      </w:r>
      <w:r w:rsidR="002614B6" w:rsidRPr="0014270C">
        <w:rPr>
          <w:rFonts w:ascii="Bookman Old Style" w:hAnsi="Bookman Old Style"/>
          <w:sz w:val="24"/>
          <w:szCs w:val="24"/>
          <w:vertAlign w:val="subscript"/>
        </w:rPr>
        <w:t>2</w:t>
      </w:r>
      <w:r w:rsidR="002614B6" w:rsidRPr="0014270C">
        <w:rPr>
          <w:rFonts w:ascii="Bookman Old Style" w:hAnsi="Bookman Old Style"/>
          <w:sz w:val="24"/>
          <w:szCs w:val="24"/>
        </w:rPr>
        <w:t>O)</w:t>
      </w:r>
      <w:r w:rsidR="00D915B8" w:rsidRPr="0014270C">
        <w:rPr>
          <w:rFonts w:ascii="Bookman Old Style" w:hAnsi="Bookman Old Style"/>
          <w:sz w:val="24"/>
          <w:szCs w:val="24"/>
        </w:rPr>
        <w:t xml:space="preserve"> </w:t>
      </w:r>
      <w:r w:rsidR="00507796" w:rsidRPr="0014270C">
        <w:rPr>
          <w:rFonts w:ascii="Bookman Old Style" w:hAnsi="Bookman Old Style"/>
          <w:sz w:val="24"/>
          <w:szCs w:val="24"/>
        </w:rPr>
        <w:t>is a colorless gas</w:t>
      </w:r>
      <w:r w:rsidR="00183236" w:rsidRPr="0014270C">
        <w:rPr>
          <w:rFonts w:ascii="Bookman Old Style" w:hAnsi="Bookman Old Style"/>
          <w:sz w:val="24"/>
          <w:szCs w:val="24"/>
        </w:rPr>
        <w:t xml:space="preserve"> that can cause upper respiratory symptoms in peo</w:t>
      </w:r>
      <w:r w:rsidR="00334C66" w:rsidRPr="0014270C">
        <w:rPr>
          <w:rFonts w:ascii="Bookman Old Style" w:hAnsi="Bookman Old Style"/>
          <w:sz w:val="24"/>
          <w:szCs w:val="24"/>
        </w:rPr>
        <w:t xml:space="preserve">ple </w:t>
      </w:r>
      <w:r w:rsidR="00D432E3" w:rsidRPr="0014270C">
        <w:rPr>
          <w:rFonts w:ascii="Bookman Old Style" w:hAnsi="Bookman Old Style"/>
          <w:sz w:val="24"/>
          <w:szCs w:val="24"/>
        </w:rPr>
        <w:t xml:space="preserve">who </w:t>
      </w:r>
      <w:proofErr w:type="gramStart"/>
      <w:r w:rsidR="00D432E3" w:rsidRPr="0014270C">
        <w:rPr>
          <w:rFonts w:ascii="Bookman Old Style" w:hAnsi="Bookman Old Style"/>
          <w:sz w:val="24"/>
          <w:szCs w:val="24"/>
        </w:rPr>
        <w:t>are exposed</w:t>
      </w:r>
      <w:proofErr w:type="gramEnd"/>
      <w:r w:rsidR="00D432E3" w:rsidRPr="0014270C">
        <w:rPr>
          <w:rFonts w:ascii="Bookman Old Style" w:hAnsi="Bookman Old Style"/>
          <w:sz w:val="24"/>
          <w:szCs w:val="24"/>
        </w:rPr>
        <w:t xml:space="preserve"> </w:t>
      </w:r>
      <w:r w:rsidR="008D3F81" w:rsidRPr="0014270C">
        <w:rPr>
          <w:rFonts w:ascii="Bookman Old Style" w:hAnsi="Bookman Old Style"/>
          <w:sz w:val="24"/>
          <w:szCs w:val="24"/>
        </w:rPr>
        <w:t>to high concentrations for extended amounts of time</w:t>
      </w:r>
      <w:r w:rsidR="001B3D7C" w:rsidRPr="0014270C">
        <w:rPr>
          <w:rFonts w:ascii="Bookman Old Style" w:hAnsi="Bookman Old Style"/>
          <w:sz w:val="24"/>
          <w:szCs w:val="24"/>
        </w:rPr>
        <w:t>.</w:t>
      </w:r>
      <w:r w:rsidR="00334C66" w:rsidRPr="0014270C">
        <w:rPr>
          <w:rFonts w:ascii="Bookman Old Style" w:hAnsi="Bookman Old Style"/>
          <w:sz w:val="24"/>
          <w:szCs w:val="24"/>
        </w:rPr>
        <w:t xml:space="preserve"> </w:t>
      </w:r>
      <w:r w:rsidR="001B3D7C" w:rsidRPr="0014270C">
        <w:rPr>
          <w:rFonts w:ascii="Bookman Old Style" w:hAnsi="Bookman Old Style"/>
          <w:sz w:val="24"/>
          <w:szCs w:val="24"/>
        </w:rPr>
        <w:t>I</w:t>
      </w:r>
      <w:r w:rsidR="00652615" w:rsidRPr="0014270C">
        <w:rPr>
          <w:rFonts w:ascii="Bookman Old Style" w:hAnsi="Bookman Old Style"/>
          <w:sz w:val="24"/>
          <w:szCs w:val="24"/>
        </w:rPr>
        <w:t xml:space="preserve">n 1987, </w:t>
      </w:r>
      <w:r w:rsidR="007E2BA0" w:rsidRPr="0014270C">
        <w:rPr>
          <w:rFonts w:ascii="Bookman Old Style" w:hAnsi="Bookman Old Style"/>
          <w:sz w:val="24"/>
          <w:szCs w:val="24"/>
        </w:rPr>
        <w:t xml:space="preserve">the US Centers for Disease Control and Prevention (CDC) </w:t>
      </w:r>
      <w:r w:rsidR="00D915B8" w:rsidRPr="0014270C">
        <w:rPr>
          <w:rFonts w:ascii="Bookman Old Style" w:hAnsi="Bookman Old Style"/>
          <w:sz w:val="24"/>
          <w:szCs w:val="24"/>
        </w:rPr>
        <w:t xml:space="preserve">classified </w:t>
      </w:r>
      <w:r w:rsidR="00492650" w:rsidRPr="0014270C">
        <w:rPr>
          <w:rFonts w:ascii="Bookman Old Style" w:hAnsi="Bookman Old Style"/>
          <w:sz w:val="24"/>
          <w:szCs w:val="24"/>
        </w:rPr>
        <w:t>the c</w:t>
      </w:r>
      <w:r w:rsidR="00652615" w:rsidRPr="0014270C">
        <w:rPr>
          <w:rFonts w:ascii="Bookman Old Style" w:hAnsi="Bookman Old Style"/>
          <w:sz w:val="24"/>
          <w:szCs w:val="24"/>
        </w:rPr>
        <w:t>ompound</w:t>
      </w:r>
      <w:r w:rsidR="00D915B8" w:rsidRPr="0014270C">
        <w:rPr>
          <w:rFonts w:ascii="Bookman Old Style" w:hAnsi="Bookman Old Style"/>
          <w:sz w:val="24"/>
          <w:szCs w:val="24"/>
        </w:rPr>
        <w:t xml:space="preserve"> as a probable human carcinogen, though it </w:t>
      </w:r>
      <w:r w:rsidR="006B6A07" w:rsidRPr="0014270C">
        <w:rPr>
          <w:rFonts w:ascii="Bookman Old Style" w:hAnsi="Bookman Old Style"/>
          <w:sz w:val="24"/>
          <w:szCs w:val="24"/>
        </w:rPr>
        <w:t>took</w:t>
      </w:r>
      <w:r w:rsidR="00D915B8" w:rsidRPr="0014270C">
        <w:rPr>
          <w:rFonts w:ascii="Bookman Old Style" w:hAnsi="Bookman Old Style"/>
          <w:sz w:val="24"/>
          <w:szCs w:val="24"/>
        </w:rPr>
        <w:t xml:space="preserve"> until 2011 </w:t>
      </w:r>
      <w:r w:rsidR="006B6A07" w:rsidRPr="0014270C">
        <w:rPr>
          <w:rFonts w:ascii="Bookman Old Style" w:hAnsi="Bookman Old Style"/>
          <w:sz w:val="24"/>
          <w:szCs w:val="24"/>
        </w:rPr>
        <w:t xml:space="preserve">for the </w:t>
      </w:r>
      <w:r w:rsidR="00D915B8" w:rsidRPr="0014270C">
        <w:rPr>
          <w:rFonts w:ascii="Bookman Old Style" w:hAnsi="Bookman Old Style"/>
          <w:sz w:val="24"/>
          <w:szCs w:val="24"/>
        </w:rPr>
        <w:t xml:space="preserve">National Toxicology </w:t>
      </w:r>
      <w:r w:rsidR="00D915B8" w:rsidRPr="0014270C">
        <w:rPr>
          <w:rFonts w:ascii="Bookman Old Style" w:hAnsi="Bookman Old Style"/>
          <w:sz w:val="24"/>
          <w:szCs w:val="24"/>
        </w:rPr>
        <w:lastRenderedPageBreak/>
        <w:t>Program</w:t>
      </w:r>
      <w:r w:rsidR="00634B21" w:rsidRPr="0014270C">
        <w:rPr>
          <w:rFonts w:ascii="Bookman Old Style" w:hAnsi="Bookman Old Style"/>
          <w:sz w:val="24"/>
          <w:szCs w:val="24"/>
        </w:rPr>
        <w:t>,</w:t>
      </w:r>
      <w:r w:rsidR="00D915B8" w:rsidRPr="0014270C">
        <w:rPr>
          <w:rFonts w:ascii="Bookman Old Style" w:hAnsi="Bookman Old Style"/>
          <w:sz w:val="24"/>
          <w:szCs w:val="24"/>
        </w:rPr>
        <w:t xml:space="preserve"> as part of the Department of Health and Human Services</w:t>
      </w:r>
      <w:r w:rsidR="00634B21" w:rsidRPr="0014270C">
        <w:rPr>
          <w:rFonts w:ascii="Bookman Old Style" w:hAnsi="Bookman Old Style"/>
          <w:sz w:val="24"/>
          <w:szCs w:val="24"/>
        </w:rPr>
        <w:t>,</w:t>
      </w:r>
      <w:r w:rsidR="006B6A07" w:rsidRPr="0014270C">
        <w:rPr>
          <w:rFonts w:ascii="Bookman Old Style" w:hAnsi="Bookman Old Style"/>
          <w:sz w:val="24"/>
          <w:szCs w:val="24"/>
        </w:rPr>
        <w:t xml:space="preserve"> to</w:t>
      </w:r>
      <w:r w:rsidR="00D915B8" w:rsidRPr="0014270C">
        <w:rPr>
          <w:rFonts w:ascii="Bookman Old Style" w:hAnsi="Bookman Old Style"/>
          <w:sz w:val="24"/>
          <w:szCs w:val="24"/>
        </w:rPr>
        <w:t xml:space="preserve"> officially pronounced it a known human carcinogen.</w:t>
      </w:r>
      <w:r w:rsidR="00D915B8" w:rsidRPr="0014270C">
        <w:rPr>
          <w:rStyle w:val="FootnoteReference"/>
          <w:rFonts w:ascii="Bookman Old Style" w:hAnsi="Bookman Old Style"/>
          <w:sz w:val="24"/>
          <w:szCs w:val="24"/>
        </w:rPr>
        <w:footnoteReference w:id="16"/>
      </w:r>
      <w:r w:rsidR="00D915B8" w:rsidRPr="0014270C">
        <w:rPr>
          <w:rFonts w:ascii="Bookman Old Style" w:hAnsi="Bookman Old Style"/>
          <w:sz w:val="24"/>
          <w:szCs w:val="24"/>
        </w:rPr>
        <w:t xml:space="preserve"> </w:t>
      </w:r>
    </w:p>
    <w:p w14:paraId="261D7146" w14:textId="18947159" w:rsidR="0030152C" w:rsidRPr="0014270C" w:rsidRDefault="002D18BE" w:rsidP="0030152C">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Media outlets began learning of the toxic levels of formaldehyde </w:t>
      </w:r>
      <w:r w:rsidR="005D5525" w:rsidRPr="0014270C">
        <w:rPr>
          <w:rFonts w:ascii="Bookman Old Style" w:hAnsi="Bookman Old Style"/>
          <w:sz w:val="24"/>
          <w:szCs w:val="24"/>
        </w:rPr>
        <w:t>in</w:t>
      </w:r>
      <w:r w:rsidRPr="0014270C">
        <w:rPr>
          <w:rFonts w:ascii="Bookman Old Style" w:hAnsi="Bookman Old Style"/>
          <w:sz w:val="24"/>
          <w:szCs w:val="24"/>
        </w:rPr>
        <w:t xml:space="preserve"> </w:t>
      </w:r>
      <w:r w:rsidR="00637760" w:rsidRPr="0014270C">
        <w:rPr>
          <w:rFonts w:ascii="Bookman Old Style" w:hAnsi="Bookman Old Style"/>
          <w:sz w:val="24"/>
          <w:szCs w:val="24"/>
        </w:rPr>
        <w:t xml:space="preserve">FEMA trailers provided </w:t>
      </w:r>
      <w:r w:rsidR="005D5525" w:rsidRPr="0014270C">
        <w:rPr>
          <w:rFonts w:ascii="Bookman Old Style" w:hAnsi="Bookman Old Style"/>
          <w:sz w:val="24"/>
          <w:szCs w:val="24"/>
        </w:rPr>
        <w:t xml:space="preserve">to victims </w:t>
      </w:r>
      <w:r w:rsidR="00637760" w:rsidRPr="0014270C">
        <w:rPr>
          <w:rFonts w:ascii="Bookman Old Style" w:hAnsi="Bookman Old Style"/>
          <w:sz w:val="24"/>
          <w:szCs w:val="24"/>
        </w:rPr>
        <w:t>after Katrina</w:t>
      </w:r>
      <w:r w:rsidR="00111C00" w:rsidRPr="0014270C">
        <w:rPr>
          <w:rFonts w:ascii="Bookman Old Style" w:hAnsi="Bookman Old Style"/>
          <w:sz w:val="24"/>
          <w:szCs w:val="24"/>
        </w:rPr>
        <w:t>, broadc</w:t>
      </w:r>
      <w:r w:rsidR="00BA5669" w:rsidRPr="0014270C">
        <w:rPr>
          <w:rFonts w:ascii="Bookman Old Style" w:hAnsi="Bookman Old Style"/>
          <w:sz w:val="24"/>
          <w:szCs w:val="24"/>
        </w:rPr>
        <w:t>asting this information throughout the world.</w:t>
      </w:r>
      <w:r w:rsidR="001F7A74" w:rsidRPr="0014270C">
        <w:rPr>
          <w:rFonts w:ascii="Bookman Old Style" w:hAnsi="Bookman Old Style"/>
          <w:sz w:val="24"/>
          <w:szCs w:val="24"/>
        </w:rPr>
        <w:t xml:space="preserve"> As a result of </w:t>
      </w:r>
      <w:r w:rsidR="002E0275" w:rsidRPr="0014270C">
        <w:rPr>
          <w:rFonts w:ascii="Bookman Old Style" w:hAnsi="Bookman Old Style"/>
          <w:sz w:val="24"/>
          <w:szCs w:val="24"/>
        </w:rPr>
        <w:t>the illness victims reported and the attention the issue was receiving</w:t>
      </w:r>
      <w:r w:rsidR="005169BF" w:rsidRPr="0014270C">
        <w:rPr>
          <w:rFonts w:ascii="Bookman Old Style" w:hAnsi="Bookman Old Style"/>
          <w:sz w:val="24"/>
          <w:szCs w:val="24"/>
        </w:rPr>
        <w:t xml:space="preserve"> on a global scale</w:t>
      </w:r>
      <w:r w:rsidR="002E0275" w:rsidRPr="0014270C">
        <w:rPr>
          <w:rFonts w:ascii="Bookman Old Style" w:hAnsi="Bookman Old Style"/>
          <w:sz w:val="24"/>
          <w:szCs w:val="24"/>
        </w:rPr>
        <w:t xml:space="preserve">, </w:t>
      </w:r>
      <w:r w:rsidR="005F2FDE" w:rsidRPr="0014270C">
        <w:rPr>
          <w:rFonts w:ascii="Bookman Old Style" w:hAnsi="Bookman Old Style"/>
          <w:sz w:val="24"/>
          <w:szCs w:val="24"/>
        </w:rPr>
        <w:t xml:space="preserve">investigations and major lawsuits </w:t>
      </w:r>
      <w:r w:rsidR="00F609CB" w:rsidRPr="0014270C">
        <w:rPr>
          <w:rFonts w:ascii="Bookman Old Style" w:hAnsi="Bookman Old Style"/>
          <w:sz w:val="24"/>
          <w:szCs w:val="24"/>
        </w:rPr>
        <w:t xml:space="preserve">came </w:t>
      </w:r>
      <w:r w:rsidR="00B66BF9" w:rsidRPr="0014270C">
        <w:rPr>
          <w:rFonts w:ascii="Bookman Old Style" w:hAnsi="Bookman Old Style"/>
          <w:sz w:val="24"/>
          <w:szCs w:val="24"/>
        </w:rPr>
        <w:t>about</w:t>
      </w:r>
      <w:r w:rsidR="005F2FDE" w:rsidRPr="0014270C">
        <w:rPr>
          <w:rFonts w:ascii="Bookman Old Style" w:hAnsi="Bookman Old Style"/>
          <w:sz w:val="24"/>
          <w:szCs w:val="24"/>
        </w:rPr>
        <w:t xml:space="preserve"> – creating another level of </w:t>
      </w:r>
      <w:r w:rsidR="00B36D62" w:rsidRPr="0014270C">
        <w:rPr>
          <w:rFonts w:ascii="Bookman Old Style" w:hAnsi="Bookman Old Style"/>
          <w:sz w:val="24"/>
          <w:szCs w:val="24"/>
        </w:rPr>
        <w:t xml:space="preserve">expense to post-Katrina </w:t>
      </w:r>
      <w:r w:rsidR="005169BF" w:rsidRPr="0014270C">
        <w:rPr>
          <w:rFonts w:ascii="Bookman Old Style" w:hAnsi="Bookman Old Style"/>
          <w:sz w:val="24"/>
          <w:szCs w:val="24"/>
        </w:rPr>
        <w:t>recovery.</w:t>
      </w:r>
      <w:r w:rsidR="00801853" w:rsidRPr="0014270C">
        <w:rPr>
          <w:rFonts w:ascii="Bookman Old Style" w:hAnsi="Bookman Old Style"/>
          <w:sz w:val="24"/>
          <w:szCs w:val="24"/>
        </w:rPr>
        <w:t xml:space="preserve"> </w:t>
      </w:r>
      <w:r w:rsidR="000C479D" w:rsidRPr="0014270C">
        <w:rPr>
          <w:rFonts w:ascii="Bookman Old Style" w:hAnsi="Bookman Old Style"/>
          <w:sz w:val="24"/>
          <w:szCs w:val="24"/>
        </w:rPr>
        <w:t xml:space="preserve">In 2012, US District Judge Kurt Engelhardt approved a settlement of US$42.6 million to </w:t>
      </w:r>
      <w:proofErr w:type="gramStart"/>
      <w:r w:rsidR="000C479D" w:rsidRPr="0014270C">
        <w:rPr>
          <w:rFonts w:ascii="Bookman Old Style" w:hAnsi="Bookman Old Style"/>
          <w:sz w:val="24"/>
          <w:szCs w:val="24"/>
        </w:rPr>
        <w:t>be</w:t>
      </w:r>
      <w:r w:rsidR="002B43D2" w:rsidRPr="0014270C">
        <w:rPr>
          <w:rFonts w:ascii="Bookman Old Style" w:hAnsi="Bookman Old Style"/>
          <w:sz w:val="24"/>
          <w:szCs w:val="24"/>
        </w:rPr>
        <w:t xml:space="preserve"> paid</w:t>
      </w:r>
      <w:proofErr w:type="gramEnd"/>
      <w:r w:rsidR="002B43D2" w:rsidRPr="0014270C">
        <w:rPr>
          <w:rFonts w:ascii="Bookman Old Style" w:hAnsi="Bookman Old Style"/>
          <w:sz w:val="24"/>
          <w:szCs w:val="24"/>
        </w:rPr>
        <w:t xml:space="preserve"> to victims by </w:t>
      </w:r>
      <w:r w:rsidR="00FF07B4" w:rsidRPr="0014270C">
        <w:rPr>
          <w:rFonts w:ascii="Bookman Old Style" w:hAnsi="Bookman Old Style"/>
          <w:sz w:val="24"/>
          <w:szCs w:val="24"/>
        </w:rPr>
        <w:t xml:space="preserve">the </w:t>
      </w:r>
      <w:r w:rsidR="002B43D2" w:rsidRPr="0014270C">
        <w:rPr>
          <w:rFonts w:ascii="Bookman Old Style" w:hAnsi="Bookman Old Style"/>
          <w:sz w:val="24"/>
          <w:szCs w:val="24"/>
        </w:rPr>
        <w:t>trailer manufacturers</w:t>
      </w:r>
      <w:r w:rsidR="0089787D" w:rsidRPr="0014270C">
        <w:rPr>
          <w:rFonts w:ascii="Bookman Old Style" w:hAnsi="Bookman Old Style"/>
          <w:sz w:val="24"/>
          <w:szCs w:val="24"/>
        </w:rPr>
        <w:t xml:space="preserve">, as well as an additional US$5.1 million </w:t>
      </w:r>
      <w:r w:rsidR="00EC4D2B" w:rsidRPr="0014270C">
        <w:rPr>
          <w:rFonts w:ascii="Bookman Old Style" w:hAnsi="Bookman Old Style"/>
          <w:sz w:val="24"/>
          <w:szCs w:val="24"/>
        </w:rPr>
        <w:t xml:space="preserve">settlement paid by </w:t>
      </w:r>
      <w:r w:rsidR="00EC4D2B" w:rsidRPr="0014270C">
        <w:rPr>
          <w:rFonts w:ascii="Bookman Old Style" w:hAnsi="Bookman Old Style"/>
          <w:noProof/>
          <w:sz w:val="24"/>
          <w:szCs w:val="24"/>
        </w:rPr>
        <w:t>cont</w:t>
      </w:r>
      <w:r w:rsidR="009F7167" w:rsidRPr="0014270C">
        <w:rPr>
          <w:rFonts w:ascii="Bookman Old Style" w:hAnsi="Bookman Old Style"/>
          <w:noProof/>
          <w:sz w:val="24"/>
          <w:szCs w:val="24"/>
        </w:rPr>
        <w:t>r</w:t>
      </w:r>
      <w:r w:rsidR="00EC4D2B" w:rsidRPr="0014270C">
        <w:rPr>
          <w:rFonts w:ascii="Bookman Old Style" w:hAnsi="Bookman Old Style"/>
          <w:noProof/>
          <w:sz w:val="24"/>
          <w:szCs w:val="24"/>
        </w:rPr>
        <w:t>actors</w:t>
      </w:r>
      <w:r w:rsidR="00EC4D2B" w:rsidRPr="0014270C">
        <w:rPr>
          <w:rFonts w:ascii="Bookman Old Style" w:hAnsi="Bookman Old Style"/>
          <w:sz w:val="24"/>
          <w:szCs w:val="24"/>
        </w:rPr>
        <w:t xml:space="preserve"> used for installation and maintenance.</w:t>
      </w:r>
      <w:r w:rsidR="00524374" w:rsidRPr="0014270C">
        <w:rPr>
          <w:rStyle w:val="FootnoteReference"/>
          <w:rFonts w:ascii="Bookman Old Style" w:hAnsi="Bookman Old Style"/>
          <w:sz w:val="24"/>
          <w:szCs w:val="24"/>
        </w:rPr>
        <w:footnoteReference w:id="17"/>
      </w:r>
      <w:r w:rsidR="00BA5669" w:rsidRPr="0014270C">
        <w:rPr>
          <w:rFonts w:ascii="Bookman Old Style" w:hAnsi="Bookman Old Style"/>
          <w:sz w:val="24"/>
          <w:szCs w:val="24"/>
        </w:rPr>
        <w:t xml:space="preserve"> </w:t>
      </w:r>
    </w:p>
    <w:p w14:paraId="1B269029" w14:textId="77777777" w:rsidR="00465971" w:rsidRPr="0014270C" w:rsidRDefault="00465971" w:rsidP="00465971">
      <w:pPr>
        <w:spacing w:line="480" w:lineRule="auto"/>
        <w:ind w:firstLine="720"/>
        <w:rPr>
          <w:rFonts w:ascii="Bookman Old Style" w:hAnsi="Bookman Old Style"/>
          <w:sz w:val="24"/>
          <w:szCs w:val="24"/>
        </w:rPr>
      </w:pPr>
      <w:bookmarkStart w:id="13" w:name="_Toc8062251"/>
      <w:r w:rsidRPr="0014270C">
        <w:rPr>
          <w:rStyle w:val="THESISLVL4Char"/>
        </w:rPr>
        <w:t>The Lower Ninth Ward</w:t>
      </w:r>
      <w:bookmarkEnd w:id="13"/>
      <w:r w:rsidRPr="0014270C">
        <w:rPr>
          <w:rFonts w:ascii="Bookman Old Style" w:hAnsi="Bookman Old Style"/>
          <w:sz w:val="24"/>
          <w:szCs w:val="24"/>
        </w:rPr>
        <w:t>. Nature cannot discriminate, but in the case of Katrina, many people find that fact hard to believe. Areas like the Lower Ninth Ward in Orleans Parish were already fighting poverty, though people were getting by. The neighborhood has a vibrant and important place in US history as one shaped by free people of color who played a significant role in the civil rights movement, helping freed slaves find their way and start creating their own American dream.</w:t>
      </w:r>
      <w:r w:rsidRPr="0014270C">
        <w:rPr>
          <w:rStyle w:val="FootnoteReference"/>
          <w:rFonts w:ascii="Bookman Old Style" w:hAnsi="Bookman Old Style"/>
          <w:sz w:val="24"/>
          <w:szCs w:val="24"/>
        </w:rPr>
        <w:footnoteReference w:id="18"/>
      </w:r>
      <w:r w:rsidRPr="0014270C">
        <w:rPr>
          <w:rFonts w:ascii="Bookman Old Style" w:hAnsi="Bookman Old Style"/>
          <w:sz w:val="24"/>
          <w:szCs w:val="24"/>
        </w:rPr>
        <w:t xml:space="preserve"> Across the city of New Orleans, it was the neighborhood Katrina hit the hardest, a location that quickly became a major </w:t>
      </w:r>
      <w:r w:rsidRPr="0014270C">
        <w:rPr>
          <w:rFonts w:ascii="Bookman Old Style" w:hAnsi="Bookman Old Style"/>
          <w:sz w:val="24"/>
          <w:szCs w:val="24"/>
        </w:rPr>
        <w:lastRenderedPageBreak/>
        <w:t xml:space="preserve">focus of media attention due to catastrophic flooding and obvious post-disaster neglect in comparison to more affluent areas of the city. Low-income neighborhoods often suffer environmental injustices due to cheap, unsafe land being all that residents can afford; the Lower Ninth is one of those neighborhoods, located in a </w:t>
      </w:r>
      <w:r w:rsidRPr="0014270C">
        <w:rPr>
          <w:rFonts w:ascii="Bookman Old Style" w:hAnsi="Bookman Old Style"/>
          <w:noProof/>
          <w:sz w:val="24"/>
          <w:szCs w:val="24"/>
        </w:rPr>
        <w:t>floodplain</w:t>
      </w:r>
      <w:r w:rsidRPr="0014270C">
        <w:rPr>
          <w:rFonts w:ascii="Bookman Old Style" w:hAnsi="Bookman Old Style"/>
          <w:sz w:val="24"/>
          <w:szCs w:val="24"/>
        </w:rPr>
        <w:t xml:space="preserve"> where it is most vulnerable to hurricane season. </w:t>
      </w:r>
    </w:p>
    <w:p w14:paraId="317531D0" w14:textId="77777777" w:rsidR="00465971" w:rsidRPr="0014270C" w:rsidRDefault="00465971" w:rsidP="00465971">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A Congressional Research Service report prepared for Congress on the topic of social-demographic characteristics of impacted areas provides data showing the Black population of New Orleans to have </w:t>
      </w:r>
      <w:proofErr w:type="gramStart"/>
      <w:r w:rsidRPr="0014270C">
        <w:rPr>
          <w:rFonts w:ascii="Bookman Old Style" w:hAnsi="Bookman Old Style"/>
          <w:sz w:val="24"/>
          <w:szCs w:val="24"/>
        </w:rPr>
        <w:t>been disproportionately affected</w:t>
      </w:r>
      <w:proofErr w:type="gramEnd"/>
      <w:r w:rsidRPr="0014270C">
        <w:rPr>
          <w:rFonts w:ascii="Bookman Old Style" w:hAnsi="Bookman Old Style"/>
          <w:sz w:val="24"/>
          <w:szCs w:val="24"/>
        </w:rPr>
        <w:t xml:space="preserve"> by Hurricane Katrina. It is estimated that 44% of storm victims were Black; in Orleans Parish alone, Black people accounted for 73% of the affected population.</w:t>
      </w:r>
      <w:r w:rsidRPr="0014270C">
        <w:rPr>
          <w:rStyle w:val="FootnoteReference"/>
          <w:rFonts w:ascii="Bookman Old Style" w:hAnsi="Bookman Old Style"/>
          <w:sz w:val="24"/>
          <w:szCs w:val="24"/>
        </w:rPr>
        <w:footnoteReference w:id="19"/>
      </w:r>
      <w:r w:rsidRPr="0014270C">
        <w:rPr>
          <w:rFonts w:ascii="Bookman Old Style" w:hAnsi="Bookman Old Style"/>
          <w:sz w:val="24"/>
          <w:szCs w:val="24"/>
        </w:rPr>
        <w:t xml:space="preserve"> Based on census data, of those who were likely to have been displaced by the storm, an estimated 34% were living below the poverty line.</w:t>
      </w:r>
      <w:r w:rsidRPr="0014270C">
        <w:rPr>
          <w:rStyle w:val="FootnoteReference"/>
          <w:rFonts w:ascii="Bookman Old Style" w:hAnsi="Bookman Old Style"/>
          <w:sz w:val="24"/>
          <w:szCs w:val="24"/>
        </w:rPr>
        <w:footnoteReference w:id="20"/>
      </w:r>
      <w:r w:rsidRPr="0014270C">
        <w:rPr>
          <w:rFonts w:ascii="Bookman Old Style" w:hAnsi="Bookman Old Style"/>
          <w:sz w:val="24"/>
          <w:szCs w:val="24"/>
        </w:rPr>
        <w:t xml:space="preserve"> The 2000 US Census reported 30.65% of Lower Ninth Ward residents were under the age of 18 and 14.01% were over the age of 65.</w:t>
      </w:r>
      <w:r w:rsidRPr="0014270C">
        <w:rPr>
          <w:rStyle w:val="FootnoteReference"/>
          <w:rFonts w:ascii="Bookman Old Style" w:hAnsi="Bookman Old Style"/>
          <w:sz w:val="24"/>
          <w:szCs w:val="24"/>
        </w:rPr>
        <w:footnoteReference w:id="21"/>
      </w:r>
      <w:r w:rsidRPr="0014270C">
        <w:rPr>
          <w:rFonts w:ascii="Bookman Old Style" w:hAnsi="Bookman Old Style"/>
          <w:sz w:val="24"/>
          <w:szCs w:val="24"/>
        </w:rPr>
        <w:t xml:space="preserve"> The median household income for the Lower Ninth according to the census of the same year was approximately US$19,918.20.</w:t>
      </w:r>
      <w:r w:rsidRPr="0014270C">
        <w:rPr>
          <w:rStyle w:val="FootnoteReference"/>
          <w:rFonts w:ascii="Bookman Old Style" w:hAnsi="Bookman Old Style"/>
          <w:sz w:val="24"/>
          <w:szCs w:val="24"/>
        </w:rPr>
        <w:footnoteReference w:id="22"/>
      </w:r>
      <w:r w:rsidRPr="0014270C">
        <w:rPr>
          <w:rFonts w:ascii="Bookman Old Style" w:hAnsi="Bookman Old Style"/>
          <w:sz w:val="24"/>
          <w:szCs w:val="24"/>
        </w:rPr>
        <w:t xml:space="preserve"> Total population for the area sat at </w:t>
      </w:r>
      <w:r w:rsidRPr="0014270C">
        <w:rPr>
          <w:rFonts w:ascii="Bookman Old Style" w:hAnsi="Bookman Old Style"/>
          <w:sz w:val="24"/>
          <w:szCs w:val="24"/>
        </w:rPr>
        <w:lastRenderedPageBreak/>
        <w:t>14,008.</w:t>
      </w:r>
      <w:r w:rsidRPr="0014270C">
        <w:rPr>
          <w:rStyle w:val="FootnoteReference"/>
          <w:rFonts w:ascii="Bookman Old Style" w:hAnsi="Bookman Old Style"/>
          <w:sz w:val="24"/>
          <w:szCs w:val="24"/>
        </w:rPr>
        <w:footnoteReference w:id="23"/>
      </w:r>
      <w:r w:rsidRPr="0014270C">
        <w:rPr>
          <w:rFonts w:ascii="Bookman Old Style" w:hAnsi="Bookman Old Style"/>
          <w:sz w:val="24"/>
          <w:szCs w:val="24"/>
        </w:rPr>
        <w:t xml:space="preserve"> The Social Vulnerability Index map provided by the CDC for the year 2000 shows the five census tracts of the Lower Ninth Ward to have had an overall score of approximately 0.8724,</w:t>
      </w:r>
      <w:r w:rsidRPr="0014270C">
        <w:rPr>
          <w:rStyle w:val="FootnoteReference"/>
          <w:rFonts w:ascii="Bookman Old Style" w:hAnsi="Bookman Old Style"/>
          <w:sz w:val="24"/>
          <w:szCs w:val="24"/>
        </w:rPr>
        <w:footnoteReference w:id="24"/>
      </w:r>
      <w:r w:rsidRPr="0014270C">
        <w:rPr>
          <w:rFonts w:ascii="Bookman Old Style" w:hAnsi="Bookman Old Style"/>
          <w:sz w:val="24"/>
          <w:szCs w:val="24"/>
        </w:rPr>
        <w:t xml:space="preserve"> </w:t>
      </w:r>
      <w:r w:rsidRPr="0014270C">
        <w:rPr>
          <w:rStyle w:val="FootnoteReference"/>
          <w:rFonts w:ascii="Bookman Old Style" w:hAnsi="Bookman Old Style"/>
          <w:sz w:val="24"/>
          <w:szCs w:val="24"/>
        </w:rPr>
        <w:footnoteReference w:id="25"/>
      </w:r>
      <w:r w:rsidRPr="0014270C">
        <w:rPr>
          <w:rFonts w:ascii="Bookman Old Style" w:hAnsi="Bookman Old Style"/>
          <w:sz w:val="24"/>
          <w:szCs w:val="24"/>
        </w:rPr>
        <w:t xml:space="preserve"> indicating that the neighborhood had a low level of resilience when faced with external stressors, such as a hurricane.</w:t>
      </w:r>
    </w:p>
    <w:p w14:paraId="7804C5E3" w14:textId="77777777" w:rsidR="00465971" w:rsidRPr="0014270C" w:rsidRDefault="00465971" w:rsidP="00465971">
      <w:pPr>
        <w:spacing w:line="480" w:lineRule="auto"/>
        <w:ind w:firstLine="720"/>
        <w:rPr>
          <w:rFonts w:ascii="Bookman Old Style" w:hAnsi="Bookman Old Style"/>
          <w:sz w:val="24"/>
          <w:szCs w:val="24"/>
        </w:rPr>
      </w:pPr>
      <w:r w:rsidRPr="0014270C">
        <w:rPr>
          <w:rFonts w:ascii="Bookman Old Style" w:hAnsi="Bookman Old Style"/>
          <w:sz w:val="24"/>
          <w:szCs w:val="24"/>
        </w:rPr>
        <w:t>For houses sitting in flood plains, as are many of those in New Orleans, most mortgage lenders require the asset to be covered by flood insurance due to the significant investment made on behalf of the borrower;</w:t>
      </w:r>
      <w:r w:rsidRPr="0014270C">
        <w:rPr>
          <w:rStyle w:val="FootnoteReference"/>
          <w:rFonts w:ascii="Bookman Old Style" w:hAnsi="Bookman Old Style"/>
          <w:sz w:val="24"/>
          <w:szCs w:val="24"/>
        </w:rPr>
        <w:footnoteReference w:id="26"/>
      </w:r>
      <w:r w:rsidRPr="0014270C">
        <w:rPr>
          <w:rFonts w:ascii="Bookman Old Style" w:hAnsi="Bookman Old Style"/>
          <w:sz w:val="24"/>
          <w:szCs w:val="24"/>
        </w:rPr>
        <w:t xml:space="preserve"> however, when residents own their homes outright, they are relieved of this obligation but also of the protection that insurance offers. The Lower Ninth was a locality with one of the highest rates of Black homeownership in the state of Louisiana, a statistic that would normally garner a much more positive outlook for the future of the area, but despite the implications that homeownership usually carries, many of the houses were passed down through generations and several residents were unemployed or struggling to pay their bills.</w:t>
      </w:r>
    </w:p>
    <w:p w14:paraId="11CD2127" w14:textId="6E86DD6A" w:rsidR="00465971" w:rsidRPr="0014270C" w:rsidRDefault="00465971" w:rsidP="00465971">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Regardless of difficulties many residents faced prior to Hurricane Katrina, especially in neighborhoods heavily affected by poverty such as the Lower Ninth Ward, neighbors were close, and the area thrived in its togetherness; it was a place in which people raised their families and where </w:t>
      </w:r>
      <w:r w:rsidRPr="0014270C">
        <w:rPr>
          <w:rFonts w:ascii="Bookman Old Style" w:hAnsi="Bookman Old Style"/>
          <w:sz w:val="24"/>
          <w:szCs w:val="24"/>
        </w:rPr>
        <w:lastRenderedPageBreak/>
        <w:t>they felt at home.</w:t>
      </w:r>
      <w:r w:rsidRPr="0014270C">
        <w:rPr>
          <w:rStyle w:val="FootnoteReference"/>
          <w:rFonts w:ascii="Bookman Old Style" w:hAnsi="Bookman Old Style"/>
          <w:sz w:val="24"/>
          <w:szCs w:val="24"/>
        </w:rPr>
        <w:footnoteReference w:id="27"/>
      </w:r>
      <w:r w:rsidRPr="0014270C">
        <w:rPr>
          <w:rFonts w:ascii="Bookman Old Style" w:hAnsi="Bookman Old Style"/>
          <w:sz w:val="24"/>
          <w:szCs w:val="24"/>
        </w:rPr>
        <w:t xml:space="preserve"> This sense of security was destroyed after the storm, a number of individuals living there found evacuation impossible owing to lack of transportation and the high cost of relocation; due to the circumstances, most housing issued in this area was the notorious FEMA travel trailers, which themselves added to the burden felt. </w:t>
      </w:r>
      <w:r w:rsidR="00367513" w:rsidRPr="0014270C">
        <w:rPr>
          <w:rFonts w:ascii="Bookman Old Style" w:hAnsi="Bookman Old Style"/>
          <w:sz w:val="24"/>
          <w:szCs w:val="24"/>
        </w:rPr>
        <w:t>Ten years after the storm, the neighborhood still had</w:t>
      </w:r>
      <w:r w:rsidR="00924B1B" w:rsidRPr="0014270C">
        <w:rPr>
          <w:rFonts w:ascii="Bookman Old Style" w:hAnsi="Bookman Old Style"/>
          <w:sz w:val="24"/>
          <w:szCs w:val="24"/>
        </w:rPr>
        <w:t xml:space="preserve"> </w:t>
      </w:r>
      <w:r w:rsidR="00367513" w:rsidRPr="0014270C">
        <w:rPr>
          <w:rFonts w:ascii="Bookman Old Style" w:hAnsi="Bookman Old Style"/>
          <w:sz w:val="24"/>
          <w:szCs w:val="24"/>
        </w:rPr>
        <w:t>n</w:t>
      </w:r>
      <w:r w:rsidR="00924B1B" w:rsidRPr="0014270C">
        <w:rPr>
          <w:rFonts w:ascii="Bookman Old Style" w:hAnsi="Bookman Old Style"/>
          <w:sz w:val="24"/>
          <w:szCs w:val="24"/>
        </w:rPr>
        <w:t>o</w:t>
      </w:r>
      <w:r w:rsidR="00367513" w:rsidRPr="0014270C">
        <w:rPr>
          <w:rFonts w:ascii="Bookman Old Style" w:hAnsi="Bookman Old Style"/>
          <w:sz w:val="24"/>
          <w:szCs w:val="24"/>
        </w:rPr>
        <w:t xml:space="preserve">t seen major signs of recovery. A lack of </w:t>
      </w:r>
      <w:r w:rsidR="00D83E14" w:rsidRPr="0014270C">
        <w:rPr>
          <w:rFonts w:ascii="Bookman Old Style" w:hAnsi="Bookman Old Style"/>
          <w:sz w:val="24"/>
          <w:szCs w:val="24"/>
        </w:rPr>
        <w:t xml:space="preserve">services, schools, businesses, and other gathering places </w:t>
      </w:r>
      <w:r w:rsidR="00C458EC" w:rsidRPr="0014270C">
        <w:rPr>
          <w:rFonts w:ascii="Bookman Old Style" w:hAnsi="Bookman Old Style"/>
          <w:sz w:val="24"/>
          <w:szCs w:val="24"/>
        </w:rPr>
        <w:t xml:space="preserve">led several residents to abandon </w:t>
      </w:r>
      <w:r w:rsidR="00857598" w:rsidRPr="0014270C">
        <w:rPr>
          <w:rFonts w:ascii="Bookman Old Style" w:hAnsi="Bookman Old Style"/>
          <w:sz w:val="24"/>
          <w:szCs w:val="24"/>
        </w:rPr>
        <w:t>the area</w:t>
      </w:r>
      <w:r w:rsidR="00444C29" w:rsidRPr="0014270C">
        <w:rPr>
          <w:rFonts w:ascii="Bookman Old Style" w:hAnsi="Bookman Old Style"/>
          <w:sz w:val="24"/>
          <w:szCs w:val="24"/>
        </w:rPr>
        <w:t xml:space="preserve">, seeking new </w:t>
      </w:r>
      <w:r w:rsidR="00874C7D" w:rsidRPr="0014270C">
        <w:rPr>
          <w:rFonts w:ascii="Bookman Old Style" w:hAnsi="Bookman Old Style"/>
          <w:sz w:val="24"/>
          <w:szCs w:val="24"/>
        </w:rPr>
        <w:t>ground</w:t>
      </w:r>
      <w:r w:rsidR="00444C29" w:rsidRPr="0014270C">
        <w:rPr>
          <w:rFonts w:ascii="Bookman Old Style" w:hAnsi="Bookman Old Style"/>
          <w:sz w:val="24"/>
          <w:szCs w:val="24"/>
        </w:rPr>
        <w:t xml:space="preserve"> to plant their roots</w:t>
      </w:r>
      <w:r w:rsidR="00874C7D" w:rsidRPr="0014270C">
        <w:rPr>
          <w:rFonts w:ascii="Bookman Old Style" w:hAnsi="Bookman Old Style"/>
          <w:sz w:val="24"/>
          <w:szCs w:val="24"/>
        </w:rPr>
        <w:t xml:space="preserve">, leaving their social </w:t>
      </w:r>
      <w:r w:rsidR="00B47477" w:rsidRPr="0014270C">
        <w:rPr>
          <w:rFonts w:ascii="Bookman Old Style" w:hAnsi="Bookman Old Style"/>
          <w:sz w:val="24"/>
          <w:szCs w:val="24"/>
        </w:rPr>
        <w:t>networks behind</w:t>
      </w:r>
      <w:r w:rsidR="00444C29" w:rsidRPr="0014270C">
        <w:rPr>
          <w:rFonts w:ascii="Bookman Old Style" w:hAnsi="Bookman Old Style"/>
          <w:sz w:val="24"/>
          <w:szCs w:val="24"/>
        </w:rPr>
        <w:t>.</w:t>
      </w:r>
      <w:r w:rsidR="009A2060" w:rsidRPr="0014270C">
        <w:rPr>
          <w:rStyle w:val="FootnoteReference"/>
          <w:rFonts w:ascii="Bookman Old Style" w:hAnsi="Bookman Old Style"/>
          <w:sz w:val="24"/>
          <w:szCs w:val="24"/>
        </w:rPr>
        <w:footnoteReference w:id="28"/>
      </w:r>
      <w:r w:rsidR="00444C29" w:rsidRPr="0014270C">
        <w:rPr>
          <w:rFonts w:ascii="Bookman Old Style" w:hAnsi="Bookman Old Style"/>
          <w:sz w:val="24"/>
          <w:szCs w:val="24"/>
        </w:rPr>
        <w:t xml:space="preserve"> </w:t>
      </w:r>
      <w:r w:rsidRPr="0014270C">
        <w:rPr>
          <w:rFonts w:ascii="Bookman Old Style" w:hAnsi="Bookman Old Style"/>
          <w:sz w:val="24"/>
          <w:szCs w:val="24"/>
        </w:rPr>
        <w:t>As Hurricane Katrina came through in 2005, the residents lost more than just houses full of possessions, they lost the support system they had in each other – they lost their microculture, and with that, many lost hope for the future.</w:t>
      </w:r>
    </w:p>
    <w:p w14:paraId="208B09CB" w14:textId="5ADC9F43" w:rsidR="000C5D62" w:rsidRPr="0014270C" w:rsidRDefault="000C5D62" w:rsidP="00465971">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In a </w:t>
      </w:r>
      <w:r w:rsidR="00111436" w:rsidRPr="0014270C">
        <w:rPr>
          <w:rFonts w:ascii="Bookman Old Style" w:hAnsi="Bookman Old Style"/>
          <w:sz w:val="24"/>
          <w:szCs w:val="24"/>
        </w:rPr>
        <w:t xml:space="preserve">survey conducted by HUD, </w:t>
      </w:r>
      <w:r w:rsidR="006A4A61" w:rsidRPr="0014270C">
        <w:rPr>
          <w:rFonts w:ascii="Bookman Old Style" w:hAnsi="Bookman Old Style"/>
          <w:sz w:val="24"/>
          <w:szCs w:val="24"/>
        </w:rPr>
        <w:t xml:space="preserve">51% of respondents were in better housing post-Katrina </w:t>
      </w:r>
      <w:r w:rsidR="003073BF" w:rsidRPr="0014270C">
        <w:rPr>
          <w:rFonts w:ascii="Bookman Old Style" w:hAnsi="Bookman Old Style"/>
          <w:sz w:val="24"/>
          <w:szCs w:val="24"/>
        </w:rPr>
        <w:t xml:space="preserve">and </w:t>
      </w:r>
      <w:r w:rsidR="006A4A61" w:rsidRPr="0014270C">
        <w:rPr>
          <w:rFonts w:ascii="Bookman Old Style" w:hAnsi="Bookman Old Style"/>
          <w:sz w:val="24"/>
          <w:szCs w:val="24"/>
        </w:rPr>
        <w:t xml:space="preserve">35% lived </w:t>
      </w:r>
      <w:r w:rsidR="00D739F9" w:rsidRPr="0014270C">
        <w:rPr>
          <w:rFonts w:ascii="Bookman Old Style" w:hAnsi="Bookman Old Style"/>
          <w:sz w:val="24"/>
          <w:szCs w:val="24"/>
        </w:rPr>
        <w:t>similarly to</w:t>
      </w:r>
      <w:r w:rsidR="003E468D" w:rsidRPr="0014270C">
        <w:rPr>
          <w:rFonts w:ascii="Bookman Old Style" w:hAnsi="Bookman Old Style"/>
          <w:sz w:val="24"/>
          <w:szCs w:val="24"/>
        </w:rPr>
        <w:t xml:space="preserve"> how they had before the storm</w:t>
      </w:r>
      <w:r w:rsidR="003073BF" w:rsidRPr="0014270C">
        <w:rPr>
          <w:rFonts w:ascii="Bookman Old Style" w:hAnsi="Bookman Old Style"/>
          <w:sz w:val="24"/>
          <w:szCs w:val="24"/>
        </w:rPr>
        <w:t>, while nearly 20% were</w:t>
      </w:r>
      <w:r w:rsidR="008816EA" w:rsidRPr="0014270C">
        <w:rPr>
          <w:rFonts w:ascii="Bookman Old Style" w:hAnsi="Bookman Old Style"/>
          <w:sz w:val="24"/>
          <w:szCs w:val="24"/>
        </w:rPr>
        <w:t xml:space="preserve"> living in shared spaces with other households and 12% </w:t>
      </w:r>
      <w:proofErr w:type="gramStart"/>
      <w:r w:rsidR="008816EA" w:rsidRPr="0014270C">
        <w:rPr>
          <w:rFonts w:ascii="Bookman Old Style" w:hAnsi="Bookman Old Style"/>
          <w:sz w:val="24"/>
          <w:szCs w:val="24"/>
        </w:rPr>
        <w:t>were left</w:t>
      </w:r>
      <w:proofErr w:type="gramEnd"/>
      <w:r w:rsidR="008816EA" w:rsidRPr="0014270C">
        <w:rPr>
          <w:rFonts w:ascii="Bookman Old Style" w:hAnsi="Bookman Old Style"/>
          <w:sz w:val="24"/>
          <w:szCs w:val="24"/>
        </w:rPr>
        <w:t xml:space="preserve"> without a home of their own.</w:t>
      </w:r>
      <w:r w:rsidR="00604724" w:rsidRPr="0014270C">
        <w:rPr>
          <w:rFonts w:ascii="Bookman Old Style" w:hAnsi="Bookman Old Style"/>
          <w:sz w:val="24"/>
          <w:szCs w:val="24"/>
        </w:rPr>
        <w:t xml:space="preserve"> This same survey reveals that</w:t>
      </w:r>
      <w:r w:rsidR="00C33C4E" w:rsidRPr="0014270C">
        <w:rPr>
          <w:rFonts w:ascii="Bookman Old Style" w:hAnsi="Bookman Old Style"/>
          <w:sz w:val="24"/>
          <w:szCs w:val="24"/>
        </w:rPr>
        <w:t xml:space="preserve"> the average income</w:t>
      </w:r>
      <w:r w:rsidR="00743BF3" w:rsidRPr="0014270C">
        <w:rPr>
          <w:rFonts w:ascii="Bookman Old Style" w:hAnsi="Bookman Old Style"/>
          <w:sz w:val="24"/>
          <w:szCs w:val="24"/>
        </w:rPr>
        <w:t xml:space="preserve"> of those responding was US$18,500 and</w:t>
      </w:r>
      <w:r w:rsidR="00604724" w:rsidRPr="0014270C">
        <w:rPr>
          <w:rFonts w:ascii="Bookman Old Style" w:hAnsi="Bookman Old Style"/>
          <w:sz w:val="24"/>
          <w:szCs w:val="24"/>
        </w:rPr>
        <w:t xml:space="preserve"> 44% were </w:t>
      </w:r>
      <w:r w:rsidR="00C33C4E" w:rsidRPr="0014270C">
        <w:rPr>
          <w:rFonts w:ascii="Bookman Old Style" w:hAnsi="Bookman Old Style"/>
          <w:sz w:val="24"/>
          <w:szCs w:val="24"/>
        </w:rPr>
        <w:t xml:space="preserve">spending over </w:t>
      </w:r>
      <w:r w:rsidR="001179C0" w:rsidRPr="0014270C">
        <w:rPr>
          <w:rFonts w:ascii="Bookman Old Style" w:hAnsi="Bookman Old Style"/>
          <w:sz w:val="24"/>
          <w:szCs w:val="24"/>
        </w:rPr>
        <w:t>half</w:t>
      </w:r>
      <w:r w:rsidR="00C33C4E" w:rsidRPr="0014270C">
        <w:rPr>
          <w:rFonts w:ascii="Bookman Old Style" w:hAnsi="Bookman Old Style"/>
          <w:sz w:val="24"/>
          <w:szCs w:val="24"/>
        </w:rPr>
        <w:t xml:space="preserve"> of their income on rent</w:t>
      </w:r>
      <w:r w:rsidR="00A94B1A" w:rsidRPr="0014270C">
        <w:rPr>
          <w:rFonts w:ascii="Bookman Old Style" w:hAnsi="Bookman Old Style"/>
          <w:sz w:val="24"/>
          <w:szCs w:val="24"/>
        </w:rPr>
        <w:t xml:space="preserve">. </w:t>
      </w:r>
      <w:r w:rsidR="002638C4" w:rsidRPr="0014270C">
        <w:rPr>
          <w:rFonts w:ascii="Bookman Old Style" w:hAnsi="Bookman Old Style"/>
          <w:sz w:val="24"/>
          <w:szCs w:val="24"/>
        </w:rPr>
        <w:t xml:space="preserve">It </w:t>
      </w:r>
      <w:proofErr w:type="gramStart"/>
      <w:r w:rsidR="002638C4" w:rsidRPr="0014270C">
        <w:rPr>
          <w:rFonts w:ascii="Bookman Old Style" w:hAnsi="Bookman Old Style"/>
          <w:sz w:val="24"/>
          <w:szCs w:val="24"/>
        </w:rPr>
        <w:t>was also found</w:t>
      </w:r>
      <w:proofErr w:type="gramEnd"/>
      <w:r w:rsidR="002638C4" w:rsidRPr="0014270C">
        <w:rPr>
          <w:rFonts w:ascii="Bookman Old Style" w:hAnsi="Bookman Old Style"/>
          <w:sz w:val="24"/>
          <w:szCs w:val="24"/>
        </w:rPr>
        <w:t xml:space="preserve"> that 67% of survey respondents did not have full time employment.</w:t>
      </w:r>
      <w:r w:rsidR="00714DE3" w:rsidRPr="0014270C">
        <w:rPr>
          <w:rFonts w:ascii="Bookman Old Style" w:hAnsi="Bookman Old Style"/>
          <w:sz w:val="24"/>
          <w:szCs w:val="24"/>
        </w:rPr>
        <w:t xml:space="preserve"> </w:t>
      </w:r>
      <w:r w:rsidR="003E39E1" w:rsidRPr="0014270C">
        <w:rPr>
          <w:rFonts w:ascii="Bookman Old Style" w:hAnsi="Bookman Old Style"/>
          <w:sz w:val="24"/>
          <w:szCs w:val="24"/>
        </w:rPr>
        <w:t xml:space="preserve">HUD established from this </w:t>
      </w:r>
      <w:r w:rsidR="003E39E1" w:rsidRPr="0014270C">
        <w:rPr>
          <w:rFonts w:ascii="Bookman Old Style" w:hAnsi="Bookman Old Style"/>
          <w:sz w:val="24"/>
          <w:szCs w:val="24"/>
        </w:rPr>
        <w:lastRenderedPageBreak/>
        <w:t xml:space="preserve">survey that </w:t>
      </w:r>
      <w:r w:rsidR="00576BB7" w:rsidRPr="0014270C">
        <w:rPr>
          <w:rFonts w:ascii="Bookman Old Style" w:hAnsi="Bookman Old Style"/>
          <w:sz w:val="24"/>
          <w:szCs w:val="24"/>
        </w:rPr>
        <w:t xml:space="preserve">encouraging </w:t>
      </w:r>
      <w:r w:rsidR="003E39E1" w:rsidRPr="0014270C">
        <w:rPr>
          <w:rFonts w:ascii="Bookman Old Style" w:hAnsi="Bookman Old Style"/>
          <w:sz w:val="24"/>
          <w:szCs w:val="24"/>
        </w:rPr>
        <w:t xml:space="preserve">self-sufficiency </w:t>
      </w:r>
      <w:r w:rsidR="0062457E" w:rsidRPr="0014270C">
        <w:rPr>
          <w:rFonts w:ascii="Bookman Old Style" w:hAnsi="Bookman Old Style"/>
          <w:sz w:val="24"/>
          <w:szCs w:val="24"/>
        </w:rPr>
        <w:t>by fostering job-skills training m</w:t>
      </w:r>
      <w:r w:rsidR="00D56414" w:rsidRPr="0014270C">
        <w:rPr>
          <w:rFonts w:ascii="Bookman Old Style" w:hAnsi="Bookman Old Style"/>
          <w:sz w:val="24"/>
          <w:szCs w:val="24"/>
        </w:rPr>
        <w:t>ay provide more long-term stability</w:t>
      </w:r>
      <w:r w:rsidR="00576BB7" w:rsidRPr="0014270C">
        <w:rPr>
          <w:rFonts w:ascii="Bookman Old Style" w:hAnsi="Bookman Old Style"/>
          <w:sz w:val="24"/>
          <w:szCs w:val="24"/>
        </w:rPr>
        <w:t xml:space="preserve"> for victims</w:t>
      </w:r>
      <w:r w:rsidR="00D56414" w:rsidRPr="0014270C">
        <w:rPr>
          <w:rFonts w:ascii="Bookman Old Style" w:hAnsi="Bookman Old Style"/>
          <w:sz w:val="24"/>
          <w:szCs w:val="24"/>
        </w:rPr>
        <w:t>.</w:t>
      </w:r>
      <w:r w:rsidR="004F31DB" w:rsidRPr="0014270C">
        <w:rPr>
          <w:rStyle w:val="FootnoteReference"/>
          <w:rFonts w:ascii="Bookman Old Style" w:hAnsi="Bookman Old Style"/>
          <w:sz w:val="24"/>
          <w:szCs w:val="24"/>
        </w:rPr>
        <w:footnoteReference w:id="29"/>
      </w:r>
    </w:p>
    <w:p w14:paraId="2C39605C" w14:textId="30AED2ED" w:rsidR="00DC0C22" w:rsidRPr="0014270C" w:rsidRDefault="004204A2" w:rsidP="002C4177">
      <w:pPr>
        <w:spacing w:line="480" w:lineRule="auto"/>
        <w:ind w:firstLine="720"/>
        <w:rPr>
          <w:rFonts w:ascii="Bookman Old Style" w:hAnsi="Bookman Old Style"/>
          <w:sz w:val="24"/>
          <w:szCs w:val="24"/>
        </w:rPr>
      </w:pPr>
      <w:bookmarkStart w:id="14" w:name="_Toc8062252"/>
      <w:r w:rsidRPr="0014270C">
        <w:rPr>
          <w:rStyle w:val="THESISLVL4Char"/>
        </w:rPr>
        <w:t xml:space="preserve">The </w:t>
      </w:r>
      <w:r w:rsidR="00B10712" w:rsidRPr="0014270C">
        <w:rPr>
          <w:rStyle w:val="THESISLVL4Char"/>
        </w:rPr>
        <w:t>i</w:t>
      </w:r>
      <w:r w:rsidRPr="0014270C">
        <w:rPr>
          <w:rStyle w:val="THESISLVL4Char"/>
        </w:rPr>
        <w:t xml:space="preserve">mmortal </w:t>
      </w:r>
      <w:r w:rsidR="00B10712" w:rsidRPr="0014270C">
        <w:rPr>
          <w:rStyle w:val="THESISLVL4Char"/>
        </w:rPr>
        <w:t>t</w:t>
      </w:r>
      <w:r w:rsidR="00FF4C2D" w:rsidRPr="0014270C">
        <w:rPr>
          <w:rStyle w:val="THESISLVL4Char"/>
        </w:rPr>
        <w:t>railer</w:t>
      </w:r>
      <w:bookmarkEnd w:id="14"/>
      <w:r w:rsidR="00B10712" w:rsidRPr="0014270C">
        <w:rPr>
          <w:rFonts w:ascii="Bookman Old Style" w:hAnsi="Bookman Old Style"/>
          <w:sz w:val="24"/>
          <w:szCs w:val="24"/>
        </w:rPr>
        <w:t>.</w:t>
      </w:r>
      <w:r w:rsidR="00B10712" w:rsidRPr="0014270C">
        <w:rPr>
          <w:rFonts w:ascii="Bookman Old Style" w:hAnsi="Bookman Old Style"/>
          <w:b/>
          <w:sz w:val="24"/>
          <w:szCs w:val="24"/>
        </w:rPr>
        <w:t xml:space="preserve"> </w:t>
      </w:r>
      <w:r w:rsidR="00BA5923" w:rsidRPr="0014270C">
        <w:rPr>
          <w:rFonts w:ascii="Bookman Old Style" w:hAnsi="Bookman Old Style"/>
          <w:sz w:val="24"/>
          <w:szCs w:val="24"/>
        </w:rPr>
        <w:t>I</w:t>
      </w:r>
      <w:r w:rsidR="00472046" w:rsidRPr="0014270C">
        <w:rPr>
          <w:rFonts w:ascii="Bookman Old Style" w:hAnsi="Bookman Old Style"/>
          <w:sz w:val="24"/>
          <w:szCs w:val="24"/>
        </w:rPr>
        <w:t xml:space="preserve">n </w:t>
      </w:r>
      <w:r w:rsidR="00BA5923" w:rsidRPr="0014270C">
        <w:rPr>
          <w:rFonts w:ascii="Bookman Old Style" w:hAnsi="Bookman Old Style"/>
          <w:sz w:val="24"/>
          <w:szCs w:val="24"/>
        </w:rPr>
        <w:t>2008</w:t>
      </w:r>
      <w:r w:rsidR="00F85DC2" w:rsidRPr="0014270C">
        <w:rPr>
          <w:rFonts w:ascii="Bookman Old Style" w:hAnsi="Bookman Old Style"/>
          <w:sz w:val="24"/>
          <w:szCs w:val="24"/>
        </w:rPr>
        <w:t>,</w:t>
      </w:r>
      <w:r w:rsidR="00BA5923" w:rsidRPr="0014270C">
        <w:rPr>
          <w:rFonts w:ascii="Bookman Old Style" w:hAnsi="Bookman Old Style"/>
          <w:sz w:val="24"/>
          <w:szCs w:val="24"/>
        </w:rPr>
        <w:t xml:space="preserve"> FEMA </w:t>
      </w:r>
      <w:r w:rsidR="0087428C" w:rsidRPr="0014270C">
        <w:rPr>
          <w:rFonts w:ascii="Bookman Old Style" w:hAnsi="Bookman Old Style"/>
          <w:sz w:val="24"/>
          <w:szCs w:val="24"/>
        </w:rPr>
        <w:t>started pushing to get people out of the trailers</w:t>
      </w:r>
      <w:r w:rsidR="003C3232" w:rsidRPr="0014270C">
        <w:rPr>
          <w:rFonts w:ascii="Bookman Old Style" w:hAnsi="Bookman Old Style"/>
          <w:sz w:val="24"/>
          <w:szCs w:val="24"/>
        </w:rPr>
        <w:t xml:space="preserve"> located in </w:t>
      </w:r>
      <w:r w:rsidR="00377294" w:rsidRPr="0014270C">
        <w:rPr>
          <w:rFonts w:ascii="Bookman Old Style" w:hAnsi="Bookman Old Style"/>
          <w:sz w:val="24"/>
          <w:szCs w:val="24"/>
        </w:rPr>
        <w:t xml:space="preserve">commercial parks and </w:t>
      </w:r>
      <w:r w:rsidR="00E4507D" w:rsidRPr="0014270C">
        <w:rPr>
          <w:rFonts w:ascii="Bookman Old Style" w:hAnsi="Bookman Old Style"/>
          <w:sz w:val="24"/>
          <w:szCs w:val="24"/>
        </w:rPr>
        <w:t>those</w:t>
      </w:r>
      <w:r w:rsidR="003C3232" w:rsidRPr="0014270C">
        <w:rPr>
          <w:rFonts w:ascii="Bookman Old Style" w:hAnsi="Bookman Old Style"/>
          <w:sz w:val="24"/>
          <w:szCs w:val="24"/>
        </w:rPr>
        <w:t xml:space="preserve"> managed by the agency</w:t>
      </w:r>
      <w:r w:rsidR="0087428C" w:rsidRPr="0014270C">
        <w:rPr>
          <w:rFonts w:ascii="Bookman Old Style" w:hAnsi="Bookman Old Style"/>
          <w:sz w:val="24"/>
          <w:szCs w:val="24"/>
        </w:rPr>
        <w:t xml:space="preserve"> and into more permanent housing solutions</w:t>
      </w:r>
      <w:r w:rsidR="00F66820" w:rsidRPr="0014270C">
        <w:rPr>
          <w:rFonts w:ascii="Bookman Old Style" w:hAnsi="Bookman Old Style"/>
          <w:sz w:val="24"/>
          <w:szCs w:val="24"/>
        </w:rPr>
        <w:t xml:space="preserve">, though it </w:t>
      </w:r>
      <w:r w:rsidR="00F162F2" w:rsidRPr="0014270C">
        <w:rPr>
          <w:rFonts w:ascii="Bookman Old Style" w:hAnsi="Bookman Old Style"/>
          <w:sz w:val="24"/>
          <w:szCs w:val="24"/>
        </w:rPr>
        <w:t>took until</w:t>
      </w:r>
      <w:r w:rsidR="00F66820" w:rsidRPr="0014270C">
        <w:rPr>
          <w:rFonts w:ascii="Bookman Old Style" w:hAnsi="Bookman Old Style"/>
          <w:sz w:val="24"/>
          <w:szCs w:val="24"/>
        </w:rPr>
        <w:t xml:space="preserve"> 2012 </w:t>
      </w:r>
      <w:r w:rsidR="00F162F2" w:rsidRPr="0014270C">
        <w:rPr>
          <w:rFonts w:ascii="Bookman Old Style" w:hAnsi="Bookman Old Style"/>
          <w:sz w:val="24"/>
          <w:szCs w:val="24"/>
        </w:rPr>
        <w:t>for</w:t>
      </w:r>
      <w:r w:rsidR="00FF07B4" w:rsidRPr="0014270C">
        <w:rPr>
          <w:rFonts w:ascii="Bookman Old Style" w:hAnsi="Bookman Old Style"/>
          <w:sz w:val="24"/>
          <w:szCs w:val="24"/>
        </w:rPr>
        <w:t xml:space="preserve"> the</w:t>
      </w:r>
      <w:r w:rsidR="004A479C" w:rsidRPr="0014270C">
        <w:rPr>
          <w:rFonts w:ascii="Bookman Old Style" w:hAnsi="Bookman Old Style"/>
          <w:sz w:val="24"/>
          <w:szCs w:val="24"/>
        </w:rPr>
        <w:t xml:space="preserve"> removal of the</w:t>
      </w:r>
      <w:r w:rsidR="00FF07B4" w:rsidRPr="0014270C">
        <w:rPr>
          <w:rFonts w:ascii="Bookman Old Style" w:hAnsi="Bookman Old Style"/>
          <w:sz w:val="24"/>
          <w:szCs w:val="24"/>
        </w:rPr>
        <w:t xml:space="preserve"> last </w:t>
      </w:r>
      <w:r w:rsidR="00F66820" w:rsidRPr="0014270C">
        <w:rPr>
          <w:rFonts w:ascii="Bookman Old Style" w:hAnsi="Bookman Old Style"/>
          <w:sz w:val="24"/>
          <w:szCs w:val="24"/>
        </w:rPr>
        <w:t xml:space="preserve">trailer from </w:t>
      </w:r>
      <w:r w:rsidR="006873EC" w:rsidRPr="0014270C">
        <w:rPr>
          <w:rFonts w:ascii="Bookman Old Style" w:hAnsi="Bookman Old Style"/>
          <w:sz w:val="24"/>
          <w:szCs w:val="24"/>
        </w:rPr>
        <w:t>New Orleans</w:t>
      </w:r>
      <w:r w:rsidR="0087428C" w:rsidRPr="0014270C">
        <w:rPr>
          <w:rFonts w:ascii="Bookman Old Style" w:hAnsi="Bookman Old Style"/>
          <w:sz w:val="24"/>
          <w:szCs w:val="24"/>
        </w:rPr>
        <w:t>.</w:t>
      </w:r>
      <w:r w:rsidR="0013583A" w:rsidRPr="0014270C">
        <w:rPr>
          <w:rStyle w:val="FootnoteReference"/>
          <w:rFonts w:ascii="Bookman Old Style" w:hAnsi="Bookman Old Style"/>
          <w:sz w:val="24"/>
          <w:szCs w:val="24"/>
        </w:rPr>
        <w:footnoteReference w:id="30"/>
      </w:r>
      <w:r w:rsidR="0087428C" w:rsidRPr="0014270C">
        <w:rPr>
          <w:rFonts w:ascii="Bookman Old Style" w:hAnsi="Bookman Old Style"/>
          <w:sz w:val="24"/>
          <w:szCs w:val="24"/>
        </w:rPr>
        <w:t xml:space="preserve"> </w:t>
      </w:r>
      <w:r w:rsidR="005B1374" w:rsidRPr="0014270C">
        <w:rPr>
          <w:rFonts w:ascii="Bookman Old Style" w:hAnsi="Bookman Old Style"/>
          <w:sz w:val="24"/>
          <w:szCs w:val="24"/>
        </w:rPr>
        <w:t>In an effort to</w:t>
      </w:r>
      <w:r w:rsidR="005F535F" w:rsidRPr="0014270C">
        <w:rPr>
          <w:rFonts w:ascii="Bookman Old Style" w:hAnsi="Bookman Old Style"/>
          <w:sz w:val="24"/>
          <w:szCs w:val="24"/>
        </w:rPr>
        <w:t xml:space="preserve"> recover some of the money spent on the trailers, FEMA sold </w:t>
      </w:r>
      <w:r w:rsidR="00BD004C" w:rsidRPr="0014270C">
        <w:rPr>
          <w:rFonts w:ascii="Bookman Old Style" w:hAnsi="Bookman Old Style"/>
          <w:sz w:val="24"/>
          <w:szCs w:val="24"/>
        </w:rPr>
        <w:t xml:space="preserve">many of them through the General Services Administration </w:t>
      </w:r>
      <w:r w:rsidR="00BF1674" w:rsidRPr="0014270C">
        <w:rPr>
          <w:rFonts w:ascii="Bookman Old Style" w:hAnsi="Bookman Old Style"/>
          <w:sz w:val="24"/>
          <w:szCs w:val="24"/>
        </w:rPr>
        <w:t xml:space="preserve">in 2010 </w:t>
      </w:r>
      <w:r w:rsidR="00BD004C" w:rsidRPr="0014270C">
        <w:rPr>
          <w:rFonts w:ascii="Bookman Old Style" w:hAnsi="Bookman Old Style"/>
          <w:sz w:val="24"/>
          <w:szCs w:val="24"/>
        </w:rPr>
        <w:t>with warning</w:t>
      </w:r>
      <w:r w:rsidR="00AD6A72" w:rsidRPr="0014270C">
        <w:rPr>
          <w:rFonts w:ascii="Bookman Old Style" w:hAnsi="Bookman Old Style"/>
          <w:sz w:val="24"/>
          <w:szCs w:val="24"/>
        </w:rPr>
        <w:t xml:space="preserve"> notices</w:t>
      </w:r>
      <w:r w:rsidR="009224F2" w:rsidRPr="0014270C">
        <w:rPr>
          <w:rFonts w:ascii="Bookman Old Style" w:hAnsi="Bookman Old Style"/>
          <w:sz w:val="24"/>
          <w:szCs w:val="24"/>
        </w:rPr>
        <w:t xml:space="preserve"> per HUD regulations, making</w:t>
      </w:r>
      <w:r w:rsidR="00BD004C" w:rsidRPr="0014270C">
        <w:rPr>
          <w:rFonts w:ascii="Bookman Old Style" w:hAnsi="Bookman Old Style"/>
          <w:sz w:val="24"/>
          <w:szCs w:val="24"/>
        </w:rPr>
        <w:t xml:space="preserve"> </w:t>
      </w:r>
      <w:r w:rsidR="009224F2" w:rsidRPr="0014270C">
        <w:rPr>
          <w:rFonts w:ascii="Bookman Old Style" w:hAnsi="Bookman Old Style"/>
          <w:sz w:val="24"/>
          <w:szCs w:val="24"/>
        </w:rPr>
        <w:t>b</w:t>
      </w:r>
      <w:r w:rsidR="00BD004C" w:rsidRPr="0014270C">
        <w:rPr>
          <w:rFonts w:ascii="Bookman Old Style" w:hAnsi="Bookman Old Style"/>
          <w:sz w:val="24"/>
          <w:szCs w:val="24"/>
        </w:rPr>
        <w:t xml:space="preserve">uyers </w:t>
      </w:r>
      <w:r w:rsidR="009224F2" w:rsidRPr="0014270C">
        <w:rPr>
          <w:rFonts w:ascii="Bookman Old Style" w:hAnsi="Bookman Old Style"/>
          <w:sz w:val="24"/>
          <w:szCs w:val="24"/>
        </w:rPr>
        <w:t xml:space="preserve">aware of </w:t>
      </w:r>
      <w:r w:rsidR="00BD004C" w:rsidRPr="0014270C">
        <w:rPr>
          <w:rFonts w:ascii="Bookman Old Style" w:hAnsi="Bookman Old Style"/>
          <w:sz w:val="24"/>
          <w:szCs w:val="24"/>
        </w:rPr>
        <w:t>potential health hazards.</w:t>
      </w:r>
      <w:r w:rsidR="00E1336A" w:rsidRPr="0014270C">
        <w:rPr>
          <w:rStyle w:val="FootnoteReference"/>
          <w:rFonts w:ascii="Bookman Old Style" w:hAnsi="Bookman Old Style"/>
          <w:sz w:val="24"/>
          <w:szCs w:val="24"/>
        </w:rPr>
        <w:footnoteReference w:id="31"/>
      </w:r>
      <w:r w:rsidR="005F535F" w:rsidRPr="0014270C">
        <w:rPr>
          <w:rFonts w:ascii="Bookman Old Style" w:hAnsi="Bookman Old Style"/>
          <w:sz w:val="24"/>
          <w:szCs w:val="24"/>
        </w:rPr>
        <w:t xml:space="preserve"> </w:t>
      </w:r>
      <w:r w:rsidR="00A14B5D" w:rsidRPr="0014270C">
        <w:rPr>
          <w:rFonts w:ascii="Bookman Old Style" w:hAnsi="Bookman Old Style"/>
          <w:sz w:val="24"/>
          <w:szCs w:val="24"/>
        </w:rPr>
        <w:t xml:space="preserve">Many of the buyers were </w:t>
      </w:r>
      <w:r w:rsidR="009B28C5" w:rsidRPr="0014270C">
        <w:rPr>
          <w:rFonts w:ascii="Bookman Old Style" w:hAnsi="Bookman Old Style"/>
          <w:sz w:val="24"/>
          <w:szCs w:val="24"/>
        </w:rPr>
        <w:t>recreational vehicle (</w:t>
      </w:r>
      <w:r w:rsidR="00A14B5D" w:rsidRPr="0014270C">
        <w:rPr>
          <w:rFonts w:ascii="Bookman Old Style" w:hAnsi="Bookman Old Style"/>
          <w:sz w:val="24"/>
          <w:szCs w:val="24"/>
        </w:rPr>
        <w:t>RV</w:t>
      </w:r>
      <w:r w:rsidR="009B28C5" w:rsidRPr="0014270C">
        <w:rPr>
          <w:rFonts w:ascii="Bookman Old Style" w:hAnsi="Bookman Old Style"/>
          <w:sz w:val="24"/>
          <w:szCs w:val="24"/>
        </w:rPr>
        <w:t>)</w:t>
      </w:r>
      <w:r w:rsidR="001B36EA" w:rsidRPr="0014270C">
        <w:rPr>
          <w:rFonts w:ascii="Bookman Old Style" w:hAnsi="Bookman Old Style"/>
          <w:sz w:val="24"/>
          <w:szCs w:val="24"/>
        </w:rPr>
        <w:t xml:space="preserve"> dealers, failing to pass on the warning to their </w:t>
      </w:r>
      <w:r w:rsidR="006D3E0A" w:rsidRPr="0014270C">
        <w:rPr>
          <w:rFonts w:ascii="Bookman Old Style" w:hAnsi="Bookman Old Style"/>
          <w:sz w:val="24"/>
          <w:szCs w:val="24"/>
        </w:rPr>
        <w:t>trusting</w:t>
      </w:r>
      <w:r w:rsidR="00476441" w:rsidRPr="0014270C">
        <w:rPr>
          <w:rFonts w:ascii="Bookman Old Style" w:hAnsi="Bookman Old Style"/>
          <w:sz w:val="24"/>
          <w:szCs w:val="24"/>
        </w:rPr>
        <w:t xml:space="preserve"> c</w:t>
      </w:r>
      <w:r w:rsidR="001B36EA" w:rsidRPr="0014270C">
        <w:rPr>
          <w:rFonts w:ascii="Bookman Old Style" w:hAnsi="Bookman Old Style"/>
          <w:sz w:val="24"/>
          <w:szCs w:val="24"/>
        </w:rPr>
        <w:t xml:space="preserve">onsumers, </w:t>
      </w:r>
      <w:r w:rsidR="00C3557F" w:rsidRPr="0014270C">
        <w:rPr>
          <w:rFonts w:ascii="Bookman Old Style" w:hAnsi="Bookman Old Style"/>
          <w:sz w:val="24"/>
          <w:szCs w:val="24"/>
        </w:rPr>
        <w:t>bringing about</w:t>
      </w:r>
      <w:r w:rsidR="006D6E87" w:rsidRPr="0014270C">
        <w:rPr>
          <w:rFonts w:ascii="Bookman Old Style" w:hAnsi="Bookman Old Style"/>
          <w:sz w:val="24"/>
          <w:szCs w:val="24"/>
        </w:rPr>
        <w:t xml:space="preserve"> a new g</w:t>
      </w:r>
      <w:r w:rsidR="00CE6578" w:rsidRPr="0014270C">
        <w:rPr>
          <w:rFonts w:ascii="Bookman Old Style" w:hAnsi="Bookman Old Style"/>
          <w:sz w:val="24"/>
          <w:szCs w:val="24"/>
        </w:rPr>
        <w:t>eneration</w:t>
      </w:r>
      <w:r w:rsidR="006D6E87" w:rsidRPr="0014270C">
        <w:rPr>
          <w:rFonts w:ascii="Bookman Old Style" w:hAnsi="Bookman Old Style"/>
          <w:sz w:val="24"/>
          <w:szCs w:val="24"/>
        </w:rPr>
        <w:t xml:space="preserve"> of Katrina victims.</w:t>
      </w:r>
      <w:r w:rsidR="0082714F" w:rsidRPr="0014270C">
        <w:rPr>
          <w:rStyle w:val="FootnoteReference"/>
          <w:rFonts w:ascii="Bookman Old Style" w:hAnsi="Bookman Old Style"/>
          <w:sz w:val="24"/>
          <w:szCs w:val="24"/>
        </w:rPr>
        <w:footnoteReference w:id="32"/>
      </w:r>
      <w:r w:rsidR="00E53733" w:rsidRPr="0014270C">
        <w:rPr>
          <w:rFonts w:ascii="Bookman Old Style" w:hAnsi="Bookman Old Style"/>
          <w:sz w:val="24"/>
          <w:szCs w:val="24"/>
        </w:rPr>
        <w:t xml:space="preserve"> </w:t>
      </w:r>
      <w:r w:rsidR="0044640A" w:rsidRPr="0014270C">
        <w:rPr>
          <w:rFonts w:ascii="Bookman Old Style" w:hAnsi="Bookman Old Style"/>
          <w:sz w:val="24"/>
          <w:szCs w:val="24"/>
        </w:rPr>
        <w:t xml:space="preserve">The question of what is to be done with the </w:t>
      </w:r>
      <w:r w:rsidR="00B73CCB" w:rsidRPr="0014270C">
        <w:rPr>
          <w:rFonts w:ascii="Bookman Old Style" w:hAnsi="Bookman Old Style"/>
          <w:sz w:val="24"/>
          <w:szCs w:val="24"/>
        </w:rPr>
        <w:t>units</w:t>
      </w:r>
      <w:r w:rsidR="0044640A" w:rsidRPr="0014270C">
        <w:rPr>
          <w:rFonts w:ascii="Bookman Old Style" w:hAnsi="Bookman Old Style"/>
          <w:sz w:val="24"/>
          <w:szCs w:val="24"/>
        </w:rPr>
        <w:t xml:space="preserve"> after </w:t>
      </w:r>
      <w:r w:rsidR="00F952AE" w:rsidRPr="0014270C">
        <w:rPr>
          <w:rFonts w:ascii="Bookman Old Style" w:hAnsi="Bookman Old Style"/>
          <w:sz w:val="24"/>
          <w:szCs w:val="24"/>
        </w:rPr>
        <w:t>their second life remains.</w:t>
      </w:r>
    </w:p>
    <w:p w14:paraId="09BA7521" w14:textId="06527B70" w:rsidR="00BC7CFE" w:rsidRPr="0014270C" w:rsidRDefault="00BA65C9" w:rsidP="00B10712">
      <w:pPr>
        <w:spacing w:line="480" w:lineRule="auto"/>
        <w:ind w:firstLine="720"/>
        <w:rPr>
          <w:rFonts w:ascii="Bookman Old Style" w:hAnsi="Bookman Old Style"/>
          <w:b/>
          <w:color w:val="C00000"/>
          <w:sz w:val="24"/>
          <w:szCs w:val="24"/>
        </w:rPr>
      </w:pPr>
      <w:bookmarkStart w:id="15" w:name="_Toc8062253"/>
      <w:r w:rsidRPr="0014270C">
        <w:rPr>
          <w:rStyle w:val="THESISLVL4Char"/>
        </w:rPr>
        <w:t xml:space="preserve">What </w:t>
      </w:r>
      <w:r w:rsidR="00B10712" w:rsidRPr="0014270C">
        <w:rPr>
          <w:rStyle w:val="THESISLVL4Char"/>
        </w:rPr>
        <w:t>c</w:t>
      </w:r>
      <w:r w:rsidR="00810D4E" w:rsidRPr="0014270C">
        <w:rPr>
          <w:rStyle w:val="THESISLVL4Char"/>
        </w:rPr>
        <w:t>hanged</w:t>
      </w:r>
      <w:bookmarkEnd w:id="15"/>
      <w:r w:rsidR="00B10712" w:rsidRPr="0014270C">
        <w:rPr>
          <w:rFonts w:ascii="Bookman Old Style" w:hAnsi="Bookman Old Style"/>
          <w:sz w:val="24"/>
          <w:szCs w:val="24"/>
        </w:rPr>
        <w:t>.</w:t>
      </w:r>
      <w:r w:rsidR="00810D4E" w:rsidRPr="0014270C">
        <w:rPr>
          <w:rFonts w:ascii="Bookman Old Style" w:hAnsi="Bookman Old Style"/>
          <w:b/>
          <w:sz w:val="24"/>
          <w:szCs w:val="24"/>
        </w:rPr>
        <w:t xml:space="preserve"> </w:t>
      </w:r>
      <w:r w:rsidR="000B43F6" w:rsidRPr="0014270C">
        <w:rPr>
          <w:rFonts w:ascii="Bookman Old Style" w:hAnsi="Bookman Old Style"/>
          <w:sz w:val="24"/>
          <w:szCs w:val="24"/>
        </w:rPr>
        <w:t xml:space="preserve">Having caused millions of dollars in lawsuits, re-housing, and health expenses, the decisions made in the aftermath of </w:t>
      </w:r>
      <w:r w:rsidR="00F87E92" w:rsidRPr="0014270C">
        <w:rPr>
          <w:rFonts w:ascii="Bookman Old Style" w:hAnsi="Bookman Old Style"/>
          <w:sz w:val="24"/>
          <w:szCs w:val="24"/>
        </w:rPr>
        <w:t xml:space="preserve">Hurricane Katrina </w:t>
      </w:r>
      <w:r w:rsidR="000B43F6" w:rsidRPr="0014270C">
        <w:rPr>
          <w:rFonts w:ascii="Bookman Old Style" w:hAnsi="Bookman Old Style"/>
          <w:sz w:val="24"/>
          <w:szCs w:val="24"/>
        </w:rPr>
        <w:t xml:space="preserve">have continued to haunt the </w:t>
      </w:r>
      <w:r w:rsidR="00210418" w:rsidRPr="0014270C">
        <w:rPr>
          <w:rFonts w:ascii="Bookman Old Style" w:hAnsi="Bookman Old Style"/>
          <w:sz w:val="24"/>
          <w:szCs w:val="24"/>
        </w:rPr>
        <w:t>country</w:t>
      </w:r>
      <w:r w:rsidR="000B43F6" w:rsidRPr="0014270C">
        <w:rPr>
          <w:rFonts w:ascii="Bookman Old Style" w:hAnsi="Bookman Old Style"/>
          <w:sz w:val="24"/>
          <w:szCs w:val="24"/>
        </w:rPr>
        <w:t xml:space="preserve"> and its citizens for over 13 years</w:t>
      </w:r>
      <w:r w:rsidR="00F2007D" w:rsidRPr="0014270C">
        <w:rPr>
          <w:rFonts w:ascii="Bookman Old Style" w:hAnsi="Bookman Old Style"/>
          <w:sz w:val="24"/>
          <w:szCs w:val="24"/>
        </w:rPr>
        <w:t>,</w:t>
      </w:r>
      <w:r w:rsidR="00641F97" w:rsidRPr="0014270C">
        <w:rPr>
          <w:rFonts w:ascii="Bookman Old Style" w:hAnsi="Bookman Old Style"/>
          <w:sz w:val="24"/>
          <w:szCs w:val="24"/>
        </w:rPr>
        <w:t xml:space="preserve"> despite </w:t>
      </w:r>
      <w:r w:rsidR="00CA03F3" w:rsidRPr="0014270C">
        <w:rPr>
          <w:rFonts w:ascii="Bookman Old Style" w:hAnsi="Bookman Old Style"/>
          <w:sz w:val="24"/>
          <w:szCs w:val="24"/>
        </w:rPr>
        <w:t xml:space="preserve">every effort to correct the </w:t>
      </w:r>
      <w:r w:rsidR="003038C4" w:rsidRPr="0014270C">
        <w:rPr>
          <w:rFonts w:ascii="Bookman Old Style" w:hAnsi="Bookman Old Style"/>
          <w:sz w:val="24"/>
          <w:szCs w:val="24"/>
        </w:rPr>
        <w:t>initial mistakes made</w:t>
      </w:r>
      <w:r w:rsidR="00795C36" w:rsidRPr="0014270C">
        <w:rPr>
          <w:rFonts w:ascii="Bookman Old Style" w:hAnsi="Bookman Old Style"/>
          <w:sz w:val="24"/>
          <w:szCs w:val="24"/>
        </w:rPr>
        <w:t xml:space="preserve"> after the storm</w:t>
      </w:r>
      <w:r w:rsidR="000B43F6" w:rsidRPr="0014270C">
        <w:rPr>
          <w:rFonts w:ascii="Bookman Old Style" w:hAnsi="Bookman Old Style"/>
          <w:sz w:val="24"/>
          <w:szCs w:val="24"/>
        </w:rPr>
        <w:t>.</w:t>
      </w:r>
      <w:r w:rsidR="00BB535F" w:rsidRPr="0014270C">
        <w:rPr>
          <w:rFonts w:ascii="Bookman Old Style" w:hAnsi="Bookman Old Style"/>
          <w:sz w:val="24"/>
          <w:szCs w:val="24"/>
        </w:rPr>
        <w:t xml:space="preserve"> In 2008, </w:t>
      </w:r>
      <w:r w:rsidR="00996553" w:rsidRPr="0014270C">
        <w:rPr>
          <w:rFonts w:ascii="Bookman Old Style" w:hAnsi="Bookman Old Style"/>
          <w:sz w:val="24"/>
          <w:szCs w:val="24"/>
        </w:rPr>
        <w:t xml:space="preserve">the National Response Framework (NRF), </w:t>
      </w:r>
      <w:r w:rsidR="00402A1B" w:rsidRPr="0014270C">
        <w:rPr>
          <w:rFonts w:ascii="Bookman Old Style" w:hAnsi="Bookman Old Style"/>
          <w:sz w:val="24"/>
          <w:szCs w:val="24"/>
        </w:rPr>
        <w:t>a more</w:t>
      </w:r>
      <w:r w:rsidR="00BE7714" w:rsidRPr="0014270C">
        <w:rPr>
          <w:rFonts w:ascii="Bookman Old Style" w:hAnsi="Bookman Old Style"/>
          <w:sz w:val="24"/>
          <w:szCs w:val="24"/>
        </w:rPr>
        <w:t xml:space="preserve"> robust </w:t>
      </w:r>
      <w:r w:rsidR="006848A0" w:rsidRPr="0014270C">
        <w:rPr>
          <w:rFonts w:ascii="Bookman Old Style" w:hAnsi="Bookman Old Style"/>
          <w:sz w:val="24"/>
          <w:szCs w:val="24"/>
        </w:rPr>
        <w:t>set of standards</w:t>
      </w:r>
      <w:r w:rsidR="00996553" w:rsidRPr="0014270C">
        <w:rPr>
          <w:rFonts w:ascii="Bookman Old Style" w:hAnsi="Bookman Old Style"/>
          <w:sz w:val="24"/>
          <w:szCs w:val="24"/>
        </w:rPr>
        <w:t xml:space="preserve"> </w:t>
      </w:r>
      <w:r w:rsidR="002A6147" w:rsidRPr="0014270C">
        <w:rPr>
          <w:rFonts w:ascii="Bookman Old Style" w:hAnsi="Bookman Old Style"/>
          <w:noProof/>
          <w:sz w:val="24"/>
          <w:szCs w:val="24"/>
        </w:rPr>
        <w:t>that</w:t>
      </w:r>
      <w:r w:rsidR="00996553" w:rsidRPr="0014270C">
        <w:rPr>
          <w:rFonts w:ascii="Bookman Old Style" w:hAnsi="Bookman Old Style"/>
          <w:sz w:val="24"/>
          <w:szCs w:val="24"/>
        </w:rPr>
        <w:t xml:space="preserve"> built upon the </w:t>
      </w:r>
      <w:r w:rsidR="00BF1F55" w:rsidRPr="0014270C">
        <w:rPr>
          <w:rFonts w:ascii="Bookman Old Style" w:hAnsi="Bookman Old Style"/>
          <w:sz w:val="24"/>
          <w:szCs w:val="24"/>
        </w:rPr>
        <w:t xml:space="preserve">lessons learned </w:t>
      </w:r>
      <w:r w:rsidR="00AF737F" w:rsidRPr="0014270C">
        <w:rPr>
          <w:rFonts w:ascii="Bookman Old Style" w:hAnsi="Bookman Old Style"/>
          <w:sz w:val="24"/>
          <w:szCs w:val="24"/>
        </w:rPr>
        <w:t>following</w:t>
      </w:r>
      <w:r w:rsidR="00BF1F55" w:rsidRPr="0014270C">
        <w:rPr>
          <w:rFonts w:ascii="Bookman Old Style" w:hAnsi="Bookman Old Style"/>
          <w:sz w:val="24"/>
          <w:szCs w:val="24"/>
        </w:rPr>
        <w:t xml:space="preserve"> Katrina</w:t>
      </w:r>
      <w:r w:rsidR="00331D10" w:rsidRPr="0014270C">
        <w:rPr>
          <w:rFonts w:ascii="Bookman Old Style" w:hAnsi="Bookman Old Style"/>
          <w:sz w:val="24"/>
          <w:szCs w:val="24"/>
        </w:rPr>
        <w:t>, replaced the NRP</w:t>
      </w:r>
      <w:r w:rsidR="006848A0" w:rsidRPr="0014270C">
        <w:rPr>
          <w:rFonts w:ascii="Bookman Old Style" w:hAnsi="Bookman Old Style"/>
          <w:sz w:val="24"/>
          <w:szCs w:val="24"/>
        </w:rPr>
        <w:t>.</w:t>
      </w:r>
      <w:r w:rsidR="00331D10" w:rsidRPr="0014270C">
        <w:rPr>
          <w:rStyle w:val="FootnoteReference"/>
          <w:rFonts w:ascii="Bookman Old Style" w:hAnsi="Bookman Old Style"/>
          <w:sz w:val="24"/>
          <w:szCs w:val="24"/>
        </w:rPr>
        <w:footnoteReference w:id="33"/>
      </w:r>
      <w:r w:rsidR="00631365" w:rsidRPr="0014270C">
        <w:rPr>
          <w:rFonts w:ascii="Bookman Old Style" w:hAnsi="Bookman Old Style"/>
          <w:sz w:val="24"/>
          <w:szCs w:val="24"/>
        </w:rPr>
        <w:t xml:space="preserve"> </w:t>
      </w:r>
      <w:r w:rsidR="001C326D" w:rsidRPr="0014270C">
        <w:rPr>
          <w:rFonts w:ascii="Bookman Old Style" w:hAnsi="Bookman Old Style"/>
          <w:sz w:val="24"/>
          <w:szCs w:val="24"/>
        </w:rPr>
        <w:t xml:space="preserve">Perhaps the </w:t>
      </w:r>
      <w:r w:rsidR="001C326D" w:rsidRPr="0014270C">
        <w:rPr>
          <w:rFonts w:ascii="Bookman Old Style" w:hAnsi="Bookman Old Style"/>
          <w:sz w:val="24"/>
          <w:szCs w:val="24"/>
        </w:rPr>
        <w:lastRenderedPageBreak/>
        <w:t xml:space="preserve">most important change implemented in the NRF is the </w:t>
      </w:r>
      <w:r w:rsidR="00557DBC" w:rsidRPr="0014270C">
        <w:rPr>
          <w:rFonts w:ascii="Bookman Old Style" w:hAnsi="Bookman Old Style"/>
          <w:sz w:val="24"/>
          <w:szCs w:val="24"/>
        </w:rPr>
        <w:t xml:space="preserve">holistic nature of the framework. It </w:t>
      </w:r>
      <w:r w:rsidR="00E2393D" w:rsidRPr="0014270C">
        <w:rPr>
          <w:rFonts w:ascii="Bookman Old Style" w:hAnsi="Bookman Old Style"/>
          <w:sz w:val="24"/>
          <w:szCs w:val="24"/>
        </w:rPr>
        <w:t>calls upon</w:t>
      </w:r>
      <w:r w:rsidR="00B93B6B" w:rsidRPr="0014270C">
        <w:rPr>
          <w:rFonts w:ascii="Bookman Old Style" w:hAnsi="Bookman Old Style"/>
          <w:sz w:val="24"/>
          <w:szCs w:val="24"/>
        </w:rPr>
        <w:t xml:space="preserve"> resources and services from the communities affected</w:t>
      </w:r>
      <w:r w:rsidR="00004B33" w:rsidRPr="0014270C">
        <w:rPr>
          <w:rFonts w:ascii="Bookman Old Style" w:hAnsi="Bookman Old Style"/>
          <w:sz w:val="24"/>
          <w:szCs w:val="24"/>
        </w:rPr>
        <w:t xml:space="preserve"> </w:t>
      </w:r>
      <w:r w:rsidR="00F41296" w:rsidRPr="0014270C">
        <w:rPr>
          <w:rFonts w:ascii="Bookman Old Style" w:hAnsi="Bookman Old Style"/>
          <w:sz w:val="24"/>
          <w:szCs w:val="24"/>
        </w:rPr>
        <w:t>to</w:t>
      </w:r>
      <w:r w:rsidR="00E2393D" w:rsidRPr="0014270C">
        <w:rPr>
          <w:rFonts w:ascii="Bookman Old Style" w:hAnsi="Bookman Old Style"/>
          <w:sz w:val="24"/>
          <w:szCs w:val="24"/>
        </w:rPr>
        <w:t xml:space="preserve"> </w:t>
      </w:r>
      <w:r w:rsidR="00E04821" w:rsidRPr="0014270C">
        <w:rPr>
          <w:rFonts w:ascii="Bookman Old Style" w:hAnsi="Bookman Old Style"/>
          <w:sz w:val="24"/>
          <w:szCs w:val="24"/>
        </w:rPr>
        <w:t>accomplish</w:t>
      </w:r>
      <w:r w:rsidR="006914BA" w:rsidRPr="0014270C">
        <w:rPr>
          <w:rFonts w:ascii="Bookman Old Style" w:hAnsi="Bookman Old Style"/>
          <w:sz w:val="24"/>
          <w:szCs w:val="24"/>
        </w:rPr>
        <w:t xml:space="preserve"> true resilience </w:t>
      </w:r>
      <w:r w:rsidR="00B60AC0" w:rsidRPr="0014270C">
        <w:rPr>
          <w:rFonts w:ascii="Bookman Old Style" w:hAnsi="Bookman Old Style"/>
          <w:sz w:val="24"/>
          <w:szCs w:val="24"/>
        </w:rPr>
        <w:t>in the face of disaster.</w:t>
      </w:r>
      <w:r w:rsidR="0031610F" w:rsidRPr="0014270C">
        <w:rPr>
          <w:rFonts w:ascii="Bookman Old Style" w:hAnsi="Bookman Old Style"/>
          <w:sz w:val="24"/>
          <w:szCs w:val="24"/>
        </w:rPr>
        <w:t xml:space="preserve"> By </w:t>
      </w:r>
      <w:r w:rsidR="000A1F2D" w:rsidRPr="0014270C">
        <w:rPr>
          <w:rFonts w:ascii="Bookman Old Style" w:hAnsi="Bookman Old Style"/>
          <w:sz w:val="24"/>
          <w:szCs w:val="24"/>
        </w:rPr>
        <w:t>staying local</w:t>
      </w:r>
      <w:r w:rsidR="003D3E17" w:rsidRPr="0014270C">
        <w:rPr>
          <w:rFonts w:ascii="Bookman Old Style" w:hAnsi="Bookman Old Style"/>
          <w:sz w:val="24"/>
          <w:szCs w:val="24"/>
        </w:rPr>
        <w:t xml:space="preserve"> and involving residents</w:t>
      </w:r>
      <w:r w:rsidR="000A1F2D" w:rsidRPr="0014270C">
        <w:rPr>
          <w:rFonts w:ascii="Bookman Old Style" w:hAnsi="Bookman Old Style"/>
          <w:sz w:val="24"/>
          <w:szCs w:val="24"/>
        </w:rPr>
        <w:t xml:space="preserve">, the </w:t>
      </w:r>
      <w:r w:rsidR="00332333" w:rsidRPr="0014270C">
        <w:rPr>
          <w:rFonts w:ascii="Bookman Old Style" w:hAnsi="Bookman Old Style"/>
          <w:sz w:val="24"/>
          <w:szCs w:val="24"/>
        </w:rPr>
        <w:t xml:space="preserve">immediate needs of the </w:t>
      </w:r>
      <w:r w:rsidR="000A1F2D" w:rsidRPr="0014270C">
        <w:rPr>
          <w:rFonts w:ascii="Bookman Old Style" w:hAnsi="Bookman Old Style"/>
          <w:sz w:val="24"/>
          <w:szCs w:val="24"/>
        </w:rPr>
        <w:t xml:space="preserve">community can </w:t>
      </w:r>
      <w:proofErr w:type="gramStart"/>
      <w:r w:rsidR="000A1F2D" w:rsidRPr="0014270C">
        <w:rPr>
          <w:rFonts w:ascii="Bookman Old Style" w:hAnsi="Bookman Old Style"/>
          <w:sz w:val="24"/>
          <w:szCs w:val="24"/>
        </w:rPr>
        <w:t>be understood</w:t>
      </w:r>
      <w:proofErr w:type="gramEnd"/>
      <w:r w:rsidR="000A1F2D" w:rsidRPr="0014270C">
        <w:rPr>
          <w:rFonts w:ascii="Bookman Old Style" w:hAnsi="Bookman Old Style"/>
          <w:sz w:val="24"/>
          <w:szCs w:val="24"/>
        </w:rPr>
        <w:t xml:space="preserve"> and </w:t>
      </w:r>
      <w:r w:rsidR="003D3E17" w:rsidRPr="0014270C">
        <w:rPr>
          <w:rFonts w:ascii="Bookman Old Style" w:hAnsi="Bookman Old Style"/>
          <w:sz w:val="24"/>
          <w:szCs w:val="24"/>
        </w:rPr>
        <w:t>addressed</w:t>
      </w:r>
      <w:r w:rsidR="00D15EFE" w:rsidRPr="0014270C">
        <w:rPr>
          <w:rFonts w:ascii="Bookman Old Style" w:hAnsi="Bookman Old Style"/>
          <w:sz w:val="24"/>
          <w:szCs w:val="24"/>
        </w:rPr>
        <w:t xml:space="preserve"> in a more effective way than was previously done</w:t>
      </w:r>
      <w:r w:rsidR="00E82E4B" w:rsidRPr="0014270C">
        <w:rPr>
          <w:rFonts w:ascii="Bookman Old Style" w:hAnsi="Bookman Old Style"/>
          <w:sz w:val="24"/>
          <w:szCs w:val="24"/>
        </w:rPr>
        <w:t xml:space="preserve"> using the NRP</w:t>
      </w:r>
      <w:r w:rsidR="00D15EFE" w:rsidRPr="0014270C">
        <w:rPr>
          <w:rFonts w:ascii="Bookman Old Style" w:hAnsi="Bookman Old Style"/>
          <w:sz w:val="24"/>
          <w:szCs w:val="24"/>
        </w:rPr>
        <w:t>.</w:t>
      </w:r>
      <w:r w:rsidR="00D83E74" w:rsidRPr="0014270C">
        <w:rPr>
          <w:rFonts w:ascii="Bookman Old Style" w:hAnsi="Bookman Old Style"/>
          <w:sz w:val="24"/>
          <w:szCs w:val="24"/>
        </w:rPr>
        <w:t xml:space="preserve"> </w:t>
      </w:r>
    </w:p>
    <w:p w14:paraId="19825EEC" w14:textId="42F0C91C" w:rsidR="00FD144A" w:rsidRPr="0014270C" w:rsidRDefault="00D83E74" w:rsidP="00251816">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Communication </w:t>
      </w:r>
      <w:r w:rsidR="00D00943" w:rsidRPr="0014270C">
        <w:rPr>
          <w:rFonts w:ascii="Bookman Old Style" w:hAnsi="Bookman Old Style"/>
          <w:sz w:val="24"/>
          <w:szCs w:val="24"/>
        </w:rPr>
        <w:t xml:space="preserve">and preparedness are repeated themes throughout the new framework, </w:t>
      </w:r>
      <w:r w:rsidR="00533753" w:rsidRPr="0014270C">
        <w:rPr>
          <w:rFonts w:ascii="Bookman Old Style" w:hAnsi="Bookman Old Style"/>
          <w:sz w:val="24"/>
          <w:szCs w:val="24"/>
        </w:rPr>
        <w:t>having non-governmental organization involvement in training volunteers, identifying emergency shelter locations, providing health services, and assisting in breeching language barriers</w:t>
      </w:r>
      <w:r w:rsidR="003F3EE7" w:rsidRPr="0014270C">
        <w:rPr>
          <w:rFonts w:ascii="Bookman Old Style" w:hAnsi="Bookman Old Style"/>
          <w:sz w:val="24"/>
          <w:szCs w:val="24"/>
        </w:rPr>
        <w:t>;</w:t>
      </w:r>
      <w:r w:rsidR="00533753" w:rsidRPr="0014270C">
        <w:rPr>
          <w:rFonts w:ascii="Bookman Old Style" w:hAnsi="Bookman Old Style"/>
          <w:sz w:val="24"/>
          <w:szCs w:val="24"/>
        </w:rPr>
        <w:t xml:space="preserve"> and providing </w:t>
      </w:r>
      <w:r w:rsidR="007331CE" w:rsidRPr="0014270C">
        <w:rPr>
          <w:rFonts w:ascii="Bookman Old Style" w:hAnsi="Bookman Old Style"/>
          <w:sz w:val="24"/>
          <w:szCs w:val="24"/>
        </w:rPr>
        <w:t xml:space="preserve">informational resources such as </w:t>
      </w:r>
      <w:r w:rsidR="00D76E94" w:rsidRPr="0014270C">
        <w:rPr>
          <w:rFonts w:ascii="Bookman Old Style" w:hAnsi="Bookman Old Style"/>
          <w:sz w:val="24"/>
          <w:szCs w:val="24"/>
        </w:rPr>
        <w:t xml:space="preserve">www.ready.gov for individuals </w:t>
      </w:r>
      <w:r w:rsidR="00584FDB" w:rsidRPr="0014270C">
        <w:rPr>
          <w:rFonts w:ascii="Bookman Old Style" w:hAnsi="Bookman Old Style"/>
          <w:sz w:val="24"/>
          <w:szCs w:val="24"/>
        </w:rPr>
        <w:t xml:space="preserve">to </w:t>
      </w:r>
      <w:r w:rsidR="00F725F8" w:rsidRPr="0014270C">
        <w:rPr>
          <w:rFonts w:ascii="Bookman Old Style" w:hAnsi="Bookman Old Style"/>
          <w:sz w:val="24"/>
          <w:szCs w:val="24"/>
        </w:rPr>
        <w:t xml:space="preserve">take measures </w:t>
      </w:r>
      <w:r w:rsidR="004C215C" w:rsidRPr="0014270C">
        <w:rPr>
          <w:rFonts w:ascii="Bookman Old Style" w:hAnsi="Bookman Old Style"/>
          <w:sz w:val="24"/>
          <w:szCs w:val="24"/>
        </w:rPr>
        <w:t>toward</w:t>
      </w:r>
      <w:r w:rsidR="00F725F8" w:rsidRPr="0014270C">
        <w:rPr>
          <w:rFonts w:ascii="Bookman Old Style" w:hAnsi="Bookman Old Style"/>
          <w:sz w:val="24"/>
          <w:szCs w:val="24"/>
        </w:rPr>
        <w:t xml:space="preserve"> </w:t>
      </w:r>
      <w:r w:rsidR="0009559F" w:rsidRPr="0014270C">
        <w:rPr>
          <w:rFonts w:ascii="Bookman Old Style" w:hAnsi="Bookman Old Style"/>
          <w:sz w:val="24"/>
          <w:szCs w:val="24"/>
        </w:rPr>
        <w:t xml:space="preserve">preparedness </w:t>
      </w:r>
      <w:r w:rsidR="00896DFB" w:rsidRPr="0014270C">
        <w:rPr>
          <w:rFonts w:ascii="Bookman Old Style" w:hAnsi="Bookman Old Style"/>
          <w:sz w:val="24"/>
          <w:szCs w:val="24"/>
        </w:rPr>
        <w:t xml:space="preserve">at </w:t>
      </w:r>
      <w:r w:rsidR="003F3EE7" w:rsidRPr="0014270C">
        <w:rPr>
          <w:rFonts w:ascii="Bookman Old Style" w:hAnsi="Bookman Old Style"/>
          <w:sz w:val="24"/>
          <w:szCs w:val="24"/>
        </w:rPr>
        <w:t>a</w:t>
      </w:r>
      <w:r w:rsidR="00896DFB" w:rsidRPr="0014270C">
        <w:rPr>
          <w:rFonts w:ascii="Bookman Old Style" w:hAnsi="Bookman Old Style"/>
          <w:sz w:val="24"/>
          <w:szCs w:val="24"/>
        </w:rPr>
        <w:t xml:space="preserve"> household level</w:t>
      </w:r>
      <w:r w:rsidR="008A19F8" w:rsidRPr="0014270C">
        <w:rPr>
          <w:rFonts w:ascii="Bookman Old Style" w:hAnsi="Bookman Old Style"/>
          <w:sz w:val="24"/>
          <w:szCs w:val="24"/>
        </w:rPr>
        <w:t>.</w:t>
      </w:r>
      <w:r w:rsidR="00C52491" w:rsidRPr="0014270C">
        <w:rPr>
          <w:rFonts w:ascii="Bookman Old Style" w:hAnsi="Bookman Old Style"/>
          <w:sz w:val="24"/>
          <w:szCs w:val="24"/>
        </w:rPr>
        <w:t xml:space="preserve"> </w:t>
      </w:r>
      <w:r w:rsidR="00506D91" w:rsidRPr="0014270C">
        <w:rPr>
          <w:rFonts w:ascii="Bookman Old Style" w:hAnsi="Bookman Old Style"/>
          <w:sz w:val="24"/>
          <w:szCs w:val="24"/>
        </w:rPr>
        <w:t xml:space="preserve">There are five </w:t>
      </w:r>
      <w:r w:rsidR="0097443B" w:rsidRPr="0014270C">
        <w:rPr>
          <w:rFonts w:ascii="Bookman Old Style" w:hAnsi="Bookman Old Style"/>
          <w:sz w:val="24"/>
          <w:szCs w:val="24"/>
        </w:rPr>
        <w:t>mission areas highlighted in the NR</w:t>
      </w:r>
      <w:r w:rsidR="00576E17" w:rsidRPr="0014270C">
        <w:rPr>
          <w:rFonts w:ascii="Bookman Old Style" w:hAnsi="Bookman Old Style"/>
          <w:sz w:val="24"/>
          <w:szCs w:val="24"/>
        </w:rPr>
        <w:t>F</w:t>
      </w:r>
      <w:r w:rsidR="005667C1" w:rsidRPr="0014270C">
        <w:rPr>
          <w:rFonts w:ascii="Bookman Old Style" w:hAnsi="Bookman Old Style"/>
          <w:sz w:val="24"/>
          <w:szCs w:val="24"/>
        </w:rPr>
        <w:t xml:space="preserve">: Prevention, Protection, Mitigation, Response, and Recovery. Within the </w:t>
      </w:r>
      <w:r w:rsidR="005667C1" w:rsidRPr="0014270C">
        <w:rPr>
          <w:rFonts w:ascii="Bookman Old Style" w:hAnsi="Bookman Old Style"/>
          <w:noProof/>
          <w:sz w:val="24"/>
          <w:szCs w:val="24"/>
        </w:rPr>
        <w:t>Response</w:t>
      </w:r>
      <w:r w:rsidR="005667C1" w:rsidRPr="0014270C">
        <w:rPr>
          <w:rFonts w:ascii="Bookman Old Style" w:hAnsi="Bookman Old Style"/>
          <w:sz w:val="24"/>
          <w:szCs w:val="24"/>
        </w:rPr>
        <w:t xml:space="preserve"> mission is</w:t>
      </w:r>
      <w:r w:rsidR="00677A56" w:rsidRPr="0014270C">
        <w:rPr>
          <w:rFonts w:ascii="Bookman Old Style" w:hAnsi="Bookman Old Style"/>
          <w:sz w:val="24"/>
          <w:szCs w:val="24"/>
        </w:rPr>
        <w:t xml:space="preserve"> the Mass Care Services core capability</w:t>
      </w:r>
      <w:r w:rsidR="00711B58" w:rsidRPr="0014270C">
        <w:rPr>
          <w:rFonts w:ascii="Bookman Old Style" w:hAnsi="Bookman Old Style"/>
          <w:sz w:val="24"/>
          <w:szCs w:val="24"/>
        </w:rPr>
        <w:t xml:space="preserve">, coordinated by the </w:t>
      </w:r>
      <w:r w:rsidR="003F68D7" w:rsidRPr="0014270C">
        <w:rPr>
          <w:rFonts w:ascii="Bookman Old Style" w:hAnsi="Bookman Old Style"/>
          <w:sz w:val="24"/>
          <w:szCs w:val="24"/>
        </w:rPr>
        <w:t>Department of Homeland Security</w:t>
      </w:r>
      <w:r w:rsidR="00233A29" w:rsidRPr="0014270C">
        <w:rPr>
          <w:rFonts w:ascii="Bookman Old Style" w:hAnsi="Bookman Old Style"/>
          <w:sz w:val="24"/>
          <w:szCs w:val="24"/>
        </w:rPr>
        <w:t xml:space="preserve"> and FEMA,</w:t>
      </w:r>
      <w:r w:rsidR="00677A56" w:rsidRPr="0014270C">
        <w:rPr>
          <w:rFonts w:ascii="Bookman Old Style" w:hAnsi="Bookman Old Style"/>
          <w:sz w:val="24"/>
          <w:szCs w:val="24"/>
        </w:rPr>
        <w:t xml:space="preserve"> which involves planning for and providing housing solutions</w:t>
      </w:r>
      <w:r w:rsidR="00B519D2" w:rsidRPr="0014270C">
        <w:rPr>
          <w:rFonts w:ascii="Bookman Old Style" w:hAnsi="Bookman Old Style"/>
          <w:sz w:val="24"/>
          <w:szCs w:val="24"/>
        </w:rPr>
        <w:t xml:space="preserve">, counseling </w:t>
      </w:r>
      <w:r w:rsidR="00E66337" w:rsidRPr="0014270C">
        <w:rPr>
          <w:rFonts w:ascii="Bookman Old Style" w:hAnsi="Bookman Old Style"/>
          <w:sz w:val="24"/>
          <w:szCs w:val="24"/>
        </w:rPr>
        <w:t>ass</w:t>
      </w:r>
      <w:r w:rsidR="00EA12DF" w:rsidRPr="0014270C">
        <w:rPr>
          <w:rFonts w:ascii="Bookman Old Style" w:hAnsi="Bookman Old Style"/>
          <w:sz w:val="24"/>
          <w:szCs w:val="24"/>
        </w:rPr>
        <w:t>istance</w:t>
      </w:r>
      <w:r w:rsidR="00613EFF" w:rsidRPr="0014270C">
        <w:rPr>
          <w:rFonts w:ascii="Bookman Old Style" w:hAnsi="Bookman Old Style"/>
          <w:sz w:val="24"/>
          <w:szCs w:val="24"/>
        </w:rPr>
        <w:t xml:space="preserve">, and </w:t>
      </w:r>
      <w:r w:rsidR="00432278" w:rsidRPr="0014270C">
        <w:rPr>
          <w:rFonts w:ascii="Bookman Old Style" w:hAnsi="Bookman Old Style"/>
          <w:sz w:val="24"/>
          <w:szCs w:val="24"/>
        </w:rPr>
        <w:t xml:space="preserve">employment </w:t>
      </w:r>
      <w:r w:rsidR="00EA12DF" w:rsidRPr="0014270C">
        <w:rPr>
          <w:rFonts w:ascii="Bookman Old Style" w:hAnsi="Bookman Old Style"/>
          <w:sz w:val="24"/>
          <w:szCs w:val="24"/>
        </w:rPr>
        <w:t>resources</w:t>
      </w:r>
      <w:r w:rsidR="00432278" w:rsidRPr="0014270C">
        <w:rPr>
          <w:rFonts w:ascii="Bookman Old Style" w:hAnsi="Bookman Old Style"/>
          <w:sz w:val="24"/>
          <w:szCs w:val="24"/>
        </w:rPr>
        <w:t>, among other services,</w:t>
      </w:r>
      <w:r w:rsidR="00677A56" w:rsidRPr="0014270C">
        <w:rPr>
          <w:rFonts w:ascii="Bookman Old Style" w:hAnsi="Bookman Old Style"/>
          <w:sz w:val="24"/>
          <w:szCs w:val="24"/>
        </w:rPr>
        <w:t xml:space="preserve"> for those victims who are unable to return to their </w:t>
      </w:r>
      <w:r w:rsidR="008D1D11" w:rsidRPr="0014270C">
        <w:rPr>
          <w:rFonts w:ascii="Bookman Old Style" w:hAnsi="Bookman Old Style"/>
          <w:sz w:val="24"/>
          <w:szCs w:val="24"/>
        </w:rPr>
        <w:t>homes.</w:t>
      </w:r>
      <w:r w:rsidR="00071108" w:rsidRPr="0014270C">
        <w:rPr>
          <w:rStyle w:val="FootnoteReference"/>
          <w:rFonts w:ascii="Bookman Old Style" w:hAnsi="Bookman Old Style"/>
          <w:sz w:val="24"/>
          <w:szCs w:val="24"/>
        </w:rPr>
        <w:footnoteReference w:id="34"/>
      </w:r>
      <w:r w:rsidR="00A4291E" w:rsidRPr="0014270C">
        <w:rPr>
          <w:rFonts w:ascii="Bookman Old Style" w:hAnsi="Bookman Old Style"/>
          <w:sz w:val="24"/>
          <w:szCs w:val="24"/>
        </w:rPr>
        <w:t xml:space="preserve"> </w:t>
      </w:r>
    </w:p>
    <w:p w14:paraId="17A4E1B4" w14:textId="30A3F38B" w:rsidR="00140C0C" w:rsidRPr="0014270C" w:rsidRDefault="009C0CBA" w:rsidP="00C52491">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In 2011, </w:t>
      </w:r>
      <w:r w:rsidR="000B4A8F" w:rsidRPr="0014270C">
        <w:rPr>
          <w:rFonts w:ascii="Bookman Old Style" w:hAnsi="Bookman Old Style"/>
          <w:sz w:val="24"/>
          <w:szCs w:val="24"/>
        </w:rPr>
        <w:t>the National Disaster Recovery Framework (NDRF)</w:t>
      </w:r>
      <w:r w:rsidR="00D0181E" w:rsidRPr="0014270C">
        <w:rPr>
          <w:rStyle w:val="FootnoteReference"/>
          <w:rFonts w:ascii="Bookman Old Style" w:hAnsi="Bookman Old Style"/>
          <w:sz w:val="24"/>
          <w:szCs w:val="24"/>
        </w:rPr>
        <w:footnoteReference w:id="35"/>
      </w:r>
      <w:r w:rsidR="00DE1AEE" w:rsidRPr="0014270C">
        <w:rPr>
          <w:rFonts w:ascii="Bookman Old Style" w:hAnsi="Bookman Old Style"/>
          <w:sz w:val="24"/>
          <w:szCs w:val="24"/>
        </w:rPr>
        <w:t xml:space="preserve"> </w:t>
      </w:r>
      <w:proofErr w:type="gramStart"/>
      <w:r w:rsidR="00DE1AEE" w:rsidRPr="0014270C">
        <w:rPr>
          <w:rFonts w:ascii="Bookman Old Style" w:hAnsi="Bookman Old Style"/>
          <w:sz w:val="24"/>
          <w:szCs w:val="24"/>
        </w:rPr>
        <w:t>was created</w:t>
      </w:r>
      <w:proofErr w:type="gramEnd"/>
      <w:r w:rsidR="00DE1AEE" w:rsidRPr="0014270C">
        <w:rPr>
          <w:rFonts w:ascii="Bookman Old Style" w:hAnsi="Bookman Old Style"/>
          <w:sz w:val="24"/>
          <w:szCs w:val="24"/>
        </w:rPr>
        <w:t xml:space="preserve"> as a companion to the NRF, serving the purpose of </w:t>
      </w:r>
      <w:r w:rsidR="00066DDA" w:rsidRPr="0014270C">
        <w:rPr>
          <w:rFonts w:ascii="Bookman Old Style" w:hAnsi="Bookman Old Style"/>
          <w:sz w:val="24"/>
          <w:szCs w:val="24"/>
        </w:rPr>
        <w:t xml:space="preserve">expanding on </w:t>
      </w:r>
      <w:r w:rsidR="00410C4C" w:rsidRPr="0014270C">
        <w:rPr>
          <w:rFonts w:ascii="Bookman Old Style" w:hAnsi="Bookman Old Style"/>
          <w:sz w:val="24"/>
          <w:szCs w:val="24"/>
        </w:rPr>
        <w:t>long-term community recovery post-disaster</w:t>
      </w:r>
      <w:r w:rsidR="008F236C" w:rsidRPr="0014270C">
        <w:rPr>
          <w:rFonts w:ascii="Bookman Old Style" w:hAnsi="Bookman Old Style"/>
          <w:sz w:val="24"/>
          <w:szCs w:val="24"/>
        </w:rPr>
        <w:t xml:space="preserve"> and reducing vulnerability to </w:t>
      </w:r>
      <w:r w:rsidR="003E3711" w:rsidRPr="0014270C">
        <w:rPr>
          <w:rFonts w:ascii="Bookman Old Style" w:hAnsi="Bookman Old Style"/>
          <w:sz w:val="24"/>
          <w:szCs w:val="24"/>
        </w:rPr>
        <w:t xml:space="preserve">future </w:t>
      </w:r>
      <w:r w:rsidR="008441B5" w:rsidRPr="0014270C">
        <w:rPr>
          <w:rFonts w:ascii="Bookman Old Style" w:hAnsi="Bookman Old Style"/>
          <w:sz w:val="24"/>
          <w:szCs w:val="24"/>
        </w:rPr>
        <w:lastRenderedPageBreak/>
        <w:t>tragedies</w:t>
      </w:r>
      <w:r w:rsidR="00410C4C" w:rsidRPr="0014270C">
        <w:rPr>
          <w:rFonts w:ascii="Bookman Old Style" w:hAnsi="Bookman Old Style"/>
          <w:sz w:val="24"/>
          <w:szCs w:val="24"/>
        </w:rPr>
        <w:t>.</w:t>
      </w:r>
      <w:r w:rsidR="00D0181E" w:rsidRPr="0014270C">
        <w:rPr>
          <w:rFonts w:ascii="Bookman Old Style" w:hAnsi="Bookman Old Style"/>
          <w:sz w:val="24"/>
          <w:szCs w:val="24"/>
        </w:rPr>
        <w:t xml:space="preserve"> T</w:t>
      </w:r>
      <w:r w:rsidR="0067552D" w:rsidRPr="0014270C">
        <w:rPr>
          <w:rFonts w:ascii="Bookman Old Style" w:hAnsi="Bookman Old Style"/>
          <w:sz w:val="24"/>
          <w:szCs w:val="24"/>
        </w:rPr>
        <w:t xml:space="preserve">his expansion includes </w:t>
      </w:r>
      <w:r w:rsidR="00555AB9" w:rsidRPr="0014270C">
        <w:rPr>
          <w:rFonts w:ascii="Bookman Old Style" w:hAnsi="Bookman Old Style"/>
          <w:sz w:val="24"/>
          <w:szCs w:val="24"/>
        </w:rPr>
        <w:t xml:space="preserve">nine principles for effective recovery: Individual and Family Empowerment, </w:t>
      </w:r>
      <w:r w:rsidR="00380EC4" w:rsidRPr="0014270C">
        <w:rPr>
          <w:rFonts w:ascii="Bookman Old Style" w:hAnsi="Bookman Old Style"/>
          <w:sz w:val="24"/>
          <w:szCs w:val="24"/>
        </w:rPr>
        <w:t xml:space="preserve">Leadership and Local Primacy, Pre-Disaster Recovery Planning, Partnerships and Inclusiveness, Public Information, Unity of Effort, Timeliness </w:t>
      </w:r>
      <w:r w:rsidR="00380EC4" w:rsidRPr="0014270C">
        <w:rPr>
          <w:rFonts w:ascii="Bookman Old Style" w:hAnsi="Bookman Old Style"/>
          <w:noProof/>
          <w:sz w:val="24"/>
          <w:szCs w:val="24"/>
        </w:rPr>
        <w:t>and</w:t>
      </w:r>
      <w:r w:rsidR="00380EC4" w:rsidRPr="0014270C">
        <w:rPr>
          <w:rFonts w:ascii="Bookman Old Style" w:hAnsi="Bookman Old Style"/>
          <w:sz w:val="24"/>
          <w:szCs w:val="24"/>
        </w:rPr>
        <w:t xml:space="preserve"> Flexibility, </w:t>
      </w:r>
      <w:r w:rsidR="000F5552" w:rsidRPr="0014270C">
        <w:rPr>
          <w:rFonts w:ascii="Bookman Old Style" w:hAnsi="Bookman Old Style"/>
          <w:sz w:val="24"/>
          <w:szCs w:val="24"/>
        </w:rPr>
        <w:t>Resilience and Sustainability, and Psychological and Emotional Recovery.</w:t>
      </w:r>
      <w:r w:rsidR="004D4497" w:rsidRPr="0014270C">
        <w:rPr>
          <w:rFonts w:ascii="Bookman Old Style" w:hAnsi="Bookman Old Style"/>
          <w:sz w:val="24"/>
          <w:szCs w:val="24"/>
        </w:rPr>
        <w:t xml:space="preserve"> </w:t>
      </w:r>
      <w:r w:rsidR="00FF16D9" w:rsidRPr="0014270C">
        <w:rPr>
          <w:rFonts w:ascii="Bookman Old Style" w:hAnsi="Bookman Old Style"/>
          <w:sz w:val="24"/>
          <w:szCs w:val="24"/>
        </w:rPr>
        <w:t>The p</w:t>
      </w:r>
      <w:r w:rsidR="00395BB3" w:rsidRPr="0014270C">
        <w:rPr>
          <w:rFonts w:ascii="Bookman Old Style" w:hAnsi="Bookman Old Style"/>
          <w:sz w:val="24"/>
          <w:szCs w:val="24"/>
        </w:rPr>
        <w:t xml:space="preserve">rinciple of Resilience and Sustainability in the NDRF highlights the importance of </w:t>
      </w:r>
      <w:r w:rsidR="00901762" w:rsidRPr="0014270C">
        <w:rPr>
          <w:rFonts w:ascii="Bookman Old Style" w:hAnsi="Bookman Old Style"/>
          <w:sz w:val="24"/>
          <w:szCs w:val="24"/>
        </w:rPr>
        <w:t xml:space="preserve">rebuilding a community which focuses on </w:t>
      </w:r>
      <w:r w:rsidR="00EB3A90" w:rsidRPr="0014270C">
        <w:rPr>
          <w:rFonts w:ascii="Bookman Old Style" w:hAnsi="Bookman Old Style"/>
          <w:sz w:val="24"/>
          <w:szCs w:val="24"/>
        </w:rPr>
        <w:t>long-term</w:t>
      </w:r>
      <w:r w:rsidR="007E7EDB" w:rsidRPr="0014270C">
        <w:rPr>
          <w:rFonts w:ascii="Bookman Old Style" w:hAnsi="Bookman Old Style"/>
          <w:sz w:val="24"/>
          <w:szCs w:val="24"/>
        </w:rPr>
        <w:t xml:space="preserve"> security</w:t>
      </w:r>
      <w:r w:rsidR="00FE449A" w:rsidRPr="0014270C">
        <w:rPr>
          <w:rFonts w:ascii="Bookman Old Style" w:hAnsi="Bookman Old Style"/>
          <w:sz w:val="24"/>
          <w:szCs w:val="24"/>
        </w:rPr>
        <w:t xml:space="preserve"> by </w:t>
      </w:r>
      <w:r w:rsidR="00804876" w:rsidRPr="0014270C">
        <w:rPr>
          <w:rFonts w:ascii="Bookman Old Style" w:hAnsi="Bookman Old Style"/>
          <w:sz w:val="24"/>
          <w:szCs w:val="24"/>
        </w:rPr>
        <w:t xml:space="preserve">designing </w:t>
      </w:r>
      <w:r w:rsidR="00FE449A" w:rsidRPr="0014270C">
        <w:rPr>
          <w:rFonts w:ascii="Bookman Old Style" w:hAnsi="Bookman Old Style"/>
          <w:sz w:val="24"/>
          <w:szCs w:val="24"/>
        </w:rPr>
        <w:t xml:space="preserve">a </w:t>
      </w:r>
      <w:r w:rsidR="00BD3CC0" w:rsidRPr="0014270C">
        <w:rPr>
          <w:rFonts w:ascii="Bookman Old Style" w:hAnsi="Bookman Old Style"/>
          <w:sz w:val="24"/>
          <w:szCs w:val="24"/>
        </w:rPr>
        <w:t xml:space="preserve">dynamic </w:t>
      </w:r>
      <w:r w:rsidR="00FE449A" w:rsidRPr="0014270C">
        <w:rPr>
          <w:rFonts w:ascii="Bookman Old Style" w:hAnsi="Bookman Old Style"/>
          <w:sz w:val="24"/>
          <w:szCs w:val="24"/>
        </w:rPr>
        <w:t xml:space="preserve">system </w:t>
      </w:r>
      <w:r w:rsidR="005A5025" w:rsidRPr="0014270C">
        <w:rPr>
          <w:rFonts w:ascii="Bookman Old Style" w:hAnsi="Bookman Old Style"/>
          <w:sz w:val="24"/>
          <w:szCs w:val="24"/>
        </w:rPr>
        <w:t>of inter</w:t>
      </w:r>
      <w:r w:rsidR="00551E05" w:rsidRPr="0014270C">
        <w:rPr>
          <w:rFonts w:ascii="Bookman Old Style" w:hAnsi="Bookman Old Style"/>
          <w:sz w:val="24"/>
          <w:szCs w:val="24"/>
        </w:rPr>
        <w:t xml:space="preserve">dependent </w:t>
      </w:r>
      <w:r w:rsidR="00216894" w:rsidRPr="0014270C">
        <w:rPr>
          <w:rFonts w:ascii="Bookman Old Style" w:hAnsi="Bookman Old Style"/>
          <w:sz w:val="24"/>
          <w:szCs w:val="24"/>
        </w:rPr>
        <w:t>duties</w:t>
      </w:r>
      <w:r w:rsidR="00635481" w:rsidRPr="0014270C">
        <w:rPr>
          <w:rFonts w:ascii="Bookman Old Style" w:hAnsi="Bookman Old Style"/>
          <w:sz w:val="24"/>
          <w:szCs w:val="24"/>
        </w:rPr>
        <w:t>; suggesting that b</w:t>
      </w:r>
      <w:r w:rsidR="00C17AF8" w:rsidRPr="0014270C">
        <w:rPr>
          <w:rFonts w:ascii="Bookman Old Style" w:hAnsi="Bookman Old Style"/>
          <w:sz w:val="24"/>
          <w:szCs w:val="24"/>
        </w:rPr>
        <w:t xml:space="preserve">y treating </w:t>
      </w:r>
      <w:r w:rsidR="009E1D2C" w:rsidRPr="0014270C">
        <w:rPr>
          <w:rFonts w:ascii="Bookman Old Style" w:hAnsi="Bookman Old Style"/>
          <w:sz w:val="24"/>
          <w:szCs w:val="24"/>
        </w:rPr>
        <w:t xml:space="preserve">the operation </w:t>
      </w:r>
      <w:r w:rsidR="00C17AF8" w:rsidRPr="0014270C">
        <w:rPr>
          <w:rFonts w:ascii="Bookman Old Style" w:hAnsi="Bookman Old Style"/>
          <w:sz w:val="24"/>
          <w:szCs w:val="24"/>
        </w:rPr>
        <w:t xml:space="preserve">holistically, a more thorough economic, environmental, and social recovery </w:t>
      </w:r>
      <w:r w:rsidR="001622B8" w:rsidRPr="0014270C">
        <w:rPr>
          <w:rFonts w:ascii="Bookman Old Style" w:hAnsi="Bookman Old Style"/>
          <w:sz w:val="24"/>
          <w:szCs w:val="24"/>
        </w:rPr>
        <w:t>can begin</w:t>
      </w:r>
      <w:r w:rsidR="00D37ACE" w:rsidRPr="0014270C">
        <w:rPr>
          <w:rFonts w:ascii="Bookman Old Style" w:hAnsi="Bookman Old Style"/>
          <w:sz w:val="24"/>
          <w:szCs w:val="24"/>
        </w:rPr>
        <w:t xml:space="preserve"> to take place</w:t>
      </w:r>
      <w:r w:rsidR="001622B8" w:rsidRPr="0014270C">
        <w:rPr>
          <w:rFonts w:ascii="Bookman Old Style" w:hAnsi="Bookman Old Style"/>
          <w:sz w:val="24"/>
          <w:szCs w:val="24"/>
        </w:rPr>
        <w:t>.</w:t>
      </w:r>
      <w:r w:rsidR="00FE449A" w:rsidRPr="0014270C">
        <w:rPr>
          <w:rFonts w:ascii="Bookman Old Style" w:hAnsi="Bookman Old Style"/>
          <w:sz w:val="24"/>
          <w:szCs w:val="24"/>
        </w:rPr>
        <w:t xml:space="preserve"> </w:t>
      </w:r>
      <w:r w:rsidR="002F1533" w:rsidRPr="0014270C">
        <w:rPr>
          <w:rFonts w:ascii="Bookman Old Style" w:hAnsi="Bookman Old Style"/>
          <w:sz w:val="24"/>
          <w:szCs w:val="24"/>
        </w:rPr>
        <w:t xml:space="preserve">Due to the </w:t>
      </w:r>
      <w:r w:rsidR="00582FED" w:rsidRPr="0014270C">
        <w:rPr>
          <w:rFonts w:ascii="Bookman Old Style" w:hAnsi="Bookman Old Style"/>
          <w:sz w:val="24"/>
          <w:szCs w:val="24"/>
        </w:rPr>
        <w:t xml:space="preserve">lasting effect </w:t>
      </w:r>
      <w:r w:rsidR="00C2725E" w:rsidRPr="0014270C">
        <w:rPr>
          <w:rFonts w:ascii="Bookman Old Style" w:hAnsi="Bookman Old Style"/>
          <w:sz w:val="24"/>
          <w:szCs w:val="24"/>
        </w:rPr>
        <w:t xml:space="preserve">of </w:t>
      </w:r>
      <w:r w:rsidR="00582FED" w:rsidRPr="0014270C">
        <w:rPr>
          <w:rFonts w:ascii="Bookman Old Style" w:hAnsi="Bookman Old Style"/>
          <w:sz w:val="24"/>
          <w:szCs w:val="24"/>
        </w:rPr>
        <w:t>Katrina</w:t>
      </w:r>
      <w:r w:rsidR="001F33D0" w:rsidRPr="0014270C">
        <w:rPr>
          <w:rFonts w:ascii="Bookman Old Style" w:hAnsi="Bookman Old Style"/>
          <w:sz w:val="24"/>
          <w:szCs w:val="24"/>
        </w:rPr>
        <w:t xml:space="preserve">, </w:t>
      </w:r>
      <w:r w:rsidR="00582FED" w:rsidRPr="0014270C">
        <w:rPr>
          <w:rFonts w:ascii="Bookman Old Style" w:hAnsi="Bookman Old Style"/>
          <w:sz w:val="24"/>
          <w:szCs w:val="24"/>
        </w:rPr>
        <w:t>the nation</w:t>
      </w:r>
      <w:r w:rsidR="001F33D0" w:rsidRPr="0014270C">
        <w:rPr>
          <w:rFonts w:ascii="Bookman Old Style" w:hAnsi="Bookman Old Style"/>
          <w:sz w:val="24"/>
          <w:szCs w:val="24"/>
        </w:rPr>
        <w:t>’s leaders</w:t>
      </w:r>
      <w:r w:rsidR="00582FED" w:rsidRPr="0014270C">
        <w:rPr>
          <w:rFonts w:ascii="Bookman Old Style" w:hAnsi="Bookman Old Style"/>
          <w:sz w:val="24"/>
          <w:szCs w:val="24"/>
        </w:rPr>
        <w:t xml:space="preserve"> set into motion </w:t>
      </w:r>
      <w:r w:rsidR="0017015C" w:rsidRPr="0014270C">
        <w:rPr>
          <w:rFonts w:ascii="Bookman Old Style" w:hAnsi="Bookman Old Style"/>
          <w:sz w:val="24"/>
          <w:szCs w:val="24"/>
        </w:rPr>
        <w:t xml:space="preserve">this </w:t>
      </w:r>
      <w:r w:rsidR="00582FED" w:rsidRPr="0014270C">
        <w:rPr>
          <w:rFonts w:ascii="Bookman Old Style" w:hAnsi="Bookman Old Style"/>
          <w:sz w:val="24"/>
          <w:szCs w:val="24"/>
        </w:rPr>
        <w:t>series of important changes</w:t>
      </w:r>
      <w:r w:rsidR="00F423EC" w:rsidRPr="0014270C">
        <w:rPr>
          <w:rFonts w:ascii="Bookman Old Style" w:hAnsi="Bookman Old Style"/>
          <w:sz w:val="24"/>
          <w:szCs w:val="24"/>
        </w:rPr>
        <w:t xml:space="preserve"> that would come to </w:t>
      </w:r>
      <w:proofErr w:type="gramStart"/>
      <w:r w:rsidR="00F423EC" w:rsidRPr="0014270C">
        <w:rPr>
          <w:rFonts w:ascii="Bookman Old Style" w:hAnsi="Bookman Old Style"/>
          <w:sz w:val="24"/>
          <w:szCs w:val="24"/>
        </w:rPr>
        <w:t>be tested</w:t>
      </w:r>
      <w:proofErr w:type="gramEnd"/>
      <w:r w:rsidR="00F423EC" w:rsidRPr="0014270C">
        <w:rPr>
          <w:rFonts w:ascii="Bookman Old Style" w:hAnsi="Bookman Old Style"/>
          <w:sz w:val="24"/>
          <w:szCs w:val="24"/>
        </w:rPr>
        <w:t xml:space="preserve"> several times over, though perhaps most </w:t>
      </w:r>
      <w:r w:rsidR="00F01820" w:rsidRPr="0014270C">
        <w:rPr>
          <w:rFonts w:ascii="Bookman Old Style" w:hAnsi="Bookman Old Style"/>
          <w:sz w:val="24"/>
          <w:szCs w:val="24"/>
        </w:rPr>
        <w:t xml:space="preserve">thoroughly in 2017 after Hurricane Harvey struck Houston, Texas in </w:t>
      </w:r>
      <w:r w:rsidR="00B572FA" w:rsidRPr="0014270C">
        <w:rPr>
          <w:rFonts w:ascii="Bookman Old Style" w:hAnsi="Bookman Old Style"/>
          <w:sz w:val="24"/>
          <w:szCs w:val="24"/>
        </w:rPr>
        <w:t>late August.</w:t>
      </w:r>
    </w:p>
    <w:p w14:paraId="13F24730" w14:textId="5CCAFFC4" w:rsidR="00C62EA9" w:rsidRPr="0014270C" w:rsidRDefault="00810D4E" w:rsidP="00B93546">
      <w:pPr>
        <w:pStyle w:val="THESISLVL3"/>
      </w:pPr>
      <w:bookmarkStart w:id="16" w:name="_Toc8062254"/>
      <w:r w:rsidRPr="0014270C">
        <w:t>H</w:t>
      </w:r>
      <w:r w:rsidR="00F12359" w:rsidRPr="0014270C">
        <w:t>urricane H</w:t>
      </w:r>
      <w:r w:rsidRPr="0014270C">
        <w:t>arvey</w:t>
      </w:r>
      <w:bookmarkEnd w:id="16"/>
    </w:p>
    <w:p w14:paraId="5132771C" w14:textId="7C2D1460" w:rsidR="00107ECA" w:rsidRPr="0014270C" w:rsidRDefault="00F12359" w:rsidP="00140C0C">
      <w:pPr>
        <w:spacing w:line="480" w:lineRule="auto"/>
        <w:ind w:firstLine="720"/>
        <w:rPr>
          <w:rFonts w:ascii="Bookman Old Style" w:hAnsi="Bookman Old Style"/>
          <w:b/>
          <w:sz w:val="24"/>
          <w:szCs w:val="24"/>
        </w:rPr>
      </w:pPr>
      <w:bookmarkStart w:id="17" w:name="_Toc8062255"/>
      <w:r w:rsidRPr="0014270C">
        <w:rPr>
          <w:rStyle w:val="THESISLVL4Char"/>
        </w:rPr>
        <w:t>The storm</w:t>
      </w:r>
      <w:bookmarkEnd w:id="17"/>
      <w:r w:rsidRPr="0014270C">
        <w:rPr>
          <w:rFonts w:ascii="Bookman Old Style" w:hAnsi="Bookman Old Style"/>
          <w:sz w:val="24"/>
          <w:szCs w:val="24"/>
        </w:rPr>
        <w:t>.</w:t>
      </w:r>
      <w:r w:rsidRPr="0014270C">
        <w:rPr>
          <w:rFonts w:ascii="Bookman Old Style" w:hAnsi="Bookman Old Style"/>
          <w:b/>
          <w:sz w:val="24"/>
          <w:szCs w:val="24"/>
        </w:rPr>
        <w:t xml:space="preserve"> </w:t>
      </w:r>
      <w:r w:rsidR="00DB2475" w:rsidRPr="0014270C">
        <w:rPr>
          <w:rFonts w:ascii="Bookman Old Style" w:hAnsi="Bookman Old Style"/>
          <w:sz w:val="24"/>
          <w:szCs w:val="24"/>
        </w:rPr>
        <w:t xml:space="preserve">Despite </w:t>
      </w:r>
      <w:proofErr w:type="gramStart"/>
      <w:r w:rsidR="00DB2475" w:rsidRPr="0014270C">
        <w:rPr>
          <w:rFonts w:ascii="Bookman Old Style" w:hAnsi="Bookman Old Style"/>
          <w:sz w:val="24"/>
          <w:szCs w:val="24"/>
        </w:rPr>
        <w:t>being founded</w:t>
      </w:r>
      <w:proofErr w:type="gramEnd"/>
      <w:r w:rsidR="00DB2475" w:rsidRPr="0014270C">
        <w:rPr>
          <w:rFonts w:ascii="Bookman Old Style" w:hAnsi="Bookman Old Style"/>
          <w:sz w:val="24"/>
          <w:szCs w:val="24"/>
        </w:rPr>
        <w:t xml:space="preserve"> nearly 120 years later, t</w:t>
      </w:r>
      <w:r w:rsidR="00C83FF7" w:rsidRPr="0014270C">
        <w:rPr>
          <w:rFonts w:ascii="Bookman Old Style" w:hAnsi="Bookman Old Style"/>
          <w:sz w:val="24"/>
          <w:szCs w:val="24"/>
        </w:rPr>
        <w:t xml:space="preserve">he culture in </w:t>
      </w:r>
      <w:r w:rsidR="00285ECC" w:rsidRPr="0014270C">
        <w:rPr>
          <w:rFonts w:ascii="Bookman Old Style" w:hAnsi="Bookman Old Style"/>
          <w:sz w:val="24"/>
          <w:szCs w:val="24"/>
        </w:rPr>
        <w:t>Houston</w:t>
      </w:r>
      <w:r w:rsidR="00C83FF7" w:rsidRPr="0014270C">
        <w:rPr>
          <w:rFonts w:ascii="Bookman Old Style" w:hAnsi="Bookman Old Style"/>
          <w:sz w:val="24"/>
          <w:szCs w:val="24"/>
        </w:rPr>
        <w:t xml:space="preserve"> is much like that of New Orleans</w:t>
      </w:r>
      <w:r w:rsidR="009322D3" w:rsidRPr="0014270C">
        <w:rPr>
          <w:rFonts w:ascii="Bookman Old Style" w:hAnsi="Bookman Old Style"/>
          <w:sz w:val="24"/>
          <w:szCs w:val="24"/>
        </w:rPr>
        <w:t xml:space="preserve">; the </w:t>
      </w:r>
      <w:r w:rsidR="00AF3088" w:rsidRPr="0014270C">
        <w:rPr>
          <w:rFonts w:ascii="Bookman Old Style" w:hAnsi="Bookman Old Style"/>
          <w:sz w:val="24"/>
          <w:szCs w:val="24"/>
        </w:rPr>
        <w:t>residents</w:t>
      </w:r>
      <w:r w:rsidR="009322D3" w:rsidRPr="0014270C">
        <w:rPr>
          <w:rFonts w:ascii="Bookman Old Style" w:hAnsi="Bookman Old Style"/>
          <w:sz w:val="24"/>
          <w:szCs w:val="24"/>
        </w:rPr>
        <w:t xml:space="preserve"> love the</w:t>
      </w:r>
      <w:r w:rsidR="00AF3088" w:rsidRPr="0014270C">
        <w:rPr>
          <w:rFonts w:ascii="Bookman Old Style" w:hAnsi="Bookman Old Style"/>
          <w:sz w:val="24"/>
          <w:szCs w:val="24"/>
        </w:rPr>
        <w:t>ir</w:t>
      </w:r>
      <w:r w:rsidR="009322D3" w:rsidRPr="0014270C">
        <w:rPr>
          <w:rFonts w:ascii="Bookman Old Style" w:hAnsi="Bookman Old Style"/>
          <w:sz w:val="24"/>
          <w:szCs w:val="24"/>
        </w:rPr>
        <w:t xml:space="preserve"> city</w:t>
      </w:r>
      <w:r w:rsidR="00AF3088" w:rsidRPr="0014270C">
        <w:rPr>
          <w:rFonts w:ascii="Bookman Old Style" w:hAnsi="Bookman Old Style"/>
          <w:sz w:val="24"/>
          <w:szCs w:val="24"/>
        </w:rPr>
        <w:t xml:space="preserve"> and </w:t>
      </w:r>
      <w:r w:rsidR="00325D83" w:rsidRPr="0014270C">
        <w:rPr>
          <w:rFonts w:ascii="Bookman Old Style" w:hAnsi="Bookman Old Style"/>
          <w:sz w:val="24"/>
          <w:szCs w:val="24"/>
        </w:rPr>
        <w:t xml:space="preserve">believe in their ability to ride out anything that comes their way. </w:t>
      </w:r>
      <w:r w:rsidR="006E78CE" w:rsidRPr="0014270C">
        <w:rPr>
          <w:rFonts w:ascii="Bookman Old Style" w:hAnsi="Bookman Old Style"/>
          <w:sz w:val="24"/>
          <w:szCs w:val="24"/>
        </w:rPr>
        <w:t>This</w:t>
      </w:r>
      <w:r w:rsidR="003847D4" w:rsidRPr="0014270C">
        <w:rPr>
          <w:rFonts w:ascii="Bookman Old Style" w:hAnsi="Bookman Old Style"/>
          <w:sz w:val="24"/>
          <w:szCs w:val="24"/>
        </w:rPr>
        <w:t xml:space="preserve"> </w:t>
      </w:r>
      <w:r w:rsidR="0092576A" w:rsidRPr="0014270C">
        <w:rPr>
          <w:rFonts w:ascii="Bookman Old Style" w:hAnsi="Bookman Old Style"/>
          <w:sz w:val="24"/>
          <w:szCs w:val="24"/>
        </w:rPr>
        <w:t>disposition</w:t>
      </w:r>
      <w:r w:rsidR="00E915FF" w:rsidRPr="0014270C">
        <w:rPr>
          <w:rFonts w:ascii="Bookman Old Style" w:hAnsi="Bookman Old Style"/>
          <w:sz w:val="24"/>
          <w:szCs w:val="24"/>
        </w:rPr>
        <w:t xml:space="preserve"> is evident upon looking at the early history of both cities. </w:t>
      </w:r>
      <w:r w:rsidR="002E7535" w:rsidRPr="0014270C">
        <w:rPr>
          <w:rFonts w:ascii="Bookman Old Style" w:hAnsi="Bookman Old Style"/>
          <w:sz w:val="24"/>
          <w:szCs w:val="24"/>
        </w:rPr>
        <w:t>Only four years after</w:t>
      </w:r>
      <w:r w:rsidR="009D06F5" w:rsidRPr="0014270C">
        <w:rPr>
          <w:rFonts w:ascii="Bookman Old Style" w:hAnsi="Bookman Old Style"/>
          <w:sz w:val="24"/>
          <w:szCs w:val="24"/>
        </w:rPr>
        <w:t xml:space="preserve"> Jean-Baptiste Le Moyne founded Nouvelle-Or</w:t>
      </w:r>
      <w:r w:rsidR="00435DA3" w:rsidRPr="0014270C">
        <w:rPr>
          <w:rFonts w:ascii="Bookman Old Style" w:hAnsi="Bookman Old Style"/>
          <w:sz w:val="24"/>
          <w:szCs w:val="24"/>
        </w:rPr>
        <w:t>léan</w:t>
      </w:r>
      <w:r w:rsidR="009D06F5" w:rsidRPr="0014270C">
        <w:rPr>
          <w:rFonts w:ascii="Bookman Old Style" w:hAnsi="Bookman Old Style"/>
          <w:sz w:val="24"/>
          <w:szCs w:val="24"/>
        </w:rPr>
        <w:t>s</w:t>
      </w:r>
      <w:r w:rsidR="00062DA2" w:rsidRPr="0014270C">
        <w:rPr>
          <w:rFonts w:ascii="Bookman Old Style" w:hAnsi="Bookman Old Style"/>
          <w:sz w:val="24"/>
          <w:szCs w:val="24"/>
        </w:rPr>
        <w:t>, a hurricane struc</w:t>
      </w:r>
      <w:r w:rsidR="00DD46B2" w:rsidRPr="0014270C">
        <w:rPr>
          <w:rFonts w:ascii="Bookman Old Style" w:hAnsi="Bookman Old Style"/>
          <w:sz w:val="24"/>
          <w:szCs w:val="24"/>
        </w:rPr>
        <w:t>k</w:t>
      </w:r>
      <w:r w:rsidR="00062DA2" w:rsidRPr="0014270C">
        <w:rPr>
          <w:rFonts w:ascii="Bookman Old Style" w:hAnsi="Bookman Old Style"/>
          <w:sz w:val="24"/>
          <w:szCs w:val="24"/>
        </w:rPr>
        <w:t xml:space="preserve">, </w:t>
      </w:r>
      <w:r w:rsidR="008E11CE" w:rsidRPr="0014270C">
        <w:rPr>
          <w:rFonts w:ascii="Bookman Old Style" w:hAnsi="Bookman Old Style"/>
          <w:sz w:val="24"/>
          <w:szCs w:val="24"/>
        </w:rPr>
        <w:t>demanding the new city be rebuilt.</w:t>
      </w:r>
      <w:r w:rsidR="00D91FDE" w:rsidRPr="0014270C">
        <w:rPr>
          <w:rStyle w:val="FootnoteReference"/>
          <w:rFonts w:ascii="Bookman Old Style" w:hAnsi="Bookman Old Style"/>
          <w:sz w:val="24"/>
          <w:szCs w:val="24"/>
        </w:rPr>
        <w:footnoteReference w:id="36"/>
      </w:r>
      <w:r w:rsidR="00E915FF" w:rsidRPr="0014270C">
        <w:rPr>
          <w:rFonts w:ascii="Bookman Old Style" w:hAnsi="Bookman Old Style"/>
          <w:sz w:val="24"/>
          <w:szCs w:val="24"/>
        </w:rPr>
        <w:t xml:space="preserve"> </w:t>
      </w:r>
      <w:r w:rsidR="008C5712" w:rsidRPr="0014270C">
        <w:rPr>
          <w:rFonts w:ascii="Bookman Old Style" w:hAnsi="Bookman Old Style"/>
          <w:sz w:val="24"/>
          <w:szCs w:val="24"/>
        </w:rPr>
        <w:t xml:space="preserve">Similarly, </w:t>
      </w:r>
      <w:r w:rsidR="006D5C24" w:rsidRPr="0014270C">
        <w:rPr>
          <w:rFonts w:ascii="Bookman Old Style" w:hAnsi="Bookman Old Style"/>
          <w:sz w:val="24"/>
          <w:szCs w:val="24"/>
        </w:rPr>
        <w:t xml:space="preserve">Houston, being built </w:t>
      </w:r>
      <w:r w:rsidR="008F6773" w:rsidRPr="0014270C">
        <w:rPr>
          <w:rFonts w:ascii="Bookman Old Style" w:hAnsi="Bookman Old Style"/>
          <w:sz w:val="24"/>
          <w:szCs w:val="24"/>
        </w:rPr>
        <w:t>o</w:t>
      </w:r>
      <w:r w:rsidR="006D5C24" w:rsidRPr="0014270C">
        <w:rPr>
          <w:rFonts w:ascii="Bookman Old Style" w:hAnsi="Bookman Old Style"/>
          <w:sz w:val="24"/>
          <w:szCs w:val="24"/>
        </w:rPr>
        <w:t xml:space="preserve">n </w:t>
      </w:r>
      <w:r w:rsidR="006D5C24" w:rsidRPr="0014270C">
        <w:rPr>
          <w:rFonts w:ascii="Bookman Old Style" w:hAnsi="Bookman Old Style"/>
          <w:noProof/>
          <w:sz w:val="24"/>
          <w:szCs w:val="24"/>
        </w:rPr>
        <w:t>swampland</w:t>
      </w:r>
      <w:r w:rsidR="006D5C24" w:rsidRPr="0014270C">
        <w:rPr>
          <w:rFonts w:ascii="Bookman Old Style" w:hAnsi="Bookman Old Style"/>
          <w:sz w:val="24"/>
          <w:szCs w:val="24"/>
        </w:rPr>
        <w:t>, has struggled with flooding since</w:t>
      </w:r>
      <w:r w:rsidR="00DA6125" w:rsidRPr="0014270C">
        <w:rPr>
          <w:rFonts w:ascii="Bookman Old Style" w:hAnsi="Bookman Old Style"/>
          <w:sz w:val="24"/>
          <w:szCs w:val="24"/>
        </w:rPr>
        <w:t xml:space="preserve"> its </w:t>
      </w:r>
      <w:r w:rsidR="00033828" w:rsidRPr="0014270C">
        <w:rPr>
          <w:rFonts w:ascii="Bookman Old Style" w:hAnsi="Bookman Old Style"/>
          <w:sz w:val="24"/>
          <w:szCs w:val="24"/>
        </w:rPr>
        <w:t>inception</w:t>
      </w:r>
      <w:r w:rsidR="00DA6125" w:rsidRPr="0014270C">
        <w:rPr>
          <w:rFonts w:ascii="Bookman Old Style" w:hAnsi="Bookman Old Style"/>
          <w:sz w:val="24"/>
          <w:szCs w:val="24"/>
        </w:rPr>
        <w:t xml:space="preserve">, leading </w:t>
      </w:r>
      <w:r w:rsidR="008131FE" w:rsidRPr="0014270C">
        <w:rPr>
          <w:rFonts w:ascii="Bookman Old Style" w:hAnsi="Bookman Old Style"/>
          <w:sz w:val="24"/>
          <w:szCs w:val="24"/>
        </w:rPr>
        <w:t xml:space="preserve">residents to </w:t>
      </w:r>
      <w:r w:rsidR="00917D79" w:rsidRPr="0014270C">
        <w:rPr>
          <w:rFonts w:ascii="Bookman Old Style" w:hAnsi="Bookman Old Style"/>
          <w:sz w:val="24"/>
          <w:szCs w:val="24"/>
        </w:rPr>
        <w:lastRenderedPageBreak/>
        <w:t xml:space="preserve">hurriedly start draining the land with little </w:t>
      </w:r>
      <w:r w:rsidR="00E45E22" w:rsidRPr="0014270C">
        <w:rPr>
          <w:rFonts w:ascii="Bookman Old Style" w:hAnsi="Bookman Old Style"/>
          <w:sz w:val="24"/>
          <w:szCs w:val="24"/>
        </w:rPr>
        <w:t>planning.</w:t>
      </w:r>
      <w:r w:rsidR="00DE593F" w:rsidRPr="0014270C">
        <w:rPr>
          <w:rStyle w:val="FootnoteReference"/>
          <w:rFonts w:ascii="Bookman Old Style" w:hAnsi="Bookman Old Style"/>
          <w:sz w:val="24"/>
          <w:szCs w:val="24"/>
        </w:rPr>
        <w:footnoteReference w:id="37"/>
      </w:r>
      <w:r w:rsidR="00E45E22" w:rsidRPr="0014270C">
        <w:rPr>
          <w:rFonts w:ascii="Bookman Old Style" w:hAnsi="Bookman Old Style"/>
          <w:sz w:val="24"/>
          <w:szCs w:val="24"/>
        </w:rPr>
        <w:t xml:space="preserve"> </w:t>
      </w:r>
      <w:r w:rsidR="00644AE7" w:rsidRPr="0014270C">
        <w:rPr>
          <w:rFonts w:ascii="Bookman Old Style" w:hAnsi="Bookman Old Style"/>
          <w:sz w:val="24"/>
          <w:szCs w:val="24"/>
        </w:rPr>
        <w:t xml:space="preserve">Unfortunately, nature proved once again that it cannot be tamed. </w:t>
      </w:r>
      <w:r w:rsidR="00325D83" w:rsidRPr="0014270C">
        <w:rPr>
          <w:rFonts w:ascii="Bookman Old Style" w:hAnsi="Bookman Old Style"/>
          <w:sz w:val="24"/>
          <w:szCs w:val="24"/>
        </w:rPr>
        <w:t xml:space="preserve"> </w:t>
      </w:r>
      <w:r w:rsidR="00AF3088" w:rsidRPr="0014270C">
        <w:rPr>
          <w:rFonts w:ascii="Bookman Old Style" w:hAnsi="Bookman Old Style"/>
          <w:sz w:val="24"/>
          <w:szCs w:val="24"/>
        </w:rPr>
        <w:t xml:space="preserve"> </w:t>
      </w:r>
      <w:r w:rsidR="00285ECC" w:rsidRPr="0014270C">
        <w:rPr>
          <w:rFonts w:ascii="Bookman Old Style" w:hAnsi="Bookman Old Style"/>
          <w:sz w:val="24"/>
          <w:szCs w:val="24"/>
        </w:rPr>
        <w:t xml:space="preserve"> </w:t>
      </w:r>
    </w:p>
    <w:p w14:paraId="2BB500BC" w14:textId="178855C1" w:rsidR="00634E21" w:rsidRPr="0014270C" w:rsidRDefault="000C6DB9" w:rsidP="00A1418F">
      <w:pPr>
        <w:spacing w:line="480" w:lineRule="auto"/>
        <w:ind w:firstLine="720"/>
        <w:rPr>
          <w:rFonts w:ascii="Bookman Old Style" w:hAnsi="Bookman Old Style"/>
          <w:sz w:val="24"/>
          <w:szCs w:val="24"/>
        </w:rPr>
      </w:pPr>
      <w:r w:rsidRPr="0014270C">
        <w:rPr>
          <w:rFonts w:ascii="Bookman Old Style" w:hAnsi="Bookman Old Style"/>
          <w:sz w:val="24"/>
          <w:szCs w:val="24"/>
        </w:rPr>
        <w:t>The storm that would become Hurricane Harvey began in the mid-Atlantic, north of Brazil, on August 16, 2017. It pathed its way through the Caribbean Sea and up through the Gulf of Mexico, hitting just north of Corpus Christi, Texas, at its peak of a Category Four hurricane on August 25.</w:t>
      </w:r>
      <w:r w:rsidRPr="0014270C">
        <w:rPr>
          <w:rStyle w:val="FootnoteReference"/>
          <w:rFonts w:ascii="Bookman Old Style" w:hAnsi="Bookman Old Style"/>
          <w:sz w:val="24"/>
          <w:szCs w:val="24"/>
        </w:rPr>
        <w:footnoteReference w:id="38"/>
      </w:r>
      <w:r w:rsidRPr="0014270C">
        <w:rPr>
          <w:rFonts w:ascii="Bookman Old Style" w:hAnsi="Bookman Old Style"/>
          <w:sz w:val="24"/>
          <w:szCs w:val="24"/>
        </w:rPr>
        <w:t xml:space="preserve"> Despite the storm’s rapid decline in intensity, weakening to a tropical storm only 12 hours after touching land, the storm hovered in the Gulf for three days, dumping a historic 51.88 inches (131.77 centimeters) on the Greater Houston area.</w:t>
      </w:r>
      <w:r w:rsidRPr="0014270C">
        <w:rPr>
          <w:rStyle w:val="FootnoteReference"/>
          <w:rFonts w:ascii="Bookman Old Style" w:hAnsi="Bookman Old Style"/>
          <w:sz w:val="24"/>
          <w:szCs w:val="24"/>
        </w:rPr>
        <w:footnoteReference w:id="39"/>
      </w:r>
      <w:r w:rsidRPr="0014270C">
        <w:rPr>
          <w:rFonts w:ascii="Bookman Old Style" w:hAnsi="Bookman Old Style"/>
          <w:sz w:val="24"/>
          <w:szCs w:val="24"/>
        </w:rPr>
        <w:t xml:space="preserve"> </w:t>
      </w:r>
      <w:r w:rsidR="00B10B43" w:rsidRPr="0014270C">
        <w:rPr>
          <w:rFonts w:ascii="Bookman Old Style" w:hAnsi="Bookman Old Style"/>
          <w:sz w:val="24"/>
          <w:szCs w:val="24"/>
        </w:rPr>
        <w:t xml:space="preserve">Harvey </w:t>
      </w:r>
      <w:r w:rsidR="00D9696C" w:rsidRPr="0014270C">
        <w:rPr>
          <w:rFonts w:ascii="Bookman Old Style" w:hAnsi="Bookman Old Style"/>
          <w:sz w:val="24"/>
          <w:szCs w:val="24"/>
        </w:rPr>
        <w:t xml:space="preserve">was one of the </w:t>
      </w:r>
      <w:r w:rsidR="00932B73" w:rsidRPr="0014270C">
        <w:rPr>
          <w:rFonts w:ascii="Bookman Old Style" w:hAnsi="Bookman Old Style"/>
          <w:sz w:val="24"/>
          <w:szCs w:val="24"/>
        </w:rPr>
        <w:t>costliest</w:t>
      </w:r>
      <w:r w:rsidR="00D9696C" w:rsidRPr="0014270C">
        <w:rPr>
          <w:rFonts w:ascii="Bookman Old Style" w:hAnsi="Bookman Old Style"/>
          <w:sz w:val="24"/>
          <w:szCs w:val="24"/>
        </w:rPr>
        <w:t xml:space="preserve"> hurricanes in US history, second</w:t>
      </w:r>
      <w:r w:rsidR="008B10B7" w:rsidRPr="0014270C">
        <w:rPr>
          <w:rFonts w:ascii="Bookman Old Style" w:hAnsi="Bookman Old Style"/>
          <w:sz w:val="24"/>
          <w:szCs w:val="24"/>
        </w:rPr>
        <w:t xml:space="preserve"> only</w:t>
      </w:r>
      <w:r w:rsidR="00D9696C" w:rsidRPr="0014270C">
        <w:rPr>
          <w:rFonts w:ascii="Bookman Old Style" w:hAnsi="Bookman Old Style"/>
          <w:sz w:val="24"/>
          <w:szCs w:val="24"/>
        </w:rPr>
        <w:t xml:space="preserve"> to Katrina, causing a total of </w:t>
      </w:r>
      <w:r w:rsidR="00DF0621" w:rsidRPr="0014270C">
        <w:rPr>
          <w:rFonts w:ascii="Bookman Old Style" w:hAnsi="Bookman Old Style"/>
          <w:sz w:val="24"/>
          <w:szCs w:val="24"/>
        </w:rPr>
        <w:t>US$</w:t>
      </w:r>
      <w:r w:rsidR="00D9696C" w:rsidRPr="0014270C">
        <w:rPr>
          <w:rFonts w:ascii="Bookman Old Style" w:hAnsi="Bookman Old Style"/>
          <w:sz w:val="24"/>
          <w:szCs w:val="24"/>
        </w:rPr>
        <w:t>125 billion in damage</w:t>
      </w:r>
      <w:r w:rsidR="007231C6" w:rsidRPr="0014270C">
        <w:rPr>
          <w:rFonts w:ascii="Bookman Old Style" w:hAnsi="Bookman Old Style"/>
          <w:sz w:val="24"/>
          <w:szCs w:val="24"/>
        </w:rPr>
        <w:t xml:space="preserve"> (in 2017).</w:t>
      </w:r>
      <w:r w:rsidR="00F67267" w:rsidRPr="0014270C">
        <w:rPr>
          <w:rStyle w:val="FootnoteReference"/>
          <w:rFonts w:ascii="Bookman Old Style" w:hAnsi="Bookman Old Style"/>
          <w:sz w:val="24"/>
          <w:szCs w:val="24"/>
        </w:rPr>
        <w:footnoteReference w:id="40"/>
      </w:r>
      <w:r w:rsidR="004F595A" w:rsidRPr="0014270C">
        <w:rPr>
          <w:rFonts w:ascii="Bookman Old Style" w:hAnsi="Bookman Old Style"/>
          <w:sz w:val="24"/>
          <w:szCs w:val="24"/>
        </w:rPr>
        <w:t xml:space="preserve"> According to the </w:t>
      </w:r>
      <w:r w:rsidR="004F595A" w:rsidRPr="0014270C">
        <w:rPr>
          <w:rFonts w:ascii="Bookman Old Style" w:hAnsi="Bookman Old Style"/>
          <w:i/>
          <w:sz w:val="24"/>
          <w:szCs w:val="24"/>
        </w:rPr>
        <w:t>Houston Chronicle</w:t>
      </w:r>
      <w:r w:rsidR="00021A74" w:rsidRPr="0014270C">
        <w:rPr>
          <w:rStyle w:val="FootnoteReference"/>
          <w:rFonts w:ascii="Bookman Old Style" w:hAnsi="Bookman Old Style"/>
          <w:sz w:val="24"/>
          <w:szCs w:val="24"/>
        </w:rPr>
        <w:footnoteReference w:id="41"/>
      </w:r>
      <w:r w:rsidR="00021A74" w:rsidRPr="0014270C">
        <w:rPr>
          <w:rFonts w:ascii="Bookman Old Style" w:hAnsi="Bookman Old Style"/>
          <w:sz w:val="24"/>
          <w:szCs w:val="24"/>
        </w:rPr>
        <w:t xml:space="preserve"> </w:t>
      </w:r>
      <w:r w:rsidR="0002765F" w:rsidRPr="0014270C">
        <w:rPr>
          <w:rFonts w:ascii="Bookman Old Style" w:hAnsi="Bookman Old Style"/>
          <w:sz w:val="24"/>
          <w:szCs w:val="24"/>
        </w:rPr>
        <w:t>of the 204,000 homes damaged, nearly 75% of them were out</w:t>
      </w:r>
      <w:r w:rsidR="00671B2E" w:rsidRPr="0014270C">
        <w:rPr>
          <w:rFonts w:ascii="Bookman Old Style" w:hAnsi="Bookman Old Style"/>
          <w:sz w:val="24"/>
          <w:szCs w:val="24"/>
        </w:rPr>
        <w:t>side of the 100-year flood plain.</w:t>
      </w:r>
      <w:r w:rsidR="00671B2E" w:rsidRPr="0014270C">
        <w:rPr>
          <w:rStyle w:val="FootnoteReference"/>
          <w:rFonts w:ascii="Bookman Old Style" w:hAnsi="Bookman Old Style"/>
          <w:sz w:val="24"/>
          <w:szCs w:val="24"/>
        </w:rPr>
        <w:footnoteReference w:id="42"/>
      </w:r>
      <w:r w:rsidR="006F564A" w:rsidRPr="0014270C">
        <w:rPr>
          <w:rFonts w:ascii="Bookman Old Style" w:hAnsi="Bookman Old Style"/>
          <w:sz w:val="24"/>
          <w:szCs w:val="24"/>
        </w:rPr>
        <w:t xml:space="preserve"> </w:t>
      </w:r>
      <w:r w:rsidR="00167733" w:rsidRPr="0014270C">
        <w:rPr>
          <w:rFonts w:ascii="Bookman Old Style" w:hAnsi="Bookman Old Style"/>
          <w:sz w:val="24"/>
          <w:szCs w:val="24"/>
        </w:rPr>
        <w:t>It was found that t</w:t>
      </w:r>
      <w:r w:rsidR="00E744DF" w:rsidRPr="0014270C">
        <w:rPr>
          <w:rFonts w:ascii="Bookman Old Style" w:hAnsi="Bookman Old Style"/>
          <w:sz w:val="24"/>
          <w:szCs w:val="24"/>
        </w:rPr>
        <w:t>hose neighborhoods within the 100-year flood plain</w:t>
      </w:r>
      <w:r w:rsidR="00450C71" w:rsidRPr="0014270C">
        <w:rPr>
          <w:rFonts w:ascii="Bookman Old Style" w:hAnsi="Bookman Old Style"/>
          <w:sz w:val="24"/>
          <w:szCs w:val="24"/>
        </w:rPr>
        <w:t xml:space="preserve"> </w:t>
      </w:r>
      <w:r w:rsidR="001D2B28" w:rsidRPr="0014270C">
        <w:rPr>
          <w:rFonts w:ascii="Bookman Old Style" w:hAnsi="Bookman Old Style"/>
          <w:sz w:val="24"/>
          <w:szCs w:val="24"/>
        </w:rPr>
        <w:t>suffered a devastating blow.</w:t>
      </w:r>
      <w:r w:rsidR="00DE055F" w:rsidRPr="0014270C">
        <w:rPr>
          <w:rStyle w:val="FootnoteReference"/>
          <w:rFonts w:ascii="Bookman Old Style" w:hAnsi="Bookman Old Style"/>
          <w:sz w:val="24"/>
          <w:szCs w:val="24"/>
        </w:rPr>
        <w:footnoteReference w:id="43"/>
      </w:r>
      <w:r w:rsidR="00450C71" w:rsidRPr="0014270C">
        <w:rPr>
          <w:rFonts w:ascii="Bookman Old Style" w:hAnsi="Bookman Old Style"/>
          <w:sz w:val="24"/>
          <w:szCs w:val="24"/>
        </w:rPr>
        <w:t xml:space="preserve"> </w:t>
      </w:r>
    </w:p>
    <w:p w14:paraId="27404F14" w14:textId="6B42D2E2" w:rsidR="00457131" w:rsidRPr="0014270C" w:rsidRDefault="007B45D7" w:rsidP="00E47345">
      <w:pPr>
        <w:spacing w:line="480" w:lineRule="auto"/>
        <w:ind w:firstLine="720"/>
        <w:rPr>
          <w:rFonts w:ascii="Bookman Old Style" w:hAnsi="Bookman Old Style"/>
          <w:sz w:val="24"/>
          <w:szCs w:val="24"/>
        </w:rPr>
      </w:pPr>
      <w:bookmarkStart w:id="18" w:name="_Toc8062256"/>
      <w:r w:rsidRPr="0014270C">
        <w:rPr>
          <w:rStyle w:val="THESISLVL4Char"/>
        </w:rPr>
        <w:t>Agency response</w:t>
      </w:r>
      <w:r w:rsidR="00E47345" w:rsidRPr="0014270C">
        <w:rPr>
          <w:rStyle w:val="THESISLVL4Char"/>
        </w:rPr>
        <w:t xml:space="preserve"> and housing the displaced</w:t>
      </w:r>
      <w:bookmarkEnd w:id="18"/>
      <w:r w:rsidRPr="0014270C">
        <w:rPr>
          <w:rFonts w:ascii="Bookman Old Style" w:hAnsi="Bookman Old Style"/>
          <w:sz w:val="24"/>
          <w:szCs w:val="24"/>
        </w:rPr>
        <w:t xml:space="preserve">. </w:t>
      </w:r>
      <w:r w:rsidR="003A6D1D" w:rsidRPr="0014270C">
        <w:rPr>
          <w:rFonts w:ascii="Bookman Old Style" w:hAnsi="Bookman Old Style"/>
          <w:sz w:val="24"/>
          <w:szCs w:val="24"/>
        </w:rPr>
        <w:t>T</w:t>
      </w:r>
      <w:r w:rsidR="00F212FD" w:rsidRPr="0014270C">
        <w:rPr>
          <w:rFonts w:ascii="Bookman Old Style" w:hAnsi="Bookman Old Style"/>
          <w:sz w:val="24"/>
          <w:szCs w:val="24"/>
        </w:rPr>
        <w:t>he</w:t>
      </w:r>
      <w:r w:rsidR="003A6D1D" w:rsidRPr="0014270C">
        <w:rPr>
          <w:rFonts w:ascii="Bookman Old Style" w:hAnsi="Bookman Old Style"/>
          <w:sz w:val="24"/>
          <w:szCs w:val="24"/>
        </w:rPr>
        <w:t xml:space="preserve"> governor of </w:t>
      </w:r>
      <w:r w:rsidR="00F71EED" w:rsidRPr="0014270C">
        <w:rPr>
          <w:rFonts w:ascii="Bookman Old Style" w:hAnsi="Bookman Old Style"/>
          <w:sz w:val="24"/>
          <w:szCs w:val="24"/>
        </w:rPr>
        <w:t>Texas</w:t>
      </w:r>
      <w:r w:rsidR="003A6D1D" w:rsidRPr="0014270C">
        <w:rPr>
          <w:rFonts w:ascii="Bookman Old Style" w:hAnsi="Bookman Old Style"/>
          <w:sz w:val="24"/>
          <w:szCs w:val="24"/>
        </w:rPr>
        <w:t xml:space="preserve"> requested temporary housing </w:t>
      </w:r>
      <w:r w:rsidR="00A110BF" w:rsidRPr="0014270C">
        <w:rPr>
          <w:rFonts w:ascii="Bookman Old Style" w:hAnsi="Bookman Old Style"/>
          <w:sz w:val="24"/>
          <w:szCs w:val="24"/>
        </w:rPr>
        <w:t>from</w:t>
      </w:r>
      <w:r w:rsidR="003A6D1D" w:rsidRPr="0014270C">
        <w:rPr>
          <w:rFonts w:ascii="Bookman Old Style" w:hAnsi="Bookman Old Style"/>
          <w:sz w:val="24"/>
          <w:szCs w:val="24"/>
        </w:rPr>
        <w:t xml:space="preserve"> FEMA</w:t>
      </w:r>
      <w:r w:rsidR="00777975" w:rsidRPr="0014270C">
        <w:rPr>
          <w:rFonts w:ascii="Bookman Old Style" w:hAnsi="Bookman Old Style"/>
          <w:sz w:val="24"/>
          <w:szCs w:val="24"/>
        </w:rPr>
        <w:t xml:space="preserve"> on September 7</w:t>
      </w:r>
      <w:r w:rsidR="00A110BF" w:rsidRPr="0014270C">
        <w:rPr>
          <w:rFonts w:ascii="Bookman Old Style" w:hAnsi="Bookman Old Style"/>
          <w:sz w:val="24"/>
          <w:szCs w:val="24"/>
        </w:rPr>
        <w:t xml:space="preserve"> to assist those </w:t>
      </w:r>
      <w:r w:rsidR="00A110BF" w:rsidRPr="0014270C">
        <w:rPr>
          <w:rFonts w:ascii="Bookman Old Style" w:hAnsi="Bookman Old Style"/>
          <w:sz w:val="24"/>
          <w:szCs w:val="24"/>
        </w:rPr>
        <w:lastRenderedPageBreak/>
        <w:t>affected</w:t>
      </w:r>
      <w:r w:rsidR="00777975" w:rsidRPr="0014270C">
        <w:rPr>
          <w:rFonts w:ascii="Bookman Old Style" w:hAnsi="Bookman Old Style"/>
          <w:sz w:val="24"/>
          <w:szCs w:val="24"/>
        </w:rPr>
        <w:t>,</w:t>
      </w:r>
      <w:r w:rsidR="00F71EED" w:rsidRPr="0014270C">
        <w:rPr>
          <w:rFonts w:ascii="Bookman Old Style" w:hAnsi="Bookman Old Style"/>
          <w:sz w:val="24"/>
          <w:szCs w:val="24"/>
        </w:rPr>
        <w:t xml:space="preserve"> </w:t>
      </w:r>
      <w:r w:rsidR="00BC4B00" w:rsidRPr="0014270C">
        <w:rPr>
          <w:rFonts w:ascii="Bookman Old Style" w:hAnsi="Bookman Old Style"/>
          <w:sz w:val="24"/>
          <w:szCs w:val="24"/>
        </w:rPr>
        <w:t xml:space="preserve">though </w:t>
      </w:r>
      <w:r w:rsidR="00777975" w:rsidRPr="0014270C">
        <w:rPr>
          <w:rFonts w:ascii="Bookman Old Style" w:hAnsi="Bookman Old Style"/>
          <w:sz w:val="24"/>
          <w:szCs w:val="24"/>
        </w:rPr>
        <w:t>the first license</w:t>
      </w:r>
      <w:r w:rsidR="00244C97" w:rsidRPr="0014270C">
        <w:rPr>
          <w:rFonts w:ascii="Bookman Old Style" w:hAnsi="Bookman Old Style"/>
          <w:sz w:val="24"/>
          <w:szCs w:val="24"/>
        </w:rPr>
        <w:t xml:space="preserve"> permitting the placement of </w:t>
      </w:r>
      <w:r w:rsidR="00D6093D" w:rsidRPr="0014270C">
        <w:rPr>
          <w:rFonts w:ascii="Bookman Old Style" w:hAnsi="Bookman Old Style"/>
          <w:sz w:val="24"/>
          <w:szCs w:val="24"/>
        </w:rPr>
        <w:t xml:space="preserve">temporary housing </w:t>
      </w:r>
      <w:r w:rsidR="00F212FD" w:rsidRPr="0014270C">
        <w:rPr>
          <w:rFonts w:ascii="Bookman Old Style" w:hAnsi="Bookman Old Style"/>
          <w:sz w:val="24"/>
          <w:szCs w:val="24"/>
        </w:rPr>
        <w:t>took a full month to approve.</w:t>
      </w:r>
      <w:r w:rsidR="00650CE5" w:rsidRPr="0014270C">
        <w:rPr>
          <w:rStyle w:val="FootnoteReference"/>
          <w:rFonts w:ascii="Bookman Old Style" w:hAnsi="Bookman Old Style"/>
          <w:sz w:val="24"/>
          <w:szCs w:val="24"/>
        </w:rPr>
        <w:footnoteReference w:id="44"/>
      </w:r>
      <w:r w:rsidR="00F212FD" w:rsidRPr="0014270C">
        <w:rPr>
          <w:rFonts w:ascii="Bookman Old Style" w:hAnsi="Bookman Old Style"/>
          <w:sz w:val="24"/>
          <w:szCs w:val="24"/>
        </w:rPr>
        <w:t xml:space="preserve"> </w:t>
      </w:r>
      <w:r w:rsidR="007200AA" w:rsidRPr="0014270C">
        <w:rPr>
          <w:rFonts w:ascii="Bookman Old Style" w:hAnsi="Bookman Old Style"/>
          <w:sz w:val="24"/>
          <w:szCs w:val="24"/>
        </w:rPr>
        <w:t xml:space="preserve">Due to </w:t>
      </w:r>
      <w:r w:rsidR="00804127" w:rsidRPr="0014270C">
        <w:rPr>
          <w:rFonts w:ascii="Bookman Old Style" w:hAnsi="Bookman Old Style"/>
          <w:sz w:val="24"/>
          <w:szCs w:val="24"/>
        </w:rPr>
        <w:t xml:space="preserve">miscommunication and a </w:t>
      </w:r>
      <w:r w:rsidR="007200AA" w:rsidRPr="0014270C">
        <w:rPr>
          <w:rFonts w:ascii="Bookman Old Style" w:hAnsi="Bookman Old Style"/>
          <w:sz w:val="24"/>
          <w:szCs w:val="24"/>
        </w:rPr>
        <w:t>lack of coordination</w:t>
      </w:r>
      <w:r w:rsidR="00CE6368" w:rsidRPr="0014270C">
        <w:rPr>
          <w:rFonts w:ascii="Bookman Old Style" w:hAnsi="Bookman Old Style"/>
          <w:sz w:val="24"/>
          <w:szCs w:val="24"/>
        </w:rPr>
        <w:t xml:space="preserve"> between federal and state governments</w:t>
      </w:r>
      <w:r w:rsidR="00FD0010" w:rsidRPr="0014270C">
        <w:rPr>
          <w:rFonts w:ascii="Bookman Old Style" w:hAnsi="Bookman Old Style"/>
          <w:sz w:val="24"/>
          <w:szCs w:val="24"/>
        </w:rPr>
        <w:t>, i</w:t>
      </w:r>
      <w:r w:rsidR="00BD0E1D" w:rsidRPr="0014270C">
        <w:rPr>
          <w:rFonts w:ascii="Bookman Old Style" w:hAnsi="Bookman Old Style"/>
          <w:sz w:val="24"/>
          <w:szCs w:val="24"/>
        </w:rPr>
        <w:t xml:space="preserve">t took four months </w:t>
      </w:r>
      <w:r w:rsidR="00FD0010" w:rsidRPr="0014270C">
        <w:rPr>
          <w:rFonts w:ascii="Bookman Old Style" w:hAnsi="Bookman Old Style"/>
          <w:sz w:val="24"/>
          <w:szCs w:val="24"/>
        </w:rPr>
        <w:t xml:space="preserve">from the governor’s request </w:t>
      </w:r>
      <w:r w:rsidR="00BD0E1D" w:rsidRPr="0014270C">
        <w:rPr>
          <w:rFonts w:ascii="Bookman Old Style" w:hAnsi="Bookman Old Style"/>
          <w:sz w:val="24"/>
          <w:szCs w:val="24"/>
        </w:rPr>
        <w:t xml:space="preserve">for FEMA to provide trailers </w:t>
      </w:r>
      <w:r w:rsidR="006D7DFE" w:rsidRPr="0014270C">
        <w:rPr>
          <w:rFonts w:ascii="Bookman Old Style" w:hAnsi="Bookman Old Style"/>
          <w:sz w:val="24"/>
          <w:szCs w:val="24"/>
        </w:rPr>
        <w:t xml:space="preserve">to those </w:t>
      </w:r>
      <w:r w:rsidR="00BD0E1D" w:rsidRPr="0014270C">
        <w:rPr>
          <w:rFonts w:ascii="Bookman Old Style" w:hAnsi="Bookman Old Style"/>
          <w:sz w:val="24"/>
          <w:szCs w:val="24"/>
        </w:rPr>
        <w:t>who</w:t>
      </w:r>
      <w:r w:rsidR="00682C1B" w:rsidRPr="0014270C">
        <w:rPr>
          <w:rFonts w:ascii="Bookman Old Style" w:hAnsi="Bookman Old Style"/>
          <w:sz w:val="24"/>
          <w:szCs w:val="24"/>
        </w:rPr>
        <w:t xml:space="preserve"> were able to qualify</w:t>
      </w:r>
      <w:r w:rsidR="00EA6731" w:rsidRPr="0014270C">
        <w:rPr>
          <w:rFonts w:ascii="Bookman Old Style" w:hAnsi="Bookman Old Style"/>
          <w:sz w:val="24"/>
          <w:szCs w:val="24"/>
        </w:rPr>
        <w:t>,</w:t>
      </w:r>
      <w:r w:rsidR="00FD0010" w:rsidRPr="0014270C">
        <w:rPr>
          <w:rFonts w:ascii="Bookman Old Style" w:hAnsi="Bookman Old Style"/>
          <w:sz w:val="24"/>
          <w:szCs w:val="24"/>
        </w:rPr>
        <w:t xml:space="preserve"> despite</w:t>
      </w:r>
      <w:r w:rsidR="004014EA" w:rsidRPr="0014270C">
        <w:rPr>
          <w:rFonts w:ascii="Bookman Old Style" w:hAnsi="Bookman Old Style"/>
          <w:sz w:val="24"/>
          <w:szCs w:val="24"/>
        </w:rPr>
        <w:t xml:space="preserve"> </w:t>
      </w:r>
      <w:r w:rsidR="00441E5B" w:rsidRPr="0014270C">
        <w:rPr>
          <w:rFonts w:ascii="Bookman Old Style" w:hAnsi="Bookman Old Style"/>
          <w:sz w:val="24"/>
          <w:szCs w:val="24"/>
        </w:rPr>
        <w:t xml:space="preserve">complications </w:t>
      </w:r>
      <w:r w:rsidR="00FE0207" w:rsidRPr="0014270C">
        <w:rPr>
          <w:rFonts w:ascii="Bookman Old Style" w:hAnsi="Bookman Old Style"/>
          <w:sz w:val="24"/>
          <w:szCs w:val="24"/>
        </w:rPr>
        <w:t xml:space="preserve">that </w:t>
      </w:r>
      <w:r w:rsidR="00441E5B" w:rsidRPr="0014270C">
        <w:rPr>
          <w:rFonts w:ascii="Bookman Old Style" w:hAnsi="Bookman Old Style"/>
          <w:sz w:val="24"/>
          <w:szCs w:val="24"/>
        </w:rPr>
        <w:t xml:space="preserve">many </w:t>
      </w:r>
      <w:r w:rsidR="006D7DFE" w:rsidRPr="0014270C">
        <w:rPr>
          <w:rFonts w:ascii="Bookman Old Style" w:hAnsi="Bookman Old Style"/>
          <w:sz w:val="24"/>
          <w:szCs w:val="24"/>
        </w:rPr>
        <w:t>victims</w:t>
      </w:r>
      <w:r w:rsidR="00FE0207" w:rsidRPr="0014270C">
        <w:rPr>
          <w:rFonts w:ascii="Bookman Old Style" w:hAnsi="Bookman Old Style"/>
          <w:sz w:val="24"/>
          <w:szCs w:val="24"/>
        </w:rPr>
        <w:t xml:space="preserve"> </w:t>
      </w:r>
      <w:r w:rsidR="00441E5B" w:rsidRPr="0014270C">
        <w:rPr>
          <w:rFonts w:ascii="Bookman Old Style" w:hAnsi="Bookman Old Style"/>
          <w:sz w:val="24"/>
          <w:szCs w:val="24"/>
        </w:rPr>
        <w:t xml:space="preserve">had </w:t>
      </w:r>
      <w:r w:rsidR="00340436" w:rsidRPr="0014270C">
        <w:rPr>
          <w:rFonts w:ascii="Bookman Old Style" w:hAnsi="Bookman Old Style"/>
          <w:sz w:val="24"/>
          <w:szCs w:val="24"/>
        </w:rPr>
        <w:t xml:space="preserve">in </w:t>
      </w:r>
      <w:r w:rsidR="00441E5B" w:rsidRPr="0014270C">
        <w:rPr>
          <w:rFonts w:ascii="Bookman Old Style" w:hAnsi="Bookman Old Style"/>
          <w:sz w:val="24"/>
          <w:szCs w:val="24"/>
        </w:rPr>
        <w:t xml:space="preserve">meeting the </w:t>
      </w:r>
      <w:r w:rsidR="00C26DBF" w:rsidRPr="0014270C">
        <w:rPr>
          <w:rFonts w:ascii="Bookman Old Style" w:hAnsi="Bookman Old Style"/>
          <w:sz w:val="24"/>
          <w:szCs w:val="24"/>
        </w:rPr>
        <w:t>minimum</w:t>
      </w:r>
      <w:r w:rsidR="004822A8" w:rsidRPr="0014270C">
        <w:rPr>
          <w:rFonts w:ascii="Bookman Old Style" w:hAnsi="Bookman Old Style"/>
          <w:sz w:val="24"/>
          <w:szCs w:val="24"/>
        </w:rPr>
        <w:t>s</w:t>
      </w:r>
      <w:r w:rsidR="00441E5B" w:rsidRPr="0014270C">
        <w:rPr>
          <w:rFonts w:ascii="Bookman Old Style" w:hAnsi="Bookman Old Style"/>
          <w:sz w:val="24"/>
          <w:szCs w:val="24"/>
        </w:rPr>
        <w:t xml:space="preserve"> for assistance</w:t>
      </w:r>
      <w:r w:rsidR="00BD0E1D" w:rsidRPr="0014270C">
        <w:rPr>
          <w:rFonts w:ascii="Bookman Old Style" w:hAnsi="Bookman Old Style"/>
          <w:sz w:val="24"/>
          <w:szCs w:val="24"/>
        </w:rPr>
        <w:t>.</w:t>
      </w:r>
      <w:r w:rsidR="005A224E" w:rsidRPr="0014270C">
        <w:rPr>
          <w:rFonts w:ascii="Bookman Old Style" w:hAnsi="Bookman Old Style"/>
          <w:sz w:val="24"/>
          <w:szCs w:val="24"/>
        </w:rPr>
        <w:t xml:space="preserve"> Almost 7,000 households qualified for temporary housing, </w:t>
      </w:r>
      <w:r w:rsidR="00382EAD" w:rsidRPr="0014270C">
        <w:rPr>
          <w:rFonts w:ascii="Bookman Old Style" w:hAnsi="Bookman Old Style"/>
          <w:sz w:val="24"/>
          <w:szCs w:val="24"/>
        </w:rPr>
        <w:t xml:space="preserve">though in January 2018, </w:t>
      </w:r>
      <w:r w:rsidR="00D35D02" w:rsidRPr="0014270C">
        <w:rPr>
          <w:rFonts w:ascii="Bookman Old Style" w:hAnsi="Bookman Old Style"/>
          <w:sz w:val="24"/>
          <w:szCs w:val="24"/>
        </w:rPr>
        <w:t>over 5,800</w:t>
      </w:r>
      <w:r w:rsidR="00382EAD" w:rsidRPr="0014270C">
        <w:rPr>
          <w:rFonts w:ascii="Bookman Old Style" w:hAnsi="Bookman Old Style"/>
          <w:sz w:val="24"/>
          <w:szCs w:val="24"/>
        </w:rPr>
        <w:t xml:space="preserve"> </w:t>
      </w:r>
      <w:r w:rsidR="00722F1B" w:rsidRPr="0014270C">
        <w:rPr>
          <w:rFonts w:ascii="Bookman Old Style" w:hAnsi="Bookman Old Style"/>
          <w:sz w:val="24"/>
          <w:szCs w:val="24"/>
        </w:rPr>
        <w:t>remained in queue for assistance.</w:t>
      </w:r>
      <w:r w:rsidR="00D35D02" w:rsidRPr="0014270C">
        <w:rPr>
          <w:rFonts w:ascii="Bookman Old Style" w:hAnsi="Bookman Old Style"/>
          <w:sz w:val="24"/>
          <w:szCs w:val="24"/>
        </w:rPr>
        <w:t xml:space="preserve"> Some </w:t>
      </w:r>
      <w:r w:rsidR="00CC4A68" w:rsidRPr="0014270C">
        <w:rPr>
          <w:rFonts w:ascii="Bookman Old Style" w:hAnsi="Bookman Old Style"/>
          <w:sz w:val="24"/>
          <w:szCs w:val="24"/>
        </w:rPr>
        <w:t>residents who did receive their long</w:t>
      </w:r>
      <w:r w:rsidR="003A6FBA" w:rsidRPr="0014270C">
        <w:rPr>
          <w:rFonts w:ascii="Bookman Old Style" w:hAnsi="Bookman Old Style"/>
          <w:sz w:val="24"/>
          <w:szCs w:val="24"/>
        </w:rPr>
        <w:t>-</w:t>
      </w:r>
      <w:r w:rsidR="00CC4A68" w:rsidRPr="0014270C">
        <w:rPr>
          <w:rFonts w:ascii="Bookman Old Style" w:hAnsi="Bookman Old Style"/>
          <w:sz w:val="24"/>
          <w:szCs w:val="24"/>
        </w:rPr>
        <w:t xml:space="preserve">awaited trailers </w:t>
      </w:r>
      <w:proofErr w:type="gramStart"/>
      <w:r w:rsidR="00CC4A68" w:rsidRPr="0014270C">
        <w:rPr>
          <w:rFonts w:ascii="Bookman Old Style" w:hAnsi="Bookman Old Style"/>
          <w:sz w:val="24"/>
          <w:szCs w:val="24"/>
        </w:rPr>
        <w:t>were forced</w:t>
      </w:r>
      <w:proofErr w:type="gramEnd"/>
      <w:r w:rsidR="00CC4A68" w:rsidRPr="0014270C">
        <w:rPr>
          <w:rFonts w:ascii="Bookman Old Style" w:hAnsi="Bookman Old Style"/>
          <w:sz w:val="24"/>
          <w:szCs w:val="24"/>
        </w:rPr>
        <w:t xml:space="preserve"> to stare at the </w:t>
      </w:r>
      <w:r w:rsidR="00A92577" w:rsidRPr="0014270C">
        <w:rPr>
          <w:rFonts w:ascii="Bookman Old Style" w:hAnsi="Bookman Old Style"/>
          <w:sz w:val="24"/>
          <w:szCs w:val="24"/>
        </w:rPr>
        <w:t xml:space="preserve">immaculate </w:t>
      </w:r>
      <w:r w:rsidR="00CC4A68" w:rsidRPr="0014270C">
        <w:rPr>
          <w:rFonts w:ascii="Bookman Old Style" w:hAnsi="Bookman Old Style"/>
          <w:sz w:val="24"/>
          <w:szCs w:val="24"/>
        </w:rPr>
        <w:t>new</w:t>
      </w:r>
      <w:r w:rsidR="008A17C0" w:rsidRPr="0014270C">
        <w:rPr>
          <w:rFonts w:ascii="Bookman Old Style" w:hAnsi="Bookman Old Style"/>
          <w:sz w:val="24"/>
          <w:szCs w:val="24"/>
        </w:rPr>
        <w:t xml:space="preserve"> housing units for weeks before being allowed to move in</w:t>
      </w:r>
      <w:r w:rsidR="00FC5899" w:rsidRPr="0014270C">
        <w:rPr>
          <w:rFonts w:ascii="Bookman Old Style" w:hAnsi="Bookman Old Style"/>
          <w:sz w:val="24"/>
          <w:szCs w:val="24"/>
        </w:rPr>
        <w:t xml:space="preserve"> because of </w:t>
      </w:r>
      <w:r w:rsidR="00AF1DEF" w:rsidRPr="0014270C">
        <w:rPr>
          <w:rFonts w:ascii="Bookman Old Style" w:hAnsi="Bookman Old Style"/>
          <w:sz w:val="24"/>
          <w:szCs w:val="24"/>
        </w:rPr>
        <w:t>delays for inspection and utility hookup.</w:t>
      </w:r>
      <w:r w:rsidR="008A1650" w:rsidRPr="0014270C">
        <w:rPr>
          <w:rStyle w:val="FootnoteReference"/>
          <w:rFonts w:ascii="Bookman Old Style" w:hAnsi="Bookman Old Style"/>
          <w:sz w:val="24"/>
          <w:szCs w:val="24"/>
        </w:rPr>
        <w:footnoteReference w:id="45"/>
      </w:r>
    </w:p>
    <w:p w14:paraId="78E4DDDB" w14:textId="77A5FD46" w:rsidR="00651FD8" w:rsidRPr="0014270C" w:rsidRDefault="00651FD8" w:rsidP="00BE4DEC">
      <w:pPr>
        <w:spacing w:line="480" w:lineRule="auto"/>
        <w:ind w:firstLine="720"/>
        <w:rPr>
          <w:rFonts w:ascii="Bookman Old Style" w:hAnsi="Bookman Old Style"/>
          <w:sz w:val="24"/>
          <w:szCs w:val="24"/>
        </w:rPr>
      </w:pPr>
      <w:bookmarkStart w:id="19" w:name="_Toc8062257"/>
      <w:proofErr w:type="spellStart"/>
      <w:r w:rsidRPr="0014270C">
        <w:rPr>
          <w:rStyle w:val="THESISLVL4Char"/>
        </w:rPr>
        <w:t>Kashmere</w:t>
      </w:r>
      <w:proofErr w:type="spellEnd"/>
      <w:r w:rsidRPr="0014270C">
        <w:rPr>
          <w:rStyle w:val="THESISLVL4Char"/>
        </w:rPr>
        <w:t xml:space="preserve"> Gardens</w:t>
      </w:r>
      <w:bookmarkEnd w:id="19"/>
      <w:r w:rsidRPr="0014270C">
        <w:rPr>
          <w:rFonts w:ascii="Bookman Old Style" w:hAnsi="Bookman Old Style"/>
          <w:sz w:val="24"/>
          <w:szCs w:val="24"/>
        </w:rPr>
        <w:t xml:space="preserve">. Among the most affected communities in Houston after Hurricane Harvey was the tight-knit, predominantly Black neighborhood of </w:t>
      </w:r>
      <w:proofErr w:type="spellStart"/>
      <w:r w:rsidRPr="0014270C">
        <w:rPr>
          <w:rFonts w:ascii="Bookman Old Style" w:hAnsi="Bookman Old Style"/>
          <w:sz w:val="24"/>
          <w:szCs w:val="24"/>
        </w:rPr>
        <w:t>Kashmere</w:t>
      </w:r>
      <w:proofErr w:type="spellEnd"/>
      <w:r w:rsidRPr="0014270C">
        <w:rPr>
          <w:rFonts w:ascii="Bookman Old Style" w:hAnsi="Bookman Old Style"/>
          <w:sz w:val="24"/>
          <w:szCs w:val="24"/>
        </w:rPr>
        <w:t xml:space="preserve"> Gardens, a place not unlike the Lower Ninth Ward in New Orleans in population or circumstance. The neighborhood population was estimated to be</w:t>
      </w:r>
      <w:r w:rsidR="00682C1B" w:rsidRPr="0014270C">
        <w:rPr>
          <w:rFonts w:ascii="Bookman Old Style" w:hAnsi="Bookman Old Style"/>
          <w:sz w:val="24"/>
          <w:szCs w:val="24"/>
        </w:rPr>
        <w:t xml:space="preserve"> </w:t>
      </w:r>
      <w:r w:rsidRPr="0014270C">
        <w:rPr>
          <w:rFonts w:ascii="Bookman Old Style" w:hAnsi="Bookman Old Style"/>
          <w:sz w:val="24"/>
          <w:szCs w:val="24"/>
        </w:rPr>
        <w:t>17,465 in 2017</w:t>
      </w:r>
      <w:r w:rsidR="00344D9F" w:rsidRPr="0014270C">
        <w:rPr>
          <w:rFonts w:ascii="Bookman Old Style" w:hAnsi="Bookman Old Style"/>
          <w:sz w:val="24"/>
          <w:szCs w:val="24"/>
        </w:rPr>
        <w:t>.</w:t>
      </w:r>
      <w:r w:rsidRPr="0014270C">
        <w:rPr>
          <w:rStyle w:val="FootnoteReference"/>
          <w:rFonts w:ascii="Bookman Old Style" w:hAnsi="Bookman Old Style"/>
          <w:sz w:val="24"/>
          <w:szCs w:val="24"/>
        </w:rPr>
        <w:footnoteReference w:id="46"/>
      </w:r>
      <w:r w:rsidRPr="0014270C">
        <w:rPr>
          <w:rFonts w:ascii="Bookman Old Style" w:hAnsi="Bookman Old Style"/>
          <w:sz w:val="24"/>
          <w:szCs w:val="24"/>
        </w:rPr>
        <w:t xml:space="preserve"> </w:t>
      </w:r>
      <w:r w:rsidR="00344D9F" w:rsidRPr="0014270C">
        <w:rPr>
          <w:rFonts w:ascii="Bookman Old Style" w:hAnsi="Bookman Old Style"/>
          <w:sz w:val="24"/>
          <w:szCs w:val="24"/>
        </w:rPr>
        <w:t>T</w:t>
      </w:r>
      <w:r w:rsidRPr="0014270C">
        <w:rPr>
          <w:rFonts w:ascii="Bookman Old Style" w:hAnsi="Bookman Old Style"/>
          <w:sz w:val="24"/>
          <w:szCs w:val="24"/>
        </w:rPr>
        <w:t>he median household income in 2016 was US$24,616,</w:t>
      </w:r>
      <w:r w:rsidRPr="0014270C">
        <w:rPr>
          <w:rStyle w:val="FootnoteReference"/>
          <w:rFonts w:ascii="Bookman Old Style" w:hAnsi="Bookman Old Style"/>
          <w:sz w:val="24"/>
          <w:szCs w:val="24"/>
        </w:rPr>
        <w:footnoteReference w:id="47"/>
      </w:r>
      <w:r w:rsidRPr="0014270C">
        <w:rPr>
          <w:rFonts w:ascii="Bookman Old Style" w:hAnsi="Bookman Old Style"/>
          <w:sz w:val="24"/>
          <w:szCs w:val="24"/>
        </w:rPr>
        <w:t xml:space="preserve"> compared to Houston’s much higher average income of US$47,010</w:t>
      </w:r>
      <w:r w:rsidR="00344D9F" w:rsidRPr="0014270C">
        <w:rPr>
          <w:rFonts w:ascii="Bookman Old Style" w:hAnsi="Bookman Old Style"/>
          <w:sz w:val="24"/>
          <w:szCs w:val="24"/>
        </w:rPr>
        <w:t>.</w:t>
      </w:r>
      <w:r w:rsidRPr="0014270C">
        <w:rPr>
          <w:rStyle w:val="FootnoteReference"/>
          <w:rFonts w:ascii="Bookman Old Style" w:hAnsi="Bookman Old Style"/>
          <w:sz w:val="24"/>
          <w:szCs w:val="24"/>
        </w:rPr>
        <w:footnoteReference w:id="48"/>
      </w:r>
      <w:r w:rsidRPr="0014270C">
        <w:rPr>
          <w:rFonts w:ascii="Bookman Old Style" w:hAnsi="Bookman Old Style"/>
          <w:sz w:val="24"/>
          <w:szCs w:val="24"/>
        </w:rPr>
        <w:t xml:space="preserve"> </w:t>
      </w:r>
      <w:r w:rsidR="00344D9F" w:rsidRPr="0014270C">
        <w:rPr>
          <w:rFonts w:ascii="Bookman Old Style" w:hAnsi="Bookman Old Style"/>
          <w:sz w:val="24"/>
          <w:szCs w:val="24"/>
        </w:rPr>
        <w:t>T</w:t>
      </w:r>
      <w:r w:rsidRPr="0014270C">
        <w:rPr>
          <w:rFonts w:ascii="Bookman Old Style" w:hAnsi="Bookman Old Style"/>
          <w:sz w:val="24"/>
          <w:szCs w:val="24"/>
        </w:rPr>
        <w:t xml:space="preserve">he Social Vulnerability Index map of the neighborhood shows an overall score of </w:t>
      </w:r>
      <w:r w:rsidRPr="0014270C">
        <w:rPr>
          <w:rFonts w:ascii="Bookman Old Style" w:hAnsi="Bookman Old Style"/>
          <w:sz w:val="24"/>
          <w:szCs w:val="24"/>
        </w:rPr>
        <w:lastRenderedPageBreak/>
        <w:t>0.9172.</w:t>
      </w:r>
      <w:r w:rsidRPr="0014270C">
        <w:rPr>
          <w:rStyle w:val="FootnoteReference"/>
          <w:rFonts w:ascii="Bookman Old Style" w:hAnsi="Bookman Old Style"/>
          <w:sz w:val="24"/>
          <w:szCs w:val="24"/>
        </w:rPr>
        <w:footnoteReference w:id="49"/>
      </w:r>
      <w:r w:rsidRPr="0014270C">
        <w:rPr>
          <w:rFonts w:ascii="Bookman Old Style" w:hAnsi="Bookman Old Style"/>
          <w:sz w:val="24"/>
          <w:szCs w:val="24"/>
        </w:rPr>
        <w:t xml:space="preserve"> According to a FEMA data analysis done by Amelia Adams, a Texas </w:t>
      </w:r>
      <w:proofErr w:type="spellStart"/>
      <w:r w:rsidRPr="0014270C">
        <w:rPr>
          <w:rFonts w:ascii="Bookman Old Style" w:hAnsi="Bookman Old Style"/>
          <w:sz w:val="24"/>
          <w:szCs w:val="24"/>
        </w:rPr>
        <w:t>Housers</w:t>
      </w:r>
      <w:proofErr w:type="spellEnd"/>
      <w:r w:rsidRPr="0014270C">
        <w:rPr>
          <w:rFonts w:ascii="Bookman Old Style" w:hAnsi="Bookman Old Style"/>
          <w:sz w:val="24"/>
          <w:szCs w:val="24"/>
        </w:rPr>
        <w:t xml:space="preserve"> equity analyst, the highest concentration of victims with unmet housing needs post-Harvey </w:t>
      </w:r>
      <w:r w:rsidR="00682C1B" w:rsidRPr="0014270C">
        <w:rPr>
          <w:rFonts w:ascii="Bookman Old Style" w:hAnsi="Bookman Old Style"/>
          <w:sz w:val="24"/>
          <w:szCs w:val="24"/>
        </w:rPr>
        <w:t>we</w:t>
      </w:r>
      <w:r w:rsidRPr="0014270C">
        <w:rPr>
          <w:rFonts w:ascii="Bookman Old Style" w:hAnsi="Bookman Old Style"/>
          <w:sz w:val="24"/>
          <w:szCs w:val="24"/>
        </w:rPr>
        <w:t xml:space="preserve">re disproportionately located in low-income neighborhoods and communities of color, such as </w:t>
      </w:r>
      <w:proofErr w:type="spellStart"/>
      <w:r w:rsidRPr="0014270C">
        <w:rPr>
          <w:rFonts w:ascii="Bookman Old Style" w:hAnsi="Bookman Old Style"/>
          <w:sz w:val="24"/>
          <w:szCs w:val="24"/>
        </w:rPr>
        <w:t>Kashmere</w:t>
      </w:r>
      <w:proofErr w:type="spellEnd"/>
      <w:r w:rsidRPr="0014270C">
        <w:rPr>
          <w:rFonts w:ascii="Bookman Old Style" w:hAnsi="Bookman Old Style"/>
          <w:sz w:val="24"/>
          <w:szCs w:val="24"/>
        </w:rPr>
        <w:t xml:space="preserve"> Gardens.</w:t>
      </w:r>
      <w:r w:rsidRPr="0014270C">
        <w:rPr>
          <w:rStyle w:val="FootnoteReference"/>
          <w:rFonts w:ascii="Bookman Old Style" w:hAnsi="Bookman Old Style"/>
          <w:sz w:val="24"/>
          <w:szCs w:val="24"/>
        </w:rPr>
        <w:footnoteReference w:id="50"/>
      </w:r>
      <w:r w:rsidRPr="0014270C">
        <w:rPr>
          <w:rFonts w:ascii="Bookman Old Style" w:hAnsi="Bookman Old Style"/>
          <w:sz w:val="24"/>
          <w:szCs w:val="24"/>
        </w:rPr>
        <w:t xml:space="preserve"> </w:t>
      </w:r>
    </w:p>
    <w:p w14:paraId="4151325B" w14:textId="35F265F5" w:rsidR="00651FD8" w:rsidRPr="0014270C" w:rsidRDefault="00B15EF5" w:rsidP="00261C60">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While </w:t>
      </w:r>
      <w:r w:rsidR="00085B09" w:rsidRPr="0014270C">
        <w:rPr>
          <w:rFonts w:ascii="Bookman Old Style" w:hAnsi="Bookman Old Style"/>
          <w:sz w:val="24"/>
          <w:szCs w:val="24"/>
        </w:rPr>
        <w:t xml:space="preserve">hurricanes can’t target </w:t>
      </w:r>
      <w:r w:rsidR="00CC7A9F" w:rsidRPr="0014270C">
        <w:rPr>
          <w:rFonts w:ascii="Bookman Old Style" w:hAnsi="Bookman Old Style"/>
          <w:sz w:val="24"/>
          <w:szCs w:val="24"/>
        </w:rPr>
        <w:t>areas</w:t>
      </w:r>
      <w:r w:rsidR="00085B09" w:rsidRPr="0014270C">
        <w:rPr>
          <w:rFonts w:ascii="Bookman Old Style" w:hAnsi="Bookman Old Style"/>
          <w:sz w:val="24"/>
          <w:szCs w:val="24"/>
        </w:rPr>
        <w:t xml:space="preserve"> by income class, neighborhoods like </w:t>
      </w:r>
      <w:proofErr w:type="spellStart"/>
      <w:r w:rsidR="00085B09" w:rsidRPr="0014270C">
        <w:rPr>
          <w:rFonts w:ascii="Bookman Old Style" w:hAnsi="Bookman Old Style"/>
          <w:sz w:val="24"/>
          <w:szCs w:val="24"/>
        </w:rPr>
        <w:t>Kashmere</w:t>
      </w:r>
      <w:proofErr w:type="spellEnd"/>
      <w:r w:rsidR="00085B09" w:rsidRPr="0014270C">
        <w:rPr>
          <w:rFonts w:ascii="Bookman Old Style" w:hAnsi="Bookman Old Style"/>
          <w:sz w:val="24"/>
          <w:szCs w:val="24"/>
        </w:rPr>
        <w:t xml:space="preserve"> Gardens </w:t>
      </w:r>
      <w:r w:rsidR="00B61707" w:rsidRPr="0014270C">
        <w:rPr>
          <w:rFonts w:ascii="Bookman Old Style" w:hAnsi="Bookman Old Style"/>
          <w:sz w:val="24"/>
          <w:szCs w:val="24"/>
        </w:rPr>
        <w:t xml:space="preserve">rely on community, </w:t>
      </w:r>
      <w:r w:rsidR="00CC7A9F" w:rsidRPr="0014270C">
        <w:rPr>
          <w:rFonts w:ascii="Bookman Old Style" w:hAnsi="Bookman Old Style"/>
          <w:sz w:val="24"/>
          <w:szCs w:val="24"/>
        </w:rPr>
        <w:t>organizations, and government services in order to recover.</w:t>
      </w:r>
      <w:r w:rsidR="00146845" w:rsidRPr="0014270C">
        <w:rPr>
          <w:rFonts w:ascii="Bookman Old Style" w:hAnsi="Bookman Old Style"/>
          <w:sz w:val="24"/>
          <w:szCs w:val="24"/>
        </w:rPr>
        <w:t xml:space="preserve"> </w:t>
      </w:r>
      <w:proofErr w:type="gramStart"/>
      <w:r w:rsidR="00146845" w:rsidRPr="0014270C">
        <w:rPr>
          <w:rFonts w:ascii="Bookman Old Style" w:hAnsi="Bookman Old Style"/>
          <w:sz w:val="24"/>
          <w:szCs w:val="24"/>
        </w:rPr>
        <w:t>S</w:t>
      </w:r>
      <w:r w:rsidRPr="0014270C">
        <w:rPr>
          <w:rFonts w:ascii="Bookman Old Style" w:hAnsi="Bookman Old Style"/>
          <w:sz w:val="24"/>
          <w:szCs w:val="24"/>
        </w:rPr>
        <w:t>imilar to</w:t>
      </w:r>
      <w:proofErr w:type="gramEnd"/>
      <w:r w:rsidRPr="0014270C">
        <w:rPr>
          <w:rFonts w:ascii="Bookman Old Style" w:hAnsi="Bookman Old Style"/>
          <w:sz w:val="24"/>
          <w:szCs w:val="24"/>
        </w:rPr>
        <w:t xml:space="preserve"> what happened in New Orleans after Katrina, </w:t>
      </w:r>
      <w:r w:rsidR="007A3DFE" w:rsidRPr="0014270C">
        <w:rPr>
          <w:rFonts w:ascii="Bookman Old Style" w:hAnsi="Bookman Old Style"/>
          <w:sz w:val="24"/>
          <w:szCs w:val="24"/>
        </w:rPr>
        <w:t>more affluent</w:t>
      </w:r>
      <w:r w:rsidR="00146845" w:rsidRPr="0014270C">
        <w:rPr>
          <w:rFonts w:ascii="Bookman Old Style" w:hAnsi="Bookman Old Style"/>
          <w:sz w:val="24"/>
          <w:szCs w:val="24"/>
        </w:rPr>
        <w:t xml:space="preserve"> areas</w:t>
      </w:r>
      <w:r w:rsidR="001463E4" w:rsidRPr="0014270C">
        <w:rPr>
          <w:rFonts w:ascii="Bookman Old Style" w:hAnsi="Bookman Old Style"/>
          <w:sz w:val="24"/>
          <w:szCs w:val="24"/>
        </w:rPr>
        <w:t xml:space="preserve"> of Houston</w:t>
      </w:r>
      <w:r w:rsidR="00146845" w:rsidRPr="0014270C">
        <w:rPr>
          <w:rFonts w:ascii="Bookman Old Style" w:hAnsi="Bookman Old Style"/>
          <w:sz w:val="24"/>
          <w:szCs w:val="24"/>
        </w:rPr>
        <w:t xml:space="preserve"> </w:t>
      </w:r>
      <w:r w:rsidR="00986026" w:rsidRPr="0014270C">
        <w:rPr>
          <w:rFonts w:ascii="Bookman Old Style" w:hAnsi="Bookman Old Style"/>
          <w:sz w:val="24"/>
          <w:szCs w:val="24"/>
        </w:rPr>
        <w:t>recover</w:t>
      </w:r>
      <w:r w:rsidR="001463E4" w:rsidRPr="0014270C">
        <w:rPr>
          <w:rFonts w:ascii="Bookman Old Style" w:hAnsi="Bookman Old Style"/>
          <w:sz w:val="24"/>
          <w:szCs w:val="24"/>
        </w:rPr>
        <w:t>ed</w:t>
      </w:r>
      <w:r w:rsidR="00986026" w:rsidRPr="0014270C">
        <w:rPr>
          <w:rFonts w:ascii="Bookman Old Style" w:hAnsi="Bookman Old Style"/>
          <w:sz w:val="24"/>
          <w:szCs w:val="24"/>
        </w:rPr>
        <w:t xml:space="preserve"> </w:t>
      </w:r>
      <w:r w:rsidR="001463E4" w:rsidRPr="0014270C">
        <w:rPr>
          <w:rFonts w:ascii="Bookman Old Style" w:hAnsi="Bookman Old Style"/>
          <w:sz w:val="24"/>
          <w:szCs w:val="24"/>
        </w:rPr>
        <w:t xml:space="preserve">more </w:t>
      </w:r>
      <w:r w:rsidR="00986026" w:rsidRPr="0014270C">
        <w:rPr>
          <w:rFonts w:ascii="Bookman Old Style" w:hAnsi="Bookman Old Style"/>
          <w:sz w:val="24"/>
          <w:szCs w:val="24"/>
        </w:rPr>
        <w:t>quickly.</w:t>
      </w:r>
      <w:r w:rsidR="004A297A" w:rsidRPr="0014270C">
        <w:rPr>
          <w:rFonts w:ascii="Bookman Old Style" w:hAnsi="Bookman Old Style"/>
          <w:sz w:val="24"/>
          <w:szCs w:val="24"/>
        </w:rPr>
        <w:t xml:space="preserve"> L</w:t>
      </w:r>
      <w:r w:rsidR="007A3DFE" w:rsidRPr="0014270C">
        <w:rPr>
          <w:rFonts w:ascii="Bookman Old Style" w:hAnsi="Bookman Old Style"/>
          <w:sz w:val="24"/>
          <w:szCs w:val="24"/>
        </w:rPr>
        <w:t>ow-income</w:t>
      </w:r>
      <w:r w:rsidR="00A547CC" w:rsidRPr="0014270C">
        <w:rPr>
          <w:rFonts w:ascii="Bookman Old Style" w:hAnsi="Bookman Old Style"/>
          <w:sz w:val="24"/>
          <w:szCs w:val="24"/>
        </w:rPr>
        <w:t xml:space="preserve"> neighborhoods are at a disadvantage</w:t>
      </w:r>
      <w:r w:rsidR="004A297A" w:rsidRPr="0014270C">
        <w:rPr>
          <w:rFonts w:ascii="Bookman Old Style" w:hAnsi="Bookman Old Style"/>
          <w:sz w:val="24"/>
          <w:szCs w:val="24"/>
        </w:rPr>
        <w:t xml:space="preserve"> </w:t>
      </w:r>
      <w:r w:rsidR="007445AA" w:rsidRPr="0014270C">
        <w:rPr>
          <w:rFonts w:ascii="Bookman Old Style" w:hAnsi="Bookman Old Style"/>
          <w:sz w:val="24"/>
          <w:szCs w:val="24"/>
        </w:rPr>
        <w:t>due to limited savings and</w:t>
      </w:r>
      <w:r w:rsidR="004A297A" w:rsidRPr="0014270C">
        <w:rPr>
          <w:rFonts w:ascii="Bookman Old Style" w:hAnsi="Bookman Old Style"/>
          <w:sz w:val="24"/>
          <w:szCs w:val="24"/>
        </w:rPr>
        <w:t xml:space="preserve"> a lower likelihood to carry flood insurance</w:t>
      </w:r>
      <w:r w:rsidR="00A547CC" w:rsidRPr="0014270C">
        <w:rPr>
          <w:rFonts w:ascii="Bookman Old Style" w:hAnsi="Bookman Old Style"/>
          <w:sz w:val="24"/>
          <w:szCs w:val="24"/>
        </w:rPr>
        <w:t xml:space="preserve">. </w:t>
      </w:r>
      <w:r w:rsidR="00651FD8" w:rsidRPr="0014270C">
        <w:rPr>
          <w:rFonts w:ascii="Bookman Old Style" w:hAnsi="Bookman Old Style"/>
          <w:sz w:val="24"/>
          <w:szCs w:val="24"/>
        </w:rPr>
        <w:t xml:space="preserve">A major roadblock that many low-income victims faced in acquiring post-Harvey relief from the government was a minimum qualification of US$17,000 of damage done to their properties. While US$17,000 worth of damage could be a small percentage for someone living in an </w:t>
      </w:r>
      <w:r w:rsidR="00651FD8" w:rsidRPr="0014270C">
        <w:rPr>
          <w:rFonts w:ascii="Bookman Old Style" w:hAnsi="Bookman Old Style"/>
          <w:noProof/>
          <w:sz w:val="24"/>
          <w:szCs w:val="24"/>
        </w:rPr>
        <w:t>upper-middle-class</w:t>
      </w:r>
      <w:r w:rsidR="00651FD8" w:rsidRPr="0014270C">
        <w:rPr>
          <w:rFonts w:ascii="Bookman Old Style" w:hAnsi="Bookman Old Style"/>
          <w:sz w:val="24"/>
          <w:szCs w:val="24"/>
        </w:rPr>
        <w:t xml:space="preserve"> neighborhood, it could amount to over 50% of another person’s manufactured home.</w:t>
      </w:r>
      <w:r w:rsidR="00651FD8" w:rsidRPr="0014270C">
        <w:rPr>
          <w:rStyle w:val="FootnoteReference"/>
          <w:rFonts w:ascii="Bookman Old Style" w:hAnsi="Bookman Old Style"/>
          <w:sz w:val="24"/>
          <w:szCs w:val="24"/>
        </w:rPr>
        <w:footnoteReference w:id="51"/>
      </w:r>
      <w:r w:rsidR="00651FD8" w:rsidRPr="0014270C">
        <w:rPr>
          <w:rFonts w:ascii="Bookman Old Style" w:hAnsi="Bookman Old Style"/>
          <w:sz w:val="24"/>
          <w:szCs w:val="24"/>
        </w:rPr>
        <w:t xml:space="preserve"> Using an arbitrary dollar amount as a minimum qualification instead of a percentage is an obvious injustice suffered by the poor. </w:t>
      </w:r>
      <w:r w:rsidR="006C3652" w:rsidRPr="0014270C">
        <w:rPr>
          <w:rFonts w:ascii="Bookman Old Style" w:hAnsi="Bookman Old Style"/>
          <w:sz w:val="24"/>
          <w:szCs w:val="24"/>
        </w:rPr>
        <w:t xml:space="preserve">While many low-income victims were unable to qualify for assistance, several </w:t>
      </w:r>
      <w:r w:rsidR="003626B1" w:rsidRPr="0014270C">
        <w:rPr>
          <w:rFonts w:ascii="Bookman Old Style" w:hAnsi="Bookman Old Style"/>
          <w:sz w:val="24"/>
          <w:szCs w:val="24"/>
        </w:rPr>
        <w:t xml:space="preserve">cases of </w:t>
      </w:r>
      <w:r w:rsidR="006C3652" w:rsidRPr="0014270C">
        <w:rPr>
          <w:rFonts w:ascii="Bookman Old Style" w:hAnsi="Bookman Old Style"/>
          <w:sz w:val="24"/>
          <w:szCs w:val="24"/>
        </w:rPr>
        <w:t>fraudulent</w:t>
      </w:r>
      <w:r w:rsidR="003626B1" w:rsidRPr="0014270C">
        <w:rPr>
          <w:rFonts w:ascii="Bookman Old Style" w:hAnsi="Bookman Old Style"/>
          <w:sz w:val="24"/>
          <w:szCs w:val="24"/>
        </w:rPr>
        <w:t xml:space="preserve"> activity </w:t>
      </w:r>
      <w:r w:rsidR="001C1DAB" w:rsidRPr="0014270C">
        <w:rPr>
          <w:rFonts w:ascii="Bookman Old Style" w:hAnsi="Bookman Old Style"/>
          <w:sz w:val="24"/>
          <w:szCs w:val="24"/>
        </w:rPr>
        <w:t xml:space="preserve">were </w:t>
      </w:r>
      <w:r w:rsidR="003626B1" w:rsidRPr="0014270C">
        <w:rPr>
          <w:rFonts w:ascii="Bookman Old Style" w:hAnsi="Bookman Old Style"/>
          <w:sz w:val="24"/>
          <w:szCs w:val="24"/>
        </w:rPr>
        <w:t xml:space="preserve">reported </w:t>
      </w:r>
      <w:r w:rsidR="000E46AD" w:rsidRPr="0014270C">
        <w:rPr>
          <w:rFonts w:ascii="Bookman Old Style" w:hAnsi="Bookman Old Style"/>
          <w:sz w:val="24"/>
          <w:szCs w:val="24"/>
        </w:rPr>
        <w:t xml:space="preserve">where residents without storm damage </w:t>
      </w:r>
      <w:r w:rsidR="00AB2401" w:rsidRPr="0014270C">
        <w:rPr>
          <w:rFonts w:ascii="Bookman Old Style" w:hAnsi="Bookman Old Style"/>
          <w:sz w:val="24"/>
          <w:szCs w:val="24"/>
        </w:rPr>
        <w:t xml:space="preserve">received </w:t>
      </w:r>
      <w:r w:rsidR="00EE5AF4" w:rsidRPr="0014270C">
        <w:rPr>
          <w:rFonts w:ascii="Bookman Old Style" w:hAnsi="Bookman Old Style"/>
          <w:sz w:val="24"/>
          <w:szCs w:val="24"/>
        </w:rPr>
        <w:t>money;</w:t>
      </w:r>
      <w:r w:rsidR="00581373" w:rsidRPr="0014270C">
        <w:rPr>
          <w:rFonts w:ascii="Bookman Old Style" w:hAnsi="Bookman Old Style"/>
          <w:sz w:val="24"/>
          <w:szCs w:val="24"/>
        </w:rPr>
        <w:t xml:space="preserve"> in one</w:t>
      </w:r>
      <w:r w:rsidR="00EE5AF4" w:rsidRPr="0014270C">
        <w:rPr>
          <w:rFonts w:ascii="Bookman Old Style" w:hAnsi="Bookman Old Style"/>
          <w:sz w:val="24"/>
          <w:szCs w:val="24"/>
        </w:rPr>
        <w:t xml:space="preserve"> of these</w:t>
      </w:r>
      <w:r w:rsidR="00581373" w:rsidRPr="0014270C">
        <w:rPr>
          <w:rFonts w:ascii="Bookman Old Style" w:hAnsi="Bookman Old Style"/>
          <w:sz w:val="24"/>
          <w:szCs w:val="24"/>
        </w:rPr>
        <w:t xml:space="preserve"> case</w:t>
      </w:r>
      <w:r w:rsidR="00EE5AF4" w:rsidRPr="0014270C">
        <w:rPr>
          <w:rFonts w:ascii="Bookman Old Style" w:hAnsi="Bookman Old Style"/>
          <w:sz w:val="24"/>
          <w:szCs w:val="24"/>
        </w:rPr>
        <w:t>s,</w:t>
      </w:r>
      <w:r w:rsidR="00581373" w:rsidRPr="0014270C">
        <w:rPr>
          <w:rFonts w:ascii="Bookman Old Style" w:hAnsi="Bookman Old Style"/>
          <w:sz w:val="24"/>
          <w:szCs w:val="24"/>
        </w:rPr>
        <w:t xml:space="preserve"> </w:t>
      </w:r>
      <w:r w:rsidR="00DB7025" w:rsidRPr="0014270C">
        <w:rPr>
          <w:rFonts w:ascii="Bookman Old Style" w:hAnsi="Bookman Old Style"/>
          <w:sz w:val="24"/>
          <w:szCs w:val="24"/>
        </w:rPr>
        <w:t>over</w:t>
      </w:r>
      <w:r w:rsidR="00581373" w:rsidRPr="0014270C">
        <w:rPr>
          <w:rFonts w:ascii="Bookman Old Style" w:hAnsi="Bookman Old Style"/>
          <w:sz w:val="24"/>
          <w:szCs w:val="24"/>
        </w:rPr>
        <w:t xml:space="preserve"> US$</w:t>
      </w:r>
      <w:r w:rsidR="00DB7025" w:rsidRPr="0014270C">
        <w:rPr>
          <w:rFonts w:ascii="Bookman Old Style" w:hAnsi="Bookman Old Style"/>
          <w:sz w:val="24"/>
          <w:szCs w:val="24"/>
        </w:rPr>
        <w:t>115</w:t>
      </w:r>
      <w:r w:rsidR="00581373" w:rsidRPr="0014270C">
        <w:rPr>
          <w:rFonts w:ascii="Bookman Old Style" w:hAnsi="Bookman Old Style"/>
          <w:sz w:val="24"/>
          <w:szCs w:val="24"/>
        </w:rPr>
        <w:t xml:space="preserve">,000 </w:t>
      </w:r>
      <w:r w:rsidR="00581373" w:rsidRPr="0014270C">
        <w:rPr>
          <w:rFonts w:ascii="Bookman Old Style" w:hAnsi="Bookman Old Style"/>
          <w:sz w:val="24"/>
          <w:szCs w:val="24"/>
        </w:rPr>
        <w:lastRenderedPageBreak/>
        <w:t>was paid to</w:t>
      </w:r>
      <w:r w:rsidR="00DB7025" w:rsidRPr="0014270C">
        <w:rPr>
          <w:rFonts w:ascii="Bookman Old Style" w:hAnsi="Bookman Old Style"/>
          <w:sz w:val="24"/>
          <w:szCs w:val="24"/>
        </w:rPr>
        <w:t xml:space="preserve"> an undeserving recipient.</w:t>
      </w:r>
      <w:r w:rsidR="00423F8B" w:rsidRPr="0014270C">
        <w:rPr>
          <w:rStyle w:val="FootnoteReference"/>
          <w:rFonts w:ascii="Bookman Old Style" w:hAnsi="Bookman Old Style"/>
          <w:sz w:val="24"/>
          <w:szCs w:val="24"/>
        </w:rPr>
        <w:footnoteReference w:id="52"/>
      </w:r>
      <w:r w:rsidR="001C1DAB" w:rsidRPr="0014270C">
        <w:rPr>
          <w:rFonts w:ascii="Bookman Old Style" w:hAnsi="Bookman Old Style"/>
          <w:sz w:val="24"/>
          <w:szCs w:val="24"/>
        </w:rPr>
        <w:t xml:space="preserve"> </w:t>
      </w:r>
      <w:r w:rsidR="00F044E1" w:rsidRPr="0014270C">
        <w:rPr>
          <w:rFonts w:ascii="Bookman Old Style" w:hAnsi="Bookman Old Style"/>
          <w:sz w:val="24"/>
          <w:szCs w:val="24"/>
        </w:rPr>
        <w:t xml:space="preserve">This activity </w:t>
      </w:r>
      <w:r w:rsidR="008773F8" w:rsidRPr="0014270C">
        <w:rPr>
          <w:rFonts w:ascii="Bookman Old Style" w:hAnsi="Bookman Old Style"/>
          <w:sz w:val="24"/>
          <w:szCs w:val="24"/>
        </w:rPr>
        <w:t xml:space="preserve">demonstrates how </w:t>
      </w:r>
      <w:r w:rsidR="00FE5ABD" w:rsidRPr="0014270C">
        <w:rPr>
          <w:rFonts w:ascii="Bookman Old Style" w:hAnsi="Bookman Old Style"/>
          <w:sz w:val="24"/>
          <w:szCs w:val="24"/>
        </w:rPr>
        <w:t>processes</w:t>
      </w:r>
      <w:r w:rsidR="00F044E1" w:rsidRPr="0014270C">
        <w:rPr>
          <w:rFonts w:ascii="Bookman Old Style" w:hAnsi="Bookman Old Style"/>
          <w:sz w:val="24"/>
          <w:szCs w:val="24"/>
        </w:rPr>
        <w:t xml:space="preserve"> </w:t>
      </w:r>
      <w:r w:rsidR="008C45D2" w:rsidRPr="0014270C">
        <w:rPr>
          <w:rFonts w:ascii="Bookman Old Style" w:hAnsi="Bookman Old Style"/>
          <w:sz w:val="24"/>
          <w:szCs w:val="24"/>
        </w:rPr>
        <w:t>have not shown</w:t>
      </w:r>
      <w:r w:rsidR="00975011" w:rsidRPr="0014270C">
        <w:rPr>
          <w:rFonts w:ascii="Bookman Old Style" w:hAnsi="Bookman Old Style"/>
          <w:sz w:val="24"/>
          <w:szCs w:val="24"/>
        </w:rPr>
        <w:t xml:space="preserve"> as</w:t>
      </w:r>
      <w:r w:rsidR="008C45D2" w:rsidRPr="0014270C">
        <w:rPr>
          <w:rFonts w:ascii="Bookman Old Style" w:hAnsi="Bookman Old Style"/>
          <w:sz w:val="24"/>
          <w:szCs w:val="24"/>
        </w:rPr>
        <w:t xml:space="preserve"> </w:t>
      </w:r>
      <w:r w:rsidR="00457858" w:rsidRPr="0014270C">
        <w:rPr>
          <w:rFonts w:ascii="Bookman Old Style" w:hAnsi="Bookman Old Style"/>
          <w:sz w:val="24"/>
          <w:szCs w:val="24"/>
        </w:rPr>
        <w:t xml:space="preserve">significant improvement </w:t>
      </w:r>
      <w:r w:rsidR="00975011" w:rsidRPr="0014270C">
        <w:rPr>
          <w:rFonts w:ascii="Bookman Old Style" w:hAnsi="Bookman Old Style"/>
          <w:sz w:val="24"/>
          <w:szCs w:val="24"/>
        </w:rPr>
        <w:t xml:space="preserve">as would be expected </w:t>
      </w:r>
      <w:r w:rsidR="00457858" w:rsidRPr="0014270C">
        <w:rPr>
          <w:rFonts w:ascii="Bookman Old Style" w:hAnsi="Bookman Old Style"/>
          <w:sz w:val="24"/>
          <w:szCs w:val="24"/>
        </w:rPr>
        <w:t>in the years since Hurricane Katrina.</w:t>
      </w:r>
      <w:r w:rsidR="00DB7025" w:rsidRPr="0014270C">
        <w:rPr>
          <w:rFonts w:ascii="Bookman Old Style" w:hAnsi="Bookman Old Style"/>
          <w:sz w:val="24"/>
          <w:szCs w:val="24"/>
        </w:rPr>
        <w:t xml:space="preserve"> </w:t>
      </w:r>
      <w:r w:rsidR="00581373" w:rsidRPr="0014270C">
        <w:rPr>
          <w:rFonts w:ascii="Bookman Old Style" w:hAnsi="Bookman Old Style"/>
          <w:sz w:val="24"/>
          <w:szCs w:val="24"/>
        </w:rPr>
        <w:t xml:space="preserve"> </w:t>
      </w:r>
      <w:r w:rsidR="00AB2401" w:rsidRPr="0014270C">
        <w:rPr>
          <w:rFonts w:ascii="Bookman Old Style" w:hAnsi="Bookman Old Style"/>
          <w:sz w:val="24"/>
          <w:szCs w:val="24"/>
        </w:rPr>
        <w:t xml:space="preserve"> </w:t>
      </w:r>
      <w:r w:rsidR="006C3652" w:rsidRPr="0014270C">
        <w:rPr>
          <w:rFonts w:ascii="Bookman Old Style" w:hAnsi="Bookman Old Style"/>
          <w:sz w:val="24"/>
          <w:szCs w:val="24"/>
        </w:rPr>
        <w:t xml:space="preserve"> </w:t>
      </w:r>
    </w:p>
    <w:p w14:paraId="66835FDF" w14:textId="42BE5E5B" w:rsidR="00E85058" w:rsidRPr="0014270C" w:rsidRDefault="00344637" w:rsidP="00A83EE8">
      <w:pPr>
        <w:spacing w:line="480" w:lineRule="auto"/>
        <w:ind w:firstLine="720"/>
        <w:rPr>
          <w:rFonts w:ascii="Bookman Old Style" w:hAnsi="Bookman Old Style"/>
          <w:sz w:val="24"/>
          <w:szCs w:val="24"/>
        </w:rPr>
      </w:pPr>
      <w:r w:rsidRPr="0014270C">
        <w:rPr>
          <w:rFonts w:ascii="Bookman Old Style" w:hAnsi="Bookman Old Style"/>
          <w:sz w:val="24"/>
          <w:szCs w:val="24"/>
        </w:rPr>
        <w:t>As</w:t>
      </w:r>
      <w:r w:rsidR="00E8113D" w:rsidRPr="0014270C">
        <w:rPr>
          <w:rFonts w:ascii="Bookman Old Style" w:hAnsi="Bookman Old Style"/>
          <w:sz w:val="24"/>
          <w:szCs w:val="24"/>
        </w:rPr>
        <w:t xml:space="preserve"> of October 2018, there </w:t>
      </w:r>
      <w:r w:rsidR="00C76CB4" w:rsidRPr="0014270C">
        <w:rPr>
          <w:rFonts w:ascii="Bookman Old Style" w:hAnsi="Bookman Old Style"/>
          <w:sz w:val="24"/>
          <w:szCs w:val="24"/>
        </w:rPr>
        <w:t>we</w:t>
      </w:r>
      <w:r w:rsidR="00E8113D" w:rsidRPr="0014270C">
        <w:rPr>
          <w:rFonts w:ascii="Bookman Old Style" w:hAnsi="Bookman Old Style"/>
          <w:sz w:val="24"/>
          <w:szCs w:val="24"/>
        </w:rPr>
        <w:t xml:space="preserve">re still several </w:t>
      </w:r>
      <w:r w:rsidR="00E11235" w:rsidRPr="0014270C">
        <w:rPr>
          <w:rFonts w:ascii="Bookman Old Style" w:hAnsi="Bookman Old Style"/>
          <w:sz w:val="24"/>
          <w:szCs w:val="24"/>
        </w:rPr>
        <w:t>hundreds of</w:t>
      </w:r>
      <w:r w:rsidR="00E8113D" w:rsidRPr="0014270C">
        <w:rPr>
          <w:rFonts w:ascii="Bookman Old Style" w:hAnsi="Bookman Old Style"/>
          <w:sz w:val="24"/>
          <w:szCs w:val="24"/>
        </w:rPr>
        <w:t xml:space="preserve"> victims of Hurricane Harvey that </w:t>
      </w:r>
      <w:r w:rsidR="00C76CB4" w:rsidRPr="0014270C">
        <w:rPr>
          <w:rFonts w:ascii="Bookman Old Style" w:hAnsi="Bookman Old Style"/>
          <w:sz w:val="24"/>
          <w:szCs w:val="24"/>
        </w:rPr>
        <w:t>we</w:t>
      </w:r>
      <w:r w:rsidR="00E8113D" w:rsidRPr="0014270C">
        <w:rPr>
          <w:rFonts w:ascii="Bookman Old Style" w:hAnsi="Bookman Old Style"/>
          <w:sz w:val="24"/>
          <w:szCs w:val="24"/>
        </w:rPr>
        <w:t xml:space="preserve">re living in </w:t>
      </w:r>
      <w:r w:rsidR="0017143D" w:rsidRPr="0014270C">
        <w:rPr>
          <w:rFonts w:ascii="Bookman Old Style" w:hAnsi="Bookman Old Style"/>
          <w:sz w:val="24"/>
          <w:szCs w:val="24"/>
        </w:rPr>
        <w:t>government</w:t>
      </w:r>
      <w:r w:rsidR="00E8113D" w:rsidRPr="0014270C">
        <w:rPr>
          <w:rFonts w:ascii="Bookman Old Style" w:hAnsi="Bookman Old Style"/>
          <w:sz w:val="24"/>
          <w:szCs w:val="24"/>
        </w:rPr>
        <w:t xml:space="preserve"> </w:t>
      </w:r>
      <w:r w:rsidR="00044627" w:rsidRPr="0014270C">
        <w:rPr>
          <w:rFonts w:ascii="Bookman Old Style" w:hAnsi="Bookman Old Style"/>
          <w:sz w:val="24"/>
          <w:szCs w:val="24"/>
        </w:rPr>
        <w:t xml:space="preserve">provided </w:t>
      </w:r>
      <w:r w:rsidR="0017143D" w:rsidRPr="0014270C">
        <w:rPr>
          <w:rFonts w:ascii="Bookman Old Style" w:hAnsi="Bookman Old Style"/>
          <w:sz w:val="24"/>
          <w:szCs w:val="24"/>
        </w:rPr>
        <w:t xml:space="preserve">relief </w:t>
      </w:r>
      <w:r w:rsidR="00044627" w:rsidRPr="0014270C">
        <w:rPr>
          <w:rFonts w:ascii="Bookman Old Style" w:hAnsi="Bookman Old Style"/>
          <w:sz w:val="24"/>
          <w:szCs w:val="24"/>
        </w:rPr>
        <w:t xml:space="preserve">housing. </w:t>
      </w:r>
      <w:r w:rsidR="006538EF" w:rsidRPr="0014270C">
        <w:rPr>
          <w:rFonts w:ascii="Bookman Old Style" w:hAnsi="Bookman Old Style"/>
          <w:sz w:val="24"/>
          <w:szCs w:val="24"/>
        </w:rPr>
        <w:t xml:space="preserve">R.A. Schuetz of Beaumont Enterprise </w:t>
      </w:r>
      <w:r w:rsidR="006B4DF5" w:rsidRPr="0014270C">
        <w:rPr>
          <w:rFonts w:ascii="Bookman Old Style" w:hAnsi="Bookman Old Style"/>
          <w:sz w:val="24"/>
          <w:szCs w:val="24"/>
        </w:rPr>
        <w:t xml:space="preserve">mentions </w:t>
      </w:r>
      <w:r w:rsidR="00C657DF" w:rsidRPr="0014270C">
        <w:rPr>
          <w:rFonts w:ascii="Bookman Old Style" w:hAnsi="Bookman Old Style"/>
          <w:sz w:val="24"/>
          <w:szCs w:val="24"/>
        </w:rPr>
        <w:t>t</w:t>
      </w:r>
      <w:r w:rsidR="006C3C84" w:rsidRPr="0014270C">
        <w:rPr>
          <w:rFonts w:ascii="Bookman Old Style" w:hAnsi="Bookman Old Style"/>
          <w:sz w:val="24"/>
          <w:szCs w:val="24"/>
        </w:rPr>
        <w:t>he</w:t>
      </w:r>
      <w:r w:rsidR="00C657DF" w:rsidRPr="0014270C">
        <w:rPr>
          <w:rFonts w:ascii="Bookman Old Style" w:hAnsi="Bookman Old Style"/>
          <w:sz w:val="24"/>
          <w:szCs w:val="24"/>
        </w:rPr>
        <w:t xml:space="preserve"> </w:t>
      </w:r>
      <w:r w:rsidR="006C3C84" w:rsidRPr="0014270C">
        <w:rPr>
          <w:rFonts w:ascii="Bookman Old Style" w:hAnsi="Bookman Old Style"/>
          <w:sz w:val="24"/>
          <w:szCs w:val="24"/>
        </w:rPr>
        <w:t>number</w:t>
      </w:r>
      <w:r w:rsidR="00C657DF" w:rsidRPr="0014270C">
        <w:rPr>
          <w:rFonts w:ascii="Bookman Old Style" w:hAnsi="Bookman Old Style"/>
          <w:sz w:val="24"/>
          <w:szCs w:val="24"/>
        </w:rPr>
        <w:t xml:space="preserve"> amounted to</w:t>
      </w:r>
      <w:r w:rsidR="006B4DF5" w:rsidRPr="0014270C">
        <w:rPr>
          <w:rFonts w:ascii="Bookman Old Style" w:hAnsi="Bookman Old Style"/>
          <w:sz w:val="24"/>
          <w:szCs w:val="24"/>
        </w:rPr>
        <w:t xml:space="preserve"> </w:t>
      </w:r>
      <w:r w:rsidR="006C3C84" w:rsidRPr="0014270C">
        <w:rPr>
          <w:rFonts w:ascii="Bookman Old Style" w:hAnsi="Bookman Old Style"/>
          <w:sz w:val="24"/>
          <w:szCs w:val="24"/>
        </w:rPr>
        <w:t>as many as</w:t>
      </w:r>
      <w:r w:rsidR="006B4DF5" w:rsidRPr="0014270C">
        <w:rPr>
          <w:rFonts w:ascii="Bookman Old Style" w:hAnsi="Bookman Old Style"/>
          <w:sz w:val="24"/>
          <w:szCs w:val="24"/>
        </w:rPr>
        <w:t xml:space="preserve"> 1,800 </w:t>
      </w:r>
      <w:r w:rsidR="00342676" w:rsidRPr="0014270C">
        <w:rPr>
          <w:rFonts w:ascii="Bookman Old Style" w:hAnsi="Bookman Old Style"/>
          <w:sz w:val="24"/>
          <w:szCs w:val="24"/>
        </w:rPr>
        <w:t xml:space="preserve">households living in </w:t>
      </w:r>
      <w:r w:rsidR="006B4DF5" w:rsidRPr="0014270C">
        <w:rPr>
          <w:rFonts w:ascii="Bookman Old Style" w:hAnsi="Bookman Old Style"/>
          <w:sz w:val="24"/>
          <w:szCs w:val="24"/>
        </w:rPr>
        <w:t>FEMA trailers</w:t>
      </w:r>
      <w:r w:rsidR="00342676" w:rsidRPr="0014270C">
        <w:rPr>
          <w:rFonts w:ascii="Bookman Old Style" w:hAnsi="Bookman Old Style"/>
          <w:sz w:val="24"/>
          <w:szCs w:val="24"/>
        </w:rPr>
        <w:t xml:space="preserve"> over a year after the storm</w:t>
      </w:r>
      <w:r w:rsidR="00D16B0E" w:rsidRPr="0014270C">
        <w:rPr>
          <w:rFonts w:ascii="Bookman Old Style" w:hAnsi="Bookman Old Style"/>
          <w:sz w:val="24"/>
          <w:szCs w:val="24"/>
        </w:rPr>
        <w:t xml:space="preserve"> with only four months </w:t>
      </w:r>
      <w:r w:rsidR="003B21E2" w:rsidRPr="0014270C">
        <w:rPr>
          <w:rFonts w:ascii="Bookman Old Style" w:hAnsi="Bookman Old Style"/>
          <w:sz w:val="24"/>
          <w:szCs w:val="24"/>
        </w:rPr>
        <w:t xml:space="preserve">remaining </w:t>
      </w:r>
      <w:r w:rsidR="00D16B0E" w:rsidRPr="0014270C">
        <w:rPr>
          <w:rFonts w:ascii="Bookman Old Style" w:hAnsi="Bookman Old Style"/>
          <w:sz w:val="24"/>
          <w:szCs w:val="24"/>
        </w:rPr>
        <w:t xml:space="preserve">before </w:t>
      </w:r>
      <w:r w:rsidR="008B14BE" w:rsidRPr="0014270C">
        <w:rPr>
          <w:rFonts w:ascii="Bookman Old Style" w:hAnsi="Bookman Old Style"/>
          <w:sz w:val="24"/>
          <w:szCs w:val="24"/>
        </w:rPr>
        <w:t xml:space="preserve">assistance </w:t>
      </w:r>
      <w:r w:rsidR="00A4280B" w:rsidRPr="0014270C">
        <w:rPr>
          <w:rFonts w:ascii="Bookman Old Style" w:hAnsi="Bookman Old Style"/>
          <w:sz w:val="24"/>
          <w:szCs w:val="24"/>
        </w:rPr>
        <w:t xml:space="preserve">was to </w:t>
      </w:r>
      <w:proofErr w:type="gramStart"/>
      <w:r w:rsidR="00A4280B" w:rsidRPr="0014270C">
        <w:rPr>
          <w:rFonts w:ascii="Bookman Old Style" w:hAnsi="Bookman Old Style"/>
          <w:sz w:val="24"/>
          <w:szCs w:val="24"/>
        </w:rPr>
        <w:t>be</w:t>
      </w:r>
      <w:r w:rsidR="0017143D" w:rsidRPr="0014270C">
        <w:rPr>
          <w:rFonts w:ascii="Bookman Old Style" w:hAnsi="Bookman Old Style"/>
          <w:sz w:val="24"/>
          <w:szCs w:val="24"/>
        </w:rPr>
        <w:t xml:space="preserve"> terminated</w:t>
      </w:r>
      <w:proofErr w:type="gramEnd"/>
      <w:r w:rsidR="0017143D" w:rsidRPr="0014270C">
        <w:rPr>
          <w:rFonts w:ascii="Bookman Old Style" w:hAnsi="Bookman Old Style"/>
          <w:sz w:val="24"/>
          <w:szCs w:val="24"/>
        </w:rPr>
        <w:t xml:space="preserve"> and </w:t>
      </w:r>
      <w:r w:rsidR="002141BF" w:rsidRPr="0014270C">
        <w:rPr>
          <w:rFonts w:ascii="Bookman Old Style" w:hAnsi="Bookman Old Style"/>
          <w:sz w:val="24"/>
          <w:szCs w:val="24"/>
        </w:rPr>
        <w:t>the units</w:t>
      </w:r>
      <w:r w:rsidR="0017143D" w:rsidRPr="0014270C">
        <w:rPr>
          <w:rFonts w:ascii="Bookman Old Style" w:hAnsi="Bookman Old Style"/>
          <w:sz w:val="24"/>
          <w:szCs w:val="24"/>
        </w:rPr>
        <w:t xml:space="preserve"> removed</w:t>
      </w:r>
      <w:r w:rsidR="00B23834" w:rsidRPr="0014270C">
        <w:rPr>
          <w:rFonts w:ascii="Bookman Old Style" w:hAnsi="Bookman Old Style"/>
          <w:sz w:val="24"/>
          <w:szCs w:val="24"/>
        </w:rPr>
        <w:t>. T</w:t>
      </w:r>
      <w:r w:rsidR="00D16B0E" w:rsidRPr="0014270C">
        <w:rPr>
          <w:rFonts w:ascii="Bookman Old Style" w:hAnsi="Bookman Old Style"/>
          <w:sz w:val="24"/>
          <w:szCs w:val="24"/>
        </w:rPr>
        <w:t>he</w:t>
      </w:r>
      <w:r w:rsidR="00B23834" w:rsidRPr="0014270C">
        <w:rPr>
          <w:rFonts w:ascii="Bookman Old Style" w:hAnsi="Bookman Old Style"/>
          <w:sz w:val="24"/>
          <w:szCs w:val="24"/>
        </w:rPr>
        <w:t>se victims’</w:t>
      </w:r>
      <w:r w:rsidR="00D16B0E" w:rsidRPr="0014270C">
        <w:rPr>
          <w:rFonts w:ascii="Bookman Old Style" w:hAnsi="Bookman Old Style"/>
          <w:sz w:val="24"/>
          <w:szCs w:val="24"/>
        </w:rPr>
        <w:t xml:space="preserve"> homes </w:t>
      </w:r>
      <w:r w:rsidR="00394B30" w:rsidRPr="0014270C">
        <w:rPr>
          <w:rFonts w:ascii="Bookman Old Style" w:hAnsi="Bookman Old Style"/>
          <w:sz w:val="24"/>
          <w:szCs w:val="24"/>
        </w:rPr>
        <w:t>remained</w:t>
      </w:r>
      <w:r w:rsidR="00D16B0E" w:rsidRPr="0014270C">
        <w:rPr>
          <w:rFonts w:ascii="Bookman Old Style" w:hAnsi="Bookman Old Style"/>
          <w:sz w:val="24"/>
          <w:szCs w:val="24"/>
        </w:rPr>
        <w:t xml:space="preserve"> unlivable</w:t>
      </w:r>
      <w:r w:rsidR="00EF4817" w:rsidRPr="0014270C">
        <w:rPr>
          <w:rFonts w:ascii="Bookman Old Style" w:hAnsi="Bookman Old Style"/>
          <w:sz w:val="24"/>
          <w:szCs w:val="24"/>
        </w:rPr>
        <w:t>;</w:t>
      </w:r>
      <w:r w:rsidR="00B23834" w:rsidRPr="0014270C">
        <w:rPr>
          <w:rFonts w:ascii="Bookman Old Style" w:hAnsi="Bookman Old Style"/>
          <w:sz w:val="24"/>
          <w:szCs w:val="24"/>
        </w:rPr>
        <w:t xml:space="preserve"> </w:t>
      </w:r>
      <w:r w:rsidR="000C5EEF" w:rsidRPr="0014270C">
        <w:rPr>
          <w:rFonts w:ascii="Bookman Old Style" w:hAnsi="Bookman Old Style"/>
          <w:sz w:val="24"/>
          <w:szCs w:val="24"/>
        </w:rPr>
        <w:t>the circumstances forcing them to</w:t>
      </w:r>
      <w:r w:rsidR="005A06FD" w:rsidRPr="0014270C">
        <w:rPr>
          <w:rFonts w:ascii="Bookman Old Style" w:hAnsi="Bookman Old Style"/>
          <w:sz w:val="24"/>
          <w:szCs w:val="24"/>
        </w:rPr>
        <w:t xml:space="preserve"> fac</w:t>
      </w:r>
      <w:r w:rsidR="000C5EEF" w:rsidRPr="0014270C">
        <w:rPr>
          <w:rFonts w:ascii="Bookman Old Style" w:hAnsi="Bookman Old Style"/>
          <w:sz w:val="24"/>
          <w:szCs w:val="24"/>
        </w:rPr>
        <w:t>e</w:t>
      </w:r>
      <w:r w:rsidR="005A06FD" w:rsidRPr="0014270C">
        <w:rPr>
          <w:rFonts w:ascii="Bookman Old Style" w:hAnsi="Bookman Old Style"/>
          <w:sz w:val="24"/>
          <w:szCs w:val="24"/>
        </w:rPr>
        <w:t xml:space="preserve"> homelessness in the wake of </w:t>
      </w:r>
      <w:r w:rsidR="000C4875" w:rsidRPr="0014270C">
        <w:rPr>
          <w:rFonts w:ascii="Bookman Old Style" w:hAnsi="Bookman Old Style"/>
          <w:sz w:val="24"/>
          <w:szCs w:val="24"/>
        </w:rPr>
        <w:t>ineffectiveness</w:t>
      </w:r>
      <w:r w:rsidR="000E46DB" w:rsidRPr="0014270C">
        <w:rPr>
          <w:rFonts w:ascii="Bookman Old Style" w:hAnsi="Bookman Old Style"/>
          <w:sz w:val="24"/>
          <w:szCs w:val="24"/>
        </w:rPr>
        <w:t xml:space="preserve"> still thick within </w:t>
      </w:r>
      <w:r w:rsidR="00563A39" w:rsidRPr="0014270C">
        <w:rPr>
          <w:rFonts w:ascii="Bookman Old Style" w:hAnsi="Bookman Old Style"/>
          <w:sz w:val="24"/>
          <w:szCs w:val="24"/>
        </w:rPr>
        <w:t xml:space="preserve">government </w:t>
      </w:r>
      <w:r w:rsidR="000E46DB" w:rsidRPr="0014270C">
        <w:rPr>
          <w:rFonts w:ascii="Bookman Old Style" w:hAnsi="Bookman Old Style"/>
          <w:sz w:val="24"/>
          <w:szCs w:val="24"/>
        </w:rPr>
        <w:t>recovery programs.</w:t>
      </w:r>
      <w:r w:rsidR="00FD2EEE" w:rsidRPr="0014270C">
        <w:rPr>
          <w:rStyle w:val="FootnoteReference"/>
          <w:rFonts w:ascii="Bookman Old Style" w:hAnsi="Bookman Old Style"/>
          <w:sz w:val="24"/>
          <w:szCs w:val="24"/>
        </w:rPr>
        <w:footnoteReference w:id="53"/>
      </w:r>
      <w:r w:rsidR="00A90DBC" w:rsidRPr="0014270C">
        <w:rPr>
          <w:rFonts w:ascii="Bookman Old Style" w:hAnsi="Bookman Old Style"/>
          <w:sz w:val="24"/>
          <w:szCs w:val="24"/>
        </w:rPr>
        <w:t xml:space="preserve"> </w:t>
      </w:r>
      <w:r w:rsidR="000D5542" w:rsidRPr="0014270C">
        <w:rPr>
          <w:rFonts w:ascii="Bookman Old Style" w:hAnsi="Bookman Old Style"/>
          <w:sz w:val="24"/>
          <w:szCs w:val="24"/>
        </w:rPr>
        <w:t xml:space="preserve">These are the failures </w:t>
      </w:r>
      <w:r w:rsidR="00A90DBC" w:rsidRPr="0014270C">
        <w:rPr>
          <w:rFonts w:ascii="Bookman Old Style" w:hAnsi="Bookman Old Style"/>
          <w:sz w:val="24"/>
          <w:szCs w:val="24"/>
        </w:rPr>
        <w:t xml:space="preserve">for which this research attempts to find solutions. </w:t>
      </w:r>
    </w:p>
    <w:p w14:paraId="6BA106B8" w14:textId="77777777" w:rsidR="00E47345" w:rsidRPr="0014270C" w:rsidRDefault="00E47345" w:rsidP="00A83EE8">
      <w:pPr>
        <w:spacing w:line="480" w:lineRule="auto"/>
        <w:ind w:firstLine="720"/>
        <w:rPr>
          <w:rFonts w:ascii="Bookman Old Style" w:hAnsi="Bookman Old Style"/>
          <w:sz w:val="24"/>
          <w:szCs w:val="24"/>
        </w:rPr>
      </w:pPr>
    </w:p>
    <w:p w14:paraId="4486236D" w14:textId="6FE5ADC4" w:rsidR="00961737" w:rsidRPr="0014270C" w:rsidRDefault="003C746F" w:rsidP="00B93546">
      <w:pPr>
        <w:pStyle w:val="THESISLVL2"/>
      </w:pPr>
      <w:bookmarkStart w:id="20" w:name="_Toc8062258"/>
      <w:r w:rsidRPr="0014270C">
        <w:t>1.</w:t>
      </w:r>
      <w:r w:rsidR="00836392" w:rsidRPr="0014270C">
        <w:t>2</w:t>
      </w:r>
      <w:r w:rsidRPr="0014270C">
        <w:t xml:space="preserve"> </w:t>
      </w:r>
      <w:r w:rsidR="00961737" w:rsidRPr="0014270C">
        <w:t>Approach</w:t>
      </w:r>
      <w:bookmarkEnd w:id="20"/>
    </w:p>
    <w:p w14:paraId="7CCA0B55" w14:textId="1CE19192" w:rsidR="003E307B" w:rsidRPr="0014270C" w:rsidRDefault="003F1814" w:rsidP="005B54AB">
      <w:pPr>
        <w:spacing w:line="480" w:lineRule="auto"/>
        <w:ind w:firstLine="720"/>
        <w:rPr>
          <w:rFonts w:ascii="Bookman Old Style" w:hAnsi="Bookman Old Style"/>
          <w:sz w:val="24"/>
          <w:szCs w:val="24"/>
        </w:rPr>
      </w:pPr>
      <w:r w:rsidRPr="0014270C">
        <w:rPr>
          <w:rFonts w:ascii="Bookman Old Style" w:hAnsi="Bookman Old Style"/>
          <w:sz w:val="24"/>
          <w:szCs w:val="24"/>
        </w:rPr>
        <w:t>E</w:t>
      </w:r>
      <w:r w:rsidR="006A1B35" w:rsidRPr="0014270C">
        <w:rPr>
          <w:rFonts w:ascii="Bookman Old Style" w:hAnsi="Bookman Old Style"/>
          <w:sz w:val="24"/>
          <w:szCs w:val="24"/>
        </w:rPr>
        <w:t xml:space="preserve">nergy </w:t>
      </w:r>
      <w:r w:rsidR="00CC61B5" w:rsidRPr="0014270C">
        <w:rPr>
          <w:rFonts w:ascii="Bookman Old Style" w:hAnsi="Bookman Old Style"/>
          <w:sz w:val="24"/>
          <w:szCs w:val="24"/>
        </w:rPr>
        <w:t xml:space="preserve">and water </w:t>
      </w:r>
      <w:r w:rsidRPr="0014270C">
        <w:rPr>
          <w:rFonts w:ascii="Bookman Old Style" w:hAnsi="Bookman Old Style"/>
          <w:sz w:val="24"/>
          <w:szCs w:val="24"/>
        </w:rPr>
        <w:t>are</w:t>
      </w:r>
      <w:r w:rsidR="006A1B35" w:rsidRPr="0014270C">
        <w:rPr>
          <w:rFonts w:ascii="Bookman Old Style" w:hAnsi="Bookman Old Style"/>
          <w:sz w:val="24"/>
          <w:szCs w:val="24"/>
        </w:rPr>
        <w:t xml:space="preserve"> necessit</w:t>
      </w:r>
      <w:r w:rsidRPr="0014270C">
        <w:rPr>
          <w:rFonts w:ascii="Bookman Old Style" w:hAnsi="Bookman Old Style"/>
          <w:sz w:val="24"/>
          <w:szCs w:val="24"/>
        </w:rPr>
        <w:t>ies</w:t>
      </w:r>
      <w:r w:rsidR="006A1B35" w:rsidRPr="0014270C">
        <w:rPr>
          <w:rFonts w:ascii="Bookman Old Style" w:hAnsi="Bookman Old Style"/>
          <w:sz w:val="24"/>
          <w:szCs w:val="24"/>
        </w:rPr>
        <w:t xml:space="preserve"> of daily life and critical factor</w:t>
      </w:r>
      <w:r w:rsidRPr="0014270C">
        <w:rPr>
          <w:rFonts w:ascii="Bookman Old Style" w:hAnsi="Bookman Old Style"/>
          <w:sz w:val="24"/>
          <w:szCs w:val="24"/>
        </w:rPr>
        <w:t>s</w:t>
      </w:r>
      <w:r w:rsidR="006A1B35" w:rsidRPr="0014270C">
        <w:rPr>
          <w:rFonts w:ascii="Bookman Old Style" w:hAnsi="Bookman Old Style"/>
          <w:sz w:val="24"/>
          <w:szCs w:val="24"/>
        </w:rPr>
        <w:t xml:space="preserve"> in recovery and reintegration into society after </w:t>
      </w:r>
      <w:r w:rsidR="002A6147" w:rsidRPr="0014270C">
        <w:rPr>
          <w:rFonts w:ascii="Bookman Old Style" w:hAnsi="Bookman Old Style"/>
          <w:noProof/>
          <w:sz w:val="24"/>
          <w:szCs w:val="24"/>
        </w:rPr>
        <w:t xml:space="preserve">a </w:t>
      </w:r>
      <w:r w:rsidR="006A1B35" w:rsidRPr="0014270C">
        <w:rPr>
          <w:rFonts w:ascii="Bookman Old Style" w:hAnsi="Bookman Old Style"/>
          <w:noProof/>
          <w:sz w:val="24"/>
          <w:szCs w:val="24"/>
        </w:rPr>
        <w:t>disaster</w:t>
      </w:r>
      <w:r w:rsidR="002A6147" w:rsidRPr="0014270C">
        <w:rPr>
          <w:rFonts w:ascii="Bookman Old Style" w:hAnsi="Bookman Old Style"/>
          <w:noProof/>
          <w:sz w:val="24"/>
          <w:szCs w:val="24"/>
        </w:rPr>
        <w:t>.</w:t>
      </w:r>
      <w:r w:rsidR="006A1B35" w:rsidRPr="0014270C">
        <w:rPr>
          <w:rFonts w:ascii="Bookman Old Style" w:hAnsi="Bookman Old Style"/>
          <w:sz w:val="24"/>
          <w:szCs w:val="24"/>
        </w:rPr>
        <w:t xml:space="preserve"> This study evaluates CO</w:t>
      </w:r>
      <w:r w:rsidR="006A1B35" w:rsidRPr="0014270C">
        <w:rPr>
          <w:rFonts w:ascii="Bookman Old Style" w:hAnsi="Bookman Old Style"/>
          <w:sz w:val="24"/>
          <w:szCs w:val="24"/>
          <w:vertAlign w:val="subscript"/>
        </w:rPr>
        <w:t>2</w:t>
      </w:r>
      <w:r w:rsidR="006A1B35" w:rsidRPr="0014270C">
        <w:rPr>
          <w:rFonts w:ascii="Bookman Old Style" w:hAnsi="Bookman Old Style"/>
          <w:sz w:val="24"/>
          <w:szCs w:val="24"/>
        </w:rPr>
        <w:t xml:space="preserve"> output from trailers and considers cleaner, more accessible avenues for providing a much-needed supply of power for those living in relief housing.</w:t>
      </w:r>
      <w:r w:rsidR="006270F6" w:rsidRPr="0014270C">
        <w:rPr>
          <w:rFonts w:ascii="Bookman Old Style" w:hAnsi="Bookman Old Style"/>
          <w:sz w:val="24"/>
          <w:szCs w:val="24"/>
        </w:rPr>
        <w:t xml:space="preserve"> Water collection and reuse</w:t>
      </w:r>
      <w:r w:rsidR="00A70C22" w:rsidRPr="0014270C">
        <w:rPr>
          <w:rFonts w:ascii="Bookman Old Style" w:hAnsi="Bookman Old Style"/>
          <w:sz w:val="24"/>
          <w:szCs w:val="24"/>
        </w:rPr>
        <w:t xml:space="preserve"> options</w:t>
      </w:r>
      <w:r w:rsidR="006270F6" w:rsidRPr="0014270C">
        <w:rPr>
          <w:rFonts w:ascii="Bookman Old Style" w:hAnsi="Bookman Old Style"/>
          <w:sz w:val="24"/>
          <w:szCs w:val="24"/>
        </w:rPr>
        <w:t xml:space="preserve"> </w:t>
      </w:r>
      <w:proofErr w:type="gramStart"/>
      <w:r w:rsidR="002A6147" w:rsidRPr="0014270C">
        <w:rPr>
          <w:rFonts w:ascii="Bookman Old Style" w:hAnsi="Bookman Old Style"/>
          <w:noProof/>
          <w:sz w:val="24"/>
          <w:szCs w:val="24"/>
        </w:rPr>
        <w:t>are</w:t>
      </w:r>
      <w:r w:rsidR="006270F6" w:rsidRPr="0014270C">
        <w:rPr>
          <w:rFonts w:ascii="Bookman Old Style" w:hAnsi="Bookman Old Style"/>
          <w:sz w:val="24"/>
          <w:szCs w:val="24"/>
        </w:rPr>
        <w:t xml:space="preserve"> also evaluated</w:t>
      </w:r>
      <w:proofErr w:type="gramEnd"/>
      <w:r w:rsidR="006270F6" w:rsidRPr="0014270C">
        <w:rPr>
          <w:rFonts w:ascii="Bookman Old Style" w:hAnsi="Bookman Old Style"/>
          <w:sz w:val="24"/>
          <w:szCs w:val="24"/>
        </w:rPr>
        <w:t xml:space="preserve"> to avoid delays in utility hookups and </w:t>
      </w:r>
      <w:r w:rsidR="00BC432F" w:rsidRPr="0014270C">
        <w:rPr>
          <w:rFonts w:ascii="Bookman Old Style" w:hAnsi="Bookman Old Style"/>
          <w:sz w:val="24"/>
          <w:szCs w:val="24"/>
        </w:rPr>
        <w:t xml:space="preserve">restricted placement of units. </w:t>
      </w:r>
      <w:r w:rsidR="006A1B35" w:rsidRPr="0014270C">
        <w:rPr>
          <w:rFonts w:ascii="Bookman Old Style" w:hAnsi="Bookman Old Style"/>
          <w:sz w:val="24"/>
          <w:szCs w:val="24"/>
        </w:rPr>
        <w:t xml:space="preserve">Additionally, the total expense of </w:t>
      </w:r>
      <w:r w:rsidR="006A1B35" w:rsidRPr="0014270C">
        <w:rPr>
          <w:rFonts w:ascii="Bookman Old Style" w:hAnsi="Bookman Old Style"/>
          <w:sz w:val="24"/>
          <w:szCs w:val="24"/>
        </w:rPr>
        <w:lastRenderedPageBreak/>
        <w:t xml:space="preserve">the disaster relief housing decisions made by FEMA </w:t>
      </w:r>
      <w:proofErr w:type="gramStart"/>
      <w:r w:rsidR="0018213A" w:rsidRPr="0014270C">
        <w:rPr>
          <w:rFonts w:ascii="Bookman Old Style" w:hAnsi="Bookman Old Style"/>
          <w:noProof/>
          <w:sz w:val="24"/>
          <w:szCs w:val="24"/>
        </w:rPr>
        <w:t>is</w:t>
      </w:r>
      <w:r w:rsidR="006A1B35" w:rsidRPr="0014270C">
        <w:rPr>
          <w:rFonts w:ascii="Bookman Old Style" w:hAnsi="Bookman Old Style"/>
          <w:sz w:val="24"/>
          <w:szCs w:val="24"/>
        </w:rPr>
        <w:t xml:space="preserve"> </w:t>
      </w:r>
      <w:r w:rsidR="00AE56ED" w:rsidRPr="0014270C">
        <w:rPr>
          <w:rFonts w:ascii="Bookman Old Style" w:hAnsi="Bookman Old Style"/>
          <w:sz w:val="24"/>
          <w:szCs w:val="24"/>
        </w:rPr>
        <w:t>approximated</w:t>
      </w:r>
      <w:proofErr w:type="gramEnd"/>
      <w:r w:rsidR="006A1B35" w:rsidRPr="0014270C">
        <w:rPr>
          <w:rFonts w:ascii="Bookman Old Style" w:hAnsi="Bookman Old Style"/>
          <w:sz w:val="24"/>
          <w:szCs w:val="24"/>
        </w:rPr>
        <w:t xml:space="preserve"> and shown alongside an estimated cost for </w:t>
      </w:r>
      <w:r w:rsidR="00683E66" w:rsidRPr="0014270C">
        <w:rPr>
          <w:rFonts w:ascii="Bookman Old Style" w:hAnsi="Bookman Old Style"/>
          <w:sz w:val="24"/>
          <w:szCs w:val="24"/>
        </w:rPr>
        <w:t xml:space="preserve">using off-grid tiny houses </w:t>
      </w:r>
      <w:r w:rsidR="006A1B35" w:rsidRPr="0014270C">
        <w:rPr>
          <w:rFonts w:ascii="Bookman Old Style" w:hAnsi="Bookman Old Style"/>
          <w:sz w:val="24"/>
          <w:szCs w:val="24"/>
        </w:rPr>
        <w:t xml:space="preserve">for storm victims. </w:t>
      </w:r>
      <w:r w:rsidR="00DF3DBB" w:rsidRPr="0014270C">
        <w:rPr>
          <w:rFonts w:ascii="Bookman Old Style" w:hAnsi="Bookman Old Style"/>
          <w:sz w:val="24"/>
          <w:szCs w:val="24"/>
        </w:rPr>
        <w:t xml:space="preserve">Criteria provided by the World Health Organization for acceptable levels of formaldehyde exposure </w:t>
      </w:r>
      <w:proofErr w:type="gramStart"/>
      <w:r w:rsidR="00DF3DBB" w:rsidRPr="0014270C">
        <w:rPr>
          <w:rFonts w:ascii="Bookman Old Style" w:hAnsi="Bookman Old Style"/>
          <w:sz w:val="24"/>
          <w:szCs w:val="24"/>
        </w:rPr>
        <w:t>is compared</w:t>
      </w:r>
      <w:proofErr w:type="gramEnd"/>
      <w:r w:rsidR="00DF3DBB" w:rsidRPr="0014270C">
        <w:rPr>
          <w:rFonts w:ascii="Bookman Old Style" w:hAnsi="Bookman Old Style"/>
          <w:sz w:val="24"/>
          <w:szCs w:val="24"/>
        </w:rPr>
        <w:t xml:space="preserve"> to amounts found in FEMA trailers, allowing an understanding of one of the major health concerns raised by victims of Hurricane Katrina. Understanding how </w:t>
      </w:r>
      <w:r w:rsidR="00DF3DBB" w:rsidRPr="0014270C">
        <w:rPr>
          <w:rFonts w:ascii="Bookman Old Style" w:hAnsi="Bookman Old Style"/>
          <w:noProof/>
          <w:sz w:val="24"/>
          <w:szCs w:val="24"/>
        </w:rPr>
        <w:t>living</w:t>
      </w:r>
      <w:r w:rsidR="00DF3DBB" w:rsidRPr="0014270C">
        <w:rPr>
          <w:rFonts w:ascii="Bookman Old Style" w:hAnsi="Bookman Old Style"/>
          <w:sz w:val="24"/>
          <w:szCs w:val="24"/>
        </w:rPr>
        <w:t xml:space="preserve"> environment affects mental health is another important aspect of recovery and </w:t>
      </w:r>
      <w:proofErr w:type="gramStart"/>
      <w:r w:rsidR="00DF3DBB" w:rsidRPr="0014270C">
        <w:rPr>
          <w:rFonts w:ascii="Bookman Old Style" w:hAnsi="Bookman Old Style"/>
          <w:sz w:val="24"/>
          <w:szCs w:val="24"/>
        </w:rPr>
        <w:t>is considered</w:t>
      </w:r>
      <w:proofErr w:type="gramEnd"/>
      <w:r w:rsidR="00DF3DBB" w:rsidRPr="0014270C">
        <w:rPr>
          <w:rFonts w:ascii="Bookman Old Style" w:hAnsi="Bookman Old Style"/>
          <w:sz w:val="24"/>
          <w:szCs w:val="24"/>
        </w:rPr>
        <w:t xml:space="preserve"> as an area of concern that needs to be addressed. </w:t>
      </w:r>
      <w:r w:rsidR="00C30BDB" w:rsidRPr="0014270C">
        <w:rPr>
          <w:rFonts w:ascii="Bookman Old Style" w:hAnsi="Bookman Old Style"/>
          <w:sz w:val="24"/>
          <w:szCs w:val="24"/>
        </w:rPr>
        <w:t xml:space="preserve">A comparative analysis </w:t>
      </w:r>
      <w:proofErr w:type="gramStart"/>
      <w:r w:rsidR="00C30BDB" w:rsidRPr="0014270C">
        <w:rPr>
          <w:rFonts w:ascii="Bookman Old Style" w:hAnsi="Bookman Old Style"/>
          <w:sz w:val="24"/>
          <w:szCs w:val="24"/>
        </w:rPr>
        <w:t>is performed</w:t>
      </w:r>
      <w:proofErr w:type="gramEnd"/>
      <w:r w:rsidR="00C30BDB" w:rsidRPr="0014270C">
        <w:rPr>
          <w:rFonts w:ascii="Bookman Old Style" w:hAnsi="Bookman Old Style"/>
          <w:sz w:val="24"/>
          <w:szCs w:val="24"/>
        </w:rPr>
        <w:t xml:space="preserve"> to determine the impact of the trailers used by FEMA against tiny house alternatives. </w:t>
      </w:r>
      <w:r w:rsidR="00961737" w:rsidRPr="0014270C">
        <w:rPr>
          <w:rFonts w:ascii="Bookman Old Style" w:hAnsi="Bookman Old Style"/>
          <w:sz w:val="24"/>
          <w:szCs w:val="24"/>
        </w:rPr>
        <w:t xml:space="preserve">The main areas of focus are </w:t>
      </w:r>
      <w:r w:rsidR="00887C35" w:rsidRPr="0014270C">
        <w:rPr>
          <w:rFonts w:ascii="Bookman Old Style" w:hAnsi="Bookman Old Style"/>
          <w:sz w:val="24"/>
          <w:szCs w:val="24"/>
        </w:rPr>
        <w:t xml:space="preserve">the expense in US dollars, </w:t>
      </w:r>
      <w:r w:rsidR="00961737" w:rsidRPr="0014270C">
        <w:rPr>
          <w:rFonts w:ascii="Bookman Old Style" w:hAnsi="Bookman Old Style"/>
          <w:sz w:val="24"/>
          <w:szCs w:val="24"/>
        </w:rPr>
        <w:t>the impact to the environment in the form of CO</w:t>
      </w:r>
      <w:r w:rsidR="00961737" w:rsidRPr="0014270C">
        <w:rPr>
          <w:rFonts w:ascii="Bookman Old Style" w:hAnsi="Bookman Old Style"/>
          <w:sz w:val="24"/>
          <w:szCs w:val="24"/>
          <w:vertAlign w:val="subscript"/>
        </w:rPr>
        <w:t xml:space="preserve">2 </w:t>
      </w:r>
      <w:r w:rsidR="00961737" w:rsidRPr="0014270C">
        <w:rPr>
          <w:rFonts w:ascii="Bookman Old Style" w:hAnsi="Bookman Old Style"/>
          <w:sz w:val="24"/>
          <w:szCs w:val="24"/>
        </w:rPr>
        <w:t xml:space="preserve">emissions from energy usage, and </w:t>
      </w:r>
      <w:r w:rsidR="00DE1E6B" w:rsidRPr="0014270C">
        <w:rPr>
          <w:rFonts w:ascii="Bookman Old Style" w:hAnsi="Bookman Old Style"/>
          <w:sz w:val="24"/>
          <w:szCs w:val="24"/>
        </w:rPr>
        <w:t>the physical and mental health of storm victims</w:t>
      </w:r>
      <w:r w:rsidR="00C30BDB" w:rsidRPr="0014270C">
        <w:rPr>
          <w:rFonts w:ascii="Bookman Old Style" w:hAnsi="Bookman Old Style"/>
          <w:sz w:val="24"/>
          <w:szCs w:val="24"/>
        </w:rPr>
        <w:t xml:space="preserve"> regarding relief housing and recovery</w:t>
      </w:r>
      <w:r w:rsidR="00961737" w:rsidRPr="0014270C">
        <w:rPr>
          <w:rFonts w:ascii="Bookman Old Style" w:hAnsi="Bookman Old Style"/>
          <w:sz w:val="24"/>
          <w:szCs w:val="24"/>
        </w:rPr>
        <w:t xml:space="preserve">. </w:t>
      </w:r>
      <w:r w:rsidR="00DF3DBB" w:rsidRPr="0014270C">
        <w:rPr>
          <w:rFonts w:ascii="Bookman Old Style" w:hAnsi="Bookman Old Style"/>
          <w:sz w:val="24"/>
          <w:szCs w:val="24"/>
        </w:rPr>
        <w:t xml:space="preserve">After establishing an understanding of what areas of post-disaster housing were successful and what needs improvement, concepts </w:t>
      </w:r>
      <w:proofErr w:type="gramStart"/>
      <w:r w:rsidR="00DF3DBB" w:rsidRPr="0014270C">
        <w:rPr>
          <w:rFonts w:ascii="Bookman Old Style" w:hAnsi="Bookman Old Style"/>
          <w:sz w:val="24"/>
          <w:szCs w:val="24"/>
        </w:rPr>
        <w:t>are presented</w:t>
      </w:r>
      <w:proofErr w:type="gramEnd"/>
      <w:r w:rsidR="00DF3DBB" w:rsidRPr="0014270C">
        <w:rPr>
          <w:rFonts w:ascii="Bookman Old Style" w:hAnsi="Bookman Old Style"/>
          <w:sz w:val="24"/>
          <w:szCs w:val="24"/>
        </w:rPr>
        <w:t xml:space="preserve"> as a solution to areas of concern.</w:t>
      </w:r>
    </w:p>
    <w:p w14:paraId="3475828D" w14:textId="4D94289C" w:rsidR="0038261B" w:rsidRPr="0014270C" w:rsidRDefault="00CA2A9B" w:rsidP="00FF571A">
      <w:pPr>
        <w:spacing w:line="480" w:lineRule="auto"/>
        <w:ind w:firstLine="720"/>
        <w:rPr>
          <w:rFonts w:ascii="Bookman Old Style" w:hAnsi="Bookman Old Style"/>
          <w:b/>
          <w:sz w:val="24"/>
          <w:szCs w:val="24"/>
        </w:rPr>
      </w:pPr>
      <w:r w:rsidRPr="0014270C">
        <w:rPr>
          <w:rFonts w:ascii="Bookman Old Style" w:hAnsi="Bookman Old Style"/>
          <w:sz w:val="24"/>
          <w:szCs w:val="24"/>
        </w:rPr>
        <w:t>Evaluating</w:t>
      </w:r>
      <w:r w:rsidR="00D77780" w:rsidRPr="0014270C">
        <w:rPr>
          <w:rFonts w:ascii="Bookman Old Style" w:hAnsi="Bookman Old Style"/>
          <w:sz w:val="24"/>
          <w:szCs w:val="24"/>
        </w:rPr>
        <w:t xml:space="preserve"> the progress made throughout FEMA’s history of handling post-disaster recovery and performing the cost comparisons to the proposed alternative, this research discuss</w:t>
      </w:r>
      <w:r w:rsidR="007E0AE2" w:rsidRPr="0014270C">
        <w:rPr>
          <w:rFonts w:ascii="Bookman Old Style" w:hAnsi="Bookman Old Style"/>
          <w:sz w:val="24"/>
          <w:szCs w:val="24"/>
        </w:rPr>
        <w:t>es</w:t>
      </w:r>
      <w:r w:rsidR="00D77780" w:rsidRPr="0014270C">
        <w:rPr>
          <w:rFonts w:ascii="Bookman Old Style" w:hAnsi="Bookman Old Style"/>
          <w:sz w:val="24"/>
          <w:szCs w:val="24"/>
        </w:rPr>
        <w:t xml:space="preserve"> the </w:t>
      </w:r>
      <w:r w:rsidR="00115C08" w:rsidRPr="0014270C">
        <w:rPr>
          <w:rFonts w:ascii="Bookman Old Style" w:hAnsi="Bookman Old Style"/>
          <w:sz w:val="24"/>
          <w:szCs w:val="24"/>
        </w:rPr>
        <w:t xml:space="preserve">lessons yet to </w:t>
      </w:r>
      <w:proofErr w:type="gramStart"/>
      <w:r w:rsidR="00115C08" w:rsidRPr="0014270C">
        <w:rPr>
          <w:rFonts w:ascii="Bookman Old Style" w:hAnsi="Bookman Old Style"/>
          <w:sz w:val="24"/>
          <w:szCs w:val="24"/>
        </w:rPr>
        <w:t>be learned</w:t>
      </w:r>
      <w:proofErr w:type="gramEnd"/>
      <w:r w:rsidR="00D77780" w:rsidRPr="0014270C">
        <w:rPr>
          <w:rFonts w:ascii="Bookman Old Style" w:hAnsi="Bookman Old Style"/>
          <w:sz w:val="24"/>
          <w:szCs w:val="24"/>
        </w:rPr>
        <w:t xml:space="preserve">. The report written by the World Commission on Environment and Development in 1987, titled </w:t>
      </w:r>
      <w:r w:rsidR="00513C7B" w:rsidRPr="0014270C">
        <w:rPr>
          <w:rFonts w:ascii="Bookman Old Style" w:hAnsi="Bookman Old Style"/>
          <w:sz w:val="24"/>
          <w:szCs w:val="24"/>
        </w:rPr>
        <w:t>“</w:t>
      </w:r>
      <w:r w:rsidR="00D77780" w:rsidRPr="0014270C">
        <w:rPr>
          <w:rFonts w:ascii="Bookman Old Style" w:hAnsi="Bookman Old Style"/>
          <w:sz w:val="24"/>
          <w:szCs w:val="24"/>
        </w:rPr>
        <w:t>Our Common Future,</w:t>
      </w:r>
      <w:r w:rsidR="00513C7B" w:rsidRPr="0014270C">
        <w:rPr>
          <w:rFonts w:ascii="Bookman Old Style" w:hAnsi="Bookman Old Style"/>
          <w:sz w:val="24"/>
          <w:szCs w:val="24"/>
        </w:rPr>
        <w:t>”</w:t>
      </w:r>
      <w:r w:rsidR="004F3AC7" w:rsidRPr="0014270C">
        <w:rPr>
          <w:rStyle w:val="FootnoteReference"/>
          <w:rFonts w:ascii="Bookman Old Style" w:hAnsi="Bookman Old Style"/>
          <w:sz w:val="24"/>
          <w:szCs w:val="24"/>
        </w:rPr>
        <w:footnoteReference w:id="54"/>
      </w:r>
      <w:r w:rsidR="004F3AC7" w:rsidRPr="0014270C">
        <w:rPr>
          <w:rFonts w:ascii="Bookman Old Style" w:hAnsi="Bookman Old Style"/>
          <w:sz w:val="24"/>
          <w:szCs w:val="24"/>
        </w:rPr>
        <w:t xml:space="preserve"> </w:t>
      </w:r>
      <w:r w:rsidR="00D77780" w:rsidRPr="0014270C">
        <w:rPr>
          <w:rFonts w:ascii="Bookman Old Style" w:hAnsi="Bookman Old Style"/>
          <w:sz w:val="24"/>
          <w:szCs w:val="24"/>
        </w:rPr>
        <w:t xml:space="preserve">defined sustainable development as “development that meets the needs of the present without compromising the </w:t>
      </w:r>
      <w:r w:rsidR="00D77780" w:rsidRPr="0014270C">
        <w:rPr>
          <w:rFonts w:ascii="Bookman Old Style" w:hAnsi="Bookman Old Style"/>
          <w:sz w:val="24"/>
          <w:szCs w:val="24"/>
        </w:rPr>
        <w:lastRenderedPageBreak/>
        <w:t xml:space="preserve">ability of future generations to meet their own needs.” It is important to consider the future consequences of actions </w:t>
      </w:r>
      <w:r w:rsidR="00584D38" w:rsidRPr="0014270C">
        <w:rPr>
          <w:rFonts w:ascii="Bookman Old Style" w:hAnsi="Bookman Old Style"/>
          <w:sz w:val="24"/>
          <w:szCs w:val="24"/>
        </w:rPr>
        <w:t>applied</w:t>
      </w:r>
      <w:r w:rsidR="00D77780" w:rsidRPr="0014270C">
        <w:rPr>
          <w:rFonts w:ascii="Bookman Old Style" w:hAnsi="Bookman Old Style"/>
          <w:sz w:val="24"/>
          <w:szCs w:val="24"/>
        </w:rPr>
        <w:t xml:space="preserve"> in times of need, </w:t>
      </w:r>
      <w:r w:rsidR="00BA0AF5" w:rsidRPr="0014270C">
        <w:rPr>
          <w:rFonts w:ascii="Bookman Old Style" w:hAnsi="Bookman Old Style"/>
          <w:sz w:val="24"/>
          <w:szCs w:val="24"/>
        </w:rPr>
        <w:t>b</w:t>
      </w:r>
      <w:r w:rsidR="00D77780" w:rsidRPr="0014270C">
        <w:rPr>
          <w:rFonts w:ascii="Bookman Old Style" w:hAnsi="Bookman Old Style"/>
          <w:sz w:val="24"/>
          <w:szCs w:val="24"/>
        </w:rPr>
        <w:t xml:space="preserve">eing that if care </w:t>
      </w:r>
      <w:proofErr w:type="gramStart"/>
      <w:r w:rsidR="00D77780" w:rsidRPr="0014270C">
        <w:rPr>
          <w:rFonts w:ascii="Bookman Old Style" w:hAnsi="Bookman Old Style"/>
          <w:sz w:val="24"/>
          <w:szCs w:val="24"/>
        </w:rPr>
        <w:t>is</w:t>
      </w:r>
      <w:r w:rsidR="002C36AF" w:rsidRPr="0014270C">
        <w:rPr>
          <w:rFonts w:ascii="Bookman Old Style" w:hAnsi="Bookman Old Style"/>
          <w:sz w:val="24"/>
          <w:szCs w:val="24"/>
        </w:rPr>
        <w:t xml:space="preserve"> no</w:t>
      </w:r>
      <w:r w:rsidR="00D77780" w:rsidRPr="0014270C">
        <w:rPr>
          <w:rFonts w:ascii="Bookman Old Style" w:hAnsi="Bookman Old Style"/>
          <w:sz w:val="24"/>
          <w:szCs w:val="24"/>
        </w:rPr>
        <w:t>t taken</w:t>
      </w:r>
      <w:proofErr w:type="gramEnd"/>
      <w:r w:rsidR="00D77780" w:rsidRPr="0014270C">
        <w:rPr>
          <w:rFonts w:ascii="Bookman Old Style" w:hAnsi="Bookman Old Style"/>
          <w:sz w:val="24"/>
          <w:szCs w:val="24"/>
        </w:rPr>
        <w:t xml:space="preserve"> to examine the implications of the decisions made today, further, more devastating problems could present themselves in time.</w:t>
      </w:r>
      <w:r w:rsidR="0038261B" w:rsidRPr="0014270C">
        <w:rPr>
          <w:rFonts w:ascii="Bookman Old Style" w:hAnsi="Bookman Old Style"/>
          <w:b/>
          <w:sz w:val="24"/>
          <w:szCs w:val="24"/>
        </w:rPr>
        <w:br w:type="page"/>
      </w:r>
    </w:p>
    <w:p w14:paraId="03AA7362" w14:textId="637A2C0D" w:rsidR="00170D13" w:rsidRPr="0014270C" w:rsidRDefault="006979BE" w:rsidP="001F4ED5">
      <w:pPr>
        <w:pStyle w:val="THESISLVL1"/>
      </w:pPr>
      <w:bookmarkStart w:id="21" w:name="_Toc8062259"/>
      <w:r w:rsidRPr="0014270C">
        <w:lastRenderedPageBreak/>
        <w:t>C</w:t>
      </w:r>
      <w:r w:rsidR="00025201" w:rsidRPr="0014270C">
        <w:t>HAPTER</w:t>
      </w:r>
      <w:r w:rsidRPr="0014270C">
        <w:t xml:space="preserve"> 2: L</w:t>
      </w:r>
      <w:r w:rsidR="00025201" w:rsidRPr="0014270C">
        <w:t>ITERATURE</w:t>
      </w:r>
      <w:r w:rsidRPr="0014270C">
        <w:t xml:space="preserve"> R</w:t>
      </w:r>
      <w:r w:rsidR="00025201" w:rsidRPr="0014270C">
        <w:t>EVIEW</w:t>
      </w:r>
      <w:bookmarkEnd w:id="21"/>
    </w:p>
    <w:p w14:paraId="75611655" w14:textId="46BB2DFB" w:rsidR="00C2635B" w:rsidRPr="0014270C" w:rsidRDefault="003C746F" w:rsidP="00B93546">
      <w:pPr>
        <w:pStyle w:val="THESISLVL2"/>
      </w:pPr>
      <w:bookmarkStart w:id="22" w:name="_Toc8062260"/>
      <w:r w:rsidRPr="0014270C">
        <w:t xml:space="preserve">2.1 </w:t>
      </w:r>
      <w:r w:rsidR="00C2635B" w:rsidRPr="0014270C">
        <w:t>Tiny Housing</w:t>
      </w:r>
      <w:bookmarkEnd w:id="22"/>
    </w:p>
    <w:p w14:paraId="5DC22E8A" w14:textId="0B48BB5A" w:rsidR="00927182" w:rsidRPr="0014270C" w:rsidRDefault="003E17EC" w:rsidP="00B93546">
      <w:pPr>
        <w:pStyle w:val="THESISLVL3"/>
      </w:pPr>
      <w:bookmarkStart w:id="23" w:name="_Toc8062261"/>
      <w:r w:rsidRPr="0014270C">
        <w:t xml:space="preserve">Living </w:t>
      </w:r>
      <w:r w:rsidR="00927182" w:rsidRPr="0014270C">
        <w:t>D</w:t>
      </w:r>
      <w:r w:rsidR="006A1C60" w:rsidRPr="0014270C">
        <w:t>eliberately</w:t>
      </w:r>
      <w:bookmarkEnd w:id="23"/>
      <w:r w:rsidR="000B4200" w:rsidRPr="0014270C">
        <w:t xml:space="preserve"> </w:t>
      </w:r>
    </w:p>
    <w:p w14:paraId="76A8E587" w14:textId="08EB323E" w:rsidR="000B4200" w:rsidRPr="0014270C" w:rsidRDefault="0022757F" w:rsidP="006D40C8">
      <w:pPr>
        <w:spacing w:line="480" w:lineRule="auto"/>
        <w:ind w:firstLine="720"/>
        <w:rPr>
          <w:rFonts w:ascii="Bookman Old Style" w:hAnsi="Bookman Old Style"/>
          <w:b/>
          <w:sz w:val="24"/>
          <w:szCs w:val="24"/>
        </w:rPr>
      </w:pPr>
      <w:r w:rsidRPr="0014270C">
        <w:rPr>
          <w:rFonts w:ascii="Bookman Old Style" w:hAnsi="Bookman Old Style"/>
          <w:sz w:val="24"/>
          <w:szCs w:val="24"/>
        </w:rPr>
        <w:t xml:space="preserve">Throughout history, tiny homes have been used as </w:t>
      </w:r>
      <w:r w:rsidRPr="0014270C">
        <w:rPr>
          <w:rFonts w:ascii="Bookman Old Style" w:hAnsi="Bookman Old Style"/>
          <w:noProof/>
          <w:sz w:val="24"/>
          <w:szCs w:val="24"/>
        </w:rPr>
        <w:t>shelter</w:t>
      </w:r>
      <w:r w:rsidRPr="0014270C">
        <w:rPr>
          <w:rFonts w:ascii="Bookman Old Style" w:hAnsi="Bookman Old Style"/>
          <w:sz w:val="24"/>
          <w:szCs w:val="24"/>
        </w:rPr>
        <w:t xml:space="preserve"> for many cultures, called by different names such as pueblos, yurts, tipis, </w:t>
      </w:r>
      <w:proofErr w:type="spellStart"/>
      <w:r w:rsidRPr="0014270C">
        <w:rPr>
          <w:rFonts w:ascii="Bookman Old Style" w:hAnsi="Bookman Old Style"/>
          <w:sz w:val="24"/>
          <w:szCs w:val="24"/>
        </w:rPr>
        <w:t>hogans</w:t>
      </w:r>
      <w:proofErr w:type="spellEnd"/>
      <w:r w:rsidRPr="0014270C">
        <w:rPr>
          <w:rFonts w:ascii="Bookman Old Style" w:hAnsi="Bookman Old Style"/>
          <w:sz w:val="24"/>
          <w:szCs w:val="24"/>
        </w:rPr>
        <w:t>, igloos, and earthen houses – all were designed for the climate in which they were used.</w:t>
      </w:r>
      <w:r w:rsidR="00961485" w:rsidRPr="0014270C">
        <w:rPr>
          <w:rStyle w:val="FootnoteReference"/>
          <w:rFonts w:ascii="Bookman Old Style" w:hAnsi="Bookman Old Style"/>
          <w:sz w:val="24"/>
          <w:szCs w:val="24"/>
        </w:rPr>
        <w:footnoteReference w:id="55"/>
      </w:r>
      <w:r w:rsidR="00961485" w:rsidRPr="0014270C">
        <w:rPr>
          <w:rFonts w:ascii="Bookman Old Style" w:hAnsi="Bookman Old Style"/>
          <w:sz w:val="24"/>
          <w:szCs w:val="24"/>
        </w:rPr>
        <w:t xml:space="preserve"> </w:t>
      </w:r>
      <w:r w:rsidRPr="0014270C">
        <w:rPr>
          <w:rFonts w:ascii="Bookman Old Style" w:hAnsi="Bookman Old Style"/>
          <w:sz w:val="24"/>
          <w:szCs w:val="24"/>
        </w:rPr>
        <w:t xml:space="preserve">These ancient houses worked well for the people who </w:t>
      </w:r>
      <w:r w:rsidR="003202A7" w:rsidRPr="0014270C">
        <w:rPr>
          <w:rFonts w:ascii="Bookman Old Style" w:hAnsi="Bookman Old Style"/>
          <w:sz w:val="24"/>
          <w:szCs w:val="24"/>
        </w:rPr>
        <w:t>lived in</w:t>
      </w:r>
      <w:r w:rsidRPr="0014270C">
        <w:rPr>
          <w:rFonts w:ascii="Bookman Old Style" w:hAnsi="Bookman Old Style"/>
          <w:sz w:val="24"/>
          <w:szCs w:val="24"/>
        </w:rPr>
        <w:t xml:space="preserve"> them: </w:t>
      </w:r>
      <w:r w:rsidR="00961485" w:rsidRPr="0014270C">
        <w:rPr>
          <w:rFonts w:ascii="Bookman Old Style" w:hAnsi="Bookman Old Style"/>
          <w:sz w:val="24"/>
          <w:szCs w:val="24"/>
        </w:rPr>
        <w:t>some were</w:t>
      </w:r>
      <w:r w:rsidRPr="0014270C">
        <w:rPr>
          <w:rFonts w:ascii="Bookman Old Style" w:hAnsi="Bookman Old Style"/>
          <w:sz w:val="24"/>
          <w:szCs w:val="24"/>
        </w:rPr>
        <w:t xml:space="preserve"> easy to put up and take down</w:t>
      </w:r>
      <w:r w:rsidR="00961485" w:rsidRPr="0014270C">
        <w:rPr>
          <w:rFonts w:ascii="Bookman Old Style" w:hAnsi="Bookman Old Style"/>
          <w:sz w:val="24"/>
          <w:szCs w:val="24"/>
        </w:rPr>
        <w:t xml:space="preserve"> while others were more permanent</w:t>
      </w:r>
      <w:r w:rsidRPr="0014270C">
        <w:rPr>
          <w:rFonts w:ascii="Bookman Old Style" w:hAnsi="Bookman Old Style"/>
          <w:sz w:val="24"/>
          <w:szCs w:val="24"/>
        </w:rPr>
        <w:t xml:space="preserve">, </w:t>
      </w:r>
      <w:r w:rsidR="00961485" w:rsidRPr="0014270C">
        <w:rPr>
          <w:rFonts w:ascii="Bookman Old Style" w:hAnsi="Bookman Old Style"/>
          <w:sz w:val="24"/>
          <w:szCs w:val="24"/>
        </w:rPr>
        <w:t xml:space="preserve">they were all </w:t>
      </w:r>
      <w:r w:rsidRPr="0014270C">
        <w:rPr>
          <w:rFonts w:ascii="Bookman Old Style" w:hAnsi="Bookman Old Style"/>
          <w:sz w:val="24"/>
          <w:szCs w:val="24"/>
        </w:rPr>
        <w:t xml:space="preserve">made with </w:t>
      </w:r>
      <w:r w:rsidR="00573517" w:rsidRPr="0014270C">
        <w:rPr>
          <w:rFonts w:ascii="Bookman Old Style" w:hAnsi="Bookman Old Style"/>
          <w:sz w:val="24"/>
          <w:szCs w:val="24"/>
        </w:rPr>
        <w:t>locally sourced</w:t>
      </w:r>
      <w:r w:rsidR="00D22D49" w:rsidRPr="0014270C">
        <w:rPr>
          <w:rFonts w:ascii="Bookman Old Style" w:hAnsi="Bookman Old Style"/>
          <w:sz w:val="24"/>
          <w:szCs w:val="24"/>
        </w:rPr>
        <w:t xml:space="preserve"> and</w:t>
      </w:r>
      <w:r w:rsidR="00573517" w:rsidRPr="0014270C">
        <w:rPr>
          <w:rFonts w:ascii="Bookman Old Style" w:hAnsi="Bookman Old Style"/>
          <w:sz w:val="24"/>
          <w:szCs w:val="24"/>
        </w:rPr>
        <w:t xml:space="preserve"> </w:t>
      </w:r>
      <w:r w:rsidRPr="0014270C">
        <w:rPr>
          <w:rFonts w:ascii="Bookman Old Style" w:hAnsi="Bookman Old Style"/>
          <w:sz w:val="24"/>
          <w:szCs w:val="24"/>
        </w:rPr>
        <w:t>natural materials, insulated and ventilated to support proper thermal regulation</w:t>
      </w:r>
      <w:r w:rsidR="00D85F9C" w:rsidRPr="0014270C">
        <w:rPr>
          <w:rFonts w:ascii="Bookman Old Style" w:hAnsi="Bookman Old Style"/>
          <w:sz w:val="24"/>
          <w:szCs w:val="24"/>
        </w:rPr>
        <w:t xml:space="preserve"> and air flow</w:t>
      </w:r>
      <w:r w:rsidRPr="0014270C">
        <w:rPr>
          <w:rFonts w:ascii="Bookman Old Style" w:hAnsi="Bookman Old Style"/>
          <w:sz w:val="24"/>
          <w:szCs w:val="24"/>
        </w:rPr>
        <w:t xml:space="preserve">, and they kept </w:t>
      </w:r>
      <w:r w:rsidRPr="0014270C">
        <w:rPr>
          <w:rFonts w:ascii="Bookman Old Style" w:hAnsi="Bookman Old Style"/>
          <w:noProof/>
          <w:sz w:val="24"/>
          <w:szCs w:val="24"/>
        </w:rPr>
        <w:t>community</w:t>
      </w:r>
      <w:r w:rsidRPr="0014270C">
        <w:rPr>
          <w:rFonts w:ascii="Bookman Old Style" w:hAnsi="Bookman Old Style"/>
          <w:sz w:val="24"/>
          <w:szCs w:val="24"/>
        </w:rPr>
        <w:t xml:space="preserve"> together.</w:t>
      </w:r>
      <w:r w:rsidR="009F473F" w:rsidRPr="0014270C">
        <w:rPr>
          <w:rStyle w:val="FootnoteReference"/>
          <w:rFonts w:ascii="Bookman Old Style" w:hAnsi="Bookman Old Style"/>
          <w:sz w:val="24"/>
          <w:szCs w:val="24"/>
        </w:rPr>
        <w:footnoteReference w:id="56"/>
      </w:r>
      <w:r w:rsidRPr="0014270C">
        <w:rPr>
          <w:rFonts w:ascii="Bookman Old Style" w:hAnsi="Bookman Old Style"/>
          <w:sz w:val="24"/>
          <w:szCs w:val="24"/>
        </w:rPr>
        <w:t xml:space="preserve"> As time progressed, the design and necessity of </w:t>
      </w:r>
      <w:r w:rsidR="004D075B" w:rsidRPr="0014270C">
        <w:rPr>
          <w:rFonts w:ascii="Bookman Old Style" w:hAnsi="Bookman Old Style"/>
          <w:sz w:val="24"/>
          <w:szCs w:val="24"/>
        </w:rPr>
        <w:t>these dwellings</w:t>
      </w:r>
      <w:r w:rsidRPr="0014270C">
        <w:rPr>
          <w:rFonts w:ascii="Bookman Old Style" w:hAnsi="Bookman Old Style"/>
          <w:sz w:val="24"/>
          <w:szCs w:val="24"/>
        </w:rPr>
        <w:t xml:space="preserve"> changed, though the main concept remained the same – to maintain a sustainable, comfortable home with little negative impact</w:t>
      </w:r>
      <w:r w:rsidR="0042205C" w:rsidRPr="0014270C">
        <w:rPr>
          <w:rFonts w:ascii="Bookman Old Style" w:hAnsi="Bookman Old Style"/>
          <w:sz w:val="24"/>
          <w:szCs w:val="24"/>
        </w:rPr>
        <w:t xml:space="preserve"> to the land on which </w:t>
      </w:r>
      <w:r w:rsidR="006E3219" w:rsidRPr="0014270C">
        <w:rPr>
          <w:rFonts w:ascii="Bookman Old Style" w:hAnsi="Bookman Old Style"/>
          <w:sz w:val="24"/>
          <w:szCs w:val="24"/>
        </w:rPr>
        <w:t>it</w:t>
      </w:r>
      <w:r w:rsidR="0042205C" w:rsidRPr="0014270C">
        <w:rPr>
          <w:rFonts w:ascii="Bookman Old Style" w:hAnsi="Bookman Old Style"/>
          <w:sz w:val="24"/>
          <w:szCs w:val="24"/>
        </w:rPr>
        <w:t xml:space="preserve"> w</w:t>
      </w:r>
      <w:r w:rsidR="006E3219" w:rsidRPr="0014270C">
        <w:rPr>
          <w:rFonts w:ascii="Bookman Old Style" w:hAnsi="Bookman Old Style"/>
          <w:sz w:val="24"/>
          <w:szCs w:val="24"/>
        </w:rPr>
        <w:t>as</w:t>
      </w:r>
      <w:r w:rsidR="0042205C" w:rsidRPr="0014270C">
        <w:rPr>
          <w:rFonts w:ascii="Bookman Old Style" w:hAnsi="Bookman Old Style"/>
          <w:sz w:val="24"/>
          <w:szCs w:val="24"/>
        </w:rPr>
        <w:t xml:space="preserve"> built</w:t>
      </w:r>
      <w:r w:rsidRPr="0014270C">
        <w:rPr>
          <w:rFonts w:ascii="Bookman Old Style" w:hAnsi="Bookman Old Style"/>
          <w:sz w:val="24"/>
          <w:szCs w:val="24"/>
        </w:rPr>
        <w:t>.</w:t>
      </w:r>
      <w:r w:rsidRPr="0014270C">
        <w:rPr>
          <w:rFonts w:ascii="Bookman Old Style" w:hAnsi="Bookman Old Style"/>
          <w:b/>
          <w:sz w:val="24"/>
          <w:szCs w:val="24"/>
        </w:rPr>
        <w:t xml:space="preserve"> </w:t>
      </w:r>
    </w:p>
    <w:p w14:paraId="222C9E32" w14:textId="16119E1B" w:rsidR="00BB6416" w:rsidRPr="0014270C" w:rsidRDefault="009757DB" w:rsidP="007F363D">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Henry David Thoreau </w:t>
      </w:r>
      <w:proofErr w:type="gramStart"/>
      <w:r w:rsidRPr="0014270C">
        <w:rPr>
          <w:rFonts w:ascii="Bookman Old Style" w:hAnsi="Bookman Old Style"/>
          <w:sz w:val="24"/>
          <w:szCs w:val="24"/>
        </w:rPr>
        <w:t>is often touted</w:t>
      </w:r>
      <w:proofErr w:type="gramEnd"/>
      <w:r w:rsidRPr="0014270C">
        <w:rPr>
          <w:rFonts w:ascii="Bookman Old Style" w:hAnsi="Bookman Old Style"/>
          <w:sz w:val="24"/>
          <w:szCs w:val="24"/>
        </w:rPr>
        <w:t xml:space="preserve"> as the </w:t>
      </w:r>
      <w:r w:rsidR="007F5614" w:rsidRPr="0014270C">
        <w:rPr>
          <w:rFonts w:ascii="Bookman Old Style" w:hAnsi="Bookman Old Style"/>
          <w:sz w:val="24"/>
          <w:szCs w:val="24"/>
        </w:rPr>
        <w:t xml:space="preserve">first advocate of what would become known today as the </w:t>
      </w:r>
      <w:r w:rsidR="00EE2EEA">
        <w:rPr>
          <w:rFonts w:ascii="Bookman Old Style" w:hAnsi="Bookman Old Style"/>
          <w:sz w:val="24"/>
          <w:szCs w:val="24"/>
        </w:rPr>
        <w:t>Tiny House Movement</w:t>
      </w:r>
      <w:r w:rsidR="007F5614" w:rsidRPr="0014270C">
        <w:rPr>
          <w:rFonts w:ascii="Bookman Old Style" w:hAnsi="Bookman Old Style"/>
          <w:sz w:val="24"/>
          <w:szCs w:val="24"/>
        </w:rPr>
        <w:t>.</w:t>
      </w:r>
      <w:r w:rsidR="00264693" w:rsidRPr="0014270C">
        <w:rPr>
          <w:rFonts w:ascii="Bookman Old Style" w:hAnsi="Bookman Old Style"/>
          <w:sz w:val="24"/>
          <w:szCs w:val="24"/>
        </w:rPr>
        <w:t xml:space="preserve"> His years at Walden </w:t>
      </w:r>
      <w:r w:rsidR="00BA3A13" w:rsidRPr="0014270C">
        <w:rPr>
          <w:rFonts w:ascii="Bookman Old Style" w:hAnsi="Bookman Old Style"/>
          <w:sz w:val="24"/>
          <w:szCs w:val="24"/>
        </w:rPr>
        <w:t>Pond</w:t>
      </w:r>
      <w:r w:rsidR="003A0B37" w:rsidRPr="0014270C">
        <w:rPr>
          <w:rFonts w:ascii="Bookman Old Style" w:hAnsi="Bookman Old Style"/>
          <w:sz w:val="24"/>
          <w:szCs w:val="24"/>
        </w:rPr>
        <w:t xml:space="preserve"> in 1854</w:t>
      </w:r>
      <w:r w:rsidR="00264693" w:rsidRPr="0014270C">
        <w:rPr>
          <w:rFonts w:ascii="Bookman Old Style" w:hAnsi="Bookman Old Style"/>
          <w:sz w:val="24"/>
          <w:szCs w:val="24"/>
        </w:rPr>
        <w:t xml:space="preserve"> opened his eyes to the </w:t>
      </w:r>
      <w:r w:rsidR="00FF3009" w:rsidRPr="0014270C">
        <w:rPr>
          <w:rFonts w:ascii="Bookman Old Style" w:hAnsi="Bookman Old Style"/>
          <w:sz w:val="24"/>
          <w:szCs w:val="24"/>
        </w:rPr>
        <w:t>concept of essentialism</w:t>
      </w:r>
      <w:r w:rsidR="00A07EA7" w:rsidRPr="0014270C">
        <w:rPr>
          <w:rFonts w:ascii="Bookman Old Style" w:hAnsi="Bookman Old Style"/>
          <w:sz w:val="24"/>
          <w:szCs w:val="24"/>
        </w:rPr>
        <w:t xml:space="preserve"> </w:t>
      </w:r>
      <w:r w:rsidR="009F4CA0" w:rsidRPr="0014270C">
        <w:rPr>
          <w:rFonts w:ascii="Bookman Old Style" w:hAnsi="Bookman Old Style"/>
          <w:sz w:val="24"/>
          <w:szCs w:val="24"/>
        </w:rPr>
        <w:t xml:space="preserve">and the effect of </w:t>
      </w:r>
      <w:proofErr w:type="gramStart"/>
      <w:r w:rsidR="009F4CA0" w:rsidRPr="0014270C">
        <w:rPr>
          <w:rFonts w:ascii="Bookman Old Style" w:hAnsi="Bookman Old Style"/>
          <w:sz w:val="24"/>
          <w:szCs w:val="24"/>
        </w:rPr>
        <w:t xml:space="preserve">being </w:t>
      </w:r>
      <w:r w:rsidR="00DC6B1F" w:rsidRPr="0014270C">
        <w:rPr>
          <w:rFonts w:ascii="Bookman Old Style" w:hAnsi="Bookman Old Style"/>
          <w:sz w:val="24"/>
          <w:szCs w:val="24"/>
        </w:rPr>
        <w:t>surrounded</w:t>
      </w:r>
      <w:proofErr w:type="gramEnd"/>
      <w:r w:rsidR="00DC6B1F" w:rsidRPr="0014270C">
        <w:rPr>
          <w:rFonts w:ascii="Bookman Old Style" w:hAnsi="Bookman Old Style"/>
          <w:sz w:val="24"/>
          <w:szCs w:val="24"/>
        </w:rPr>
        <w:t xml:space="preserve"> by nature</w:t>
      </w:r>
      <w:r w:rsidR="00300E68" w:rsidRPr="0014270C">
        <w:rPr>
          <w:rFonts w:ascii="Bookman Old Style" w:hAnsi="Bookman Old Style"/>
          <w:sz w:val="24"/>
          <w:szCs w:val="24"/>
        </w:rPr>
        <w:t>.</w:t>
      </w:r>
      <w:r w:rsidR="00B21BB9" w:rsidRPr="0014270C">
        <w:rPr>
          <w:rFonts w:ascii="Bookman Old Style" w:hAnsi="Bookman Old Style"/>
          <w:sz w:val="24"/>
          <w:szCs w:val="24"/>
        </w:rPr>
        <w:t xml:space="preserve"> His cabin there was </w:t>
      </w:r>
      <w:r w:rsidR="00DD7637" w:rsidRPr="0014270C">
        <w:rPr>
          <w:rFonts w:ascii="Bookman Old Style" w:hAnsi="Bookman Old Style"/>
          <w:sz w:val="24"/>
          <w:szCs w:val="24"/>
        </w:rPr>
        <w:t>150 square feet (</w:t>
      </w:r>
      <w:r w:rsidR="008D0F2D" w:rsidRPr="0014270C">
        <w:rPr>
          <w:rFonts w:ascii="Bookman Old Style" w:hAnsi="Bookman Old Style"/>
          <w:sz w:val="24"/>
          <w:szCs w:val="24"/>
        </w:rPr>
        <w:t xml:space="preserve">13.93 square </w:t>
      </w:r>
      <w:r w:rsidR="008D0F2D" w:rsidRPr="0014270C">
        <w:rPr>
          <w:rFonts w:ascii="Bookman Old Style" w:hAnsi="Bookman Old Style"/>
          <w:sz w:val="24"/>
          <w:szCs w:val="24"/>
        </w:rPr>
        <w:lastRenderedPageBreak/>
        <w:t>meters),</w:t>
      </w:r>
      <w:r w:rsidR="00FC5025" w:rsidRPr="0014270C">
        <w:rPr>
          <w:rStyle w:val="FootnoteReference"/>
          <w:rFonts w:ascii="Bookman Old Style" w:hAnsi="Bookman Old Style"/>
          <w:sz w:val="24"/>
          <w:szCs w:val="24"/>
        </w:rPr>
        <w:footnoteReference w:id="57"/>
      </w:r>
      <w:r w:rsidR="008D0F2D" w:rsidRPr="0014270C">
        <w:rPr>
          <w:rFonts w:ascii="Bookman Old Style" w:hAnsi="Bookman Old Style"/>
          <w:sz w:val="24"/>
          <w:szCs w:val="24"/>
        </w:rPr>
        <w:t xml:space="preserve"> much smaller than many of today’s tiny houses</w:t>
      </w:r>
      <w:r w:rsidR="009205A6" w:rsidRPr="0014270C">
        <w:rPr>
          <w:rFonts w:ascii="Bookman Old Style" w:hAnsi="Bookman Old Style"/>
          <w:sz w:val="24"/>
          <w:szCs w:val="24"/>
        </w:rPr>
        <w:t>.</w:t>
      </w:r>
      <w:r w:rsidR="00F62950" w:rsidRPr="0014270C">
        <w:rPr>
          <w:rStyle w:val="FootnoteReference"/>
          <w:rFonts w:ascii="Bookman Old Style" w:hAnsi="Bookman Old Style"/>
          <w:sz w:val="24"/>
          <w:szCs w:val="24"/>
        </w:rPr>
        <w:footnoteReference w:id="58"/>
      </w:r>
      <w:r w:rsidR="000900C7" w:rsidRPr="0014270C">
        <w:rPr>
          <w:rFonts w:ascii="Bookman Old Style" w:hAnsi="Bookman Old Style"/>
          <w:sz w:val="24"/>
          <w:szCs w:val="24"/>
        </w:rPr>
        <w:t xml:space="preserve"> </w:t>
      </w:r>
      <w:r w:rsidR="00596521" w:rsidRPr="0014270C">
        <w:rPr>
          <w:rFonts w:ascii="Bookman Old Style" w:hAnsi="Bookman Old Style"/>
          <w:sz w:val="24"/>
          <w:szCs w:val="24"/>
        </w:rPr>
        <w:t>H</w:t>
      </w:r>
      <w:r w:rsidR="000900C7" w:rsidRPr="0014270C">
        <w:rPr>
          <w:rFonts w:ascii="Bookman Old Style" w:hAnsi="Bookman Old Style"/>
          <w:sz w:val="24"/>
          <w:szCs w:val="24"/>
        </w:rPr>
        <w:t xml:space="preserve">e lived there for two years and two months discovering the </w:t>
      </w:r>
      <w:r w:rsidR="00A07EA7" w:rsidRPr="0014270C">
        <w:rPr>
          <w:rFonts w:ascii="Bookman Old Style" w:hAnsi="Bookman Old Style"/>
          <w:sz w:val="24"/>
          <w:szCs w:val="24"/>
        </w:rPr>
        <w:t>freedom that living simply gave him.</w:t>
      </w:r>
      <w:r w:rsidR="00A1418F" w:rsidRPr="0014270C">
        <w:rPr>
          <w:rFonts w:ascii="Bookman Old Style" w:hAnsi="Bookman Old Style"/>
          <w:sz w:val="24"/>
          <w:szCs w:val="24"/>
        </w:rPr>
        <w:t xml:space="preserve"> </w:t>
      </w:r>
      <w:r w:rsidR="003E31D6" w:rsidRPr="0014270C">
        <w:rPr>
          <w:rFonts w:ascii="Bookman Old Style" w:hAnsi="Bookman Old Style"/>
          <w:sz w:val="24"/>
          <w:szCs w:val="24"/>
        </w:rPr>
        <w:t>At the end of Thoreau’s time in his tiny cabin, he le</w:t>
      </w:r>
      <w:r w:rsidR="00407FD8" w:rsidRPr="0014270C">
        <w:rPr>
          <w:rFonts w:ascii="Bookman Old Style" w:hAnsi="Bookman Old Style"/>
          <w:sz w:val="24"/>
          <w:szCs w:val="24"/>
        </w:rPr>
        <w:t>ft</w:t>
      </w:r>
      <w:r w:rsidR="003E31D6" w:rsidRPr="0014270C">
        <w:rPr>
          <w:rFonts w:ascii="Bookman Old Style" w:hAnsi="Bookman Old Style"/>
          <w:sz w:val="24"/>
          <w:szCs w:val="24"/>
        </w:rPr>
        <w:t xml:space="preserve"> with a renewed sense of self and </w:t>
      </w:r>
      <w:r w:rsidR="00AB5764" w:rsidRPr="0014270C">
        <w:rPr>
          <w:rFonts w:ascii="Bookman Old Style" w:hAnsi="Bookman Old Style"/>
          <w:sz w:val="24"/>
          <w:szCs w:val="24"/>
        </w:rPr>
        <w:t>zest for life</w:t>
      </w:r>
      <w:r w:rsidR="004C1111" w:rsidRPr="0014270C">
        <w:rPr>
          <w:rFonts w:ascii="Bookman Old Style" w:hAnsi="Bookman Old Style"/>
          <w:sz w:val="24"/>
          <w:szCs w:val="24"/>
        </w:rPr>
        <w:t xml:space="preserve">. </w:t>
      </w:r>
      <w:r w:rsidR="00E34706" w:rsidRPr="0014270C">
        <w:rPr>
          <w:rFonts w:ascii="Bookman Old Style" w:hAnsi="Bookman Old Style"/>
          <w:sz w:val="24"/>
          <w:szCs w:val="24"/>
        </w:rPr>
        <w:t xml:space="preserve">By maintaining a self-sustaining </w:t>
      </w:r>
      <w:r w:rsidR="002F718E" w:rsidRPr="0014270C">
        <w:rPr>
          <w:rFonts w:ascii="Bookman Old Style" w:hAnsi="Bookman Old Style"/>
          <w:sz w:val="24"/>
          <w:szCs w:val="24"/>
        </w:rPr>
        <w:t>home,</w:t>
      </w:r>
      <w:r w:rsidR="00E34706" w:rsidRPr="0014270C">
        <w:rPr>
          <w:rFonts w:ascii="Bookman Old Style" w:hAnsi="Bookman Old Style"/>
          <w:sz w:val="24"/>
          <w:szCs w:val="24"/>
        </w:rPr>
        <w:t xml:space="preserve"> with his</w:t>
      </w:r>
      <w:r w:rsidR="004C1111" w:rsidRPr="0014270C">
        <w:rPr>
          <w:rFonts w:ascii="Bookman Old Style" w:hAnsi="Bookman Old Style"/>
          <w:sz w:val="24"/>
          <w:szCs w:val="24"/>
        </w:rPr>
        <w:t xml:space="preserve"> time free of the worries o</w:t>
      </w:r>
      <w:r w:rsidR="00105D8B" w:rsidRPr="0014270C">
        <w:rPr>
          <w:rFonts w:ascii="Bookman Old Style" w:hAnsi="Bookman Old Style"/>
          <w:sz w:val="24"/>
          <w:szCs w:val="24"/>
        </w:rPr>
        <w:t xml:space="preserve">f affording </w:t>
      </w:r>
      <w:r w:rsidR="000D74BA" w:rsidRPr="0014270C">
        <w:rPr>
          <w:rFonts w:ascii="Bookman Old Style" w:hAnsi="Bookman Old Style"/>
          <w:sz w:val="24"/>
          <w:szCs w:val="24"/>
        </w:rPr>
        <w:t xml:space="preserve">anything other than the </w:t>
      </w:r>
      <w:r w:rsidR="00AD2EEF" w:rsidRPr="0014270C">
        <w:rPr>
          <w:rFonts w:ascii="Bookman Old Style" w:hAnsi="Bookman Old Style"/>
          <w:sz w:val="24"/>
          <w:szCs w:val="24"/>
        </w:rPr>
        <w:t>“</w:t>
      </w:r>
      <w:r w:rsidR="004F6B43" w:rsidRPr="0014270C">
        <w:rPr>
          <w:rFonts w:ascii="Bookman Old Style" w:hAnsi="Bookman Old Style"/>
          <w:sz w:val="24"/>
          <w:szCs w:val="24"/>
        </w:rPr>
        <w:t>essential facts</w:t>
      </w:r>
      <w:r w:rsidR="000D74BA" w:rsidRPr="0014270C">
        <w:rPr>
          <w:rFonts w:ascii="Bookman Old Style" w:hAnsi="Bookman Old Style"/>
          <w:sz w:val="24"/>
          <w:szCs w:val="24"/>
        </w:rPr>
        <w:t xml:space="preserve"> of life</w:t>
      </w:r>
      <w:r w:rsidR="002F718E" w:rsidRPr="0014270C">
        <w:rPr>
          <w:rFonts w:ascii="Bookman Old Style" w:hAnsi="Bookman Old Style"/>
          <w:sz w:val="24"/>
          <w:szCs w:val="24"/>
        </w:rPr>
        <w:t>,</w:t>
      </w:r>
      <w:r w:rsidR="00884028" w:rsidRPr="0014270C">
        <w:rPr>
          <w:rFonts w:ascii="Bookman Old Style" w:hAnsi="Bookman Old Style"/>
          <w:sz w:val="24"/>
          <w:szCs w:val="24"/>
        </w:rPr>
        <w:t>”</w:t>
      </w:r>
      <w:r w:rsidR="002E3AD6" w:rsidRPr="0014270C">
        <w:rPr>
          <w:rStyle w:val="FootnoteReference"/>
          <w:rFonts w:ascii="Bookman Old Style" w:hAnsi="Bookman Old Style"/>
          <w:sz w:val="24"/>
          <w:szCs w:val="24"/>
        </w:rPr>
        <w:footnoteReference w:id="59"/>
      </w:r>
      <w:r w:rsidR="00FE6A87" w:rsidRPr="0014270C">
        <w:rPr>
          <w:rFonts w:ascii="Bookman Old Style" w:hAnsi="Bookman Old Style"/>
          <w:sz w:val="24"/>
          <w:szCs w:val="24"/>
        </w:rPr>
        <w:t xml:space="preserve"> </w:t>
      </w:r>
      <w:r w:rsidR="003455E7" w:rsidRPr="0014270C">
        <w:rPr>
          <w:rFonts w:ascii="Bookman Old Style" w:hAnsi="Bookman Old Style"/>
          <w:sz w:val="24"/>
          <w:szCs w:val="24"/>
        </w:rPr>
        <w:t xml:space="preserve">he </w:t>
      </w:r>
      <w:r w:rsidR="002251DE" w:rsidRPr="0014270C">
        <w:rPr>
          <w:rFonts w:ascii="Bookman Old Style" w:hAnsi="Bookman Old Style"/>
          <w:sz w:val="24"/>
          <w:szCs w:val="24"/>
        </w:rPr>
        <w:t>gained</w:t>
      </w:r>
      <w:r w:rsidR="003455E7" w:rsidRPr="0014270C">
        <w:rPr>
          <w:rFonts w:ascii="Bookman Old Style" w:hAnsi="Bookman Old Style"/>
          <w:sz w:val="24"/>
          <w:szCs w:val="24"/>
        </w:rPr>
        <w:t xml:space="preserve"> the </w:t>
      </w:r>
      <w:r w:rsidR="00850B7F" w:rsidRPr="0014270C">
        <w:rPr>
          <w:rFonts w:ascii="Bookman Old Style" w:hAnsi="Bookman Old Style"/>
          <w:sz w:val="24"/>
          <w:szCs w:val="24"/>
        </w:rPr>
        <w:t>liberty</w:t>
      </w:r>
      <w:r w:rsidR="003455E7" w:rsidRPr="0014270C">
        <w:rPr>
          <w:rFonts w:ascii="Bookman Old Style" w:hAnsi="Bookman Old Style"/>
          <w:sz w:val="24"/>
          <w:szCs w:val="24"/>
        </w:rPr>
        <w:t xml:space="preserve"> </w:t>
      </w:r>
      <w:r w:rsidR="00FE6A87" w:rsidRPr="0014270C">
        <w:rPr>
          <w:rFonts w:ascii="Bookman Old Style" w:hAnsi="Bookman Old Style"/>
          <w:sz w:val="24"/>
          <w:szCs w:val="24"/>
        </w:rPr>
        <w:t xml:space="preserve">to focus on </w:t>
      </w:r>
      <w:r w:rsidR="00122A12" w:rsidRPr="0014270C">
        <w:rPr>
          <w:rFonts w:ascii="Bookman Old Style" w:hAnsi="Bookman Old Style"/>
          <w:sz w:val="24"/>
          <w:szCs w:val="24"/>
        </w:rPr>
        <w:t>endeavoring in something much more profound.</w:t>
      </w:r>
      <w:r w:rsidR="00A020EC" w:rsidRPr="0014270C">
        <w:rPr>
          <w:rFonts w:ascii="Bookman Old Style" w:hAnsi="Bookman Old Style"/>
          <w:sz w:val="24"/>
          <w:szCs w:val="24"/>
        </w:rPr>
        <w:t xml:space="preserve"> He believed </w:t>
      </w:r>
      <w:r w:rsidR="00BF1BC8" w:rsidRPr="0014270C">
        <w:rPr>
          <w:rFonts w:ascii="Bookman Old Style" w:hAnsi="Bookman Old Style"/>
          <w:sz w:val="24"/>
          <w:szCs w:val="24"/>
        </w:rPr>
        <w:t xml:space="preserve">that it is easy to fall into </w:t>
      </w:r>
      <w:r w:rsidR="00BF1BC8" w:rsidRPr="0014270C">
        <w:rPr>
          <w:rFonts w:ascii="Bookman Old Style" w:hAnsi="Bookman Old Style"/>
          <w:noProof/>
          <w:sz w:val="24"/>
          <w:szCs w:val="24"/>
        </w:rPr>
        <w:t>routine</w:t>
      </w:r>
      <w:r w:rsidR="00BF1BC8" w:rsidRPr="0014270C">
        <w:rPr>
          <w:rFonts w:ascii="Bookman Old Style" w:hAnsi="Bookman Old Style"/>
          <w:sz w:val="24"/>
          <w:szCs w:val="24"/>
        </w:rPr>
        <w:t xml:space="preserve">, </w:t>
      </w:r>
      <w:r w:rsidR="00670B2A" w:rsidRPr="0014270C">
        <w:rPr>
          <w:rFonts w:ascii="Bookman Old Style" w:hAnsi="Bookman Old Style"/>
          <w:sz w:val="24"/>
          <w:szCs w:val="24"/>
        </w:rPr>
        <w:t>and if left unchecked it can consume an entire lifetime</w:t>
      </w:r>
      <w:r w:rsidR="00A553CD" w:rsidRPr="0014270C">
        <w:rPr>
          <w:rFonts w:ascii="Bookman Old Style" w:hAnsi="Bookman Old Style"/>
          <w:sz w:val="24"/>
          <w:szCs w:val="24"/>
        </w:rPr>
        <w:t>, but</w:t>
      </w:r>
      <w:r w:rsidR="00670B2A" w:rsidRPr="0014270C">
        <w:rPr>
          <w:rFonts w:ascii="Bookman Old Style" w:hAnsi="Bookman Old Style"/>
          <w:sz w:val="24"/>
          <w:szCs w:val="24"/>
        </w:rPr>
        <w:t xml:space="preserve"> </w:t>
      </w:r>
      <w:r w:rsidR="00A020EC" w:rsidRPr="0014270C">
        <w:rPr>
          <w:rFonts w:ascii="Bookman Old Style" w:hAnsi="Bookman Old Style"/>
          <w:sz w:val="24"/>
          <w:szCs w:val="24"/>
        </w:rPr>
        <w:t xml:space="preserve">that if </w:t>
      </w:r>
      <w:r w:rsidR="00707514" w:rsidRPr="0014270C">
        <w:rPr>
          <w:rFonts w:ascii="Bookman Old Style" w:hAnsi="Bookman Old Style"/>
          <w:sz w:val="24"/>
          <w:szCs w:val="24"/>
        </w:rPr>
        <w:t xml:space="preserve">given the opportunity to </w:t>
      </w:r>
      <w:r w:rsidR="00421B47" w:rsidRPr="0014270C">
        <w:rPr>
          <w:rFonts w:ascii="Bookman Old Style" w:hAnsi="Bookman Old Style"/>
          <w:sz w:val="24"/>
          <w:szCs w:val="24"/>
        </w:rPr>
        <w:t xml:space="preserve">confidently </w:t>
      </w:r>
      <w:r w:rsidR="00707514" w:rsidRPr="0014270C">
        <w:rPr>
          <w:rFonts w:ascii="Bookman Old Style" w:hAnsi="Bookman Old Style"/>
          <w:sz w:val="24"/>
          <w:szCs w:val="24"/>
        </w:rPr>
        <w:t xml:space="preserve">follow </w:t>
      </w:r>
      <w:r w:rsidR="00DF18ED" w:rsidRPr="0014270C">
        <w:rPr>
          <w:rFonts w:ascii="Bookman Old Style" w:hAnsi="Bookman Old Style"/>
          <w:sz w:val="24"/>
          <w:szCs w:val="24"/>
        </w:rPr>
        <w:t>one’s</w:t>
      </w:r>
      <w:r w:rsidR="00707514" w:rsidRPr="0014270C">
        <w:rPr>
          <w:rFonts w:ascii="Bookman Old Style" w:hAnsi="Bookman Old Style"/>
          <w:sz w:val="24"/>
          <w:szCs w:val="24"/>
        </w:rPr>
        <w:t xml:space="preserve"> </w:t>
      </w:r>
      <w:r w:rsidR="00B7159B" w:rsidRPr="0014270C">
        <w:rPr>
          <w:rFonts w:ascii="Bookman Old Style" w:hAnsi="Bookman Old Style"/>
          <w:sz w:val="24"/>
          <w:szCs w:val="24"/>
        </w:rPr>
        <w:t>passion</w:t>
      </w:r>
      <w:r w:rsidR="00707514" w:rsidRPr="0014270C">
        <w:rPr>
          <w:rFonts w:ascii="Bookman Old Style" w:hAnsi="Bookman Old Style"/>
          <w:sz w:val="24"/>
          <w:szCs w:val="24"/>
        </w:rPr>
        <w:t xml:space="preserve">s, </w:t>
      </w:r>
      <w:r w:rsidR="00421B47" w:rsidRPr="0014270C">
        <w:rPr>
          <w:rFonts w:ascii="Bookman Old Style" w:hAnsi="Bookman Old Style"/>
          <w:sz w:val="24"/>
          <w:szCs w:val="24"/>
        </w:rPr>
        <w:t xml:space="preserve">the effort </w:t>
      </w:r>
      <w:r w:rsidR="00707514" w:rsidRPr="0014270C">
        <w:rPr>
          <w:rFonts w:ascii="Bookman Old Style" w:hAnsi="Bookman Old Style"/>
          <w:sz w:val="24"/>
          <w:szCs w:val="24"/>
        </w:rPr>
        <w:t>will be met with success.</w:t>
      </w:r>
      <w:r w:rsidR="00337D9A" w:rsidRPr="0014270C">
        <w:rPr>
          <w:rStyle w:val="FootnoteReference"/>
          <w:rFonts w:ascii="Bookman Old Style" w:hAnsi="Bookman Old Style"/>
          <w:sz w:val="24"/>
          <w:szCs w:val="24"/>
        </w:rPr>
        <w:footnoteReference w:id="60"/>
      </w:r>
      <w:r w:rsidR="00707514" w:rsidRPr="0014270C">
        <w:rPr>
          <w:rFonts w:ascii="Bookman Old Style" w:hAnsi="Bookman Old Style"/>
          <w:sz w:val="24"/>
          <w:szCs w:val="24"/>
        </w:rPr>
        <w:t xml:space="preserve"> </w:t>
      </w:r>
      <w:r w:rsidR="002138B7" w:rsidRPr="0014270C">
        <w:rPr>
          <w:rFonts w:ascii="Bookman Old Style" w:hAnsi="Bookman Old Style"/>
          <w:sz w:val="24"/>
          <w:szCs w:val="24"/>
        </w:rPr>
        <w:t>Thoreau was a reformist</w:t>
      </w:r>
      <w:r w:rsidR="00DB74B8" w:rsidRPr="0014270C">
        <w:rPr>
          <w:rFonts w:ascii="Bookman Old Style" w:hAnsi="Bookman Old Style"/>
          <w:sz w:val="24"/>
          <w:szCs w:val="24"/>
        </w:rPr>
        <w:t>;</w:t>
      </w:r>
      <w:r w:rsidR="002138B7" w:rsidRPr="0014270C">
        <w:rPr>
          <w:rStyle w:val="FootnoteReference"/>
          <w:rFonts w:ascii="Bookman Old Style" w:hAnsi="Bookman Old Style"/>
          <w:sz w:val="24"/>
          <w:szCs w:val="24"/>
        </w:rPr>
        <w:footnoteReference w:id="61"/>
      </w:r>
      <w:r w:rsidR="002138B7" w:rsidRPr="0014270C">
        <w:rPr>
          <w:rFonts w:ascii="Bookman Old Style" w:hAnsi="Bookman Old Style"/>
          <w:sz w:val="24"/>
          <w:szCs w:val="24"/>
        </w:rPr>
        <w:t xml:space="preserve"> as a</w:t>
      </w:r>
      <w:r w:rsidR="00DB74B8" w:rsidRPr="0014270C">
        <w:rPr>
          <w:rFonts w:ascii="Bookman Old Style" w:hAnsi="Bookman Old Style"/>
          <w:sz w:val="24"/>
          <w:szCs w:val="24"/>
        </w:rPr>
        <w:t xml:space="preserve">n </w:t>
      </w:r>
      <w:r w:rsidR="002138B7" w:rsidRPr="0014270C">
        <w:rPr>
          <w:rFonts w:ascii="Bookman Old Style" w:hAnsi="Bookman Old Style"/>
          <w:sz w:val="24"/>
          <w:szCs w:val="24"/>
        </w:rPr>
        <w:t>environmentalist</w:t>
      </w:r>
      <w:r w:rsidR="00DB74B8" w:rsidRPr="0014270C">
        <w:rPr>
          <w:rFonts w:ascii="Bookman Old Style" w:hAnsi="Bookman Old Style"/>
          <w:sz w:val="24"/>
          <w:szCs w:val="24"/>
        </w:rPr>
        <w:t xml:space="preserve"> and a minimalist</w:t>
      </w:r>
      <w:r w:rsidR="00E761E1" w:rsidRPr="0014270C">
        <w:rPr>
          <w:rFonts w:ascii="Bookman Old Style" w:hAnsi="Bookman Old Style"/>
          <w:sz w:val="24"/>
          <w:szCs w:val="24"/>
        </w:rPr>
        <w:t>,</w:t>
      </w:r>
      <w:r w:rsidR="002138B7" w:rsidRPr="0014270C">
        <w:rPr>
          <w:rFonts w:ascii="Bookman Old Style" w:hAnsi="Bookman Old Style"/>
          <w:sz w:val="24"/>
          <w:szCs w:val="24"/>
        </w:rPr>
        <w:t xml:space="preserve"> his views did not resonate well with the people of his time who were looking to grow cities and consume as quickly as was possible.</w:t>
      </w:r>
      <w:r w:rsidR="00637B98" w:rsidRPr="0014270C">
        <w:rPr>
          <w:rFonts w:ascii="Bookman Old Style" w:hAnsi="Bookman Old Style"/>
          <w:sz w:val="24"/>
          <w:szCs w:val="24"/>
        </w:rPr>
        <w:t xml:space="preserve"> H</w:t>
      </w:r>
      <w:r w:rsidR="00F32190" w:rsidRPr="0014270C">
        <w:rPr>
          <w:rFonts w:ascii="Bookman Old Style" w:hAnsi="Bookman Old Style"/>
          <w:sz w:val="24"/>
          <w:szCs w:val="24"/>
        </w:rPr>
        <w:t xml:space="preserve">e reflected </w:t>
      </w:r>
      <w:r w:rsidR="00511C89" w:rsidRPr="0014270C">
        <w:rPr>
          <w:rFonts w:ascii="Bookman Old Style" w:hAnsi="Bookman Old Style"/>
          <w:sz w:val="24"/>
          <w:szCs w:val="24"/>
        </w:rPr>
        <w:t xml:space="preserve">on the idea that </w:t>
      </w:r>
      <w:r w:rsidR="00D53399" w:rsidRPr="0014270C">
        <w:rPr>
          <w:rFonts w:ascii="Bookman Old Style" w:hAnsi="Bookman Old Style"/>
          <w:sz w:val="24"/>
          <w:szCs w:val="24"/>
        </w:rPr>
        <w:t xml:space="preserve">people should pursue their own </w:t>
      </w:r>
      <w:r w:rsidR="006A2E49" w:rsidRPr="0014270C">
        <w:rPr>
          <w:rFonts w:ascii="Bookman Old Style" w:hAnsi="Bookman Old Style"/>
          <w:sz w:val="24"/>
          <w:szCs w:val="24"/>
        </w:rPr>
        <w:t xml:space="preserve">way, </w:t>
      </w:r>
      <w:r w:rsidR="004A43F8" w:rsidRPr="0014270C">
        <w:rPr>
          <w:rFonts w:ascii="Bookman Old Style" w:hAnsi="Bookman Old Style"/>
          <w:sz w:val="24"/>
          <w:szCs w:val="24"/>
        </w:rPr>
        <w:t>relying less on debt to others</w:t>
      </w:r>
      <w:r w:rsidR="005D19E0" w:rsidRPr="0014270C">
        <w:rPr>
          <w:rFonts w:ascii="Bookman Old Style" w:hAnsi="Bookman Old Style"/>
          <w:sz w:val="24"/>
          <w:szCs w:val="24"/>
        </w:rPr>
        <w:t xml:space="preserve"> and </w:t>
      </w:r>
      <w:r w:rsidR="00FE0F53" w:rsidRPr="0014270C">
        <w:rPr>
          <w:rFonts w:ascii="Bookman Old Style" w:hAnsi="Bookman Old Style"/>
          <w:sz w:val="24"/>
          <w:szCs w:val="24"/>
        </w:rPr>
        <w:t xml:space="preserve">creating a more </w:t>
      </w:r>
      <w:r w:rsidR="004A43F8" w:rsidRPr="0014270C">
        <w:rPr>
          <w:rFonts w:ascii="Bookman Old Style" w:hAnsi="Bookman Old Style"/>
          <w:sz w:val="24"/>
          <w:szCs w:val="24"/>
        </w:rPr>
        <w:t>self-sufficient</w:t>
      </w:r>
      <w:r w:rsidR="006552B2" w:rsidRPr="0014270C">
        <w:rPr>
          <w:rFonts w:ascii="Bookman Old Style" w:hAnsi="Bookman Old Style"/>
          <w:sz w:val="24"/>
          <w:szCs w:val="24"/>
        </w:rPr>
        <w:t xml:space="preserve"> and </w:t>
      </w:r>
      <w:r w:rsidR="003F431C" w:rsidRPr="0014270C">
        <w:rPr>
          <w:rFonts w:ascii="Bookman Old Style" w:hAnsi="Bookman Old Style"/>
          <w:sz w:val="24"/>
          <w:szCs w:val="24"/>
        </w:rPr>
        <w:t>meaningful existence</w:t>
      </w:r>
      <w:r w:rsidR="008D4787" w:rsidRPr="0014270C">
        <w:rPr>
          <w:rFonts w:ascii="Bookman Old Style" w:hAnsi="Bookman Old Style"/>
          <w:sz w:val="24"/>
          <w:szCs w:val="24"/>
        </w:rPr>
        <w:t>.</w:t>
      </w:r>
      <w:r w:rsidR="00F32897" w:rsidRPr="0014270C">
        <w:rPr>
          <w:rFonts w:ascii="Bookman Old Style" w:hAnsi="Bookman Old Style"/>
          <w:sz w:val="24"/>
          <w:szCs w:val="24"/>
        </w:rPr>
        <w:t xml:space="preserve"> </w:t>
      </w:r>
    </w:p>
    <w:p w14:paraId="294B9431" w14:textId="30F9F2B6" w:rsidR="009260B4" w:rsidRPr="0014270C" w:rsidRDefault="00551146" w:rsidP="009260B4">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Judith </w:t>
      </w:r>
      <w:proofErr w:type="spellStart"/>
      <w:r w:rsidRPr="0014270C">
        <w:rPr>
          <w:rFonts w:ascii="Bookman Old Style" w:hAnsi="Bookman Old Style"/>
          <w:sz w:val="24"/>
          <w:szCs w:val="24"/>
        </w:rPr>
        <w:t>Saunder</w:t>
      </w:r>
      <w:r w:rsidR="002F1B5A" w:rsidRPr="0014270C">
        <w:rPr>
          <w:rFonts w:ascii="Bookman Old Style" w:hAnsi="Bookman Old Style"/>
          <w:sz w:val="24"/>
          <w:szCs w:val="24"/>
        </w:rPr>
        <w:t>’s</w:t>
      </w:r>
      <w:proofErr w:type="spellEnd"/>
      <w:r w:rsidR="002F1B5A" w:rsidRPr="0014270C">
        <w:rPr>
          <w:rFonts w:ascii="Bookman Old Style" w:hAnsi="Bookman Old Style"/>
          <w:sz w:val="24"/>
          <w:szCs w:val="24"/>
        </w:rPr>
        <w:t xml:space="preserve"> </w:t>
      </w:r>
      <w:r w:rsidR="002C2095" w:rsidRPr="0014270C">
        <w:rPr>
          <w:rFonts w:ascii="Bookman Old Style" w:hAnsi="Bookman Old Style"/>
          <w:sz w:val="24"/>
          <w:szCs w:val="24"/>
        </w:rPr>
        <w:t xml:space="preserve">entry in </w:t>
      </w:r>
      <w:r w:rsidR="009865B4" w:rsidRPr="0014270C">
        <w:rPr>
          <w:rFonts w:ascii="Bookman Old Style" w:hAnsi="Bookman Old Style"/>
          <w:sz w:val="24"/>
          <w:szCs w:val="24"/>
        </w:rPr>
        <w:t>“</w:t>
      </w:r>
      <w:r w:rsidR="002C2095" w:rsidRPr="0014270C">
        <w:rPr>
          <w:rFonts w:ascii="Bookman Old Style" w:hAnsi="Bookman Old Style"/>
          <w:sz w:val="24"/>
          <w:szCs w:val="24"/>
        </w:rPr>
        <w:t xml:space="preserve">Henry David Thoreau’s </w:t>
      </w:r>
      <w:r w:rsidR="009865B4" w:rsidRPr="0014270C">
        <w:rPr>
          <w:rFonts w:ascii="Bookman Old Style" w:hAnsi="Bookman Old Style"/>
          <w:sz w:val="24"/>
          <w:szCs w:val="24"/>
        </w:rPr>
        <w:t>‘</w:t>
      </w:r>
      <w:r w:rsidR="002C2095" w:rsidRPr="0014270C">
        <w:rPr>
          <w:rFonts w:ascii="Bookman Old Style" w:hAnsi="Bookman Old Style"/>
          <w:sz w:val="24"/>
          <w:szCs w:val="24"/>
        </w:rPr>
        <w:t>Walden</w:t>
      </w:r>
      <w:r w:rsidR="009865B4" w:rsidRPr="0014270C">
        <w:rPr>
          <w:rFonts w:ascii="Bookman Old Style" w:hAnsi="Bookman Old Style"/>
          <w:sz w:val="24"/>
          <w:szCs w:val="24"/>
        </w:rPr>
        <w:t>’”</w:t>
      </w:r>
      <w:r w:rsidR="002C2095" w:rsidRPr="0014270C">
        <w:rPr>
          <w:rFonts w:ascii="Bookman Old Style" w:hAnsi="Bookman Old Style"/>
          <w:sz w:val="24"/>
          <w:szCs w:val="24"/>
        </w:rPr>
        <w:t xml:space="preserve"> </w:t>
      </w:r>
      <w:r w:rsidR="00E349FA" w:rsidRPr="0014270C">
        <w:rPr>
          <w:rFonts w:ascii="Bookman Old Style" w:hAnsi="Bookman Old Style"/>
          <w:sz w:val="24"/>
          <w:szCs w:val="24"/>
        </w:rPr>
        <w:t xml:space="preserve">explains Thoreau’s view of economics </w:t>
      </w:r>
      <w:r w:rsidR="00E36DA6" w:rsidRPr="0014270C">
        <w:rPr>
          <w:rFonts w:ascii="Bookman Old Style" w:hAnsi="Bookman Old Style"/>
          <w:sz w:val="24"/>
          <w:szCs w:val="24"/>
        </w:rPr>
        <w:t xml:space="preserve">not as the </w:t>
      </w:r>
      <w:r w:rsidR="0049264B" w:rsidRPr="0014270C">
        <w:rPr>
          <w:rFonts w:ascii="Bookman Old Style" w:hAnsi="Bookman Old Style"/>
          <w:sz w:val="24"/>
          <w:szCs w:val="24"/>
        </w:rPr>
        <w:t xml:space="preserve">amount of </w:t>
      </w:r>
      <w:r w:rsidR="00E36DA6" w:rsidRPr="0014270C">
        <w:rPr>
          <w:rFonts w:ascii="Bookman Old Style" w:hAnsi="Bookman Old Style"/>
          <w:sz w:val="24"/>
          <w:szCs w:val="24"/>
        </w:rPr>
        <w:t>commodities</w:t>
      </w:r>
      <w:r w:rsidR="00273B7B" w:rsidRPr="0014270C">
        <w:rPr>
          <w:rFonts w:ascii="Bookman Old Style" w:hAnsi="Bookman Old Style"/>
          <w:sz w:val="24"/>
          <w:szCs w:val="24"/>
        </w:rPr>
        <w:t xml:space="preserve"> to which</w:t>
      </w:r>
      <w:r w:rsidR="00E36DA6" w:rsidRPr="0014270C">
        <w:rPr>
          <w:rFonts w:ascii="Bookman Old Style" w:hAnsi="Bookman Old Style"/>
          <w:sz w:val="24"/>
          <w:szCs w:val="24"/>
        </w:rPr>
        <w:t xml:space="preserve"> </w:t>
      </w:r>
      <w:r w:rsidR="00273B7B" w:rsidRPr="0014270C">
        <w:rPr>
          <w:rFonts w:ascii="Bookman Old Style" w:hAnsi="Bookman Old Style"/>
          <w:sz w:val="24"/>
          <w:szCs w:val="24"/>
        </w:rPr>
        <w:t xml:space="preserve">one can assign a dollar-value but as the “limited amount of time, </w:t>
      </w:r>
      <w:r w:rsidR="00655A33" w:rsidRPr="0014270C">
        <w:rPr>
          <w:rFonts w:ascii="Bookman Old Style" w:hAnsi="Bookman Old Style"/>
          <w:sz w:val="24"/>
          <w:szCs w:val="24"/>
        </w:rPr>
        <w:t xml:space="preserve">energy, and attention, which may be conserved, saved, spent, employed, stolen, </w:t>
      </w:r>
      <w:r w:rsidR="00655A33" w:rsidRPr="0014270C">
        <w:rPr>
          <w:rFonts w:ascii="Bookman Old Style" w:hAnsi="Bookman Old Style"/>
          <w:sz w:val="24"/>
          <w:szCs w:val="24"/>
        </w:rPr>
        <w:lastRenderedPageBreak/>
        <w:t>squandered, or hoarded – just like property.”</w:t>
      </w:r>
      <w:r w:rsidR="004B2BBB" w:rsidRPr="0014270C">
        <w:rPr>
          <w:rStyle w:val="FootnoteReference"/>
          <w:rFonts w:ascii="Bookman Old Style" w:hAnsi="Bookman Old Style"/>
          <w:sz w:val="24"/>
          <w:szCs w:val="24"/>
        </w:rPr>
        <w:footnoteReference w:id="62"/>
      </w:r>
      <w:r w:rsidR="00273B7B" w:rsidRPr="0014270C">
        <w:rPr>
          <w:rFonts w:ascii="Bookman Old Style" w:hAnsi="Bookman Old Style"/>
          <w:sz w:val="24"/>
          <w:szCs w:val="24"/>
        </w:rPr>
        <w:t xml:space="preserve"> </w:t>
      </w:r>
      <w:r w:rsidR="00AC2080" w:rsidRPr="0014270C">
        <w:rPr>
          <w:rFonts w:ascii="Bookman Old Style" w:hAnsi="Bookman Old Style"/>
          <w:sz w:val="24"/>
          <w:szCs w:val="24"/>
        </w:rPr>
        <w:t xml:space="preserve">Samuel </w:t>
      </w:r>
      <w:r w:rsidR="00E51375" w:rsidRPr="0014270C">
        <w:rPr>
          <w:rFonts w:ascii="Bookman Old Style" w:hAnsi="Bookman Old Style"/>
          <w:sz w:val="24"/>
          <w:szCs w:val="24"/>
        </w:rPr>
        <w:t>Alexander</w:t>
      </w:r>
      <w:r w:rsidR="00AC2080" w:rsidRPr="0014270C">
        <w:rPr>
          <w:rFonts w:ascii="Bookman Old Style" w:hAnsi="Bookman Old Style"/>
          <w:sz w:val="24"/>
          <w:szCs w:val="24"/>
        </w:rPr>
        <w:t xml:space="preserve">, a writer involved with </w:t>
      </w:r>
      <w:r w:rsidR="00AC2080" w:rsidRPr="0014270C">
        <w:rPr>
          <w:rFonts w:ascii="Bookman Old Style" w:hAnsi="Bookman Old Style"/>
          <w:i/>
          <w:sz w:val="24"/>
          <w:szCs w:val="24"/>
        </w:rPr>
        <w:t>The Simplicity Collective</w:t>
      </w:r>
      <w:r w:rsidR="00AC2080" w:rsidRPr="0014270C">
        <w:rPr>
          <w:rFonts w:ascii="Bookman Old Style" w:hAnsi="Bookman Old Style"/>
          <w:sz w:val="24"/>
          <w:szCs w:val="24"/>
        </w:rPr>
        <w:t>,</w:t>
      </w:r>
      <w:r w:rsidR="00E51375" w:rsidRPr="0014270C">
        <w:rPr>
          <w:rFonts w:ascii="Bookman Old Style" w:hAnsi="Bookman Old Style"/>
          <w:sz w:val="24"/>
          <w:szCs w:val="24"/>
        </w:rPr>
        <w:t xml:space="preserve"> </w:t>
      </w:r>
      <w:r w:rsidR="00C715BA" w:rsidRPr="0014270C">
        <w:rPr>
          <w:rFonts w:ascii="Bookman Old Style" w:hAnsi="Bookman Old Style"/>
          <w:sz w:val="24"/>
          <w:szCs w:val="24"/>
        </w:rPr>
        <w:t>reinforces</w:t>
      </w:r>
      <w:r w:rsidR="00E51375" w:rsidRPr="0014270C">
        <w:rPr>
          <w:rFonts w:ascii="Bookman Old Style" w:hAnsi="Bookman Old Style"/>
          <w:sz w:val="24"/>
          <w:szCs w:val="24"/>
        </w:rPr>
        <w:t xml:space="preserve"> this</w:t>
      </w:r>
      <w:r w:rsidR="00B2663A" w:rsidRPr="0014270C">
        <w:rPr>
          <w:rFonts w:ascii="Bookman Old Style" w:hAnsi="Bookman Old Style"/>
          <w:sz w:val="24"/>
          <w:szCs w:val="24"/>
        </w:rPr>
        <w:t xml:space="preserve"> in his work “Just Enough is Plenty: Thoreau’s Alternative Economics,”</w:t>
      </w:r>
      <w:r w:rsidR="00110649" w:rsidRPr="0014270C">
        <w:rPr>
          <w:rFonts w:ascii="Bookman Old Style" w:hAnsi="Bookman Old Style"/>
          <w:sz w:val="24"/>
          <w:szCs w:val="24"/>
        </w:rPr>
        <w:t xml:space="preserve"> not only </w:t>
      </w:r>
      <w:r w:rsidR="00DA0820" w:rsidRPr="0014270C">
        <w:rPr>
          <w:rFonts w:ascii="Bookman Old Style" w:hAnsi="Bookman Old Style"/>
          <w:sz w:val="24"/>
          <w:szCs w:val="24"/>
        </w:rPr>
        <w:t>by writing of</w:t>
      </w:r>
      <w:r w:rsidR="00110649" w:rsidRPr="0014270C">
        <w:rPr>
          <w:rFonts w:ascii="Bookman Old Style" w:hAnsi="Bookman Old Style"/>
          <w:sz w:val="24"/>
          <w:szCs w:val="24"/>
        </w:rPr>
        <w:t xml:space="preserve"> </w:t>
      </w:r>
      <w:r w:rsidR="002F69E4" w:rsidRPr="0014270C">
        <w:rPr>
          <w:rFonts w:ascii="Bookman Old Style" w:hAnsi="Bookman Old Style"/>
          <w:sz w:val="24"/>
          <w:szCs w:val="24"/>
        </w:rPr>
        <w:t>the exchange of time</w:t>
      </w:r>
      <w:r w:rsidR="00C47A6B" w:rsidRPr="0014270C">
        <w:rPr>
          <w:rFonts w:ascii="Bookman Old Style" w:hAnsi="Bookman Old Style"/>
          <w:sz w:val="24"/>
          <w:szCs w:val="24"/>
        </w:rPr>
        <w:t xml:space="preserve"> and energy</w:t>
      </w:r>
      <w:r w:rsidR="002F69E4" w:rsidRPr="0014270C">
        <w:rPr>
          <w:rFonts w:ascii="Bookman Old Style" w:hAnsi="Bookman Old Style"/>
          <w:sz w:val="24"/>
          <w:szCs w:val="24"/>
        </w:rPr>
        <w:t xml:space="preserve"> for </w:t>
      </w:r>
      <w:r w:rsidR="002F69E4" w:rsidRPr="0014270C">
        <w:rPr>
          <w:rFonts w:ascii="Bookman Old Style" w:hAnsi="Bookman Old Style"/>
          <w:noProof/>
          <w:sz w:val="24"/>
          <w:szCs w:val="24"/>
        </w:rPr>
        <w:t>goods</w:t>
      </w:r>
      <w:r w:rsidR="002F69E4" w:rsidRPr="0014270C">
        <w:rPr>
          <w:rFonts w:ascii="Bookman Old Style" w:hAnsi="Bookman Old Style"/>
          <w:sz w:val="24"/>
          <w:szCs w:val="24"/>
        </w:rPr>
        <w:t xml:space="preserve"> but also</w:t>
      </w:r>
      <w:r w:rsidR="00323F40" w:rsidRPr="0014270C">
        <w:rPr>
          <w:rFonts w:ascii="Bookman Old Style" w:hAnsi="Bookman Old Style"/>
          <w:sz w:val="24"/>
          <w:szCs w:val="24"/>
        </w:rPr>
        <w:t xml:space="preserve"> how </w:t>
      </w:r>
      <w:r w:rsidR="00C47A6B" w:rsidRPr="0014270C">
        <w:rPr>
          <w:rFonts w:ascii="Bookman Old Style" w:hAnsi="Bookman Old Style"/>
          <w:sz w:val="24"/>
          <w:szCs w:val="24"/>
        </w:rPr>
        <w:t xml:space="preserve">purchases hold power and </w:t>
      </w:r>
      <w:r w:rsidR="00A401EF" w:rsidRPr="0014270C">
        <w:rPr>
          <w:rFonts w:ascii="Bookman Old Style" w:hAnsi="Bookman Old Style"/>
          <w:sz w:val="24"/>
          <w:szCs w:val="24"/>
        </w:rPr>
        <w:t xml:space="preserve">simplicity </w:t>
      </w:r>
      <w:r w:rsidR="00C47A6B" w:rsidRPr="0014270C">
        <w:rPr>
          <w:rFonts w:ascii="Bookman Old Style" w:hAnsi="Bookman Old Style"/>
          <w:sz w:val="24"/>
          <w:szCs w:val="24"/>
        </w:rPr>
        <w:t xml:space="preserve">has the ability to </w:t>
      </w:r>
      <w:r w:rsidR="00A401EF" w:rsidRPr="0014270C">
        <w:rPr>
          <w:rFonts w:ascii="Bookman Old Style" w:hAnsi="Bookman Old Style"/>
          <w:sz w:val="24"/>
          <w:szCs w:val="24"/>
        </w:rPr>
        <w:t>challenge capitalism</w:t>
      </w:r>
      <w:r w:rsidR="008E33FB" w:rsidRPr="0014270C">
        <w:rPr>
          <w:rFonts w:ascii="Bookman Old Style" w:hAnsi="Bookman Old Style"/>
          <w:sz w:val="24"/>
          <w:szCs w:val="24"/>
        </w:rPr>
        <w:t>.</w:t>
      </w:r>
      <w:r w:rsidR="008E33FB" w:rsidRPr="0014270C">
        <w:rPr>
          <w:rStyle w:val="FootnoteReference"/>
          <w:rFonts w:ascii="Bookman Old Style" w:hAnsi="Bookman Old Style"/>
          <w:sz w:val="24"/>
          <w:szCs w:val="24"/>
        </w:rPr>
        <w:footnoteReference w:id="63"/>
      </w:r>
      <w:r w:rsidR="004B2A72" w:rsidRPr="0014270C">
        <w:rPr>
          <w:rFonts w:ascii="Bookman Old Style" w:hAnsi="Bookman Old Style"/>
          <w:sz w:val="24"/>
          <w:szCs w:val="24"/>
        </w:rPr>
        <w:t xml:space="preserve"> </w:t>
      </w:r>
    </w:p>
    <w:p w14:paraId="72E4DE3F" w14:textId="791F9E42" w:rsidR="009260B4" w:rsidRPr="0014270C" w:rsidRDefault="00782564" w:rsidP="00B93546">
      <w:pPr>
        <w:pStyle w:val="THESISLVL3"/>
      </w:pPr>
      <w:bookmarkStart w:id="24" w:name="_Toc8062262"/>
      <w:r w:rsidRPr="0014270C">
        <w:t xml:space="preserve">Size </w:t>
      </w:r>
      <w:r w:rsidR="009260B4" w:rsidRPr="0014270C">
        <w:t>M</w:t>
      </w:r>
      <w:r w:rsidRPr="0014270C">
        <w:t>atters</w:t>
      </w:r>
      <w:bookmarkEnd w:id="24"/>
    </w:p>
    <w:p w14:paraId="6A433C0C" w14:textId="6C14859B" w:rsidR="00581B35" w:rsidRPr="0014270C" w:rsidRDefault="00581B35" w:rsidP="00581B35">
      <w:pPr>
        <w:spacing w:line="480" w:lineRule="auto"/>
        <w:ind w:firstLine="720"/>
        <w:rPr>
          <w:rFonts w:ascii="Bookman Old Style" w:hAnsi="Bookman Old Style"/>
          <w:sz w:val="24"/>
          <w:szCs w:val="24"/>
        </w:rPr>
      </w:pPr>
      <w:r w:rsidRPr="0014270C">
        <w:rPr>
          <w:rFonts w:ascii="Bookman Old Style" w:hAnsi="Bookman Old Style"/>
          <w:sz w:val="24"/>
          <w:szCs w:val="24"/>
        </w:rPr>
        <w:t>The Department of Environmental Quality in the state of Oregon evaluated the environmental benefits of reducing material use during the design, construction, maintenance, and demolition of buildings.</w:t>
      </w:r>
      <w:r w:rsidRPr="0014270C">
        <w:rPr>
          <w:rStyle w:val="FootnoteReference"/>
          <w:rFonts w:ascii="Bookman Old Style" w:hAnsi="Bookman Old Style"/>
          <w:sz w:val="24"/>
          <w:szCs w:val="24"/>
        </w:rPr>
        <w:footnoteReference w:id="64"/>
      </w:r>
      <w:r w:rsidRPr="0014270C">
        <w:rPr>
          <w:rFonts w:ascii="Bookman Old Style" w:hAnsi="Bookman Old Style"/>
          <w:sz w:val="24"/>
          <w:szCs w:val="24"/>
        </w:rPr>
        <w:t xml:space="preserve"> </w:t>
      </w:r>
      <w:r w:rsidR="00DC29A4" w:rsidRPr="0014270C">
        <w:rPr>
          <w:rFonts w:ascii="Bookman Old Style" w:hAnsi="Bookman Old Style"/>
          <w:sz w:val="24"/>
          <w:szCs w:val="24"/>
        </w:rPr>
        <w:t>The study reviewed four housing sizes ranging from extra small to large</w:t>
      </w:r>
      <w:r w:rsidR="006763BD" w:rsidRPr="0014270C">
        <w:rPr>
          <w:rFonts w:ascii="Bookman Old Style" w:hAnsi="Bookman Old Style"/>
          <w:sz w:val="24"/>
          <w:szCs w:val="24"/>
        </w:rPr>
        <w:t xml:space="preserve">, finding the extra small home to have </w:t>
      </w:r>
      <w:r w:rsidR="00F755E3" w:rsidRPr="0014270C">
        <w:rPr>
          <w:rFonts w:ascii="Bookman Old Style" w:hAnsi="Bookman Old Style"/>
          <w:sz w:val="24"/>
          <w:szCs w:val="24"/>
        </w:rPr>
        <w:t xml:space="preserve">a </w:t>
      </w:r>
      <w:r w:rsidR="006763BD" w:rsidRPr="0014270C">
        <w:rPr>
          <w:rFonts w:ascii="Bookman Old Style" w:hAnsi="Bookman Old Style"/>
          <w:sz w:val="24"/>
          <w:szCs w:val="24"/>
        </w:rPr>
        <w:t xml:space="preserve">20-40% </w:t>
      </w:r>
      <w:r w:rsidR="00F755E3" w:rsidRPr="0014270C">
        <w:rPr>
          <w:rFonts w:ascii="Bookman Old Style" w:hAnsi="Bookman Old Style"/>
          <w:sz w:val="24"/>
          <w:szCs w:val="24"/>
        </w:rPr>
        <w:t>reduction in environmental impact compared to the medium sized home.</w:t>
      </w:r>
      <w:r w:rsidR="00CD43F6" w:rsidRPr="0014270C">
        <w:rPr>
          <w:rStyle w:val="FootnoteReference"/>
          <w:rFonts w:ascii="Bookman Old Style" w:hAnsi="Bookman Old Style"/>
          <w:sz w:val="24"/>
          <w:szCs w:val="24"/>
        </w:rPr>
        <w:footnoteReference w:id="65"/>
      </w:r>
      <w:r w:rsidR="00F755E3" w:rsidRPr="0014270C">
        <w:rPr>
          <w:rFonts w:ascii="Bookman Old Style" w:hAnsi="Bookman Old Style"/>
          <w:sz w:val="24"/>
          <w:szCs w:val="24"/>
        </w:rPr>
        <w:t xml:space="preserve"> </w:t>
      </w:r>
      <w:r w:rsidRPr="0014270C">
        <w:rPr>
          <w:rFonts w:ascii="Bookman Old Style" w:hAnsi="Bookman Old Style"/>
          <w:sz w:val="24"/>
          <w:szCs w:val="24"/>
        </w:rPr>
        <w:t xml:space="preserve">The results of this study </w:t>
      </w:r>
      <w:r w:rsidR="00CD43F6" w:rsidRPr="0014270C">
        <w:rPr>
          <w:rFonts w:ascii="Bookman Old Style" w:hAnsi="Bookman Old Style"/>
          <w:sz w:val="24"/>
          <w:szCs w:val="24"/>
        </w:rPr>
        <w:t xml:space="preserve">also </w:t>
      </w:r>
      <w:r w:rsidRPr="0014270C">
        <w:rPr>
          <w:rFonts w:ascii="Bookman Old Style" w:hAnsi="Bookman Old Style"/>
          <w:sz w:val="24"/>
          <w:szCs w:val="24"/>
        </w:rPr>
        <w:t xml:space="preserve">revealed that most potential benefits can be had in avoiding waste </w:t>
      </w:r>
      <w:r w:rsidR="00C343BB" w:rsidRPr="0014270C">
        <w:rPr>
          <w:rFonts w:ascii="Bookman Old Style" w:hAnsi="Bookman Old Style"/>
          <w:noProof/>
          <w:sz w:val="24"/>
          <w:szCs w:val="24"/>
        </w:rPr>
        <w:t>at</w:t>
      </w:r>
      <w:r w:rsidRPr="0014270C">
        <w:rPr>
          <w:rFonts w:ascii="Bookman Old Style" w:hAnsi="Bookman Old Style"/>
          <w:sz w:val="24"/>
          <w:szCs w:val="24"/>
        </w:rPr>
        <w:t xml:space="preserve"> the beginning of the life cycle. </w:t>
      </w:r>
      <w:r w:rsidR="00D829D2" w:rsidRPr="0014270C">
        <w:rPr>
          <w:rFonts w:ascii="Bookman Old Style" w:hAnsi="Bookman Old Style"/>
          <w:sz w:val="24"/>
          <w:szCs w:val="24"/>
        </w:rPr>
        <w:t xml:space="preserve">The study </w:t>
      </w:r>
      <w:r w:rsidRPr="0014270C">
        <w:rPr>
          <w:rFonts w:ascii="Bookman Old Style" w:hAnsi="Bookman Old Style"/>
          <w:sz w:val="24"/>
          <w:szCs w:val="24"/>
        </w:rPr>
        <w:t xml:space="preserve">concluded that reducing housing size was among the best options for minimizing waste while also achieving a variety of environmental benefits. </w:t>
      </w:r>
      <w:r w:rsidR="00A64513" w:rsidRPr="0014270C">
        <w:rPr>
          <w:rFonts w:ascii="Bookman Old Style" w:hAnsi="Bookman Old Style"/>
          <w:sz w:val="24"/>
          <w:szCs w:val="24"/>
        </w:rPr>
        <w:t>T</w:t>
      </w:r>
      <w:r w:rsidRPr="0014270C">
        <w:rPr>
          <w:rFonts w:ascii="Bookman Old Style" w:hAnsi="Bookman Old Style"/>
          <w:sz w:val="24"/>
          <w:szCs w:val="24"/>
        </w:rPr>
        <w:t xml:space="preserve">his study focused on decreasing the size of an average home, though </w:t>
      </w:r>
      <w:r w:rsidR="00A64513" w:rsidRPr="0014270C">
        <w:rPr>
          <w:rFonts w:ascii="Bookman Old Style" w:hAnsi="Bookman Old Style"/>
          <w:sz w:val="24"/>
          <w:szCs w:val="24"/>
        </w:rPr>
        <w:t xml:space="preserve">it also found that </w:t>
      </w:r>
      <w:r w:rsidRPr="0014270C">
        <w:rPr>
          <w:rFonts w:ascii="Bookman Old Style" w:hAnsi="Bookman Old Style"/>
          <w:sz w:val="24"/>
          <w:szCs w:val="24"/>
        </w:rPr>
        <w:t>increasing density and maintaining fewer possessions could present even better results.</w:t>
      </w:r>
      <w:r w:rsidR="00DC010F" w:rsidRPr="0014270C">
        <w:rPr>
          <w:rStyle w:val="FootnoteReference"/>
          <w:rFonts w:ascii="Bookman Old Style" w:hAnsi="Bookman Old Style"/>
          <w:sz w:val="24"/>
          <w:szCs w:val="24"/>
        </w:rPr>
        <w:footnoteReference w:id="66"/>
      </w:r>
      <w:r w:rsidR="00294E8F" w:rsidRPr="0014270C">
        <w:rPr>
          <w:rFonts w:ascii="Bookman Old Style" w:hAnsi="Bookman Old Style"/>
          <w:sz w:val="24"/>
          <w:szCs w:val="24"/>
        </w:rPr>
        <w:br/>
      </w:r>
      <w:r w:rsidR="00294E8F" w:rsidRPr="0014270C">
        <w:rPr>
          <w:rFonts w:ascii="Bookman Old Style" w:hAnsi="Bookman Old Style"/>
          <w:sz w:val="24"/>
          <w:szCs w:val="24"/>
        </w:rPr>
        <w:lastRenderedPageBreak/>
        <w:tab/>
      </w:r>
      <w:r w:rsidR="00643B4C" w:rsidRPr="0014270C">
        <w:rPr>
          <w:rFonts w:ascii="Bookman Old Style" w:hAnsi="Bookman Old Style"/>
          <w:sz w:val="24"/>
          <w:szCs w:val="24"/>
        </w:rPr>
        <w:t xml:space="preserve">Alex Wilson and Jessica </w:t>
      </w:r>
      <w:proofErr w:type="spellStart"/>
      <w:r w:rsidR="00643B4C" w:rsidRPr="0014270C">
        <w:rPr>
          <w:rFonts w:ascii="Bookman Old Style" w:hAnsi="Bookman Old Style"/>
          <w:sz w:val="24"/>
          <w:szCs w:val="24"/>
        </w:rPr>
        <w:t>Boehland</w:t>
      </w:r>
      <w:proofErr w:type="spellEnd"/>
      <w:r w:rsidR="000E36F2" w:rsidRPr="0014270C">
        <w:rPr>
          <w:rFonts w:ascii="Bookman Old Style" w:hAnsi="Bookman Old Style"/>
          <w:sz w:val="24"/>
          <w:szCs w:val="24"/>
        </w:rPr>
        <w:t xml:space="preserve"> performed a study on six houses in Boston, MA, and St. Louis, MO. </w:t>
      </w:r>
      <w:r w:rsidR="0052725F" w:rsidRPr="0014270C">
        <w:rPr>
          <w:rFonts w:ascii="Bookman Old Style" w:hAnsi="Bookman Old Style"/>
          <w:sz w:val="24"/>
          <w:szCs w:val="24"/>
        </w:rPr>
        <w:t xml:space="preserve">Two of the houses were </w:t>
      </w:r>
      <w:r w:rsidR="00A754EA" w:rsidRPr="0014270C">
        <w:rPr>
          <w:rFonts w:ascii="Bookman Old Style" w:hAnsi="Bookman Old Style"/>
          <w:sz w:val="24"/>
          <w:szCs w:val="24"/>
        </w:rPr>
        <w:t>3</w:t>
      </w:r>
      <w:r w:rsidR="0092086B" w:rsidRPr="0014270C">
        <w:rPr>
          <w:rFonts w:ascii="Bookman Old Style" w:hAnsi="Bookman Old Style"/>
          <w:sz w:val="24"/>
          <w:szCs w:val="24"/>
        </w:rPr>
        <w:t>,</w:t>
      </w:r>
      <w:r w:rsidR="00A754EA" w:rsidRPr="0014270C">
        <w:rPr>
          <w:rFonts w:ascii="Bookman Old Style" w:hAnsi="Bookman Old Style"/>
          <w:sz w:val="24"/>
          <w:szCs w:val="24"/>
        </w:rPr>
        <w:t xml:space="preserve">000 square feet (278.70 square meters) with good energy standards, </w:t>
      </w:r>
      <w:r w:rsidR="0092086B" w:rsidRPr="0014270C">
        <w:rPr>
          <w:rFonts w:ascii="Bookman Old Style" w:hAnsi="Bookman Old Style"/>
          <w:sz w:val="24"/>
          <w:szCs w:val="24"/>
        </w:rPr>
        <w:t>while four of the houses were 1,500 square feet (</w:t>
      </w:r>
      <w:r w:rsidR="00466041" w:rsidRPr="0014270C">
        <w:rPr>
          <w:rFonts w:ascii="Bookman Old Style" w:hAnsi="Bookman Old Style"/>
          <w:sz w:val="24"/>
          <w:szCs w:val="24"/>
        </w:rPr>
        <w:t>139.35 square meters) – two of them with good energy standards and two with poor standards.</w:t>
      </w:r>
      <w:r w:rsidR="00B55F7E" w:rsidRPr="0014270C">
        <w:rPr>
          <w:rFonts w:ascii="Bookman Old Style" w:hAnsi="Bookman Old Style"/>
          <w:sz w:val="24"/>
          <w:szCs w:val="24"/>
        </w:rPr>
        <w:t xml:space="preserve"> </w:t>
      </w:r>
      <w:r w:rsidR="00783AC3" w:rsidRPr="0014270C">
        <w:rPr>
          <w:rFonts w:ascii="Bookman Old Style" w:hAnsi="Bookman Old Style"/>
          <w:sz w:val="24"/>
          <w:szCs w:val="24"/>
        </w:rPr>
        <w:t xml:space="preserve">Wilson and </w:t>
      </w:r>
      <w:proofErr w:type="spellStart"/>
      <w:r w:rsidR="00783AC3" w:rsidRPr="0014270C">
        <w:rPr>
          <w:rFonts w:ascii="Bookman Old Style" w:hAnsi="Bookman Old Style"/>
          <w:sz w:val="24"/>
          <w:szCs w:val="24"/>
        </w:rPr>
        <w:t>Boehland</w:t>
      </w:r>
      <w:proofErr w:type="spellEnd"/>
      <w:r w:rsidR="00783AC3" w:rsidRPr="0014270C">
        <w:rPr>
          <w:rFonts w:ascii="Bookman Old Style" w:hAnsi="Bookman Old Style"/>
          <w:sz w:val="24"/>
          <w:szCs w:val="24"/>
        </w:rPr>
        <w:t xml:space="preserve"> </w:t>
      </w:r>
      <w:r w:rsidR="00B55F7E" w:rsidRPr="0014270C">
        <w:rPr>
          <w:rFonts w:ascii="Bookman Old Style" w:hAnsi="Bookman Old Style"/>
          <w:sz w:val="24"/>
          <w:szCs w:val="24"/>
        </w:rPr>
        <w:t xml:space="preserve">found that even the </w:t>
      </w:r>
      <w:r w:rsidR="00192DEF" w:rsidRPr="0014270C">
        <w:rPr>
          <w:rFonts w:ascii="Bookman Old Style" w:hAnsi="Bookman Old Style"/>
          <w:sz w:val="24"/>
          <w:szCs w:val="24"/>
        </w:rPr>
        <w:t>smaller houses with poor energy standards out-performed the well-insulated large houses</w:t>
      </w:r>
      <w:r w:rsidR="008728CE" w:rsidRPr="0014270C">
        <w:rPr>
          <w:rFonts w:ascii="Bookman Old Style" w:hAnsi="Bookman Old Style"/>
          <w:sz w:val="24"/>
          <w:szCs w:val="24"/>
        </w:rPr>
        <w:t xml:space="preserve"> in both heating and cooling</w:t>
      </w:r>
      <w:r w:rsidR="009811DC" w:rsidRPr="0014270C">
        <w:rPr>
          <w:rFonts w:ascii="Bookman Old Style" w:hAnsi="Bookman Old Style"/>
          <w:sz w:val="24"/>
          <w:szCs w:val="24"/>
        </w:rPr>
        <w:t xml:space="preserve"> cost</w:t>
      </w:r>
      <w:r w:rsidR="0071104F" w:rsidRPr="0014270C">
        <w:rPr>
          <w:rFonts w:ascii="Bookman Old Style" w:hAnsi="Bookman Old Style"/>
          <w:sz w:val="24"/>
          <w:szCs w:val="24"/>
        </w:rPr>
        <w:t xml:space="preserve"> and </w:t>
      </w:r>
      <w:r w:rsidR="005364D8" w:rsidRPr="0014270C">
        <w:rPr>
          <w:rFonts w:ascii="Bookman Old Style" w:hAnsi="Bookman Old Style"/>
          <w:sz w:val="24"/>
          <w:szCs w:val="24"/>
        </w:rPr>
        <w:t>amount of energy used</w:t>
      </w:r>
      <w:r w:rsidR="00192DEF" w:rsidRPr="0014270C">
        <w:rPr>
          <w:rFonts w:ascii="Bookman Old Style" w:hAnsi="Bookman Old Style"/>
          <w:sz w:val="24"/>
          <w:szCs w:val="24"/>
        </w:rPr>
        <w:t>.</w:t>
      </w:r>
      <w:r w:rsidR="00FB64B2" w:rsidRPr="0014270C">
        <w:rPr>
          <w:rStyle w:val="FootnoteReference"/>
          <w:rFonts w:ascii="Bookman Old Style" w:hAnsi="Bookman Old Style"/>
          <w:sz w:val="24"/>
          <w:szCs w:val="24"/>
        </w:rPr>
        <w:footnoteReference w:id="67"/>
      </w:r>
      <w:r w:rsidR="00192DEF" w:rsidRPr="0014270C">
        <w:rPr>
          <w:rFonts w:ascii="Bookman Old Style" w:hAnsi="Bookman Old Style"/>
          <w:sz w:val="24"/>
          <w:szCs w:val="24"/>
        </w:rPr>
        <w:t xml:space="preserve"> </w:t>
      </w:r>
      <w:r w:rsidR="00CC70A8" w:rsidRPr="0014270C">
        <w:rPr>
          <w:rFonts w:ascii="Bookman Old Style" w:hAnsi="Bookman Old Style"/>
          <w:sz w:val="24"/>
          <w:szCs w:val="24"/>
        </w:rPr>
        <w:t xml:space="preserve">This suggests that </w:t>
      </w:r>
      <w:r w:rsidR="00DC3C04" w:rsidRPr="0014270C">
        <w:rPr>
          <w:rFonts w:ascii="Bookman Old Style" w:hAnsi="Bookman Old Style"/>
          <w:sz w:val="24"/>
          <w:szCs w:val="24"/>
        </w:rPr>
        <w:t xml:space="preserve">dwelling size will always have a significant </w:t>
      </w:r>
      <w:r w:rsidR="00D64DE9" w:rsidRPr="0014270C">
        <w:rPr>
          <w:rFonts w:ascii="Bookman Old Style" w:hAnsi="Bookman Old Style"/>
          <w:sz w:val="24"/>
          <w:szCs w:val="24"/>
        </w:rPr>
        <w:t xml:space="preserve">contribution to </w:t>
      </w:r>
      <w:r w:rsidR="00472950" w:rsidRPr="0014270C">
        <w:rPr>
          <w:rFonts w:ascii="Bookman Old Style" w:hAnsi="Bookman Old Style"/>
          <w:sz w:val="24"/>
          <w:szCs w:val="24"/>
        </w:rPr>
        <w:t>cost a</w:t>
      </w:r>
      <w:r w:rsidR="00AD43B9" w:rsidRPr="0014270C">
        <w:rPr>
          <w:rFonts w:ascii="Bookman Old Style" w:hAnsi="Bookman Old Style"/>
          <w:sz w:val="24"/>
          <w:szCs w:val="24"/>
        </w:rPr>
        <w:t xml:space="preserve">s well as </w:t>
      </w:r>
      <w:r w:rsidR="00472950" w:rsidRPr="0014270C">
        <w:rPr>
          <w:rFonts w:ascii="Bookman Old Style" w:hAnsi="Bookman Old Style"/>
          <w:sz w:val="24"/>
          <w:szCs w:val="24"/>
        </w:rPr>
        <w:t>impact the unit has on the environment.</w:t>
      </w:r>
    </w:p>
    <w:p w14:paraId="2C6E7D45" w14:textId="77777777" w:rsidR="007B37A5" w:rsidRPr="0014270C" w:rsidRDefault="007B37A5" w:rsidP="007B37A5">
      <w:pPr>
        <w:spacing w:line="480" w:lineRule="auto"/>
        <w:ind w:firstLine="720"/>
        <w:rPr>
          <w:rFonts w:ascii="Bookman Old Style" w:hAnsi="Bookman Old Style"/>
          <w:sz w:val="24"/>
          <w:szCs w:val="24"/>
        </w:rPr>
      </w:pPr>
    </w:p>
    <w:p w14:paraId="7995D868" w14:textId="0AFE871C" w:rsidR="00141ADD" w:rsidRPr="0014270C" w:rsidRDefault="004C7E05" w:rsidP="00B93546">
      <w:pPr>
        <w:pStyle w:val="THESISLVL2"/>
      </w:pPr>
      <w:bookmarkStart w:id="25" w:name="_Toc8062263"/>
      <w:r w:rsidRPr="0014270C">
        <w:t>2.</w:t>
      </w:r>
      <w:r w:rsidR="00511F2E" w:rsidRPr="0014270C">
        <w:t>2</w:t>
      </w:r>
      <w:r w:rsidRPr="0014270C">
        <w:t xml:space="preserve"> </w:t>
      </w:r>
      <w:r w:rsidR="00BE1EFF" w:rsidRPr="0014270C">
        <w:t>Off-grid</w:t>
      </w:r>
      <w:r w:rsidRPr="0014270C">
        <w:t xml:space="preserve"> </w:t>
      </w:r>
      <w:r w:rsidR="00633CA4" w:rsidRPr="0014270C">
        <w:t>Technologies</w:t>
      </w:r>
      <w:bookmarkEnd w:id="25"/>
    </w:p>
    <w:p w14:paraId="22447E9A" w14:textId="3806A1B1" w:rsidR="00567DD7" w:rsidRPr="0014270C" w:rsidRDefault="00E2439A" w:rsidP="00B93546">
      <w:pPr>
        <w:pStyle w:val="THESISLVL3"/>
      </w:pPr>
      <w:bookmarkStart w:id="26" w:name="_Toc8062264"/>
      <w:r w:rsidRPr="0014270C">
        <w:t xml:space="preserve">Thermal </w:t>
      </w:r>
      <w:r w:rsidR="00567DD7" w:rsidRPr="0014270C">
        <w:t>R</w:t>
      </w:r>
      <w:r w:rsidRPr="0014270C">
        <w:t>egulation</w:t>
      </w:r>
      <w:bookmarkEnd w:id="26"/>
    </w:p>
    <w:p w14:paraId="5155C0A8" w14:textId="286CDB04" w:rsidR="00E2439A" w:rsidRPr="0014270C" w:rsidRDefault="0095779F" w:rsidP="00A1418F">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One of </w:t>
      </w:r>
      <w:r w:rsidR="00E2439A" w:rsidRPr="0014270C">
        <w:rPr>
          <w:rFonts w:ascii="Bookman Old Style" w:hAnsi="Bookman Old Style"/>
          <w:sz w:val="24"/>
          <w:szCs w:val="24"/>
        </w:rPr>
        <w:t>Frank Lloyd Wright’s last contribution</w:t>
      </w:r>
      <w:r w:rsidR="006139C9" w:rsidRPr="0014270C">
        <w:rPr>
          <w:rFonts w:ascii="Bookman Old Style" w:hAnsi="Bookman Old Style"/>
          <w:sz w:val="24"/>
          <w:szCs w:val="24"/>
        </w:rPr>
        <w:t>s</w:t>
      </w:r>
      <w:r w:rsidR="00E2439A" w:rsidRPr="0014270C">
        <w:rPr>
          <w:rFonts w:ascii="Bookman Old Style" w:hAnsi="Bookman Old Style"/>
          <w:sz w:val="24"/>
          <w:szCs w:val="24"/>
        </w:rPr>
        <w:t xml:space="preserve"> to American architecture was his vision of what he called the Usonian house, an affordable, comfortable home made with prefabricated materials </w:t>
      </w:r>
      <w:r w:rsidR="002B3A92" w:rsidRPr="0014270C">
        <w:rPr>
          <w:rFonts w:ascii="Bookman Old Style" w:hAnsi="Bookman Old Style"/>
          <w:sz w:val="24"/>
          <w:szCs w:val="24"/>
        </w:rPr>
        <w:t>that</w:t>
      </w:r>
      <w:r w:rsidR="00E2439A" w:rsidRPr="0014270C">
        <w:rPr>
          <w:rFonts w:ascii="Bookman Old Style" w:hAnsi="Bookman Old Style"/>
          <w:sz w:val="24"/>
          <w:szCs w:val="24"/>
        </w:rPr>
        <w:t xml:space="preserve"> focused on simplifying </w:t>
      </w:r>
      <w:r w:rsidR="00177B45" w:rsidRPr="0014270C">
        <w:rPr>
          <w:rFonts w:ascii="Bookman Old Style" w:hAnsi="Bookman Old Style"/>
          <w:sz w:val="24"/>
          <w:szCs w:val="24"/>
        </w:rPr>
        <w:t>thermal regulation</w:t>
      </w:r>
      <w:r w:rsidR="00E2439A" w:rsidRPr="0014270C">
        <w:rPr>
          <w:rFonts w:ascii="Bookman Old Style" w:hAnsi="Bookman Old Style"/>
          <w:sz w:val="24"/>
          <w:szCs w:val="24"/>
        </w:rPr>
        <w:t>, lighting, and sanitation.</w:t>
      </w:r>
      <w:r w:rsidR="00E2439A" w:rsidRPr="0014270C">
        <w:rPr>
          <w:rStyle w:val="FootnoteReference"/>
          <w:rFonts w:ascii="Bookman Old Style" w:hAnsi="Bookman Old Style"/>
          <w:sz w:val="24"/>
          <w:szCs w:val="24"/>
        </w:rPr>
        <w:footnoteReference w:id="68"/>
      </w:r>
      <w:r w:rsidR="00E2439A" w:rsidRPr="0014270C">
        <w:rPr>
          <w:rFonts w:ascii="Bookman Old Style" w:hAnsi="Bookman Old Style"/>
          <w:sz w:val="24"/>
          <w:szCs w:val="24"/>
        </w:rPr>
        <w:t xml:space="preserve"> Of Wright’s Usonian designs, one of his more unique concepts was the Solar Hemicycle, first used in Jacobs II.</w:t>
      </w:r>
      <w:r w:rsidR="00E2439A" w:rsidRPr="0014270C">
        <w:rPr>
          <w:rStyle w:val="FootnoteReference"/>
          <w:rFonts w:ascii="Bookman Old Style" w:hAnsi="Bookman Old Style"/>
          <w:sz w:val="24"/>
          <w:szCs w:val="24"/>
        </w:rPr>
        <w:footnoteReference w:id="69"/>
      </w:r>
      <w:r w:rsidR="00E2439A" w:rsidRPr="0014270C">
        <w:rPr>
          <w:rFonts w:ascii="Bookman Old Style" w:hAnsi="Bookman Old Style"/>
          <w:sz w:val="24"/>
          <w:szCs w:val="24"/>
        </w:rPr>
        <w:t xml:space="preserve"> The Solar Hemicycle applied natural cooling and passive solar techniques, using </w:t>
      </w:r>
      <w:r w:rsidR="00E2439A" w:rsidRPr="0014270C">
        <w:rPr>
          <w:rFonts w:ascii="Bookman Old Style" w:hAnsi="Bookman Old Style"/>
          <w:sz w:val="24"/>
          <w:szCs w:val="24"/>
        </w:rPr>
        <w:lastRenderedPageBreak/>
        <w:t xml:space="preserve">stone and earth to insulate from northerly winds and large windows </w:t>
      </w:r>
      <w:r w:rsidR="00234BEC" w:rsidRPr="0014270C">
        <w:rPr>
          <w:rFonts w:ascii="Bookman Old Style" w:hAnsi="Bookman Old Style"/>
          <w:sz w:val="24"/>
          <w:szCs w:val="24"/>
        </w:rPr>
        <w:t>oriented</w:t>
      </w:r>
      <w:r w:rsidR="00E2439A" w:rsidRPr="0014270C">
        <w:rPr>
          <w:rFonts w:ascii="Bookman Old Style" w:hAnsi="Bookman Old Style"/>
          <w:sz w:val="24"/>
          <w:szCs w:val="24"/>
        </w:rPr>
        <w:t xml:space="preserve"> to let in as much sun as was possible, both for light and heat.</w:t>
      </w:r>
      <w:r w:rsidR="006D7739" w:rsidRPr="0014270C">
        <w:rPr>
          <w:rStyle w:val="FootnoteReference"/>
          <w:rFonts w:ascii="Bookman Old Style" w:hAnsi="Bookman Old Style"/>
          <w:sz w:val="24"/>
          <w:szCs w:val="24"/>
        </w:rPr>
        <w:footnoteReference w:id="70"/>
      </w:r>
      <w:r w:rsidR="00E2439A" w:rsidRPr="0014270C">
        <w:rPr>
          <w:rFonts w:ascii="Bookman Old Style" w:hAnsi="Bookman Old Style"/>
          <w:sz w:val="24"/>
          <w:szCs w:val="24"/>
        </w:rPr>
        <w:t xml:space="preserve"> </w:t>
      </w:r>
    </w:p>
    <w:p w14:paraId="0B750865" w14:textId="1E4B8AAF" w:rsidR="00F13E34" w:rsidRPr="0014270C" w:rsidRDefault="00A773EB" w:rsidP="00A1418F">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In </w:t>
      </w:r>
      <w:r w:rsidR="00B47061" w:rsidRPr="0014270C">
        <w:rPr>
          <w:rFonts w:ascii="Bookman Old Style" w:hAnsi="Bookman Old Style"/>
          <w:sz w:val="24"/>
          <w:szCs w:val="24"/>
        </w:rPr>
        <w:t xml:space="preserve">J. Morrissey, T. Moore, and R.E. Horne’s </w:t>
      </w:r>
      <w:r w:rsidRPr="0014270C">
        <w:rPr>
          <w:rFonts w:ascii="Bookman Old Style" w:hAnsi="Bookman Old Style"/>
          <w:sz w:val="24"/>
          <w:szCs w:val="24"/>
        </w:rPr>
        <w:t xml:space="preserve">study done on </w:t>
      </w:r>
      <w:r w:rsidRPr="0014270C">
        <w:rPr>
          <w:rFonts w:ascii="Bookman Old Style" w:hAnsi="Bookman Old Style"/>
          <w:noProof/>
          <w:sz w:val="24"/>
          <w:szCs w:val="24"/>
        </w:rPr>
        <w:t>affordable</w:t>
      </w:r>
      <w:r w:rsidRPr="0014270C">
        <w:rPr>
          <w:rFonts w:ascii="Bookman Old Style" w:hAnsi="Bookman Old Style"/>
          <w:sz w:val="24"/>
          <w:szCs w:val="24"/>
        </w:rPr>
        <w:t xml:space="preserve"> passive solar design</w:t>
      </w:r>
      <w:r w:rsidR="00D474DF" w:rsidRPr="0014270C">
        <w:rPr>
          <w:rFonts w:ascii="Bookman Old Style" w:hAnsi="Bookman Old Style"/>
          <w:sz w:val="24"/>
          <w:szCs w:val="24"/>
        </w:rPr>
        <w:t>,</w:t>
      </w:r>
      <w:r w:rsidR="00C82023" w:rsidRPr="0014270C">
        <w:rPr>
          <w:rFonts w:ascii="Bookman Old Style" w:hAnsi="Bookman Old Style"/>
          <w:sz w:val="24"/>
          <w:szCs w:val="24"/>
        </w:rPr>
        <w:t xml:space="preserve"> </w:t>
      </w:r>
      <w:r w:rsidRPr="0014270C">
        <w:rPr>
          <w:rFonts w:ascii="Bookman Old Style" w:hAnsi="Bookman Old Style"/>
          <w:sz w:val="24"/>
          <w:szCs w:val="24"/>
        </w:rPr>
        <w:t xml:space="preserve">it is mentioned that </w:t>
      </w:r>
      <w:r w:rsidR="00DA7596" w:rsidRPr="0014270C">
        <w:rPr>
          <w:rFonts w:ascii="Bookman Old Style" w:hAnsi="Bookman Old Style"/>
          <w:sz w:val="24"/>
          <w:szCs w:val="24"/>
        </w:rPr>
        <w:t xml:space="preserve">builders often argue </w:t>
      </w:r>
      <w:r w:rsidR="00731C9D" w:rsidRPr="0014270C">
        <w:rPr>
          <w:rFonts w:ascii="Bookman Old Style" w:hAnsi="Bookman Old Style"/>
          <w:sz w:val="24"/>
          <w:szCs w:val="24"/>
        </w:rPr>
        <w:t>the limitations of building orientation in</w:t>
      </w:r>
      <w:r w:rsidR="00DA7596" w:rsidRPr="0014270C">
        <w:rPr>
          <w:rFonts w:ascii="Bookman Old Style" w:hAnsi="Bookman Old Style"/>
          <w:sz w:val="24"/>
          <w:szCs w:val="24"/>
        </w:rPr>
        <w:t xml:space="preserve"> utilizing </w:t>
      </w:r>
      <w:r w:rsidR="00C674DC" w:rsidRPr="0014270C">
        <w:rPr>
          <w:rFonts w:ascii="Bookman Old Style" w:hAnsi="Bookman Old Style"/>
          <w:sz w:val="24"/>
          <w:szCs w:val="24"/>
        </w:rPr>
        <w:t>this method of thermal regulation</w:t>
      </w:r>
      <w:r w:rsidR="00A6720D" w:rsidRPr="0014270C">
        <w:rPr>
          <w:rFonts w:ascii="Bookman Old Style" w:hAnsi="Bookman Old Style"/>
          <w:sz w:val="24"/>
          <w:szCs w:val="24"/>
        </w:rPr>
        <w:t xml:space="preserve"> </w:t>
      </w:r>
      <w:r w:rsidR="00E147AA" w:rsidRPr="0014270C">
        <w:rPr>
          <w:rFonts w:ascii="Bookman Old Style" w:hAnsi="Bookman Old Style"/>
          <w:sz w:val="24"/>
          <w:szCs w:val="24"/>
        </w:rPr>
        <w:t xml:space="preserve">because it </w:t>
      </w:r>
      <w:r w:rsidR="00731C9D" w:rsidRPr="0014270C">
        <w:rPr>
          <w:rFonts w:ascii="Bookman Old Style" w:hAnsi="Bookman Old Style"/>
          <w:sz w:val="24"/>
          <w:szCs w:val="24"/>
        </w:rPr>
        <w:t>requires a</w:t>
      </w:r>
      <w:r w:rsidR="00AE49B1" w:rsidRPr="0014270C">
        <w:rPr>
          <w:rFonts w:ascii="Bookman Old Style" w:hAnsi="Bookman Old Style"/>
          <w:sz w:val="24"/>
          <w:szCs w:val="24"/>
        </w:rPr>
        <w:t xml:space="preserve"> larger</w:t>
      </w:r>
      <w:r w:rsidR="00AA3E41" w:rsidRPr="0014270C">
        <w:rPr>
          <w:rFonts w:ascii="Bookman Old Style" w:hAnsi="Bookman Old Style"/>
          <w:sz w:val="24"/>
          <w:szCs w:val="24"/>
        </w:rPr>
        <w:t xml:space="preserve"> </w:t>
      </w:r>
      <w:r w:rsidR="00AE49B1" w:rsidRPr="0014270C">
        <w:rPr>
          <w:rFonts w:ascii="Bookman Old Style" w:hAnsi="Bookman Old Style"/>
          <w:sz w:val="24"/>
          <w:szCs w:val="24"/>
        </w:rPr>
        <w:t xml:space="preserve">portfolio of </w:t>
      </w:r>
      <w:r w:rsidR="00AA3E41" w:rsidRPr="0014270C">
        <w:rPr>
          <w:rFonts w:ascii="Bookman Old Style" w:hAnsi="Bookman Old Style"/>
          <w:sz w:val="24"/>
          <w:szCs w:val="24"/>
        </w:rPr>
        <w:t>design</w:t>
      </w:r>
      <w:r w:rsidR="005D2397" w:rsidRPr="0014270C">
        <w:rPr>
          <w:rFonts w:ascii="Bookman Old Style" w:hAnsi="Bookman Old Style"/>
          <w:sz w:val="24"/>
          <w:szCs w:val="24"/>
        </w:rPr>
        <w:t>s, creating additional cost</w:t>
      </w:r>
      <w:r w:rsidR="00AA3E41" w:rsidRPr="0014270C">
        <w:rPr>
          <w:rFonts w:ascii="Bookman Old Style" w:hAnsi="Bookman Old Style"/>
          <w:sz w:val="24"/>
          <w:szCs w:val="24"/>
        </w:rPr>
        <w:t>.</w:t>
      </w:r>
      <w:r w:rsidR="00034684" w:rsidRPr="0014270C">
        <w:rPr>
          <w:rStyle w:val="FootnoteReference"/>
          <w:rFonts w:ascii="Bookman Old Style" w:hAnsi="Bookman Old Style"/>
          <w:sz w:val="24"/>
          <w:szCs w:val="24"/>
        </w:rPr>
        <w:footnoteReference w:id="71"/>
      </w:r>
      <w:r w:rsidR="00AA3E41" w:rsidRPr="0014270C">
        <w:rPr>
          <w:rFonts w:ascii="Bookman Old Style" w:hAnsi="Bookman Old Style"/>
          <w:sz w:val="24"/>
          <w:szCs w:val="24"/>
        </w:rPr>
        <w:t xml:space="preserve"> </w:t>
      </w:r>
      <w:r w:rsidR="006C4B12" w:rsidRPr="0014270C">
        <w:rPr>
          <w:rFonts w:ascii="Bookman Old Style" w:hAnsi="Bookman Old Style"/>
          <w:sz w:val="24"/>
          <w:szCs w:val="24"/>
        </w:rPr>
        <w:t>However,</w:t>
      </w:r>
      <w:r w:rsidR="00D576CB" w:rsidRPr="0014270C">
        <w:rPr>
          <w:rFonts w:ascii="Bookman Old Style" w:hAnsi="Bookman Old Style"/>
          <w:sz w:val="24"/>
          <w:szCs w:val="24"/>
        </w:rPr>
        <w:t xml:space="preserve"> </w:t>
      </w:r>
      <w:r w:rsidR="006C4B12" w:rsidRPr="0014270C">
        <w:rPr>
          <w:rFonts w:ascii="Bookman Old Style" w:hAnsi="Bookman Old Style"/>
          <w:sz w:val="24"/>
          <w:szCs w:val="24"/>
        </w:rPr>
        <w:t>t</w:t>
      </w:r>
      <w:r w:rsidR="00AE49B1" w:rsidRPr="0014270C">
        <w:rPr>
          <w:rFonts w:ascii="Bookman Old Style" w:hAnsi="Bookman Old Style"/>
          <w:sz w:val="24"/>
          <w:szCs w:val="24"/>
        </w:rPr>
        <w:t xml:space="preserve">he researchers </w:t>
      </w:r>
      <w:r w:rsidR="006C4B12" w:rsidRPr="0014270C">
        <w:rPr>
          <w:rFonts w:ascii="Bookman Old Style" w:hAnsi="Bookman Old Style"/>
          <w:sz w:val="24"/>
          <w:szCs w:val="24"/>
        </w:rPr>
        <w:t xml:space="preserve">have shown that </w:t>
      </w:r>
      <w:r w:rsidR="00050426" w:rsidRPr="0014270C">
        <w:rPr>
          <w:rFonts w:ascii="Bookman Old Style" w:hAnsi="Bookman Old Style"/>
          <w:sz w:val="24"/>
          <w:szCs w:val="24"/>
        </w:rPr>
        <w:t>by spending the extra time</w:t>
      </w:r>
      <w:r w:rsidR="000173C0" w:rsidRPr="0014270C">
        <w:rPr>
          <w:rFonts w:ascii="Bookman Old Style" w:hAnsi="Bookman Old Style"/>
          <w:sz w:val="24"/>
          <w:szCs w:val="24"/>
        </w:rPr>
        <w:t xml:space="preserve"> (</w:t>
      </w:r>
      <w:r w:rsidR="00B47061" w:rsidRPr="0014270C">
        <w:rPr>
          <w:rFonts w:ascii="Bookman Old Style" w:hAnsi="Bookman Old Style"/>
          <w:sz w:val="24"/>
          <w:szCs w:val="24"/>
        </w:rPr>
        <w:t>i.e.</w:t>
      </w:r>
      <w:r w:rsidR="000173C0" w:rsidRPr="0014270C">
        <w:rPr>
          <w:rFonts w:ascii="Bookman Old Style" w:hAnsi="Bookman Old Style"/>
          <w:sz w:val="24"/>
          <w:szCs w:val="24"/>
        </w:rPr>
        <w:t xml:space="preserve"> money)</w:t>
      </w:r>
      <w:r w:rsidR="00050426" w:rsidRPr="0014270C">
        <w:rPr>
          <w:rFonts w:ascii="Bookman Old Style" w:hAnsi="Bookman Old Style"/>
          <w:sz w:val="24"/>
          <w:szCs w:val="24"/>
        </w:rPr>
        <w:t xml:space="preserve"> in the design stage, </w:t>
      </w:r>
      <w:r w:rsidR="001007FE" w:rsidRPr="0014270C">
        <w:rPr>
          <w:rFonts w:ascii="Bookman Old Style" w:hAnsi="Bookman Old Style"/>
          <w:sz w:val="24"/>
          <w:szCs w:val="24"/>
        </w:rPr>
        <w:t>a</w:t>
      </w:r>
      <w:r w:rsidR="00050426" w:rsidRPr="0014270C">
        <w:rPr>
          <w:rFonts w:ascii="Bookman Old Style" w:hAnsi="Bookman Old Style"/>
          <w:sz w:val="24"/>
          <w:szCs w:val="24"/>
        </w:rPr>
        <w:t xml:space="preserve"> more versatile </w:t>
      </w:r>
      <w:r w:rsidR="00877E28" w:rsidRPr="0014270C">
        <w:rPr>
          <w:rFonts w:ascii="Bookman Old Style" w:hAnsi="Bookman Old Style"/>
          <w:sz w:val="24"/>
          <w:szCs w:val="24"/>
        </w:rPr>
        <w:t>model</w:t>
      </w:r>
      <w:r w:rsidR="001007FE" w:rsidRPr="0014270C">
        <w:rPr>
          <w:rFonts w:ascii="Bookman Old Style" w:hAnsi="Bookman Old Style"/>
          <w:sz w:val="24"/>
          <w:szCs w:val="24"/>
        </w:rPr>
        <w:t xml:space="preserve"> can be constructed </w:t>
      </w:r>
      <w:r w:rsidR="002B3A92" w:rsidRPr="0014270C">
        <w:rPr>
          <w:rFonts w:ascii="Bookman Old Style" w:hAnsi="Bookman Old Style"/>
          <w:sz w:val="24"/>
          <w:szCs w:val="24"/>
        </w:rPr>
        <w:t>that</w:t>
      </w:r>
      <w:r w:rsidR="001007FE" w:rsidRPr="0014270C">
        <w:rPr>
          <w:rFonts w:ascii="Bookman Old Style" w:hAnsi="Bookman Old Style"/>
          <w:sz w:val="24"/>
          <w:szCs w:val="24"/>
        </w:rPr>
        <w:t xml:space="preserve"> performs</w:t>
      </w:r>
      <w:r w:rsidR="006846D8" w:rsidRPr="0014270C">
        <w:rPr>
          <w:rFonts w:ascii="Bookman Old Style" w:hAnsi="Bookman Old Style"/>
          <w:sz w:val="24"/>
          <w:szCs w:val="24"/>
        </w:rPr>
        <w:t xml:space="preserve"> at high energy efficiency across many different orientations</w:t>
      </w:r>
      <w:r w:rsidR="003A6953" w:rsidRPr="0014270C">
        <w:rPr>
          <w:rFonts w:ascii="Bookman Old Style" w:hAnsi="Bookman Old Style"/>
          <w:sz w:val="24"/>
          <w:szCs w:val="24"/>
        </w:rPr>
        <w:t xml:space="preserve"> thus reducing the</w:t>
      </w:r>
      <w:r w:rsidR="00E31E8B" w:rsidRPr="0014270C">
        <w:rPr>
          <w:rFonts w:ascii="Bookman Old Style" w:hAnsi="Bookman Old Style"/>
          <w:sz w:val="24"/>
          <w:szCs w:val="24"/>
        </w:rPr>
        <w:t xml:space="preserve"> need for an extensive portfolio and saving on cost</w:t>
      </w:r>
      <w:r w:rsidR="006846D8" w:rsidRPr="0014270C">
        <w:rPr>
          <w:rFonts w:ascii="Bookman Old Style" w:hAnsi="Bookman Old Style"/>
          <w:sz w:val="24"/>
          <w:szCs w:val="24"/>
        </w:rPr>
        <w:t>.</w:t>
      </w:r>
      <w:r w:rsidR="009F2F9C" w:rsidRPr="0014270C">
        <w:rPr>
          <w:rStyle w:val="FootnoteReference"/>
          <w:rFonts w:ascii="Bookman Old Style" w:hAnsi="Bookman Old Style"/>
          <w:sz w:val="24"/>
          <w:szCs w:val="24"/>
        </w:rPr>
        <w:footnoteReference w:id="72"/>
      </w:r>
      <w:r w:rsidR="006846D8" w:rsidRPr="0014270C">
        <w:rPr>
          <w:rFonts w:ascii="Bookman Old Style" w:hAnsi="Bookman Old Style"/>
          <w:sz w:val="24"/>
          <w:szCs w:val="24"/>
        </w:rPr>
        <w:t xml:space="preserve"> Further, it was discovered that </w:t>
      </w:r>
      <w:r w:rsidR="00BF2D8A" w:rsidRPr="0014270C">
        <w:rPr>
          <w:rFonts w:ascii="Bookman Old Style" w:hAnsi="Bookman Old Style"/>
          <w:sz w:val="24"/>
          <w:szCs w:val="24"/>
        </w:rPr>
        <w:t>housing size was a critical component in determining performance</w:t>
      </w:r>
      <w:r w:rsidR="005E775B" w:rsidRPr="0014270C">
        <w:rPr>
          <w:rFonts w:ascii="Bookman Old Style" w:hAnsi="Bookman Old Style"/>
          <w:sz w:val="24"/>
          <w:szCs w:val="24"/>
        </w:rPr>
        <w:t>,</w:t>
      </w:r>
      <w:r w:rsidR="00BF2D8A" w:rsidRPr="0014270C">
        <w:rPr>
          <w:rFonts w:ascii="Bookman Old Style" w:hAnsi="Bookman Old Style"/>
          <w:sz w:val="24"/>
          <w:szCs w:val="24"/>
        </w:rPr>
        <w:t xml:space="preserve"> as a smaller unit size </w:t>
      </w:r>
      <w:r w:rsidR="006C5E8C" w:rsidRPr="0014270C">
        <w:rPr>
          <w:rFonts w:ascii="Bookman Old Style" w:hAnsi="Bookman Old Style"/>
          <w:sz w:val="24"/>
          <w:szCs w:val="24"/>
        </w:rPr>
        <w:t>was found to be</w:t>
      </w:r>
      <w:r w:rsidR="00BD6208" w:rsidRPr="0014270C">
        <w:rPr>
          <w:rFonts w:ascii="Bookman Old Style" w:hAnsi="Bookman Old Style"/>
          <w:sz w:val="24"/>
          <w:szCs w:val="24"/>
        </w:rPr>
        <w:t xml:space="preserve"> easier to </w:t>
      </w:r>
      <w:r w:rsidR="004E66CB" w:rsidRPr="0014270C">
        <w:rPr>
          <w:rFonts w:ascii="Bookman Old Style" w:hAnsi="Bookman Old Style"/>
          <w:sz w:val="24"/>
          <w:szCs w:val="24"/>
        </w:rPr>
        <w:t xml:space="preserve">consistently </w:t>
      </w:r>
      <w:r w:rsidR="00BD6208" w:rsidRPr="0014270C">
        <w:rPr>
          <w:rFonts w:ascii="Bookman Old Style" w:hAnsi="Bookman Old Style"/>
          <w:sz w:val="24"/>
          <w:szCs w:val="24"/>
        </w:rPr>
        <w:t>maintain energy efficiency</w:t>
      </w:r>
      <w:r w:rsidR="007A35BF" w:rsidRPr="0014270C">
        <w:rPr>
          <w:rFonts w:ascii="Bookman Old Style" w:hAnsi="Bookman Old Style"/>
          <w:sz w:val="24"/>
          <w:szCs w:val="24"/>
        </w:rPr>
        <w:t xml:space="preserve"> </w:t>
      </w:r>
      <w:r w:rsidR="004E66CB" w:rsidRPr="0014270C">
        <w:rPr>
          <w:rFonts w:ascii="Bookman Old Style" w:hAnsi="Bookman Old Style"/>
          <w:sz w:val="24"/>
          <w:szCs w:val="24"/>
        </w:rPr>
        <w:t xml:space="preserve">across all models </w:t>
      </w:r>
      <w:r w:rsidR="007A35BF" w:rsidRPr="0014270C">
        <w:rPr>
          <w:rFonts w:ascii="Bookman Old Style" w:hAnsi="Bookman Old Style"/>
          <w:sz w:val="24"/>
          <w:szCs w:val="24"/>
        </w:rPr>
        <w:t xml:space="preserve">than larger </w:t>
      </w:r>
      <w:r w:rsidR="00CF610A" w:rsidRPr="0014270C">
        <w:rPr>
          <w:rFonts w:ascii="Bookman Old Style" w:hAnsi="Bookman Old Style"/>
          <w:sz w:val="24"/>
          <w:szCs w:val="24"/>
        </w:rPr>
        <w:t xml:space="preserve">model </w:t>
      </w:r>
      <w:r w:rsidR="004E66CB" w:rsidRPr="0014270C">
        <w:rPr>
          <w:rFonts w:ascii="Bookman Old Style" w:hAnsi="Bookman Old Style"/>
          <w:sz w:val="24"/>
          <w:szCs w:val="24"/>
        </w:rPr>
        <w:t>size</w:t>
      </w:r>
      <w:r w:rsidR="007A35BF" w:rsidRPr="0014270C">
        <w:rPr>
          <w:rFonts w:ascii="Bookman Old Style" w:hAnsi="Bookman Old Style"/>
          <w:sz w:val="24"/>
          <w:szCs w:val="24"/>
        </w:rPr>
        <w:t>s</w:t>
      </w:r>
      <w:r w:rsidR="0091105E" w:rsidRPr="0014270C">
        <w:rPr>
          <w:rFonts w:ascii="Bookman Old Style" w:hAnsi="Bookman Old Style"/>
          <w:sz w:val="24"/>
          <w:szCs w:val="24"/>
        </w:rPr>
        <w:t>.</w:t>
      </w:r>
      <w:r w:rsidR="00BB4085" w:rsidRPr="0014270C">
        <w:rPr>
          <w:rStyle w:val="FootnoteReference"/>
          <w:rFonts w:ascii="Bookman Old Style" w:hAnsi="Bookman Old Style"/>
          <w:sz w:val="24"/>
          <w:szCs w:val="24"/>
        </w:rPr>
        <w:footnoteReference w:id="73"/>
      </w:r>
      <w:r w:rsidR="0091105E" w:rsidRPr="0014270C">
        <w:rPr>
          <w:rFonts w:ascii="Bookman Old Style" w:hAnsi="Bookman Old Style"/>
          <w:sz w:val="24"/>
          <w:szCs w:val="24"/>
        </w:rPr>
        <w:t xml:space="preserve"> This study </w:t>
      </w:r>
      <w:r w:rsidR="00886423" w:rsidRPr="0014270C">
        <w:rPr>
          <w:rFonts w:ascii="Bookman Old Style" w:hAnsi="Bookman Old Style"/>
          <w:sz w:val="24"/>
          <w:szCs w:val="24"/>
        </w:rPr>
        <w:t xml:space="preserve">ultimately </w:t>
      </w:r>
      <w:r w:rsidR="00251C0D" w:rsidRPr="0014270C">
        <w:rPr>
          <w:rFonts w:ascii="Bookman Old Style" w:hAnsi="Bookman Old Style"/>
          <w:sz w:val="24"/>
          <w:szCs w:val="24"/>
        </w:rPr>
        <w:t xml:space="preserve">concludes </w:t>
      </w:r>
      <w:r w:rsidR="00251C0D" w:rsidRPr="0014270C">
        <w:rPr>
          <w:rFonts w:ascii="Bookman Old Style" w:hAnsi="Bookman Old Style"/>
          <w:noProof/>
          <w:sz w:val="24"/>
          <w:szCs w:val="24"/>
        </w:rPr>
        <w:t>that</w:t>
      </w:r>
      <w:r w:rsidR="00E12E93" w:rsidRPr="0014270C">
        <w:rPr>
          <w:rFonts w:ascii="Bookman Old Style" w:hAnsi="Bookman Old Style"/>
          <w:sz w:val="24"/>
          <w:szCs w:val="24"/>
        </w:rPr>
        <w:t xml:space="preserve"> in addition to </w:t>
      </w:r>
      <w:r w:rsidR="00D15E59" w:rsidRPr="0014270C">
        <w:rPr>
          <w:rFonts w:ascii="Bookman Old Style" w:hAnsi="Bookman Old Style"/>
          <w:sz w:val="24"/>
          <w:szCs w:val="24"/>
        </w:rPr>
        <w:t xml:space="preserve">providing housing with a lower environmental impact, </w:t>
      </w:r>
      <w:r w:rsidR="00886423" w:rsidRPr="0014270C">
        <w:rPr>
          <w:rFonts w:ascii="Bookman Old Style" w:hAnsi="Bookman Old Style"/>
          <w:sz w:val="24"/>
          <w:szCs w:val="24"/>
        </w:rPr>
        <w:t xml:space="preserve">saving money </w:t>
      </w:r>
      <w:r w:rsidR="00F76E52" w:rsidRPr="0014270C">
        <w:rPr>
          <w:rFonts w:ascii="Bookman Old Style" w:hAnsi="Bookman Old Style"/>
          <w:sz w:val="24"/>
          <w:szCs w:val="24"/>
        </w:rPr>
        <w:t xml:space="preserve">is possible </w:t>
      </w:r>
      <w:r w:rsidR="002A3C2F" w:rsidRPr="0014270C">
        <w:rPr>
          <w:rFonts w:ascii="Bookman Old Style" w:hAnsi="Bookman Old Style"/>
          <w:sz w:val="24"/>
          <w:szCs w:val="24"/>
        </w:rPr>
        <w:t>through</w:t>
      </w:r>
      <w:r w:rsidR="00F76E52" w:rsidRPr="0014270C">
        <w:rPr>
          <w:rFonts w:ascii="Bookman Old Style" w:hAnsi="Bookman Old Style"/>
          <w:sz w:val="24"/>
          <w:szCs w:val="24"/>
        </w:rPr>
        <w:t xml:space="preserve"> thoughtful design and innovation</w:t>
      </w:r>
      <w:r w:rsidR="002A3C2F" w:rsidRPr="0014270C">
        <w:rPr>
          <w:rFonts w:ascii="Bookman Old Style" w:hAnsi="Bookman Old Style"/>
          <w:sz w:val="24"/>
          <w:szCs w:val="24"/>
        </w:rPr>
        <w:t>.</w:t>
      </w:r>
      <w:r w:rsidR="00782224" w:rsidRPr="0014270C">
        <w:rPr>
          <w:rStyle w:val="FootnoteReference"/>
          <w:rFonts w:ascii="Bookman Old Style" w:hAnsi="Bookman Old Style"/>
          <w:sz w:val="24"/>
          <w:szCs w:val="24"/>
        </w:rPr>
        <w:footnoteReference w:id="74"/>
      </w:r>
    </w:p>
    <w:p w14:paraId="25AC97E1" w14:textId="418B1678" w:rsidR="005B4C5B" w:rsidRPr="0014270C" w:rsidRDefault="005F73A0" w:rsidP="008044A1">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Despite his unique utilization of passive </w:t>
      </w:r>
      <w:r w:rsidR="00494307" w:rsidRPr="0014270C">
        <w:rPr>
          <w:rFonts w:ascii="Bookman Old Style" w:hAnsi="Bookman Old Style"/>
          <w:sz w:val="24"/>
          <w:szCs w:val="24"/>
        </w:rPr>
        <w:t>design</w:t>
      </w:r>
      <w:r w:rsidRPr="0014270C">
        <w:rPr>
          <w:rFonts w:ascii="Bookman Old Style" w:hAnsi="Bookman Old Style"/>
          <w:sz w:val="24"/>
          <w:szCs w:val="24"/>
        </w:rPr>
        <w:t xml:space="preserve">, the </w:t>
      </w:r>
      <w:r w:rsidR="00402FDF" w:rsidRPr="0014270C">
        <w:rPr>
          <w:rFonts w:ascii="Bookman Old Style" w:hAnsi="Bookman Old Style"/>
          <w:sz w:val="24"/>
          <w:szCs w:val="24"/>
        </w:rPr>
        <w:t xml:space="preserve">original </w:t>
      </w:r>
      <w:r w:rsidRPr="0014270C">
        <w:rPr>
          <w:rFonts w:ascii="Bookman Old Style" w:hAnsi="Bookman Old Style"/>
          <w:sz w:val="24"/>
          <w:szCs w:val="24"/>
        </w:rPr>
        <w:t>concept does not belong to Frank Lloyd Wright</w:t>
      </w:r>
      <w:r w:rsidR="00C43EE5" w:rsidRPr="0014270C">
        <w:rPr>
          <w:rFonts w:ascii="Bookman Old Style" w:hAnsi="Bookman Old Style"/>
          <w:sz w:val="24"/>
          <w:szCs w:val="24"/>
        </w:rPr>
        <w:t xml:space="preserve"> or </w:t>
      </w:r>
      <w:r w:rsidR="00011FEC" w:rsidRPr="0014270C">
        <w:rPr>
          <w:rFonts w:ascii="Bookman Old Style" w:hAnsi="Bookman Old Style"/>
          <w:sz w:val="24"/>
          <w:szCs w:val="24"/>
        </w:rPr>
        <w:t xml:space="preserve">any of the </w:t>
      </w:r>
      <w:r w:rsidR="00C43EE5" w:rsidRPr="0014270C">
        <w:rPr>
          <w:rFonts w:ascii="Bookman Old Style" w:hAnsi="Bookman Old Style"/>
          <w:sz w:val="24"/>
          <w:szCs w:val="24"/>
        </w:rPr>
        <w:t>modern architects who have been u</w:t>
      </w:r>
      <w:r w:rsidR="00494307" w:rsidRPr="0014270C">
        <w:rPr>
          <w:rFonts w:ascii="Bookman Old Style" w:hAnsi="Bookman Old Style"/>
          <w:sz w:val="24"/>
          <w:szCs w:val="24"/>
        </w:rPr>
        <w:t>sing</w:t>
      </w:r>
      <w:r w:rsidR="00C43EE5" w:rsidRPr="0014270C">
        <w:rPr>
          <w:rFonts w:ascii="Bookman Old Style" w:hAnsi="Bookman Old Style"/>
          <w:sz w:val="24"/>
          <w:szCs w:val="24"/>
        </w:rPr>
        <w:t xml:space="preserve"> th</w:t>
      </w:r>
      <w:r w:rsidR="00CF370E" w:rsidRPr="0014270C">
        <w:rPr>
          <w:rFonts w:ascii="Bookman Old Style" w:hAnsi="Bookman Old Style"/>
          <w:sz w:val="24"/>
          <w:szCs w:val="24"/>
        </w:rPr>
        <w:t>ese</w:t>
      </w:r>
      <w:r w:rsidR="00C43EE5" w:rsidRPr="0014270C">
        <w:rPr>
          <w:rFonts w:ascii="Bookman Old Style" w:hAnsi="Bookman Old Style"/>
          <w:sz w:val="24"/>
          <w:szCs w:val="24"/>
        </w:rPr>
        <w:t xml:space="preserve"> technique</w:t>
      </w:r>
      <w:r w:rsidR="00CF370E" w:rsidRPr="0014270C">
        <w:rPr>
          <w:rFonts w:ascii="Bookman Old Style" w:hAnsi="Bookman Old Style"/>
          <w:sz w:val="24"/>
          <w:szCs w:val="24"/>
        </w:rPr>
        <w:t>s</w:t>
      </w:r>
      <w:r w:rsidR="00C43EE5" w:rsidRPr="0014270C">
        <w:rPr>
          <w:rFonts w:ascii="Bookman Old Style" w:hAnsi="Bookman Old Style"/>
          <w:sz w:val="24"/>
          <w:szCs w:val="24"/>
        </w:rPr>
        <w:t xml:space="preserve"> since the </w:t>
      </w:r>
      <w:r w:rsidR="00011FEC" w:rsidRPr="0014270C">
        <w:rPr>
          <w:rFonts w:ascii="Bookman Old Style" w:hAnsi="Bookman Old Style"/>
          <w:sz w:val="24"/>
          <w:szCs w:val="24"/>
        </w:rPr>
        <w:t xml:space="preserve">early </w:t>
      </w:r>
      <w:r w:rsidR="003874A4" w:rsidRPr="0014270C">
        <w:rPr>
          <w:rFonts w:ascii="Bookman Old Style" w:hAnsi="Bookman Old Style"/>
          <w:sz w:val="24"/>
          <w:szCs w:val="24"/>
        </w:rPr>
        <w:t>twentieth</w:t>
      </w:r>
      <w:r w:rsidR="00011FEC" w:rsidRPr="0014270C">
        <w:rPr>
          <w:rFonts w:ascii="Bookman Old Style" w:hAnsi="Bookman Old Style"/>
          <w:sz w:val="24"/>
          <w:szCs w:val="24"/>
        </w:rPr>
        <w:t xml:space="preserve"> century</w:t>
      </w:r>
      <w:r w:rsidRPr="0014270C">
        <w:rPr>
          <w:rFonts w:ascii="Bookman Old Style" w:hAnsi="Bookman Old Style"/>
          <w:sz w:val="24"/>
          <w:szCs w:val="24"/>
        </w:rPr>
        <w:t xml:space="preserve">; these natural methods of thermal regulation are something mankind has been using for </w:t>
      </w:r>
      <w:r w:rsidRPr="0014270C">
        <w:rPr>
          <w:rFonts w:ascii="Bookman Old Style" w:hAnsi="Bookman Old Style"/>
          <w:sz w:val="24"/>
          <w:szCs w:val="24"/>
        </w:rPr>
        <w:lastRenderedPageBreak/>
        <w:t xml:space="preserve">thousands of years, as John Perlin </w:t>
      </w:r>
      <w:r w:rsidR="00141BF6" w:rsidRPr="0014270C">
        <w:rPr>
          <w:rFonts w:ascii="Bookman Old Style" w:hAnsi="Bookman Old Style"/>
          <w:sz w:val="24"/>
          <w:szCs w:val="24"/>
        </w:rPr>
        <w:t>indicates</w:t>
      </w:r>
      <w:r w:rsidRPr="0014270C">
        <w:rPr>
          <w:rFonts w:ascii="Bookman Old Style" w:hAnsi="Bookman Old Style"/>
          <w:sz w:val="24"/>
          <w:szCs w:val="24"/>
        </w:rPr>
        <w:t xml:space="preserve"> in </w:t>
      </w:r>
      <w:r w:rsidRPr="0014270C">
        <w:rPr>
          <w:rFonts w:ascii="Bookman Old Style" w:hAnsi="Bookman Old Style"/>
          <w:i/>
          <w:sz w:val="24"/>
          <w:szCs w:val="24"/>
        </w:rPr>
        <w:t>History of Solar Energy</w:t>
      </w:r>
      <w:r w:rsidRPr="0014270C">
        <w:rPr>
          <w:rFonts w:ascii="Bookman Old Style" w:hAnsi="Bookman Old Style"/>
          <w:sz w:val="24"/>
          <w:szCs w:val="24"/>
        </w:rPr>
        <w:t xml:space="preserve">. </w:t>
      </w:r>
      <w:r w:rsidR="00FA45A0" w:rsidRPr="0014270C">
        <w:rPr>
          <w:rFonts w:ascii="Bookman Old Style" w:hAnsi="Bookman Old Style"/>
          <w:sz w:val="24"/>
          <w:szCs w:val="24"/>
        </w:rPr>
        <w:t xml:space="preserve">In ancient Greece, </w:t>
      </w:r>
      <w:r w:rsidR="00343F5A" w:rsidRPr="0014270C">
        <w:rPr>
          <w:rFonts w:ascii="Bookman Old Style" w:hAnsi="Bookman Old Style"/>
          <w:sz w:val="24"/>
          <w:szCs w:val="24"/>
        </w:rPr>
        <w:t xml:space="preserve">the cities of Colophon, Olynthus, and Priene </w:t>
      </w:r>
      <w:proofErr w:type="gramStart"/>
      <w:r w:rsidR="00343F5A" w:rsidRPr="0014270C">
        <w:rPr>
          <w:rFonts w:ascii="Bookman Old Style" w:hAnsi="Bookman Old Style"/>
          <w:sz w:val="24"/>
          <w:szCs w:val="24"/>
        </w:rPr>
        <w:t>were designed</w:t>
      </w:r>
      <w:proofErr w:type="gramEnd"/>
      <w:r w:rsidR="00343F5A" w:rsidRPr="0014270C">
        <w:rPr>
          <w:rFonts w:ascii="Bookman Old Style" w:hAnsi="Bookman Old Style"/>
          <w:sz w:val="24"/>
          <w:szCs w:val="24"/>
        </w:rPr>
        <w:t xml:space="preserve"> in such a way to allow every </w:t>
      </w:r>
      <w:r w:rsidR="00CB243C" w:rsidRPr="0014270C">
        <w:rPr>
          <w:rFonts w:ascii="Bookman Old Style" w:hAnsi="Bookman Old Style"/>
          <w:sz w:val="24"/>
          <w:szCs w:val="24"/>
        </w:rPr>
        <w:t>resident</w:t>
      </w:r>
      <w:r w:rsidR="00343F5A" w:rsidRPr="0014270C">
        <w:rPr>
          <w:rFonts w:ascii="Bookman Old Style" w:hAnsi="Bookman Old Style"/>
          <w:sz w:val="24"/>
          <w:szCs w:val="24"/>
        </w:rPr>
        <w:t xml:space="preserve"> </w:t>
      </w:r>
      <w:r w:rsidR="00CB243C" w:rsidRPr="0014270C">
        <w:rPr>
          <w:rFonts w:ascii="Bookman Old Style" w:hAnsi="Bookman Old Style"/>
          <w:sz w:val="24"/>
          <w:szCs w:val="24"/>
        </w:rPr>
        <w:t>access to passive solar heating for their homes during the winter.</w:t>
      </w:r>
      <w:r w:rsidR="00AA71A5" w:rsidRPr="0014270C">
        <w:rPr>
          <w:rFonts w:ascii="Bookman Old Style" w:hAnsi="Bookman Old Style"/>
          <w:sz w:val="24"/>
          <w:szCs w:val="24"/>
        </w:rPr>
        <w:t xml:space="preserve"> The building orientation and design of these structures allowed </w:t>
      </w:r>
      <w:r w:rsidR="006562FF" w:rsidRPr="0014270C">
        <w:rPr>
          <w:rFonts w:ascii="Bookman Old Style" w:hAnsi="Bookman Old Style"/>
          <w:sz w:val="24"/>
          <w:szCs w:val="24"/>
        </w:rPr>
        <w:t xml:space="preserve">every home to face south, exposing them to </w:t>
      </w:r>
      <w:r w:rsidR="00925290" w:rsidRPr="0014270C">
        <w:rPr>
          <w:rFonts w:ascii="Bookman Old Style" w:hAnsi="Bookman Old Style"/>
          <w:sz w:val="24"/>
          <w:szCs w:val="24"/>
        </w:rPr>
        <w:t>the l</w:t>
      </w:r>
      <w:r w:rsidR="000F5936" w:rsidRPr="0014270C">
        <w:rPr>
          <w:rFonts w:ascii="Bookman Old Style" w:hAnsi="Bookman Old Style"/>
          <w:sz w:val="24"/>
          <w:szCs w:val="24"/>
        </w:rPr>
        <w:t>ow hanging sun in the colder months.</w:t>
      </w:r>
      <w:r w:rsidR="00CF766E" w:rsidRPr="0014270C">
        <w:rPr>
          <w:rStyle w:val="FootnoteReference"/>
          <w:rFonts w:ascii="Bookman Old Style" w:hAnsi="Bookman Old Style"/>
          <w:sz w:val="24"/>
          <w:szCs w:val="24"/>
        </w:rPr>
        <w:footnoteReference w:id="75"/>
      </w:r>
      <w:r w:rsidR="00CB243C" w:rsidRPr="0014270C">
        <w:rPr>
          <w:rFonts w:ascii="Bookman Old Style" w:hAnsi="Bookman Old Style"/>
          <w:sz w:val="24"/>
          <w:szCs w:val="24"/>
        </w:rPr>
        <w:t xml:space="preserve"> </w:t>
      </w:r>
      <w:r w:rsidR="00D24EE4" w:rsidRPr="0014270C">
        <w:rPr>
          <w:rFonts w:ascii="Bookman Old Style" w:hAnsi="Bookman Old Style"/>
          <w:sz w:val="24"/>
          <w:szCs w:val="24"/>
        </w:rPr>
        <w:t xml:space="preserve">Perlin goes on to explain how the ancient Romans improved upon the </w:t>
      </w:r>
      <w:r w:rsidR="002B2FE0" w:rsidRPr="0014270C">
        <w:rPr>
          <w:rFonts w:ascii="Bookman Old Style" w:hAnsi="Bookman Old Style"/>
          <w:sz w:val="24"/>
          <w:szCs w:val="24"/>
        </w:rPr>
        <w:t xml:space="preserve">usage of passive solar by adding mica or glass </w:t>
      </w:r>
      <w:r w:rsidR="007B63AF" w:rsidRPr="0014270C">
        <w:rPr>
          <w:rFonts w:ascii="Bookman Old Style" w:hAnsi="Bookman Old Style"/>
          <w:sz w:val="24"/>
          <w:szCs w:val="24"/>
        </w:rPr>
        <w:t>to south-facing windows, allowing heat from the sun to become trapped</w:t>
      </w:r>
      <w:r w:rsidR="007A4A74" w:rsidRPr="0014270C">
        <w:rPr>
          <w:rFonts w:ascii="Bookman Old Style" w:hAnsi="Bookman Old Style"/>
          <w:sz w:val="24"/>
          <w:szCs w:val="24"/>
        </w:rPr>
        <w:t xml:space="preserve"> in the building, as heat is unable to easily escape through </w:t>
      </w:r>
      <w:r w:rsidR="00277927" w:rsidRPr="0014270C">
        <w:rPr>
          <w:rFonts w:ascii="Bookman Old Style" w:hAnsi="Bookman Old Style"/>
          <w:sz w:val="24"/>
          <w:szCs w:val="24"/>
        </w:rPr>
        <w:t>the glass window coverings.</w:t>
      </w:r>
      <w:r w:rsidR="006D2C7D" w:rsidRPr="0014270C">
        <w:rPr>
          <w:rStyle w:val="FootnoteReference"/>
          <w:rFonts w:ascii="Bookman Old Style" w:hAnsi="Bookman Old Style"/>
          <w:sz w:val="24"/>
          <w:szCs w:val="24"/>
        </w:rPr>
        <w:footnoteReference w:id="76"/>
      </w:r>
      <w:r w:rsidR="009347FF" w:rsidRPr="0014270C">
        <w:rPr>
          <w:rFonts w:ascii="Bookman Old Style" w:hAnsi="Bookman Old Style"/>
          <w:sz w:val="24"/>
          <w:szCs w:val="24"/>
        </w:rPr>
        <w:t xml:space="preserve"> Across the ocean, in Indigenous America, na</w:t>
      </w:r>
      <w:r w:rsidR="00102292" w:rsidRPr="0014270C">
        <w:rPr>
          <w:rFonts w:ascii="Bookman Old Style" w:hAnsi="Bookman Old Style"/>
          <w:sz w:val="24"/>
          <w:szCs w:val="24"/>
        </w:rPr>
        <w:t xml:space="preserve">tive people were experimenting with the same technologies. </w:t>
      </w:r>
      <w:r w:rsidR="00FE2D10" w:rsidRPr="0014270C">
        <w:rPr>
          <w:rFonts w:ascii="Bookman Old Style" w:hAnsi="Bookman Old Style"/>
          <w:sz w:val="24"/>
          <w:szCs w:val="24"/>
        </w:rPr>
        <w:t>The Pueblo people</w:t>
      </w:r>
      <w:r w:rsidR="00345950" w:rsidRPr="0014270C">
        <w:rPr>
          <w:rFonts w:ascii="Bookman Old Style" w:hAnsi="Bookman Old Style"/>
          <w:sz w:val="24"/>
          <w:szCs w:val="24"/>
        </w:rPr>
        <w:t>, who have been living in Acoma</w:t>
      </w:r>
      <w:r w:rsidR="00914B40" w:rsidRPr="0014270C">
        <w:rPr>
          <w:rFonts w:ascii="Bookman Old Style" w:hAnsi="Bookman Old Style"/>
          <w:sz w:val="24"/>
          <w:szCs w:val="24"/>
        </w:rPr>
        <w:t xml:space="preserve"> since the 12</w:t>
      </w:r>
      <w:r w:rsidR="00914B40" w:rsidRPr="0014270C">
        <w:rPr>
          <w:rFonts w:ascii="Bookman Old Style" w:hAnsi="Bookman Old Style"/>
          <w:sz w:val="24"/>
          <w:szCs w:val="24"/>
          <w:vertAlign w:val="superscript"/>
        </w:rPr>
        <w:t xml:space="preserve">th </w:t>
      </w:r>
      <w:r w:rsidR="00914B40" w:rsidRPr="0014270C">
        <w:rPr>
          <w:rFonts w:ascii="Bookman Old Style" w:hAnsi="Bookman Old Style"/>
          <w:sz w:val="24"/>
          <w:szCs w:val="24"/>
        </w:rPr>
        <w:t>century</w:t>
      </w:r>
      <w:r w:rsidR="00262952" w:rsidRPr="0014270C">
        <w:rPr>
          <w:rFonts w:ascii="Bookman Old Style" w:hAnsi="Bookman Old Style"/>
          <w:sz w:val="24"/>
          <w:szCs w:val="24"/>
        </w:rPr>
        <w:t>,</w:t>
      </w:r>
      <w:r w:rsidR="00345950" w:rsidRPr="0014270C">
        <w:rPr>
          <w:rFonts w:ascii="Bookman Old Style" w:hAnsi="Bookman Old Style"/>
          <w:sz w:val="24"/>
          <w:szCs w:val="24"/>
        </w:rPr>
        <w:t xml:space="preserve"> </w:t>
      </w:r>
      <w:r w:rsidR="00914B40" w:rsidRPr="0014270C">
        <w:rPr>
          <w:rFonts w:ascii="Bookman Old Style" w:hAnsi="Bookman Old Style"/>
          <w:sz w:val="24"/>
          <w:szCs w:val="24"/>
        </w:rPr>
        <w:t xml:space="preserve">located </w:t>
      </w:r>
      <w:r w:rsidR="00262952" w:rsidRPr="0014270C">
        <w:rPr>
          <w:rFonts w:ascii="Bookman Old Style" w:hAnsi="Bookman Old Style"/>
          <w:sz w:val="24"/>
          <w:szCs w:val="24"/>
        </w:rPr>
        <w:t>in what is now New Mexico,</w:t>
      </w:r>
      <w:r w:rsidR="00345950" w:rsidRPr="0014270C">
        <w:rPr>
          <w:rFonts w:ascii="Bookman Old Style" w:hAnsi="Bookman Old Style"/>
          <w:sz w:val="24"/>
          <w:szCs w:val="24"/>
        </w:rPr>
        <w:t xml:space="preserve"> built stacked </w:t>
      </w:r>
      <w:r w:rsidR="000A6F3F" w:rsidRPr="0014270C">
        <w:rPr>
          <w:rFonts w:ascii="Bookman Old Style" w:hAnsi="Bookman Old Style"/>
          <w:sz w:val="24"/>
          <w:szCs w:val="24"/>
        </w:rPr>
        <w:t xml:space="preserve">units allowing exposure to the </w:t>
      </w:r>
      <w:r w:rsidR="007F153C" w:rsidRPr="0014270C">
        <w:rPr>
          <w:rFonts w:ascii="Bookman Old Style" w:hAnsi="Bookman Old Style"/>
          <w:sz w:val="24"/>
          <w:szCs w:val="24"/>
        </w:rPr>
        <w:t xml:space="preserve">southern sun in the same way the ancient Grecians and Romans oriented their structures. </w:t>
      </w:r>
      <w:r w:rsidR="00D85826" w:rsidRPr="0014270C">
        <w:rPr>
          <w:rFonts w:ascii="Bookman Old Style" w:hAnsi="Bookman Old Style"/>
          <w:sz w:val="24"/>
          <w:szCs w:val="24"/>
        </w:rPr>
        <w:t xml:space="preserve">The </w:t>
      </w:r>
      <w:r w:rsidR="00151AC5" w:rsidRPr="0014270C">
        <w:rPr>
          <w:rFonts w:ascii="Bookman Old Style" w:hAnsi="Bookman Old Style"/>
          <w:sz w:val="24"/>
          <w:szCs w:val="24"/>
        </w:rPr>
        <w:t xml:space="preserve">houses were constructed out of adobe, a </w:t>
      </w:r>
      <w:r w:rsidR="00DD3F4C" w:rsidRPr="0014270C">
        <w:rPr>
          <w:rFonts w:ascii="Bookman Old Style" w:hAnsi="Bookman Old Style"/>
          <w:sz w:val="24"/>
          <w:szCs w:val="24"/>
        </w:rPr>
        <w:t xml:space="preserve">brick made from </w:t>
      </w:r>
      <w:r w:rsidR="00950EE4" w:rsidRPr="0014270C">
        <w:rPr>
          <w:rFonts w:ascii="Bookman Old Style" w:hAnsi="Bookman Old Style"/>
          <w:sz w:val="24"/>
          <w:szCs w:val="24"/>
        </w:rPr>
        <w:t xml:space="preserve">earth and natural materials, </w:t>
      </w:r>
      <w:r w:rsidR="00BB17EA" w:rsidRPr="0014270C">
        <w:rPr>
          <w:rFonts w:ascii="Bookman Old Style" w:hAnsi="Bookman Old Style"/>
          <w:sz w:val="24"/>
          <w:szCs w:val="24"/>
        </w:rPr>
        <w:t>allowing</w:t>
      </w:r>
      <w:r w:rsidR="00950EE4" w:rsidRPr="0014270C">
        <w:rPr>
          <w:rFonts w:ascii="Bookman Old Style" w:hAnsi="Bookman Old Style"/>
          <w:sz w:val="24"/>
          <w:szCs w:val="24"/>
        </w:rPr>
        <w:t xml:space="preserve"> heat to </w:t>
      </w:r>
      <w:r w:rsidR="005461D8" w:rsidRPr="0014270C">
        <w:rPr>
          <w:rFonts w:ascii="Bookman Old Style" w:hAnsi="Bookman Old Style"/>
          <w:sz w:val="24"/>
          <w:szCs w:val="24"/>
        </w:rPr>
        <w:t>work its way slowly into the home as night approache</w:t>
      </w:r>
      <w:r w:rsidR="00914B40" w:rsidRPr="0014270C">
        <w:rPr>
          <w:rFonts w:ascii="Bookman Old Style" w:hAnsi="Bookman Old Style"/>
          <w:sz w:val="24"/>
          <w:szCs w:val="24"/>
        </w:rPr>
        <w:t>d</w:t>
      </w:r>
      <w:r w:rsidR="005461D8" w:rsidRPr="0014270C">
        <w:rPr>
          <w:rFonts w:ascii="Bookman Old Style" w:hAnsi="Bookman Old Style"/>
          <w:sz w:val="24"/>
          <w:szCs w:val="24"/>
        </w:rPr>
        <w:t>.</w:t>
      </w:r>
      <w:r w:rsidR="00B46837" w:rsidRPr="0014270C">
        <w:rPr>
          <w:rStyle w:val="FootnoteReference"/>
          <w:rFonts w:ascii="Bookman Old Style" w:hAnsi="Bookman Old Style"/>
          <w:sz w:val="24"/>
          <w:szCs w:val="24"/>
        </w:rPr>
        <w:footnoteReference w:id="77"/>
      </w:r>
      <w:r w:rsidR="005461D8" w:rsidRPr="0014270C">
        <w:rPr>
          <w:rFonts w:ascii="Bookman Old Style" w:hAnsi="Bookman Old Style"/>
          <w:sz w:val="24"/>
          <w:szCs w:val="24"/>
        </w:rPr>
        <w:t xml:space="preserve"> </w:t>
      </w:r>
      <w:r w:rsidR="00A65729" w:rsidRPr="0014270C">
        <w:rPr>
          <w:rFonts w:ascii="Bookman Old Style" w:hAnsi="Bookman Old Style"/>
          <w:sz w:val="24"/>
          <w:szCs w:val="24"/>
        </w:rPr>
        <w:t>As Perlin has shown in his study, t</w:t>
      </w:r>
      <w:r w:rsidR="00914B40" w:rsidRPr="0014270C">
        <w:rPr>
          <w:rFonts w:ascii="Bookman Old Style" w:hAnsi="Bookman Old Style"/>
          <w:sz w:val="24"/>
          <w:szCs w:val="24"/>
        </w:rPr>
        <w:t xml:space="preserve">hese ancient cultures </w:t>
      </w:r>
      <w:r w:rsidR="00B83F4C" w:rsidRPr="0014270C">
        <w:rPr>
          <w:rFonts w:ascii="Bookman Old Style" w:hAnsi="Bookman Old Style"/>
          <w:sz w:val="24"/>
          <w:szCs w:val="24"/>
        </w:rPr>
        <w:t>have proven throughout history the effectiveness of passive solar energy</w:t>
      </w:r>
      <w:r w:rsidR="00594812" w:rsidRPr="0014270C">
        <w:rPr>
          <w:rFonts w:ascii="Bookman Old Style" w:hAnsi="Bookman Old Style"/>
          <w:sz w:val="24"/>
          <w:szCs w:val="24"/>
        </w:rPr>
        <w:t>, allowing</w:t>
      </w:r>
      <w:r w:rsidR="008031A2" w:rsidRPr="0014270C">
        <w:rPr>
          <w:rFonts w:ascii="Bookman Old Style" w:hAnsi="Bookman Old Style"/>
          <w:sz w:val="24"/>
          <w:szCs w:val="24"/>
        </w:rPr>
        <w:t xml:space="preserve"> Frank Lloyd Wright and </w:t>
      </w:r>
      <w:r w:rsidR="009C5A15" w:rsidRPr="0014270C">
        <w:rPr>
          <w:rFonts w:ascii="Bookman Old Style" w:hAnsi="Bookman Old Style"/>
          <w:sz w:val="24"/>
          <w:szCs w:val="24"/>
        </w:rPr>
        <w:t xml:space="preserve">other contemporary architects </w:t>
      </w:r>
      <w:r w:rsidR="00594812" w:rsidRPr="0014270C">
        <w:rPr>
          <w:rFonts w:ascii="Bookman Old Style" w:hAnsi="Bookman Old Style"/>
          <w:sz w:val="24"/>
          <w:szCs w:val="24"/>
        </w:rPr>
        <w:t xml:space="preserve">to </w:t>
      </w:r>
      <w:r w:rsidR="009C5A15" w:rsidRPr="0014270C">
        <w:rPr>
          <w:rFonts w:ascii="Bookman Old Style" w:hAnsi="Bookman Old Style"/>
          <w:sz w:val="24"/>
          <w:szCs w:val="24"/>
        </w:rPr>
        <w:t>carry</w:t>
      </w:r>
      <w:r w:rsidR="00594812" w:rsidRPr="0014270C">
        <w:rPr>
          <w:rFonts w:ascii="Bookman Old Style" w:hAnsi="Bookman Old Style"/>
          <w:sz w:val="24"/>
          <w:szCs w:val="24"/>
        </w:rPr>
        <w:t xml:space="preserve"> </w:t>
      </w:r>
      <w:r w:rsidR="009C5A15" w:rsidRPr="0014270C">
        <w:rPr>
          <w:rFonts w:ascii="Bookman Old Style" w:hAnsi="Bookman Old Style"/>
          <w:sz w:val="24"/>
          <w:szCs w:val="24"/>
        </w:rPr>
        <w:t xml:space="preserve">the tradition into modern centuries. </w:t>
      </w:r>
      <w:r w:rsidR="00B83F4C" w:rsidRPr="0014270C">
        <w:rPr>
          <w:rFonts w:ascii="Bookman Old Style" w:hAnsi="Bookman Old Style"/>
          <w:sz w:val="24"/>
          <w:szCs w:val="24"/>
        </w:rPr>
        <w:t xml:space="preserve"> </w:t>
      </w:r>
    </w:p>
    <w:p w14:paraId="242BDC7B" w14:textId="04B25D87" w:rsidR="009C5DBB" w:rsidRPr="0014270C" w:rsidRDefault="00280DE2" w:rsidP="008044A1">
      <w:pPr>
        <w:spacing w:line="480" w:lineRule="auto"/>
        <w:ind w:firstLine="720"/>
        <w:rPr>
          <w:rFonts w:ascii="Bookman Old Style" w:hAnsi="Bookman Old Style"/>
          <w:sz w:val="24"/>
          <w:szCs w:val="24"/>
        </w:rPr>
      </w:pPr>
      <w:r w:rsidRPr="0014270C">
        <w:rPr>
          <w:rFonts w:ascii="Bookman Old Style" w:hAnsi="Bookman Old Style"/>
          <w:sz w:val="24"/>
          <w:szCs w:val="24"/>
        </w:rPr>
        <w:lastRenderedPageBreak/>
        <w:t>While</w:t>
      </w:r>
      <w:r w:rsidR="001D46DF" w:rsidRPr="0014270C">
        <w:rPr>
          <w:rFonts w:ascii="Bookman Old Style" w:hAnsi="Bookman Old Style"/>
          <w:sz w:val="24"/>
          <w:szCs w:val="24"/>
        </w:rPr>
        <w:t xml:space="preserve"> </w:t>
      </w:r>
      <w:r w:rsidR="000F5643" w:rsidRPr="0014270C">
        <w:rPr>
          <w:rFonts w:ascii="Bookman Old Style" w:hAnsi="Bookman Old Style"/>
          <w:sz w:val="24"/>
          <w:szCs w:val="24"/>
        </w:rPr>
        <w:t xml:space="preserve">harnessing heat </w:t>
      </w:r>
      <w:r w:rsidR="001D46DF" w:rsidRPr="0014270C">
        <w:rPr>
          <w:rFonts w:ascii="Bookman Old Style" w:hAnsi="Bookman Old Style"/>
          <w:sz w:val="24"/>
          <w:szCs w:val="24"/>
        </w:rPr>
        <w:t xml:space="preserve">is a critical component of passive design, </w:t>
      </w:r>
      <w:r w:rsidR="00613E7C" w:rsidRPr="0014270C">
        <w:rPr>
          <w:rFonts w:ascii="Bookman Old Style" w:hAnsi="Bookman Old Style"/>
          <w:noProof/>
          <w:sz w:val="24"/>
          <w:szCs w:val="24"/>
        </w:rPr>
        <w:t>design</w:t>
      </w:r>
      <w:r w:rsidR="00613E7C" w:rsidRPr="0014270C">
        <w:rPr>
          <w:rFonts w:ascii="Bookman Old Style" w:hAnsi="Bookman Old Style"/>
          <w:sz w:val="24"/>
          <w:szCs w:val="24"/>
        </w:rPr>
        <w:t xml:space="preserve"> strategy for cooling plays a pivotal role as well,</w:t>
      </w:r>
      <w:r w:rsidR="005C187C" w:rsidRPr="0014270C">
        <w:rPr>
          <w:rFonts w:ascii="Bookman Old Style" w:hAnsi="Bookman Old Style"/>
          <w:sz w:val="24"/>
          <w:szCs w:val="24"/>
        </w:rPr>
        <w:t xml:space="preserve"> especially in </w:t>
      </w:r>
      <w:r w:rsidR="00494307" w:rsidRPr="0014270C">
        <w:rPr>
          <w:rFonts w:ascii="Bookman Old Style" w:hAnsi="Bookman Old Style"/>
          <w:sz w:val="24"/>
          <w:szCs w:val="24"/>
        </w:rPr>
        <w:t>regions that are typically very hot.</w:t>
      </w:r>
      <w:r w:rsidR="00F255AF" w:rsidRPr="0014270C">
        <w:rPr>
          <w:rFonts w:ascii="Bookman Old Style" w:hAnsi="Bookman Old Style"/>
          <w:sz w:val="24"/>
          <w:szCs w:val="24"/>
        </w:rPr>
        <w:t xml:space="preserve"> </w:t>
      </w:r>
      <w:r w:rsidR="008044A1" w:rsidRPr="0014270C">
        <w:rPr>
          <w:rFonts w:ascii="Bookman Old Style" w:hAnsi="Bookman Old Style"/>
          <w:sz w:val="24"/>
          <w:szCs w:val="24"/>
        </w:rPr>
        <w:t xml:space="preserve">According to a study done by </w:t>
      </w:r>
      <w:proofErr w:type="spellStart"/>
      <w:r w:rsidR="008044A1" w:rsidRPr="0014270C">
        <w:rPr>
          <w:rFonts w:ascii="Bookman Old Style" w:hAnsi="Bookman Old Style"/>
          <w:sz w:val="24"/>
          <w:szCs w:val="24"/>
        </w:rPr>
        <w:t>Lapisa</w:t>
      </w:r>
      <w:proofErr w:type="spellEnd"/>
      <w:r w:rsidR="008044A1" w:rsidRPr="0014270C">
        <w:rPr>
          <w:rFonts w:ascii="Bookman Old Style" w:hAnsi="Bookman Old Style"/>
          <w:sz w:val="24"/>
          <w:szCs w:val="24"/>
        </w:rPr>
        <w:t xml:space="preserve"> et al. in 2018, u</w:t>
      </w:r>
      <w:r w:rsidR="008D4614" w:rsidRPr="0014270C">
        <w:rPr>
          <w:rFonts w:ascii="Bookman Old Style" w:hAnsi="Bookman Old Style"/>
          <w:sz w:val="24"/>
          <w:szCs w:val="24"/>
        </w:rPr>
        <w:t xml:space="preserve">sing a reflective surface </w:t>
      </w:r>
      <w:r w:rsidR="00613E7C" w:rsidRPr="0014270C">
        <w:rPr>
          <w:rFonts w:ascii="Bookman Old Style" w:hAnsi="Bookman Old Style"/>
          <w:sz w:val="24"/>
          <w:szCs w:val="24"/>
        </w:rPr>
        <w:t xml:space="preserve">to create a cool roof </w:t>
      </w:r>
      <w:r w:rsidR="005906A8" w:rsidRPr="0014270C">
        <w:rPr>
          <w:rFonts w:ascii="Bookman Old Style" w:hAnsi="Bookman Old Style"/>
          <w:sz w:val="24"/>
          <w:szCs w:val="24"/>
        </w:rPr>
        <w:t xml:space="preserve">with an </w:t>
      </w:r>
      <w:r w:rsidR="00876306" w:rsidRPr="0014270C">
        <w:rPr>
          <w:rFonts w:ascii="Bookman Old Style" w:hAnsi="Bookman Old Style"/>
          <w:sz w:val="24"/>
          <w:szCs w:val="24"/>
        </w:rPr>
        <w:t xml:space="preserve">albedo of around 0.9 </w:t>
      </w:r>
      <w:r w:rsidR="00613E7C" w:rsidRPr="0014270C">
        <w:rPr>
          <w:rFonts w:ascii="Bookman Old Style" w:hAnsi="Bookman Old Style"/>
          <w:sz w:val="24"/>
          <w:szCs w:val="24"/>
        </w:rPr>
        <w:t xml:space="preserve">was </w:t>
      </w:r>
      <w:r w:rsidR="00876428" w:rsidRPr="0014270C">
        <w:rPr>
          <w:rFonts w:ascii="Bookman Old Style" w:hAnsi="Bookman Old Style"/>
          <w:sz w:val="24"/>
          <w:szCs w:val="24"/>
        </w:rPr>
        <w:t>found to be effective</w:t>
      </w:r>
      <w:r w:rsidR="00A375EB" w:rsidRPr="0014270C">
        <w:rPr>
          <w:rFonts w:ascii="Bookman Old Style" w:hAnsi="Bookman Old Style"/>
          <w:sz w:val="24"/>
          <w:szCs w:val="24"/>
        </w:rPr>
        <w:t xml:space="preserve"> in maintaining summer comfort</w:t>
      </w:r>
      <w:r w:rsidR="003B4DDD" w:rsidRPr="0014270C">
        <w:rPr>
          <w:rFonts w:ascii="Bookman Old Style" w:hAnsi="Bookman Old Style"/>
          <w:sz w:val="24"/>
          <w:szCs w:val="24"/>
        </w:rPr>
        <w:t>.</w:t>
      </w:r>
      <w:r w:rsidR="00A45A60" w:rsidRPr="0014270C">
        <w:rPr>
          <w:rStyle w:val="FootnoteReference"/>
          <w:rFonts w:ascii="Bookman Old Style" w:hAnsi="Bookman Old Style"/>
          <w:sz w:val="24"/>
          <w:szCs w:val="24"/>
        </w:rPr>
        <w:footnoteReference w:id="78"/>
      </w:r>
      <w:r w:rsidR="003B4DDD" w:rsidRPr="0014270C">
        <w:rPr>
          <w:rFonts w:ascii="Bookman Old Style" w:hAnsi="Bookman Old Style"/>
          <w:sz w:val="24"/>
          <w:szCs w:val="24"/>
        </w:rPr>
        <w:t xml:space="preserve"> </w:t>
      </w:r>
      <w:r w:rsidR="009C5DBB" w:rsidRPr="0014270C">
        <w:rPr>
          <w:rFonts w:ascii="Bookman Old Style" w:hAnsi="Bookman Old Style"/>
          <w:sz w:val="24"/>
          <w:szCs w:val="24"/>
        </w:rPr>
        <w:t xml:space="preserve">The same study found that using skylights </w:t>
      </w:r>
      <w:r w:rsidR="000C4C44" w:rsidRPr="0014270C">
        <w:rPr>
          <w:rFonts w:ascii="Bookman Old Style" w:hAnsi="Bookman Old Style"/>
          <w:sz w:val="24"/>
          <w:szCs w:val="24"/>
        </w:rPr>
        <w:t>has a positive impact during winter months, increasing solar heat gains</w:t>
      </w:r>
      <w:r w:rsidR="004D67F2" w:rsidRPr="0014270C">
        <w:rPr>
          <w:rFonts w:ascii="Bookman Old Style" w:hAnsi="Bookman Old Style"/>
          <w:sz w:val="24"/>
          <w:szCs w:val="24"/>
        </w:rPr>
        <w:t xml:space="preserve">. Conversely, they </w:t>
      </w:r>
      <w:proofErr w:type="gramStart"/>
      <w:r w:rsidR="004D67F2" w:rsidRPr="0014270C">
        <w:rPr>
          <w:rFonts w:ascii="Bookman Old Style" w:hAnsi="Bookman Old Style"/>
          <w:sz w:val="24"/>
          <w:szCs w:val="24"/>
        </w:rPr>
        <w:t>were found</w:t>
      </w:r>
      <w:proofErr w:type="gramEnd"/>
      <w:r w:rsidR="004D67F2" w:rsidRPr="0014270C">
        <w:rPr>
          <w:rFonts w:ascii="Bookman Old Style" w:hAnsi="Bookman Old Style"/>
          <w:sz w:val="24"/>
          <w:szCs w:val="24"/>
        </w:rPr>
        <w:t xml:space="preserve"> to have negative effects in summer months </w:t>
      </w:r>
      <w:r w:rsidR="00F34C7E" w:rsidRPr="0014270C">
        <w:rPr>
          <w:rFonts w:ascii="Bookman Old Style" w:hAnsi="Bookman Old Style"/>
          <w:sz w:val="24"/>
          <w:szCs w:val="24"/>
        </w:rPr>
        <w:t xml:space="preserve">due to this same reason. </w:t>
      </w:r>
      <w:r w:rsidR="00DD3421" w:rsidRPr="0014270C">
        <w:rPr>
          <w:rFonts w:ascii="Bookman Old Style" w:hAnsi="Bookman Old Style"/>
          <w:sz w:val="24"/>
          <w:szCs w:val="24"/>
        </w:rPr>
        <w:t xml:space="preserve">Using skylights in the design of a passive building was found to be complex, needing </w:t>
      </w:r>
      <w:r w:rsidR="00A5061D" w:rsidRPr="0014270C">
        <w:rPr>
          <w:rFonts w:ascii="Bookman Old Style" w:hAnsi="Bookman Old Style"/>
          <w:sz w:val="24"/>
          <w:szCs w:val="24"/>
        </w:rPr>
        <w:t xml:space="preserve">to be kept at the correct area coverage for optimal </w:t>
      </w:r>
      <w:r w:rsidR="0066001E" w:rsidRPr="0014270C">
        <w:rPr>
          <w:rFonts w:ascii="Bookman Old Style" w:hAnsi="Bookman Old Style"/>
          <w:sz w:val="24"/>
          <w:szCs w:val="24"/>
        </w:rPr>
        <w:t xml:space="preserve">comfort due to solar gain and </w:t>
      </w:r>
      <w:r w:rsidR="000345B8" w:rsidRPr="0014270C">
        <w:rPr>
          <w:rFonts w:ascii="Bookman Old Style" w:hAnsi="Bookman Old Style"/>
          <w:sz w:val="24"/>
          <w:szCs w:val="24"/>
        </w:rPr>
        <w:t>natural night ventilation.</w:t>
      </w:r>
      <w:r w:rsidR="00CC6B08" w:rsidRPr="0014270C">
        <w:rPr>
          <w:rStyle w:val="FootnoteReference"/>
          <w:rFonts w:ascii="Bookman Old Style" w:hAnsi="Bookman Old Style"/>
          <w:sz w:val="24"/>
          <w:szCs w:val="24"/>
        </w:rPr>
        <w:footnoteReference w:id="79"/>
      </w:r>
      <w:r w:rsidR="00A669E6" w:rsidRPr="0014270C">
        <w:rPr>
          <w:rFonts w:ascii="Bookman Old Style" w:hAnsi="Bookman Old Style"/>
          <w:sz w:val="24"/>
          <w:szCs w:val="24"/>
        </w:rPr>
        <w:t xml:space="preserve"> Light tubes can be used as an alternative to skylights, offering an option that provides light without contributing to heat gain.</w:t>
      </w:r>
      <w:r w:rsidR="00A669E6" w:rsidRPr="0014270C">
        <w:rPr>
          <w:rStyle w:val="FootnoteReference"/>
          <w:rFonts w:ascii="Bookman Old Style" w:hAnsi="Bookman Old Style"/>
          <w:sz w:val="24"/>
          <w:szCs w:val="24"/>
        </w:rPr>
        <w:footnoteReference w:id="80"/>
      </w:r>
    </w:p>
    <w:p w14:paraId="006BF797" w14:textId="41016811" w:rsidR="00D86719" w:rsidRPr="0014270C" w:rsidRDefault="0083463B" w:rsidP="007378DB">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Carlos Ochoa and Isaac </w:t>
      </w:r>
      <w:proofErr w:type="spellStart"/>
      <w:r w:rsidRPr="0014270C">
        <w:rPr>
          <w:rFonts w:ascii="Bookman Old Style" w:hAnsi="Bookman Old Style"/>
          <w:sz w:val="24"/>
          <w:szCs w:val="24"/>
        </w:rPr>
        <w:t>Capeluto</w:t>
      </w:r>
      <w:proofErr w:type="spellEnd"/>
      <w:r w:rsidRPr="0014270C">
        <w:rPr>
          <w:rFonts w:ascii="Bookman Old Style" w:hAnsi="Bookman Old Style"/>
          <w:sz w:val="24"/>
          <w:szCs w:val="24"/>
        </w:rPr>
        <w:t xml:space="preserve">, in their </w:t>
      </w:r>
      <w:r w:rsidR="002F407A" w:rsidRPr="0014270C">
        <w:rPr>
          <w:rFonts w:ascii="Bookman Old Style" w:hAnsi="Bookman Old Style"/>
          <w:sz w:val="24"/>
          <w:szCs w:val="24"/>
        </w:rPr>
        <w:t xml:space="preserve">study on strategic decision-making for intelligent buildings, highlight the importance of </w:t>
      </w:r>
      <w:r w:rsidR="006220ED" w:rsidRPr="0014270C">
        <w:rPr>
          <w:rFonts w:ascii="Bookman Old Style" w:hAnsi="Bookman Old Style"/>
          <w:sz w:val="24"/>
          <w:szCs w:val="24"/>
        </w:rPr>
        <w:t xml:space="preserve">design when considering passive </w:t>
      </w:r>
      <w:r w:rsidR="00E80B75" w:rsidRPr="0014270C">
        <w:rPr>
          <w:rFonts w:ascii="Bookman Old Style" w:hAnsi="Bookman Old Style"/>
          <w:sz w:val="24"/>
          <w:szCs w:val="24"/>
        </w:rPr>
        <w:t xml:space="preserve">and active features for buildings in hot climates. </w:t>
      </w:r>
      <w:r w:rsidR="00D920AD" w:rsidRPr="0014270C">
        <w:rPr>
          <w:rFonts w:ascii="Bookman Old Style" w:hAnsi="Bookman Old Style"/>
          <w:sz w:val="24"/>
          <w:szCs w:val="24"/>
        </w:rPr>
        <w:t xml:space="preserve">They </w:t>
      </w:r>
      <w:r w:rsidR="00E43CBF" w:rsidRPr="0014270C">
        <w:rPr>
          <w:rFonts w:ascii="Bookman Old Style" w:hAnsi="Bookman Old Style"/>
          <w:sz w:val="24"/>
          <w:szCs w:val="24"/>
        </w:rPr>
        <w:t xml:space="preserve">consider the façade of a building to </w:t>
      </w:r>
      <w:r w:rsidR="009010DC" w:rsidRPr="0014270C">
        <w:rPr>
          <w:rFonts w:ascii="Bookman Old Style" w:hAnsi="Bookman Old Style"/>
          <w:sz w:val="24"/>
          <w:szCs w:val="24"/>
        </w:rPr>
        <w:t xml:space="preserve">be one of the more crucial components of a design, </w:t>
      </w:r>
      <w:r w:rsidR="00FF28CC" w:rsidRPr="0014270C">
        <w:rPr>
          <w:rFonts w:ascii="Bookman Old Style" w:hAnsi="Bookman Old Style"/>
          <w:sz w:val="24"/>
          <w:szCs w:val="24"/>
        </w:rPr>
        <w:t>relaying the importance of</w:t>
      </w:r>
      <w:r w:rsidR="009A7FF6" w:rsidRPr="0014270C">
        <w:rPr>
          <w:rFonts w:ascii="Bookman Old Style" w:hAnsi="Bookman Old Style"/>
          <w:sz w:val="24"/>
          <w:szCs w:val="24"/>
        </w:rPr>
        <w:t xml:space="preserve"> heat rejection, ventilation for comfort and cooling thermal mass, and sunlight control.</w:t>
      </w:r>
      <w:r w:rsidR="00FF28CC" w:rsidRPr="0014270C">
        <w:rPr>
          <w:rStyle w:val="FootnoteReference"/>
          <w:rFonts w:ascii="Bookman Old Style" w:hAnsi="Bookman Old Style"/>
          <w:sz w:val="24"/>
          <w:szCs w:val="24"/>
        </w:rPr>
        <w:footnoteReference w:id="81"/>
      </w:r>
      <w:r w:rsidR="00D920AD" w:rsidRPr="0014270C">
        <w:rPr>
          <w:rFonts w:ascii="Bookman Old Style" w:hAnsi="Bookman Old Style"/>
          <w:sz w:val="24"/>
          <w:szCs w:val="24"/>
        </w:rPr>
        <w:t xml:space="preserve"> </w:t>
      </w:r>
      <w:r w:rsidR="006B2BCE" w:rsidRPr="0014270C">
        <w:rPr>
          <w:rFonts w:ascii="Bookman Old Style" w:hAnsi="Bookman Old Style"/>
          <w:sz w:val="24"/>
          <w:szCs w:val="24"/>
        </w:rPr>
        <w:t xml:space="preserve">They found </w:t>
      </w:r>
      <w:r w:rsidR="00046966" w:rsidRPr="0014270C">
        <w:rPr>
          <w:rFonts w:ascii="Bookman Old Style" w:hAnsi="Bookman Old Style"/>
          <w:sz w:val="24"/>
          <w:szCs w:val="24"/>
        </w:rPr>
        <w:t xml:space="preserve">using </w:t>
      </w:r>
      <w:r w:rsidR="006B2BCE" w:rsidRPr="0014270C">
        <w:rPr>
          <w:rFonts w:ascii="Bookman Old Style" w:hAnsi="Bookman Old Style"/>
          <w:noProof/>
          <w:sz w:val="24"/>
          <w:szCs w:val="24"/>
        </w:rPr>
        <w:t>passive</w:t>
      </w:r>
      <w:r w:rsidR="006B2BCE" w:rsidRPr="0014270C">
        <w:rPr>
          <w:rFonts w:ascii="Bookman Old Style" w:hAnsi="Bookman Old Style"/>
          <w:sz w:val="24"/>
          <w:szCs w:val="24"/>
        </w:rPr>
        <w:t xml:space="preserve"> design</w:t>
      </w:r>
      <w:r w:rsidR="00D7588C" w:rsidRPr="0014270C">
        <w:rPr>
          <w:rFonts w:ascii="Bookman Old Style" w:hAnsi="Bookman Old Style"/>
          <w:sz w:val="24"/>
          <w:szCs w:val="24"/>
        </w:rPr>
        <w:t xml:space="preserve"> </w:t>
      </w:r>
      <w:r w:rsidR="00D7588C" w:rsidRPr="0014270C">
        <w:rPr>
          <w:rFonts w:ascii="Bookman Old Style" w:hAnsi="Bookman Old Style"/>
          <w:sz w:val="24"/>
          <w:szCs w:val="24"/>
        </w:rPr>
        <w:lastRenderedPageBreak/>
        <w:t>on its own</w:t>
      </w:r>
      <w:r w:rsidR="006B2BCE" w:rsidRPr="0014270C">
        <w:rPr>
          <w:rFonts w:ascii="Bookman Old Style" w:hAnsi="Bookman Old Style"/>
          <w:sz w:val="24"/>
          <w:szCs w:val="24"/>
        </w:rPr>
        <w:t xml:space="preserve"> to </w:t>
      </w:r>
      <w:r w:rsidR="003650F8" w:rsidRPr="0014270C">
        <w:rPr>
          <w:rFonts w:ascii="Bookman Old Style" w:hAnsi="Bookman Old Style"/>
          <w:sz w:val="24"/>
          <w:szCs w:val="24"/>
        </w:rPr>
        <w:t>show positive results</w:t>
      </w:r>
      <w:r w:rsidR="00046966" w:rsidRPr="0014270C">
        <w:rPr>
          <w:rFonts w:ascii="Bookman Old Style" w:hAnsi="Bookman Old Style"/>
          <w:sz w:val="24"/>
          <w:szCs w:val="24"/>
        </w:rPr>
        <w:t xml:space="preserve"> in efficiency</w:t>
      </w:r>
      <w:r w:rsidR="003650F8" w:rsidRPr="0014270C">
        <w:rPr>
          <w:rFonts w:ascii="Bookman Old Style" w:hAnsi="Bookman Old Style"/>
          <w:sz w:val="24"/>
          <w:szCs w:val="24"/>
        </w:rPr>
        <w:t xml:space="preserve">, </w:t>
      </w:r>
      <w:r w:rsidR="003650F8" w:rsidRPr="0014270C">
        <w:rPr>
          <w:rFonts w:ascii="Bookman Old Style" w:hAnsi="Bookman Old Style"/>
          <w:noProof/>
          <w:sz w:val="24"/>
          <w:szCs w:val="24"/>
        </w:rPr>
        <w:t>however</w:t>
      </w:r>
      <w:r w:rsidR="00CD1EC3" w:rsidRPr="0014270C">
        <w:rPr>
          <w:rFonts w:ascii="Bookman Old Style" w:hAnsi="Bookman Old Style"/>
          <w:noProof/>
          <w:sz w:val="24"/>
          <w:szCs w:val="24"/>
        </w:rPr>
        <w:t>,</w:t>
      </w:r>
      <w:r w:rsidR="003650F8" w:rsidRPr="0014270C">
        <w:rPr>
          <w:rFonts w:ascii="Bookman Old Style" w:hAnsi="Bookman Old Style"/>
          <w:sz w:val="24"/>
          <w:szCs w:val="24"/>
        </w:rPr>
        <w:t xml:space="preserve"> </w:t>
      </w:r>
      <w:r w:rsidR="00046966" w:rsidRPr="0014270C">
        <w:rPr>
          <w:rFonts w:ascii="Bookman Old Style" w:hAnsi="Bookman Old Style"/>
          <w:sz w:val="24"/>
          <w:szCs w:val="24"/>
        </w:rPr>
        <w:t xml:space="preserve">they </w:t>
      </w:r>
      <w:r w:rsidR="00942FA7" w:rsidRPr="0014270C">
        <w:rPr>
          <w:rFonts w:ascii="Bookman Old Style" w:hAnsi="Bookman Old Style"/>
          <w:sz w:val="24"/>
          <w:szCs w:val="24"/>
        </w:rPr>
        <w:t xml:space="preserve">noted </w:t>
      </w:r>
      <w:r w:rsidR="00046966" w:rsidRPr="0014270C">
        <w:rPr>
          <w:rFonts w:ascii="Bookman Old Style" w:hAnsi="Bookman Old Style"/>
          <w:sz w:val="24"/>
          <w:szCs w:val="24"/>
        </w:rPr>
        <w:t xml:space="preserve">there were some disadvantages due to lack of user control. Their </w:t>
      </w:r>
      <w:r w:rsidR="001A4BB5" w:rsidRPr="0014270C">
        <w:rPr>
          <w:rFonts w:ascii="Bookman Old Style" w:hAnsi="Bookman Old Style"/>
          <w:sz w:val="24"/>
          <w:szCs w:val="24"/>
        </w:rPr>
        <w:t>results</w:t>
      </w:r>
      <w:r w:rsidR="00046966" w:rsidRPr="0014270C">
        <w:rPr>
          <w:rFonts w:ascii="Bookman Old Style" w:hAnsi="Bookman Old Style"/>
          <w:sz w:val="24"/>
          <w:szCs w:val="24"/>
        </w:rPr>
        <w:t xml:space="preserve"> </w:t>
      </w:r>
      <w:r w:rsidR="00D7588C" w:rsidRPr="0014270C">
        <w:rPr>
          <w:rFonts w:ascii="Bookman Old Style" w:hAnsi="Bookman Old Style"/>
          <w:sz w:val="24"/>
          <w:szCs w:val="24"/>
        </w:rPr>
        <w:t>s</w:t>
      </w:r>
      <w:r w:rsidR="00942FA7" w:rsidRPr="0014270C">
        <w:rPr>
          <w:rFonts w:ascii="Bookman Old Style" w:hAnsi="Bookman Old Style"/>
          <w:sz w:val="24"/>
          <w:szCs w:val="24"/>
        </w:rPr>
        <w:t>howed</w:t>
      </w:r>
      <w:r w:rsidR="00D7588C" w:rsidRPr="0014270C">
        <w:rPr>
          <w:rFonts w:ascii="Bookman Old Style" w:hAnsi="Bookman Old Style"/>
          <w:sz w:val="24"/>
          <w:szCs w:val="24"/>
        </w:rPr>
        <w:t xml:space="preserve"> that the</w:t>
      </w:r>
      <w:r w:rsidR="00046966" w:rsidRPr="0014270C">
        <w:rPr>
          <w:rFonts w:ascii="Bookman Old Style" w:hAnsi="Bookman Old Style"/>
          <w:sz w:val="24"/>
          <w:szCs w:val="24"/>
        </w:rPr>
        <w:t xml:space="preserve"> combi</w:t>
      </w:r>
      <w:r w:rsidR="00D7588C" w:rsidRPr="0014270C">
        <w:rPr>
          <w:rFonts w:ascii="Bookman Old Style" w:hAnsi="Bookman Old Style"/>
          <w:sz w:val="24"/>
          <w:szCs w:val="24"/>
        </w:rPr>
        <w:t xml:space="preserve">nation </w:t>
      </w:r>
      <w:r w:rsidR="00046966" w:rsidRPr="0014270C">
        <w:rPr>
          <w:rFonts w:ascii="Bookman Old Style" w:hAnsi="Bookman Old Style"/>
          <w:sz w:val="24"/>
          <w:szCs w:val="24"/>
        </w:rPr>
        <w:t>of passive design strategies with active controls</w:t>
      </w:r>
      <w:r w:rsidR="0062092E" w:rsidRPr="0014270C">
        <w:rPr>
          <w:rFonts w:ascii="Bookman Old Style" w:hAnsi="Bookman Old Style"/>
          <w:sz w:val="24"/>
          <w:szCs w:val="24"/>
        </w:rPr>
        <w:t>,</w:t>
      </w:r>
      <w:r w:rsidR="00046966" w:rsidRPr="0014270C">
        <w:rPr>
          <w:rFonts w:ascii="Bookman Old Style" w:hAnsi="Bookman Old Style"/>
          <w:sz w:val="24"/>
          <w:szCs w:val="24"/>
        </w:rPr>
        <w:t xml:space="preserve"> such as lighting dimmers and redirection</w:t>
      </w:r>
      <w:r w:rsidR="0062092E" w:rsidRPr="0014270C">
        <w:rPr>
          <w:rFonts w:ascii="Bookman Old Style" w:hAnsi="Bookman Old Style"/>
          <w:sz w:val="24"/>
          <w:szCs w:val="24"/>
        </w:rPr>
        <w:t>,</w:t>
      </w:r>
      <w:r w:rsidR="00D7588C" w:rsidRPr="0014270C">
        <w:rPr>
          <w:rFonts w:ascii="Bookman Old Style" w:hAnsi="Bookman Old Style"/>
          <w:sz w:val="24"/>
          <w:szCs w:val="24"/>
        </w:rPr>
        <w:t xml:space="preserve"> </w:t>
      </w:r>
      <w:r w:rsidR="006E6EFE" w:rsidRPr="0014270C">
        <w:rPr>
          <w:rFonts w:ascii="Bookman Old Style" w:hAnsi="Bookman Old Style"/>
          <w:sz w:val="24"/>
          <w:szCs w:val="24"/>
        </w:rPr>
        <w:t xml:space="preserve">gave consistent </w:t>
      </w:r>
      <w:r w:rsidR="00942FA7" w:rsidRPr="0014270C">
        <w:rPr>
          <w:rFonts w:ascii="Bookman Old Style" w:hAnsi="Bookman Old Style"/>
          <w:sz w:val="24"/>
          <w:szCs w:val="24"/>
        </w:rPr>
        <w:t>energy savings in their simulations</w:t>
      </w:r>
      <w:r w:rsidR="00046966" w:rsidRPr="0014270C">
        <w:rPr>
          <w:rFonts w:ascii="Bookman Old Style" w:hAnsi="Bookman Old Style"/>
          <w:sz w:val="24"/>
          <w:szCs w:val="24"/>
        </w:rPr>
        <w:t>.</w:t>
      </w:r>
      <w:r w:rsidR="00942FA7" w:rsidRPr="0014270C">
        <w:rPr>
          <w:rStyle w:val="FootnoteReference"/>
          <w:rFonts w:ascii="Bookman Old Style" w:hAnsi="Bookman Old Style"/>
          <w:sz w:val="24"/>
          <w:szCs w:val="24"/>
        </w:rPr>
        <w:footnoteReference w:id="82"/>
      </w:r>
      <w:r w:rsidR="007378DB" w:rsidRPr="0014270C">
        <w:rPr>
          <w:rFonts w:ascii="Bookman Old Style" w:hAnsi="Bookman Old Style"/>
          <w:sz w:val="24"/>
          <w:szCs w:val="24"/>
        </w:rPr>
        <w:t xml:space="preserve"> </w:t>
      </w:r>
      <w:r w:rsidR="00D86719" w:rsidRPr="0014270C">
        <w:rPr>
          <w:rFonts w:ascii="Bookman Old Style" w:hAnsi="Bookman Old Style"/>
          <w:sz w:val="24"/>
          <w:szCs w:val="24"/>
        </w:rPr>
        <w:t xml:space="preserve">Ochoa and </w:t>
      </w:r>
      <w:proofErr w:type="spellStart"/>
      <w:r w:rsidR="00B838B5" w:rsidRPr="0014270C">
        <w:rPr>
          <w:rFonts w:ascii="Bookman Old Style" w:hAnsi="Bookman Old Style"/>
          <w:sz w:val="24"/>
          <w:szCs w:val="24"/>
        </w:rPr>
        <w:t>Capeluto</w:t>
      </w:r>
      <w:proofErr w:type="spellEnd"/>
      <w:r w:rsidR="00B838B5" w:rsidRPr="0014270C">
        <w:rPr>
          <w:rFonts w:ascii="Bookman Old Style" w:hAnsi="Bookman Old Style"/>
          <w:sz w:val="24"/>
          <w:szCs w:val="24"/>
        </w:rPr>
        <w:t xml:space="preserve"> suggest that </w:t>
      </w:r>
      <w:r w:rsidR="005A32EE" w:rsidRPr="0014270C">
        <w:rPr>
          <w:rFonts w:ascii="Bookman Old Style" w:hAnsi="Bookman Old Style"/>
          <w:sz w:val="24"/>
          <w:szCs w:val="24"/>
        </w:rPr>
        <w:t>in</w:t>
      </w:r>
      <w:r w:rsidR="00B838B5" w:rsidRPr="0014270C">
        <w:rPr>
          <w:rFonts w:ascii="Bookman Old Style" w:hAnsi="Bookman Old Style"/>
          <w:sz w:val="24"/>
          <w:szCs w:val="24"/>
        </w:rPr>
        <w:t xml:space="preserve"> the architectural design process</w:t>
      </w:r>
      <w:r w:rsidR="005A32EE" w:rsidRPr="0014270C">
        <w:rPr>
          <w:rFonts w:ascii="Bookman Old Style" w:hAnsi="Bookman Old Style"/>
          <w:sz w:val="24"/>
          <w:szCs w:val="24"/>
        </w:rPr>
        <w:t xml:space="preserve">, the more </w:t>
      </w:r>
      <w:r w:rsidR="00A56757" w:rsidRPr="0014270C">
        <w:rPr>
          <w:rFonts w:ascii="Bookman Old Style" w:hAnsi="Bookman Old Style"/>
          <w:sz w:val="24"/>
          <w:szCs w:val="24"/>
        </w:rPr>
        <w:t xml:space="preserve">specialists </w:t>
      </w:r>
      <w:r w:rsidR="005A32EE" w:rsidRPr="0014270C">
        <w:rPr>
          <w:rFonts w:ascii="Bookman Old Style" w:hAnsi="Bookman Old Style"/>
          <w:sz w:val="24"/>
          <w:szCs w:val="24"/>
        </w:rPr>
        <w:t xml:space="preserve">that </w:t>
      </w:r>
      <w:r w:rsidR="00A56757" w:rsidRPr="0014270C">
        <w:rPr>
          <w:rFonts w:ascii="Bookman Old Style" w:hAnsi="Bookman Old Style"/>
          <w:sz w:val="24"/>
          <w:szCs w:val="24"/>
        </w:rPr>
        <w:t>are involved early on to solve potential problems and o</w:t>
      </w:r>
      <w:r w:rsidR="00D9568A" w:rsidRPr="0014270C">
        <w:rPr>
          <w:rFonts w:ascii="Bookman Old Style" w:hAnsi="Bookman Old Style"/>
          <w:sz w:val="24"/>
          <w:szCs w:val="24"/>
        </w:rPr>
        <w:t xml:space="preserve">ffer their expertise, the </w:t>
      </w:r>
      <w:r w:rsidR="005A32EE" w:rsidRPr="0014270C">
        <w:rPr>
          <w:rFonts w:ascii="Bookman Old Style" w:hAnsi="Bookman Old Style"/>
          <w:sz w:val="24"/>
          <w:szCs w:val="24"/>
        </w:rPr>
        <w:t xml:space="preserve">better the </w:t>
      </w:r>
      <w:r w:rsidR="00D9568A" w:rsidRPr="0014270C">
        <w:rPr>
          <w:rFonts w:ascii="Bookman Old Style" w:hAnsi="Bookman Old Style"/>
          <w:sz w:val="24"/>
          <w:szCs w:val="24"/>
        </w:rPr>
        <w:t>outcome of the building performance could be</w:t>
      </w:r>
      <w:r w:rsidR="00E93587" w:rsidRPr="0014270C">
        <w:rPr>
          <w:rFonts w:ascii="Bookman Old Style" w:hAnsi="Bookman Old Style"/>
          <w:sz w:val="24"/>
          <w:szCs w:val="24"/>
        </w:rPr>
        <w:t xml:space="preserve">, noting that </w:t>
      </w:r>
      <w:r w:rsidR="000D2A35" w:rsidRPr="0014270C">
        <w:rPr>
          <w:rFonts w:ascii="Bookman Old Style" w:hAnsi="Bookman Old Style"/>
          <w:sz w:val="24"/>
          <w:szCs w:val="24"/>
        </w:rPr>
        <w:t>changes become more expensive and difficult</w:t>
      </w:r>
      <w:r w:rsidR="004A127F" w:rsidRPr="0014270C">
        <w:rPr>
          <w:rFonts w:ascii="Bookman Old Style" w:hAnsi="Bookman Old Style"/>
          <w:sz w:val="24"/>
          <w:szCs w:val="24"/>
        </w:rPr>
        <w:t xml:space="preserve"> as the project advances</w:t>
      </w:r>
      <w:r w:rsidR="000D2A35" w:rsidRPr="0014270C">
        <w:rPr>
          <w:rFonts w:ascii="Bookman Old Style" w:hAnsi="Bookman Old Style"/>
          <w:sz w:val="24"/>
          <w:szCs w:val="24"/>
        </w:rPr>
        <w:t>.</w:t>
      </w:r>
      <w:r w:rsidR="004A127F" w:rsidRPr="0014270C">
        <w:rPr>
          <w:rStyle w:val="FootnoteReference"/>
          <w:rFonts w:ascii="Bookman Old Style" w:hAnsi="Bookman Old Style"/>
          <w:sz w:val="24"/>
          <w:szCs w:val="24"/>
        </w:rPr>
        <w:footnoteReference w:id="83"/>
      </w:r>
      <w:r w:rsidR="000D2A35" w:rsidRPr="0014270C">
        <w:rPr>
          <w:rFonts w:ascii="Bookman Old Style" w:hAnsi="Bookman Old Style"/>
          <w:sz w:val="24"/>
          <w:szCs w:val="24"/>
        </w:rPr>
        <w:t xml:space="preserve">  </w:t>
      </w:r>
    </w:p>
    <w:p w14:paraId="5D5A3CC7" w14:textId="1E97AFBA" w:rsidR="00567DD7" w:rsidRPr="0014270C" w:rsidRDefault="009E6E40" w:rsidP="00B93546">
      <w:pPr>
        <w:pStyle w:val="THESISLVL3"/>
      </w:pPr>
      <w:bookmarkStart w:id="27" w:name="_Toc8062265"/>
      <w:r w:rsidRPr="0014270C">
        <w:t>Water</w:t>
      </w:r>
      <w:r w:rsidR="002327EE" w:rsidRPr="0014270C">
        <w:t xml:space="preserve"> Catchment</w:t>
      </w:r>
      <w:bookmarkEnd w:id="27"/>
    </w:p>
    <w:p w14:paraId="6BACB70B" w14:textId="186FCB66" w:rsidR="001A4BB5" w:rsidRPr="0014270C" w:rsidRDefault="00EC5FC5" w:rsidP="007378DB">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Living off-grid presents </w:t>
      </w:r>
      <w:r w:rsidR="0009348D" w:rsidRPr="0014270C">
        <w:rPr>
          <w:rFonts w:ascii="Bookman Old Style" w:hAnsi="Bookman Old Style"/>
          <w:sz w:val="24"/>
          <w:szCs w:val="24"/>
        </w:rPr>
        <w:t>several</w:t>
      </w:r>
      <w:r w:rsidRPr="0014270C">
        <w:rPr>
          <w:rFonts w:ascii="Bookman Old Style" w:hAnsi="Bookman Old Style"/>
          <w:sz w:val="24"/>
          <w:szCs w:val="24"/>
        </w:rPr>
        <w:t xml:space="preserve"> challenges, </w:t>
      </w:r>
      <w:r w:rsidR="007F429E" w:rsidRPr="0014270C">
        <w:rPr>
          <w:rFonts w:ascii="Bookman Old Style" w:hAnsi="Bookman Old Style"/>
          <w:sz w:val="24"/>
          <w:szCs w:val="24"/>
        </w:rPr>
        <w:t xml:space="preserve">one of </w:t>
      </w:r>
      <w:r w:rsidRPr="0014270C">
        <w:rPr>
          <w:rFonts w:ascii="Bookman Old Style" w:hAnsi="Bookman Old Style"/>
          <w:sz w:val="24"/>
          <w:szCs w:val="24"/>
        </w:rPr>
        <w:t xml:space="preserve">the most critical </w:t>
      </w:r>
      <w:r w:rsidR="007F429E" w:rsidRPr="0014270C">
        <w:rPr>
          <w:rFonts w:ascii="Bookman Old Style" w:hAnsi="Bookman Old Style"/>
          <w:sz w:val="24"/>
          <w:szCs w:val="24"/>
        </w:rPr>
        <w:t xml:space="preserve">being the </w:t>
      </w:r>
      <w:r w:rsidR="0009348D" w:rsidRPr="0014270C">
        <w:rPr>
          <w:rFonts w:ascii="Bookman Old Style" w:hAnsi="Bookman Old Style"/>
          <w:sz w:val="24"/>
          <w:szCs w:val="24"/>
        </w:rPr>
        <w:t>sourcing</w:t>
      </w:r>
      <w:r w:rsidR="007F429E" w:rsidRPr="0014270C">
        <w:rPr>
          <w:rFonts w:ascii="Bookman Old Style" w:hAnsi="Bookman Old Style"/>
          <w:sz w:val="24"/>
          <w:szCs w:val="24"/>
        </w:rPr>
        <w:t>, collection, and storage of water</w:t>
      </w:r>
      <w:r w:rsidR="0009348D" w:rsidRPr="0014270C">
        <w:rPr>
          <w:rFonts w:ascii="Bookman Old Style" w:hAnsi="Bookman Old Style"/>
          <w:sz w:val="24"/>
          <w:szCs w:val="24"/>
        </w:rPr>
        <w:t>.</w:t>
      </w:r>
      <w:r w:rsidR="00A85FB5" w:rsidRPr="0014270C">
        <w:rPr>
          <w:rFonts w:ascii="Bookman Old Style" w:hAnsi="Bookman Old Style"/>
          <w:sz w:val="24"/>
          <w:szCs w:val="24"/>
        </w:rPr>
        <w:t xml:space="preserve"> Although much like tiny houses</w:t>
      </w:r>
      <w:r w:rsidR="00DF6F10" w:rsidRPr="0014270C">
        <w:rPr>
          <w:rFonts w:ascii="Bookman Old Style" w:hAnsi="Bookman Old Style"/>
          <w:sz w:val="24"/>
          <w:szCs w:val="24"/>
        </w:rPr>
        <w:t xml:space="preserve"> and passive solar, ancient </w:t>
      </w:r>
      <w:r w:rsidR="00417480" w:rsidRPr="0014270C">
        <w:rPr>
          <w:rFonts w:ascii="Bookman Old Style" w:hAnsi="Bookman Old Style"/>
          <w:sz w:val="24"/>
          <w:szCs w:val="24"/>
        </w:rPr>
        <w:t>technology lends some wisdom for accomplishing this feat.</w:t>
      </w:r>
      <w:r w:rsidR="00BB4085" w:rsidRPr="0014270C">
        <w:rPr>
          <w:rFonts w:ascii="Bookman Old Style" w:hAnsi="Bookman Old Style"/>
          <w:sz w:val="24"/>
          <w:szCs w:val="24"/>
        </w:rPr>
        <w:t xml:space="preserve"> </w:t>
      </w:r>
      <w:r w:rsidR="00197EF4" w:rsidRPr="0014270C">
        <w:rPr>
          <w:rFonts w:ascii="Bookman Old Style" w:hAnsi="Bookman Old Style"/>
          <w:sz w:val="24"/>
          <w:szCs w:val="24"/>
        </w:rPr>
        <w:t xml:space="preserve">The ancient Romans used rainwater harvesting </w:t>
      </w:r>
      <w:r w:rsidR="00022E56" w:rsidRPr="0014270C">
        <w:rPr>
          <w:rFonts w:ascii="Bookman Old Style" w:hAnsi="Bookman Old Style"/>
          <w:sz w:val="24"/>
          <w:szCs w:val="24"/>
        </w:rPr>
        <w:t xml:space="preserve">(RWH) </w:t>
      </w:r>
      <w:r w:rsidR="00F90523" w:rsidRPr="0014270C">
        <w:rPr>
          <w:rFonts w:ascii="Bookman Old Style" w:hAnsi="Bookman Old Style"/>
          <w:sz w:val="24"/>
          <w:szCs w:val="24"/>
        </w:rPr>
        <w:t xml:space="preserve">on a massive scale, using aqueducts to </w:t>
      </w:r>
      <w:r w:rsidR="00D15890" w:rsidRPr="0014270C">
        <w:rPr>
          <w:rFonts w:ascii="Bookman Old Style" w:hAnsi="Bookman Old Style"/>
          <w:sz w:val="24"/>
          <w:szCs w:val="24"/>
        </w:rPr>
        <w:t>supply water to entire cities. However</w:t>
      </w:r>
      <w:r w:rsidR="005949C9" w:rsidRPr="0014270C">
        <w:rPr>
          <w:rFonts w:ascii="Bookman Old Style" w:hAnsi="Bookman Old Style"/>
          <w:sz w:val="24"/>
          <w:szCs w:val="24"/>
        </w:rPr>
        <w:t xml:space="preserve">, as Jan </w:t>
      </w:r>
      <w:proofErr w:type="spellStart"/>
      <w:r w:rsidR="005949C9" w:rsidRPr="0014270C">
        <w:rPr>
          <w:rFonts w:ascii="Bookman Old Style" w:hAnsi="Bookman Old Style"/>
          <w:sz w:val="24"/>
          <w:szCs w:val="24"/>
        </w:rPr>
        <w:t>Gerston</w:t>
      </w:r>
      <w:proofErr w:type="spellEnd"/>
      <w:r w:rsidR="005949C9" w:rsidRPr="0014270C">
        <w:rPr>
          <w:rFonts w:ascii="Bookman Old Style" w:hAnsi="Bookman Old Style"/>
          <w:sz w:val="24"/>
          <w:szCs w:val="24"/>
        </w:rPr>
        <w:t xml:space="preserve"> </w:t>
      </w:r>
      <w:r w:rsidR="009523D6" w:rsidRPr="0014270C">
        <w:rPr>
          <w:rFonts w:ascii="Bookman Old Style" w:hAnsi="Bookman Old Style"/>
          <w:sz w:val="24"/>
          <w:szCs w:val="24"/>
        </w:rPr>
        <w:t xml:space="preserve">points out, one of the most </w:t>
      </w:r>
      <w:r w:rsidR="006E133F" w:rsidRPr="0014270C">
        <w:rPr>
          <w:rFonts w:ascii="Bookman Old Style" w:hAnsi="Bookman Old Style"/>
          <w:sz w:val="24"/>
          <w:szCs w:val="24"/>
        </w:rPr>
        <w:t xml:space="preserve">appealing aspects of </w:t>
      </w:r>
      <w:r w:rsidR="00D90BFB" w:rsidRPr="0014270C">
        <w:rPr>
          <w:rFonts w:ascii="Bookman Old Style" w:hAnsi="Bookman Old Style"/>
          <w:sz w:val="24"/>
          <w:szCs w:val="24"/>
        </w:rPr>
        <w:t>RWH</w:t>
      </w:r>
      <w:r w:rsidR="006E133F" w:rsidRPr="0014270C">
        <w:rPr>
          <w:rFonts w:ascii="Bookman Old Style" w:hAnsi="Bookman Old Style"/>
          <w:sz w:val="24"/>
          <w:szCs w:val="24"/>
        </w:rPr>
        <w:t xml:space="preserve"> is its flexibility.</w:t>
      </w:r>
      <w:r w:rsidR="00B84218" w:rsidRPr="0014270C">
        <w:rPr>
          <w:rStyle w:val="FootnoteReference"/>
          <w:rFonts w:ascii="Bookman Old Style" w:hAnsi="Bookman Old Style"/>
          <w:sz w:val="24"/>
          <w:szCs w:val="24"/>
        </w:rPr>
        <w:footnoteReference w:id="84"/>
      </w:r>
      <w:r w:rsidR="0040417B" w:rsidRPr="0014270C">
        <w:rPr>
          <w:rFonts w:ascii="Bookman Old Style" w:hAnsi="Bookman Old Style"/>
          <w:sz w:val="24"/>
          <w:szCs w:val="24"/>
        </w:rPr>
        <w:t xml:space="preserve"> This </w:t>
      </w:r>
      <w:r w:rsidR="007948F7" w:rsidRPr="0014270C">
        <w:rPr>
          <w:rFonts w:ascii="Bookman Old Style" w:hAnsi="Bookman Old Style"/>
          <w:sz w:val="24"/>
          <w:szCs w:val="24"/>
        </w:rPr>
        <w:t xml:space="preserve">method of </w:t>
      </w:r>
      <w:r w:rsidR="00D90BFB" w:rsidRPr="0014270C">
        <w:rPr>
          <w:rFonts w:ascii="Bookman Old Style" w:hAnsi="Bookman Old Style"/>
          <w:sz w:val="24"/>
          <w:szCs w:val="24"/>
        </w:rPr>
        <w:t>collecti</w:t>
      </w:r>
      <w:r w:rsidR="001C0A1B" w:rsidRPr="0014270C">
        <w:rPr>
          <w:rFonts w:ascii="Bookman Old Style" w:hAnsi="Bookman Old Style"/>
          <w:sz w:val="24"/>
          <w:szCs w:val="24"/>
        </w:rPr>
        <w:t>on</w:t>
      </w:r>
      <w:r w:rsidR="00B90C94" w:rsidRPr="0014270C">
        <w:rPr>
          <w:rFonts w:ascii="Bookman Old Style" w:hAnsi="Bookman Old Style"/>
          <w:sz w:val="24"/>
          <w:szCs w:val="24"/>
        </w:rPr>
        <w:t xml:space="preserve"> can be as complex or as simple as desired</w:t>
      </w:r>
      <w:r w:rsidR="00CD0B7E" w:rsidRPr="0014270C">
        <w:rPr>
          <w:rFonts w:ascii="Bookman Old Style" w:hAnsi="Bookman Old Style"/>
          <w:sz w:val="24"/>
          <w:szCs w:val="24"/>
        </w:rPr>
        <w:t>, whether</w:t>
      </w:r>
      <w:r w:rsidR="00D90BFB" w:rsidRPr="0014270C">
        <w:rPr>
          <w:rFonts w:ascii="Bookman Old Style" w:hAnsi="Bookman Old Style"/>
          <w:sz w:val="24"/>
          <w:szCs w:val="24"/>
        </w:rPr>
        <w:t xml:space="preserve"> </w:t>
      </w:r>
      <w:r w:rsidR="004D3912" w:rsidRPr="0014270C">
        <w:rPr>
          <w:rFonts w:ascii="Bookman Old Style" w:hAnsi="Bookman Old Style"/>
          <w:sz w:val="24"/>
          <w:szCs w:val="24"/>
        </w:rPr>
        <w:t>in permanent structures</w:t>
      </w:r>
      <w:r w:rsidR="00CD0B7E" w:rsidRPr="0014270C">
        <w:rPr>
          <w:rFonts w:ascii="Bookman Old Style" w:hAnsi="Bookman Old Style"/>
          <w:sz w:val="24"/>
          <w:szCs w:val="24"/>
        </w:rPr>
        <w:t xml:space="preserve">, </w:t>
      </w:r>
      <w:r w:rsidR="004D3912" w:rsidRPr="0014270C">
        <w:rPr>
          <w:rFonts w:ascii="Bookman Old Style" w:hAnsi="Bookman Old Style"/>
          <w:sz w:val="24"/>
          <w:szCs w:val="24"/>
        </w:rPr>
        <w:t>integrated fully into an underground filtration system</w:t>
      </w:r>
      <w:r w:rsidR="001C0A1B" w:rsidRPr="0014270C">
        <w:rPr>
          <w:rFonts w:ascii="Bookman Old Style" w:hAnsi="Bookman Old Style"/>
          <w:sz w:val="24"/>
          <w:szCs w:val="24"/>
        </w:rPr>
        <w:t xml:space="preserve">, </w:t>
      </w:r>
      <w:r w:rsidR="00AA0F51" w:rsidRPr="0014270C">
        <w:rPr>
          <w:rFonts w:ascii="Bookman Old Style" w:hAnsi="Bookman Old Style"/>
          <w:sz w:val="24"/>
          <w:szCs w:val="24"/>
        </w:rPr>
        <w:t xml:space="preserve">or in a temporary </w:t>
      </w:r>
      <w:r w:rsidR="003730E3" w:rsidRPr="0014270C">
        <w:rPr>
          <w:rFonts w:ascii="Bookman Old Style" w:hAnsi="Bookman Old Style"/>
          <w:sz w:val="24"/>
          <w:szCs w:val="24"/>
        </w:rPr>
        <w:t>setting, using easily transportable</w:t>
      </w:r>
      <w:r w:rsidR="00DE0520" w:rsidRPr="0014270C">
        <w:rPr>
          <w:rFonts w:ascii="Bookman Old Style" w:hAnsi="Bookman Old Style"/>
          <w:sz w:val="24"/>
          <w:szCs w:val="24"/>
        </w:rPr>
        <w:t xml:space="preserve"> materials</w:t>
      </w:r>
      <w:r w:rsidR="003730E3" w:rsidRPr="0014270C">
        <w:rPr>
          <w:rFonts w:ascii="Bookman Old Style" w:hAnsi="Bookman Old Style"/>
          <w:sz w:val="24"/>
          <w:szCs w:val="24"/>
        </w:rPr>
        <w:t>.</w:t>
      </w:r>
      <w:r w:rsidR="007378DB" w:rsidRPr="0014270C">
        <w:rPr>
          <w:rFonts w:ascii="Bookman Old Style" w:hAnsi="Bookman Old Style"/>
          <w:sz w:val="24"/>
          <w:szCs w:val="24"/>
        </w:rPr>
        <w:t xml:space="preserve"> </w:t>
      </w:r>
      <w:proofErr w:type="spellStart"/>
      <w:r w:rsidR="004F7136" w:rsidRPr="0014270C">
        <w:rPr>
          <w:rFonts w:ascii="Bookman Old Style" w:hAnsi="Bookman Old Style"/>
          <w:sz w:val="24"/>
          <w:szCs w:val="24"/>
        </w:rPr>
        <w:t>Gerston</w:t>
      </w:r>
      <w:proofErr w:type="spellEnd"/>
      <w:r w:rsidR="004F7136" w:rsidRPr="0014270C">
        <w:rPr>
          <w:rFonts w:ascii="Bookman Old Style" w:hAnsi="Bookman Old Style"/>
          <w:sz w:val="24"/>
          <w:szCs w:val="24"/>
        </w:rPr>
        <w:t xml:space="preserve"> simplifies the process</w:t>
      </w:r>
      <w:r w:rsidR="00FB2FD4" w:rsidRPr="0014270C">
        <w:rPr>
          <w:rFonts w:ascii="Bookman Old Style" w:hAnsi="Bookman Old Style"/>
          <w:sz w:val="24"/>
          <w:szCs w:val="24"/>
        </w:rPr>
        <w:t>:</w:t>
      </w:r>
      <w:r w:rsidR="00BB3174" w:rsidRPr="0014270C">
        <w:rPr>
          <w:rFonts w:ascii="Bookman Old Style" w:hAnsi="Bookman Old Style"/>
          <w:sz w:val="24"/>
          <w:szCs w:val="24"/>
        </w:rPr>
        <w:t xml:space="preserve"> to have a fully functional RWH system, one needs</w:t>
      </w:r>
      <w:r w:rsidR="0088795B" w:rsidRPr="0014270C">
        <w:rPr>
          <w:rFonts w:ascii="Bookman Old Style" w:hAnsi="Bookman Old Style"/>
          <w:sz w:val="24"/>
          <w:szCs w:val="24"/>
        </w:rPr>
        <w:t xml:space="preserve"> </w:t>
      </w:r>
      <w:r w:rsidR="00BB3174" w:rsidRPr="0014270C">
        <w:rPr>
          <w:rFonts w:ascii="Bookman Old Style" w:hAnsi="Bookman Old Style"/>
          <w:sz w:val="24"/>
          <w:szCs w:val="24"/>
        </w:rPr>
        <w:t>a</w:t>
      </w:r>
      <w:r w:rsidR="0088795B" w:rsidRPr="0014270C">
        <w:rPr>
          <w:rFonts w:ascii="Bookman Old Style" w:hAnsi="Bookman Old Style"/>
          <w:sz w:val="24"/>
          <w:szCs w:val="24"/>
        </w:rPr>
        <w:t xml:space="preserve"> </w:t>
      </w:r>
      <w:r w:rsidR="0088795B" w:rsidRPr="0014270C">
        <w:rPr>
          <w:rFonts w:ascii="Bookman Old Style" w:hAnsi="Bookman Old Style"/>
          <w:sz w:val="24"/>
          <w:szCs w:val="24"/>
        </w:rPr>
        <w:lastRenderedPageBreak/>
        <w:t>catchment area</w:t>
      </w:r>
      <w:r w:rsidR="00BB3174" w:rsidRPr="0014270C">
        <w:rPr>
          <w:rFonts w:ascii="Bookman Old Style" w:hAnsi="Bookman Old Style"/>
          <w:sz w:val="24"/>
          <w:szCs w:val="24"/>
        </w:rPr>
        <w:t xml:space="preserve"> </w:t>
      </w:r>
      <w:r w:rsidR="0001020B" w:rsidRPr="0014270C">
        <w:rPr>
          <w:rFonts w:ascii="Bookman Old Style" w:hAnsi="Bookman Old Style"/>
          <w:sz w:val="24"/>
          <w:szCs w:val="24"/>
        </w:rPr>
        <w:t>along with gutters and downspouts to channel the water into a cistern</w:t>
      </w:r>
      <w:r w:rsidR="00FB2FD4" w:rsidRPr="0014270C">
        <w:rPr>
          <w:rFonts w:ascii="Bookman Old Style" w:hAnsi="Bookman Old Style"/>
          <w:sz w:val="24"/>
          <w:szCs w:val="24"/>
        </w:rPr>
        <w:t>; t</w:t>
      </w:r>
      <w:r w:rsidR="00645639" w:rsidRPr="0014270C">
        <w:rPr>
          <w:rFonts w:ascii="Bookman Old Style" w:hAnsi="Bookman Old Style"/>
          <w:sz w:val="24"/>
          <w:szCs w:val="24"/>
        </w:rPr>
        <w:t xml:space="preserve">hrough a conveyance system, the water can be pumped into a final area where it is treated and </w:t>
      </w:r>
      <w:r w:rsidR="005A1DD9" w:rsidRPr="0014270C">
        <w:rPr>
          <w:rFonts w:ascii="Bookman Old Style" w:hAnsi="Bookman Old Style"/>
          <w:sz w:val="24"/>
          <w:szCs w:val="24"/>
        </w:rPr>
        <w:t xml:space="preserve">made </w:t>
      </w:r>
      <w:r w:rsidR="00645639" w:rsidRPr="0014270C">
        <w:rPr>
          <w:rFonts w:ascii="Bookman Old Style" w:hAnsi="Bookman Old Style"/>
          <w:sz w:val="24"/>
          <w:szCs w:val="24"/>
        </w:rPr>
        <w:t>ready for use.</w:t>
      </w:r>
      <w:r w:rsidR="005A1DD9" w:rsidRPr="0014270C">
        <w:rPr>
          <w:rStyle w:val="FootnoteReference"/>
          <w:rFonts w:ascii="Bookman Old Style" w:hAnsi="Bookman Old Style"/>
          <w:sz w:val="24"/>
          <w:szCs w:val="24"/>
        </w:rPr>
        <w:footnoteReference w:id="85"/>
      </w:r>
    </w:p>
    <w:p w14:paraId="2B21C2E6" w14:textId="68E20A6C" w:rsidR="001A4BB5" w:rsidRPr="0014270C" w:rsidRDefault="004B12A6" w:rsidP="00B93546">
      <w:pPr>
        <w:pStyle w:val="THESISLVL3"/>
      </w:pPr>
      <w:bookmarkStart w:id="28" w:name="_Toc8062266"/>
      <w:r w:rsidRPr="0014270C">
        <w:t>Net-zero Water Treatment</w:t>
      </w:r>
      <w:bookmarkEnd w:id="28"/>
    </w:p>
    <w:p w14:paraId="198B5438" w14:textId="65E3FD4E" w:rsidR="00F36B60" w:rsidRPr="0014270C" w:rsidRDefault="00675DA1" w:rsidP="00923FDC">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Research </w:t>
      </w:r>
      <w:r w:rsidR="002628C8" w:rsidRPr="0014270C">
        <w:rPr>
          <w:rFonts w:ascii="Bookman Old Style" w:hAnsi="Bookman Old Style"/>
          <w:sz w:val="24"/>
          <w:szCs w:val="24"/>
        </w:rPr>
        <w:t xml:space="preserve">by Janet </w:t>
      </w:r>
      <w:r w:rsidR="007258C5" w:rsidRPr="0014270C">
        <w:rPr>
          <w:rFonts w:ascii="Bookman Old Style" w:hAnsi="Bookman Old Style"/>
          <w:sz w:val="24"/>
          <w:szCs w:val="24"/>
        </w:rPr>
        <w:t>Leong et al.</w:t>
      </w:r>
      <w:r w:rsidR="00113C8B" w:rsidRPr="0014270C">
        <w:rPr>
          <w:rFonts w:ascii="Bookman Old Style" w:hAnsi="Bookman Old Style"/>
          <w:sz w:val="24"/>
          <w:szCs w:val="24"/>
        </w:rPr>
        <w:t xml:space="preserve"> </w:t>
      </w:r>
      <w:r w:rsidR="008910C9" w:rsidRPr="0014270C">
        <w:rPr>
          <w:rFonts w:ascii="Bookman Old Style" w:hAnsi="Bookman Old Style"/>
          <w:sz w:val="24"/>
          <w:szCs w:val="24"/>
        </w:rPr>
        <w:t xml:space="preserve">shows that </w:t>
      </w:r>
      <w:r w:rsidR="007258C5" w:rsidRPr="0014270C">
        <w:rPr>
          <w:rFonts w:ascii="Bookman Old Style" w:hAnsi="Bookman Old Style"/>
          <w:sz w:val="24"/>
          <w:szCs w:val="24"/>
        </w:rPr>
        <w:t>r</w:t>
      </w:r>
      <w:r w:rsidR="009A7DD7" w:rsidRPr="0014270C">
        <w:rPr>
          <w:rFonts w:ascii="Bookman Old Style" w:hAnsi="Bookman Old Style"/>
          <w:sz w:val="24"/>
          <w:szCs w:val="24"/>
        </w:rPr>
        <w:t>ainwater harvesting can be used in conjunction with greywater recycling</w:t>
      </w:r>
      <w:r w:rsidR="00823318" w:rsidRPr="0014270C">
        <w:rPr>
          <w:rFonts w:ascii="Bookman Old Style" w:hAnsi="Bookman Old Style"/>
          <w:sz w:val="24"/>
          <w:szCs w:val="24"/>
        </w:rPr>
        <w:t>, creating a closed-loop system</w:t>
      </w:r>
      <w:r w:rsidR="008E1718" w:rsidRPr="0014270C">
        <w:rPr>
          <w:rFonts w:ascii="Bookman Old Style" w:hAnsi="Bookman Old Style"/>
          <w:sz w:val="24"/>
          <w:szCs w:val="24"/>
        </w:rPr>
        <w:t>.</w:t>
      </w:r>
      <w:r w:rsidR="00183A4A" w:rsidRPr="0014270C">
        <w:rPr>
          <w:rStyle w:val="FootnoteReference"/>
          <w:rFonts w:ascii="Bookman Old Style" w:hAnsi="Bookman Old Style"/>
          <w:sz w:val="24"/>
          <w:szCs w:val="24"/>
        </w:rPr>
        <w:footnoteReference w:id="86"/>
      </w:r>
      <w:r w:rsidR="008E1718" w:rsidRPr="0014270C">
        <w:rPr>
          <w:rFonts w:ascii="Bookman Old Style" w:hAnsi="Bookman Old Style"/>
          <w:sz w:val="24"/>
          <w:szCs w:val="24"/>
        </w:rPr>
        <w:t xml:space="preserve"> </w:t>
      </w:r>
      <w:r w:rsidR="00F04EA6" w:rsidRPr="0014270C">
        <w:rPr>
          <w:rFonts w:ascii="Bookman Old Style" w:hAnsi="Bookman Old Style"/>
          <w:sz w:val="24"/>
          <w:szCs w:val="24"/>
        </w:rPr>
        <w:t xml:space="preserve">Greywater is water that has been </w:t>
      </w:r>
      <w:r w:rsidR="00156A78" w:rsidRPr="0014270C">
        <w:rPr>
          <w:rFonts w:ascii="Bookman Old Style" w:hAnsi="Bookman Old Style"/>
          <w:sz w:val="24"/>
          <w:szCs w:val="24"/>
        </w:rPr>
        <w:t xml:space="preserve">gently </w:t>
      </w:r>
      <w:r w:rsidR="00F04EA6" w:rsidRPr="0014270C">
        <w:rPr>
          <w:rFonts w:ascii="Bookman Old Style" w:hAnsi="Bookman Old Style"/>
          <w:sz w:val="24"/>
          <w:szCs w:val="24"/>
        </w:rPr>
        <w:t>utilized (e</w:t>
      </w:r>
      <w:r w:rsidR="00FD5AFF">
        <w:rPr>
          <w:rFonts w:ascii="Bookman Old Style" w:hAnsi="Bookman Old Style"/>
          <w:sz w:val="24"/>
          <w:szCs w:val="24"/>
        </w:rPr>
        <w:t>.</w:t>
      </w:r>
      <w:r w:rsidR="00F04EA6" w:rsidRPr="0014270C">
        <w:rPr>
          <w:rFonts w:ascii="Bookman Old Style" w:hAnsi="Bookman Old Style"/>
          <w:sz w:val="24"/>
          <w:szCs w:val="24"/>
        </w:rPr>
        <w:t xml:space="preserve">g. </w:t>
      </w:r>
      <w:r w:rsidR="0089591F" w:rsidRPr="0014270C">
        <w:rPr>
          <w:rFonts w:ascii="Bookman Old Style" w:hAnsi="Bookman Old Style"/>
          <w:sz w:val="24"/>
          <w:szCs w:val="24"/>
        </w:rPr>
        <w:t xml:space="preserve">bathroom </w:t>
      </w:r>
      <w:r w:rsidR="00F04EA6" w:rsidRPr="0014270C">
        <w:rPr>
          <w:rFonts w:ascii="Bookman Old Style" w:hAnsi="Bookman Old Style"/>
          <w:sz w:val="24"/>
          <w:szCs w:val="24"/>
        </w:rPr>
        <w:t xml:space="preserve">sinks, </w:t>
      </w:r>
      <w:r w:rsidR="00156A78" w:rsidRPr="0014270C">
        <w:rPr>
          <w:rFonts w:ascii="Bookman Old Style" w:hAnsi="Bookman Old Style"/>
          <w:sz w:val="24"/>
          <w:szCs w:val="24"/>
        </w:rPr>
        <w:t xml:space="preserve">showers, </w:t>
      </w:r>
      <w:r w:rsidR="00F04EA6" w:rsidRPr="0014270C">
        <w:rPr>
          <w:rFonts w:ascii="Bookman Old Style" w:hAnsi="Bookman Old Style"/>
          <w:sz w:val="24"/>
          <w:szCs w:val="24"/>
        </w:rPr>
        <w:t xml:space="preserve">washing machines) and blackwater is </w:t>
      </w:r>
      <w:r w:rsidR="002E5FE6" w:rsidRPr="0014270C">
        <w:rPr>
          <w:rFonts w:ascii="Bookman Old Style" w:hAnsi="Bookman Old Style"/>
          <w:sz w:val="24"/>
          <w:szCs w:val="24"/>
        </w:rPr>
        <w:t>water that</w:t>
      </w:r>
      <w:r w:rsidR="00F04EA6" w:rsidRPr="0014270C">
        <w:rPr>
          <w:rFonts w:ascii="Bookman Old Style" w:hAnsi="Bookman Old Style"/>
          <w:sz w:val="24"/>
          <w:szCs w:val="24"/>
        </w:rPr>
        <w:t xml:space="preserve"> has been used for biological </w:t>
      </w:r>
      <w:r w:rsidR="0089591F" w:rsidRPr="0014270C">
        <w:rPr>
          <w:rFonts w:ascii="Bookman Old Style" w:hAnsi="Bookman Old Style"/>
          <w:sz w:val="24"/>
          <w:szCs w:val="24"/>
        </w:rPr>
        <w:t xml:space="preserve">or organic </w:t>
      </w:r>
      <w:r w:rsidR="00F04EA6" w:rsidRPr="0014270C">
        <w:rPr>
          <w:rFonts w:ascii="Bookman Old Style" w:hAnsi="Bookman Old Style"/>
          <w:sz w:val="24"/>
          <w:szCs w:val="24"/>
        </w:rPr>
        <w:t>waste (e</w:t>
      </w:r>
      <w:r w:rsidR="00FD5AFF">
        <w:rPr>
          <w:rFonts w:ascii="Bookman Old Style" w:hAnsi="Bookman Old Style"/>
          <w:sz w:val="24"/>
          <w:szCs w:val="24"/>
        </w:rPr>
        <w:t>.</w:t>
      </w:r>
      <w:r w:rsidR="00F04EA6" w:rsidRPr="0014270C">
        <w:rPr>
          <w:rFonts w:ascii="Bookman Old Style" w:hAnsi="Bookman Old Style"/>
          <w:sz w:val="24"/>
          <w:szCs w:val="24"/>
        </w:rPr>
        <w:t>g. toilets</w:t>
      </w:r>
      <w:r w:rsidR="0089591F" w:rsidRPr="0014270C">
        <w:rPr>
          <w:rFonts w:ascii="Bookman Old Style" w:hAnsi="Bookman Old Style"/>
          <w:sz w:val="24"/>
          <w:szCs w:val="24"/>
        </w:rPr>
        <w:t>, kitchen drains</w:t>
      </w:r>
      <w:r w:rsidR="00F04EA6" w:rsidRPr="0014270C">
        <w:rPr>
          <w:rFonts w:ascii="Bookman Old Style" w:hAnsi="Bookman Old Style"/>
          <w:sz w:val="24"/>
          <w:szCs w:val="24"/>
        </w:rPr>
        <w:t xml:space="preserve">) – </w:t>
      </w:r>
      <w:r w:rsidR="00D20FB2" w:rsidRPr="0014270C">
        <w:rPr>
          <w:rFonts w:ascii="Bookman Old Style" w:hAnsi="Bookman Old Style"/>
          <w:sz w:val="24"/>
          <w:szCs w:val="24"/>
        </w:rPr>
        <w:t>this is</w:t>
      </w:r>
      <w:r w:rsidR="00F04EA6" w:rsidRPr="0014270C">
        <w:rPr>
          <w:rFonts w:ascii="Bookman Old Style" w:hAnsi="Bookman Old Style"/>
          <w:sz w:val="24"/>
          <w:szCs w:val="24"/>
        </w:rPr>
        <w:t xml:space="preserve"> wastewater that </w:t>
      </w:r>
      <w:r w:rsidR="00D20FB2" w:rsidRPr="0014270C">
        <w:rPr>
          <w:rFonts w:ascii="Bookman Old Style" w:hAnsi="Bookman Old Style"/>
          <w:sz w:val="24"/>
          <w:szCs w:val="24"/>
        </w:rPr>
        <w:t>is</w:t>
      </w:r>
      <w:r w:rsidR="00F04EA6" w:rsidRPr="0014270C">
        <w:rPr>
          <w:rFonts w:ascii="Bookman Old Style" w:hAnsi="Bookman Old Style"/>
          <w:sz w:val="24"/>
          <w:szCs w:val="24"/>
        </w:rPr>
        <w:t xml:space="preserve"> no longer viable for use in </w:t>
      </w:r>
      <w:r w:rsidR="00D20FB2" w:rsidRPr="0014270C">
        <w:rPr>
          <w:rFonts w:ascii="Bookman Old Style" w:hAnsi="Bookman Old Style"/>
          <w:sz w:val="24"/>
          <w:szCs w:val="24"/>
        </w:rPr>
        <w:t xml:space="preserve">its </w:t>
      </w:r>
      <w:r w:rsidR="00F04EA6" w:rsidRPr="0014270C">
        <w:rPr>
          <w:rFonts w:ascii="Bookman Old Style" w:hAnsi="Bookman Old Style"/>
          <w:sz w:val="24"/>
          <w:szCs w:val="24"/>
        </w:rPr>
        <w:t xml:space="preserve">current state. </w:t>
      </w:r>
      <w:r w:rsidR="008910C9" w:rsidRPr="0014270C">
        <w:rPr>
          <w:rFonts w:ascii="Bookman Old Style" w:hAnsi="Bookman Old Style"/>
          <w:sz w:val="24"/>
          <w:szCs w:val="24"/>
        </w:rPr>
        <w:t xml:space="preserve">Using </w:t>
      </w:r>
      <w:r w:rsidR="00D20FB2" w:rsidRPr="0014270C">
        <w:rPr>
          <w:rFonts w:ascii="Bookman Old Style" w:hAnsi="Bookman Old Style"/>
          <w:sz w:val="24"/>
          <w:szCs w:val="24"/>
        </w:rPr>
        <w:t>a greywater recycling</w:t>
      </w:r>
      <w:r w:rsidR="008910C9" w:rsidRPr="0014270C">
        <w:rPr>
          <w:rFonts w:ascii="Bookman Old Style" w:hAnsi="Bookman Old Style"/>
          <w:sz w:val="24"/>
          <w:szCs w:val="24"/>
        </w:rPr>
        <w:t xml:space="preserve"> system can </w:t>
      </w:r>
      <w:r w:rsidR="001638A6" w:rsidRPr="0014270C">
        <w:rPr>
          <w:rFonts w:ascii="Bookman Old Style" w:hAnsi="Bookman Old Style"/>
          <w:sz w:val="24"/>
          <w:szCs w:val="24"/>
        </w:rPr>
        <w:t>reduce the environmental impact of household water requirements</w:t>
      </w:r>
      <w:r w:rsidR="009C2015" w:rsidRPr="0014270C">
        <w:rPr>
          <w:rFonts w:ascii="Bookman Old Style" w:hAnsi="Bookman Old Style"/>
          <w:sz w:val="24"/>
          <w:szCs w:val="24"/>
        </w:rPr>
        <w:t xml:space="preserve"> </w:t>
      </w:r>
      <w:r w:rsidR="00001C41" w:rsidRPr="0014270C">
        <w:rPr>
          <w:rFonts w:ascii="Bookman Old Style" w:hAnsi="Bookman Old Style"/>
          <w:sz w:val="24"/>
          <w:szCs w:val="24"/>
        </w:rPr>
        <w:t>by utilizing</w:t>
      </w:r>
      <w:r w:rsidR="00CD2A98" w:rsidRPr="0014270C">
        <w:rPr>
          <w:rFonts w:ascii="Bookman Old Style" w:hAnsi="Bookman Old Style"/>
          <w:sz w:val="24"/>
          <w:szCs w:val="24"/>
        </w:rPr>
        <w:t xml:space="preserve"> available water rather than creating demand for </w:t>
      </w:r>
      <w:r w:rsidR="00BD34F4" w:rsidRPr="0014270C">
        <w:rPr>
          <w:rFonts w:ascii="Bookman Old Style" w:hAnsi="Bookman Old Style"/>
          <w:sz w:val="24"/>
          <w:szCs w:val="24"/>
        </w:rPr>
        <w:t>water treated off-site in a facility.</w:t>
      </w:r>
      <w:r w:rsidR="003D685C" w:rsidRPr="0014270C">
        <w:rPr>
          <w:rFonts w:ascii="Bookman Old Style" w:hAnsi="Bookman Old Style"/>
          <w:sz w:val="24"/>
          <w:szCs w:val="24"/>
        </w:rPr>
        <w:t xml:space="preserve"> </w:t>
      </w:r>
      <w:r w:rsidR="00F81D26" w:rsidRPr="0014270C">
        <w:rPr>
          <w:rFonts w:ascii="Bookman Old Style" w:hAnsi="Bookman Old Style"/>
          <w:sz w:val="24"/>
          <w:szCs w:val="24"/>
        </w:rPr>
        <w:t xml:space="preserve">Leong et al. caution against using untreated greywater and </w:t>
      </w:r>
      <w:r w:rsidR="00B320ED" w:rsidRPr="0014270C">
        <w:rPr>
          <w:rFonts w:ascii="Bookman Old Style" w:hAnsi="Bookman Old Style"/>
          <w:sz w:val="24"/>
          <w:szCs w:val="24"/>
        </w:rPr>
        <w:t xml:space="preserve">note that combining rainwater with greywater results in </w:t>
      </w:r>
      <w:r w:rsidR="00093F10" w:rsidRPr="0014270C">
        <w:rPr>
          <w:rFonts w:ascii="Bookman Old Style" w:hAnsi="Bookman Old Style"/>
          <w:sz w:val="24"/>
          <w:szCs w:val="24"/>
        </w:rPr>
        <w:t xml:space="preserve">a mixture that should </w:t>
      </w:r>
      <w:proofErr w:type="gramStart"/>
      <w:r w:rsidR="00093F10" w:rsidRPr="0014270C">
        <w:rPr>
          <w:rFonts w:ascii="Bookman Old Style" w:hAnsi="Bookman Old Style"/>
          <w:sz w:val="24"/>
          <w:szCs w:val="24"/>
        </w:rPr>
        <w:t>be treated</w:t>
      </w:r>
      <w:proofErr w:type="gramEnd"/>
      <w:r w:rsidR="00093F10" w:rsidRPr="0014270C">
        <w:rPr>
          <w:rFonts w:ascii="Bookman Old Style" w:hAnsi="Bookman Old Style"/>
          <w:sz w:val="24"/>
          <w:szCs w:val="24"/>
        </w:rPr>
        <w:t xml:space="preserve"> as greywater needing to be fully treated before use.</w:t>
      </w:r>
      <w:r w:rsidR="00540F3D" w:rsidRPr="0014270C">
        <w:rPr>
          <w:rStyle w:val="FootnoteReference"/>
          <w:rFonts w:ascii="Bookman Old Style" w:hAnsi="Bookman Old Style"/>
          <w:sz w:val="24"/>
          <w:szCs w:val="24"/>
        </w:rPr>
        <w:footnoteReference w:id="87"/>
      </w:r>
      <w:r w:rsidR="00093F10" w:rsidRPr="0014270C">
        <w:rPr>
          <w:rFonts w:ascii="Bookman Old Style" w:hAnsi="Bookman Old Style"/>
          <w:sz w:val="24"/>
          <w:szCs w:val="24"/>
        </w:rPr>
        <w:t xml:space="preserve"> </w:t>
      </w:r>
      <w:r w:rsidR="00BD34F4" w:rsidRPr="0014270C">
        <w:rPr>
          <w:rFonts w:ascii="Bookman Old Style" w:hAnsi="Bookman Old Style"/>
          <w:sz w:val="24"/>
          <w:szCs w:val="24"/>
        </w:rPr>
        <w:t xml:space="preserve"> </w:t>
      </w:r>
    </w:p>
    <w:p w14:paraId="24C1A8B2" w14:textId="54067786" w:rsidR="00C553A8" w:rsidRPr="0014270C" w:rsidRDefault="00C553A8" w:rsidP="00183A4A">
      <w:pPr>
        <w:spacing w:line="480" w:lineRule="auto"/>
        <w:jc w:val="center"/>
        <w:rPr>
          <w:rFonts w:ascii="Bookman Old Style" w:hAnsi="Bookman Old Style"/>
          <w:sz w:val="24"/>
          <w:szCs w:val="24"/>
        </w:rPr>
      </w:pPr>
    </w:p>
    <w:p w14:paraId="172429BF" w14:textId="61624499" w:rsidR="00923FDC" w:rsidRPr="0014270C" w:rsidRDefault="00923FDC" w:rsidP="00183A4A">
      <w:pPr>
        <w:spacing w:line="480" w:lineRule="auto"/>
        <w:jc w:val="center"/>
        <w:rPr>
          <w:rFonts w:ascii="Bookman Old Style" w:hAnsi="Bookman Old Style"/>
          <w:sz w:val="24"/>
          <w:szCs w:val="24"/>
        </w:rPr>
      </w:pPr>
    </w:p>
    <w:p w14:paraId="11EE94FA" w14:textId="08D5E3CF" w:rsidR="00923FDC" w:rsidRPr="0014270C" w:rsidRDefault="00923FDC" w:rsidP="00183A4A">
      <w:pPr>
        <w:spacing w:line="480" w:lineRule="auto"/>
        <w:jc w:val="center"/>
        <w:rPr>
          <w:rFonts w:ascii="Bookman Old Style" w:hAnsi="Bookman Old Style"/>
          <w:sz w:val="24"/>
          <w:szCs w:val="24"/>
        </w:rPr>
      </w:pPr>
    </w:p>
    <w:p w14:paraId="10913D64" w14:textId="2EECD9DB" w:rsidR="00923FDC" w:rsidRPr="0014270C" w:rsidRDefault="00923FDC" w:rsidP="00183A4A">
      <w:pPr>
        <w:spacing w:line="480" w:lineRule="auto"/>
        <w:jc w:val="center"/>
        <w:rPr>
          <w:rFonts w:ascii="Bookman Old Style" w:hAnsi="Bookman Old Style"/>
          <w:sz w:val="24"/>
          <w:szCs w:val="24"/>
        </w:rPr>
      </w:pPr>
    </w:p>
    <w:p w14:paraId="3C6FCDEC" w14:textId="34716F55" w:rsidR="00183A4A" w:rsidRPr="0014270C" w:rsidRDefault="00183A4A" w:rsidP="00183A4A">
      <w:pPr>
        <w:spacing w:line="480" w:lineRule="auto"/>
        <w:jc w:val="center"/>
        <w:rPr>
          <w:rFonts w:ascii="Bookman Old Style" w:hAnsi="Bookman Old Style"/>
          <w:sz w:val="24"/>
          <w:szCs w:val="24"/>
        </w:rPr>
      </w:pPr>
      <w:r w:rsidRPr="0014270C">
        <w:rPr>
          <w:rFonts w:ascii="Bookman Old Style" w:hAnsi="Bookman Old Style"/>
          <w:noProof/>
          <w:sz w:val="24"/>
          <w:szCs w:val="24"/>
        </w:rPr>
        <w:lastRenderedPageBreak/>
        <w:drawing>
          <wp:inline distT="0" distB="0" distL="0" distR="0" wp14:anchorId="2517F75D" wp14:editId="51C6DF0C">
            <wp:extent cx="5193868" cy="443865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eong hybrid system.PNG"/>
                    <pic:cNvPicPr/>
                  </pic:nvPicPr>
                  <pic:blipFill>
                    <a:blip r:embed="rId13">
                      <a:extLst>
                        <a:ext uri="{28A0092B-C50C-407E-A947-70E740481C1C}">
                          <a14:useLocalDpi xmlns:a14="http://schemas.microsoft.com/office/drawing/2010/main" val="0"/>
                        </a:ext>
                      </a:extLst>
                    </a:blip>
                    <a:stretch>
                      <a:fillRect/>
                    </a:stretch>
                  </pic:blipFill>
                  <pic:spPr>
                    <a:xfrm>
                      <a:off x="0" y="0"/>
                      <a:ext cx="5286551" cy="4517856"/>
                    </a:xfrm>
                    <a:prstGeom prst="rect">
                      <a:avLst/>
                    </a:prstGeom>
                  </pic:spPr>
                </pic:pic>
              </a:graphicData>
            </a:graphic>
          </wp:inline>
        </w:drawing>
      </w:r>
    </w:p>
    <w:p w14:paraId="4BF9BCDC" w14:textId="1A050D30" w:rsidR="00183A4A" w:rsidRPr="0014270C" w:rsidRDefault="0080512E" w:rsidP="007860B2">
      <w:pPr>
        <w:rPr>
          <w:rFonts w:ascii="Bookman Old Style" w:hAnsi="Bookman Old Style"/>
          <w:sz w:val="24"/>
          <w:szCs w:val="24"/>
        </w:rPr>
      </w:pPr>
      <w:bookmarkStart w:id="29" w:name="_Toc5736715"/>
      <w:bookmarkStart w:id="30" w:name="_Toc8062330"/>
      <w:r w:rsidRPr="0014270C">
        <w:rPr>
          <w:rStyle w:val="THESISFigureHeadChar"/>
        </w:rPr>
        <w:t>Figure 1</w:t>
      </w:r>
      <w:bookmarkEnd w:id="29"/>
      <w:r w:rsidRPr="0014270C">
        <w:rPr>
          <w:rStyle w:val="THESISFigureHeadChar"/>
        </w:rPr>
        <w:t xml:space="preserve">. </w:t>
      </w:r>
      <w:r w:rsidR="000E6643" w:rsidRPr="0014270C">
        <w:rPr>
          <w:rStyle w:val="THESISFigureHeadChar"/>
        </w:rPr>
        <w:t>Hybrid rain</w:t>
      </w:r>
      <w:r w:rsidR="007860B2" w:rsidRPr="0014270C">
        <w:rPr>
          <w:rStyle w:val="THESISFigureHeadChar"/>
        </w:rPr>
        <w:t>water-greywater system design.</w:t>
      </w:r>
      <w:bookmarkEnd w:id="30"/>
      <w:r w:rsidR="007860B2" w:rsidRPr="0014270C">
        <w:rPr>
          <w:rFonts w:ascii="Bookman Old Style" w:hAnsi="Bookman Old Style"/>
          <w:sz w:val="24"/>
          <w:szCs w:val="24"/>
        </w:rPr>
        <w:t xml:space="preserve"> </w:t>
      </w:r>
      <w:r w:rsidR="00183A4A" w:rsidRPr="0014270C">
        <w:rPr>
          <w:rFonts w:ascii="Bookman Old Style" w:hAnsi="Bookman Old Style"/>
          <w:sz w:val="24"/>
          <w:szCs w:val="24"/>
        </w:rPr>
        <w:t xml:space="preserve">Leong et al., Proposed hybrid rainwater-greywater system designs, 2017, in </w:t>
      </w:r>
      <w:r w:rsidR="004D0618" w:rsidRPr="0014270C">
        <w:rPr>
          <w:rFonts w:ascii="Bookman Old Style" w:hAnsi="Bookman Old Style"/>
          <w:sz w:val="24"/>
          <w:szCs w:val="24"/>
        </w:rPr>
        <w:t>Journal of Cleaner Production 142</w:t>
      </w:r>
      <w:r w:rsidR="00D05B51" w:rsidRPr="0014270C">
        <w:rPr>
          <w:rFonts w:ascii="Bookman Old Style" w:hAnsi="Bookman Old Style"/>
          <w:sz w:val="24"/>
          <w:szCs w:val="24"/>
        </w:rPr>
        <w:t>.</w:t>
      </w:r>
      <w:r w:rsidR="004D0618" w:rsidRPr="0014270C">
        <w:rPr>
          <w:rStyle w:val="FootnoteReference"/>
          <w:rFonts w:ascii="Bookman Old Style" w:hAnsi="Bookman Old Style"/>
          <w:sz w:val="24"/>
          <w:szCs w:val="24"/>
        </w:rPr>
        <w:footnoteReference w:id="88"/>
      </w:r>
    </w:p>
    <w:p w14:paraId="4ED7A688" w14:textId="77777777" w:rsidR="007860B2" w:rsidRPr="0014270C" w:rsidRDefault="007860B2" w:rsidP="007860B2">
      <w:pPr>
        <w:rPr>
          <w:rFonts w:ascii="Bookman Old Style" w:hAnsi="Bookman Old Style"/>
          <w:sz w:val="24"/>
          <w:szCs w:val="24"/>
        </w:rPr>
      </w:pPr>
    </w:p>
    <w:p w14:paraId="26D39322" w14:textId="411E7D79" w:rsidR="00DE16CD" w:rsidRPr="0014270C" w:rsidRDefault="00354308" w:rsidP="001D4918">
      <w:pPr>
        <w:spacing w:line="480" w:lineRule="auto"/>
        <w:ind w:firstLine="720"/>
        <w:rPr>
          <w:rFonts w:ascii="Bookman Old Style" w:hAnsi="Bookman Old Style"/>
          <w:sz w:val="24"/>
          <w:szCs w:val="24"/>
        </w:rPr>
      </w:pPr>
      <w:r w:rsidRPr="0014270C">
        <w:rPr>
          <w:rFonts w:ascii="Bookman Old Style" w:hAnsi="Bookman Old Style"/>
          <w:sz w:val="24"/>
          <w:szCs w:val="24"/>
        </w:rPr>
        <w:t>T</w:t>
      </w:r>
      <w:r w:rsidR="002242FE" w:rsidRPr="0014270C">
        <w:rPr>
          <w:rFonts w:ascii="Bookman Old Style" w:hAnsi="Bookman Old Style"/>
          <w:sz w:val="24"/>
          <w:szCs w:val="24"/>
        </w:rPr>
        <w:t>reatment</w:t>
      </w:r>
      <w:r w:rsidRPr="0014270C">
        <w:rPr>
          <w:rFonts w:ascii="Bookman Old Style" w:hAnsi="Bookman Old Style"/>
          <w:sz w:val="24"/>
          <w:szCs w:val="24"/>
        </w:rPr>
        <w:t xml:space="preserve"> of </w:t>
      </w:r>
      <w:r w:rsidR="00557AFE" w:rsidRPr="0014270C">
        <w:rPr>
          <w:rFonts w:ascii="Bookman Old Style" w:hAnsi="Bookman Old Style"/>
          <w:sz w:val="24"/>
          <w:szCs w:val="24"/>
        </w:rPr>
        <w:t>waste</w:t>
      </w:r>
      <w:r w:rsidRPr="0014270C">
        <w:rPr>
          <w:rFonts w:ascii="Bookman Old Style" w:hAnsi="Bookman Old Style"/>
          <w:sz w:val="24"/>
          <w:szCs w:val="24"/>
        </w:rPr>
        <w:t>water</w:t>
      </w:r>
      <w:r w:rsidR="0066788C" w:rsidRPr="0014270C">
        <w:rPr>
          <w:rFonts w:ascii="Bookman Old Style" w:hAnsi="Bookman Old Style"/>
          <w:sz w:val="24"/>
          <w:szCs w:val="24"/>
        </w:rPr>
        <w:t xml:space="preserve"> is important to consider when </w:t>
      </w:r>
      <w:r w:rsidR="007A73C1" w:rsidRPr="0014270C">
        <w:rPr>
          <w:rFonts w:ascii="Bookman Old Style" w:hAnsi="Bookman Old Style"/>
          <w:sz w:val="24"/>
          <w:szCs w:val="24"/>
        </w:rPr>
        <w:t xml:space="preserve">developing communities that </w:t>
      </w:r>
      <w:proofErr w:type="gramStart"/>
      <w:r w:rsidR="007A73C1" w:rsidRPr="0014270C">
        <w:rPr>
          <w:rFonts w:ascii="Bookman Old Style" w:hAnsi="Bookman Old Style"/>
          <w:sz w:val="24"/>
          <w:szCs w:val="24"/>
        </w:rPr>
        <w:t>are not connected</w:t>
      </w:r>
      <w:proofErr w:type="gramEnd"/>
      <w:r w:rsidR="007A73C1" w:rsidRPr="0014270C">
        <w:rPr>
          <w:rFonts w:ascii="Bookman Old Style" w:hAnsi="Bookman Old Style"/>
          <w:sz w:val="24"/>
          <w:szCs w:val="24"/>
        </w:rPr>
        <w:t xml:space="preserve"> to a city sewer system or</w:t>
      </w:r>
      <w:r w:rsidR="00027F81" w:rsidRPr="0014270C">
        <w:rPr>
          <w:rFonts w:ascii="Bookman Old Style" w:hAnsi="Bookman Old Style"/>
          <w:sz w:val="24"/>
          <w:szCs w:val="24"/>
        </w:rPr>
        <w:t xml:space="preserve"> septic</w:t>
      </w:r>
      <w:r w:rsidRPr="0014270C">
        <w:rPr>
          <w:rFonts w:ascii="Bookman Old Style" w:hAnsi="Bookman Old Style"/>
          <w:sz w:val="24"/>
          <w:szCs w:val="24"/>
        </w:rPr>
        <w:t xml:space="preserve"> due to the </w:t>
      </w:r>
      <w:r w:rsidR="00DD6F11" w:rsidRPr="0014270C">
        <w:rPr>
          <w:rFonts w:ascii="Bookman Old Style" w:hAnsi="Bookman Old Style"/>
          <w:noProof/>
          <w:sz w:val="24"/>
          <w:szCs w:val="24"/>
        </w:rPr>
        <w:t>number</w:t>
      </w:r>
      <w:r w:rsidRPr="0014270C">
        <w:rPr>
          <w:rFonts w:ascii="Bookman Old Style" w:hAnsi="Bookman Old Style"/>
          <w:sz w:val="24"/>
          <w:szCs w:val="24"/>
        </w:rPr>
        <w:t xml:space="preserve"> of contaminants that could be introduced into the environment</w:t>
      </w:r>
      <w:r w:rsidR="002D64B9" w:rsidRPr="0014270C">
        <w:rPr>
          <w:rFonts w:ascii="Bookman Old Style" w:hAnsi="Bookman Old Style"/>
          <w:sz w:val="24"/>
          <w:szCs w:val="24"/>
        </w:rPr>
        <w:t>.</w:t>
      </w:r>
      <w:r w:rsidR="001D4918" w:rsidRPr="0014270C">
        <w:rPr>
          <w:rFonts w:ascii="Bookman Old Style" w:hAnsi="Bookman Old Style"/>
          <w:sz w:val="24"/>
          <w:szCs w:val="24"/>
        </w:rPr>
        <w:t xml:space="preserve"> </w:t>
      </w:r>
      <w:r w:rsidR="00BE59DC" w:rsidRPr="0014270C">
        <w:rPr>
          <w:rFonts w:ascii="Bookman Old Style" w:hAnsi="Bookman Old Style"/>
          <w:sz w:val="24"/>
          <w:szCs w:val="24"/>
        </w:rPr>
        <w:t>Net-zero greywater</w:t>
      </w:r>
      <w:r w:rsidR="009D061B" w:rsidRPr="0014270C">
        <w:rPr>
          <w:rFonts w:ascii="Bookman Old Style" w:hAnsi="Bookman Old Style"/>
          <w:sz w:val="24"/>
          <w:szCs w:val="24"/>
        </w:rPr>
        <w:t xml:space="preserve"> (NZGW)</w:t>
      </w:r>
      <w:r w:rsidR="00BE59DC" w:rsidRPr="0014270C">
        <w:rPr>
          <w:rFonts w:ascii="Bookman Old Style" w:hAnsi="Bookman Old Style"/>
          <w:sz w:val="24"/>
          <w:szCs w:val="24"/>
        </w:rPr>
        <w:t xml:space="preserve"> reuse is a mostly closed-loop system </w:t>
      </w:r>
      <w:r w:rsidR="00DB7ADB" w:rsidRPr="0014270C">
        <w:rPr>
          <w:rFonts w:ascii="Bookman Old Style" w:hAnsi="Bookman Old Style"/>
          <w:sz w:val="24"/>
          <w:szCs w:val="24"/>
        </w:rPr>
        <w:t xml:space="preserve">that can treat water </w:t>
      </w:r>
      <w:r w:rsidR="007229E0" w:rsidRPr="0014270C">
        <w:rPr>
          <w:rFonts w:ascii="Bookman Old Style" w:hAnsi="Bookman Old Style"/>
          <w:sz w:val="24"/>
          <w:szCs w:val="24"/>
        </w:rPr>
        <w:t>to its original state, allowing for reuse.</w:t>
      </w:r>
      <w:r w:rsidR="00AF1555" w:rsidRPr="0014270C">
        <w:rPr>
          <w:rStyle w:val="FootnoteReference"/>
          <w:rFonts w:ascii="Bookman Old Style" w:hAnsi="Bookman Old Style"/>
          <w:sz w:val="24"/>
          <w:szCs w:val="24"/>
        </w:rPr>
        <w:footnoteReference w:id="89"/>
      </w:r>
      <w:r w:rsidR="007F4FF3" w:rsidRPr="0014270C">
        <w:rPr>
          <w:rFonts w:ascii="Bookman Old Style" w:hAnsi="Bookman Old Style"/>
          <w:sz w:val="24"/>
          <w:szCs w:val="24"/>
        </w:rPr>
        <w:t xml:space="preserve"> </w:t>
      </w:r>
      <w:r w:rsidR="00D15F78" w:rsidRPr="0014270C">
        <w:rPr>
          <w:rFonts w:ascii="Bookman Old Style" w:hAnsi="Bookman Old Style"/>
          <w:sz w:val="24"/>
          <w:szCs w:val="24"/>
        </w:rPr>
        <w:t xml:space="preserve">While there are many </w:t>
      </w:r>
      <w:r w:rsidR="00D15F78" w:rsidRPr="0014270C">
        <w:rPr>
          <w:rFonts w:ascii="Bookman Old Style" w:hAnsi="Bookman Old Style"/>
          <w:sz w:val="24"/>
          <w:szCs w:val="24"/>
        </w:rPr>
        <w:lastRenderedPageBreak/>
        <w:t>applications of greywater reuse in non-human contact scenarios</w:t>
      </w:r>
      <w:r w:rsidR="00333DAD" w:rsidRPr="0014270C">
        <w:rPr>
          <w:rFonts w:ascii="Bookman Old Style" w:hAnsi="Bookman Old Style"/>
          <w:sz w:val="24"/>
          <w:szCs w:val="24"/>
        </w:rPr>
        <w:t xml:space="preserve"> such as that proposed by the hybrid system Leong et al. illustrated</w:t>
      </w:r>
      <w:r w:rsidR="00DE16CD" w:rsidRPr="0014270C">
        <w:rPr>
          <w:rFonts w:ascii="Bookman Old Style" w:hAnsi="Bookman Old Style"/>
          <w:sz w:val="24"/>
          <w:szCs w:val="24"/>
        </w:rPr>
        <w:t xml:space="preserve"> in their research</w:t>
      </w:r>
      <w:r w:rsidR="00D15F78" w:rsidRPr="0014270C">
        <w:rPr>
          <w:rFonts w:ascii="Bookman Old Style" w:hAnsi="Bookman Old Style"/>
          <w:sz w:val="24"/>
          <w:szCs w:val="24"/>
        </w:rPr>
        <w:t xml:space="preserve">, </w:t>
      </w:r>
      <w:r w:rsidR="009D061B" w:rsidRPr="0014270C">
        <w:rPr>
          <w:rFonts w:ascii="Bookman Old Style" w:hAnsi="Bookman Old Style"/>
          <w:sz w:val="24"/>
          <w:szCs w:val="24"/>
        </w:rPr>
        <w:t xml:space="preserve">NZGW </w:t>
      </w:r>
      <w:r w:rsidR="008427BB" w:rsidRPr="0014270C">
        <w:rPr>
          <w:rFonts w:ascii="Bookman Old Style" w:hAnsi="Bookman Old Style"/>
          <w:sz w:val="24"/>
          <w:szCs w:val="24"/>
        </w:rPr>
        <w:t>re</w:t>
      </w:r>
      <w:r w:rsidR="0088742B" w:rsidRPr="0014270C">
        <w:rPr>
          <w:rFonts w:ascii="Bookman Old Style" w:hAnsi="Bookman Old Style"/>
          <w:sz w:val="24"/>
          <w:szCs w:val="24"/>
        </w:rPr>
        <w:t>use</w:t>
      </w:r>
      <w:r w:rsidR="009D061B" w:rsidRPr="0014270C">
        <w:rPr>
          <w:rFonts w:ascii="Bookman Old Style" w:hAnsi="Bookman Old Style"/>
          <w:sz w:val="24"/>
          <w:szCs w:val="24"/>
        </w:rPr>
        <w:t xml:space="preserve"> </w:t>
      </w:r>
      <w:r w:rsidR="00EC7482" w:rsidRPr="0014270C">
        <w:rPr>
          <w:rFonts w:ascii="Bookman Old Style" w:hAnsi="Bookman Old Style"/>
          <w:sz w:val="24"/>
          <w:szCs w:val="24"/>
        </w:rPr>
        <w:t xml:space="preserve">aims to </w:t>
      </w:r>
      <w:r w:rsidR="008B48CD" w:rsidRPr="0014270C">
        <w:rPr>
          <w:rFonts w:ascii="Bookman Old Style" w:hAnsi="Bookman Old Style"/>
          <w:sz w:val="24"/>
          <w:szCs w:val="24"/>
        </w:rPr>
        <w:t>allow for human contact</w:t>
      </w:r>
      <w:r w:rsidR="0072077C" w:rsidRPr="0014270C">
        <w:rPr>
          <w:rFonts w:ascii="Bookman Old Style" w:hAnsi="Bookman Old Style"/>
          <w:sz w:val="24"/>
          <w:szCs w:val="24"/>
        </w:rPr>
        <w:t xml:space="preserve"> uses such as bathing.</w:t>
      </w:r>
      <w:r w:rsidR="00B728F1" w:rsidRPr="0014270C">
        <w:rPr>
          <w:rStyle w:val="FootnoteReference"/>
          <w:rFonts w:ascii="Bookman Old Style" w:hAnsi="Bookman Old Style"/>
          <w:sz w:val="24"/>
          <w:szCs w:val="24"/>
        </w:rPr>
        <w:footnoteReference w:id="90"/>
      </w:r>
      <w:r w:rsidR="00792D95" w:rsidRPr="0014270C">
        <w:rPr>
          <w:rFonts w:ascii="Bookman Old Style" w:hAnsi="Bookman Old Style"/>
          <w:sz w:val="24"/>
          <w:szCs w:val="24"/>
        </w:rPr>
        <w:t xml:space="preserve"> </w:t>
      </w:r>
    </w:p>
    <w:p w14:paraId="7293916D" w14:textId="1AC2A839" w:rsidR="00F325C1" w:rsidRPr="0014270C" w:rsidRDefault="00953C9A" w:rsidP="006D1BC4">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Lucien </w:t>
      </w:r>
      <w:proofErr w:type="spellStart"/>
      <w:r w:rsidRPr="0014270C">
        <w:rPr>
          <w:rFonts w:ascii="Bookman Old Style" w:hAnsi="Bookman Old Style"/>
          <w:sz w:val="24"/>
          <w:szCs w:val="24"/>
        </w:rPr>
        <w:t>Gassie</w:t>
      </w:r>
      <w:proofErr w:type="spellEnd"/>
      <w:r w:rsidRPr="0014270C">
        <w:rPr>
          <w:rFonts w:ascii="Bookman Old Style" w:hAnsi="Bookman Old Style"/>
          <w:sz w:val="24"/>
          <w:szCs w:val="24"/>
        </w:rPr>
        <w:t xml:space="preserve"> and James </w:t>
      </w:r>
      <w:proofErr w:type="spellStart"/>
      <w:r w:rsidRPr="0014270C">
        <w:rPr>
          <w:rFonts w:ascii="Bookman Old Style" w:hAnsi="Bookman Old Style"/>
          <w:sz w:val="24"/>
          <w:szCs w:val="24"/>
        </w:rPr>
        <w:t>Englehardt</w:t>
      </w:r>
      <w:proofErr w:type="spellEnd"/>
      <w:r w:rsidR="00934BE9" w:rsidRPr="0014270C">
        <w:rPr>
          <w:rFonts w:ascii="Bookman Old Style" w:hAnsi="Bookman Old Style"/>
          <w:sz w:val="24"/>
          <w:szCs w:val="24"/>
        </w:rPr>
        <w:t xml:space="preserve">, in their study </w:t>
      </w:r>
      <w:r w:rsidR="004C2DEC" w:rsidRPr="0014270C">
        <w:rPr>
          <w:rFonts w:ascii="Bookman Old Style" w:hAnsi="Bookman Old Style"/>
          <w:sz w:val="24"/>
          <w:szCs w:val="24"/>
        </w:rPr>
        <w:t xml:space="preserve">titled </w:t>
      </w:r>
      <w:r w:rsidR="00D5505F" w:rsidRPr="0014270C">
        <w:rPr>
          <w:rFonts w:ascii="Bookman Old Style" w:hAnsi="Bookman Old Style"/>
          <w:sz w:val="24"/>
          <w:szCs w:val="24"/>
        </w:rPr>
        <w:t>“</w:t>
      </w:r>
      <w:r w:rsidR="004C2DEC" w:rsidRPr="0014270C">
        <w:rPr>
          <w:rFonts w:ascii="Bookman Old Style" w:hAnsi="Bookman Old Style"/>
          <w:sz w:val="24"/>
          <w:szCs w:val="24"/>
        </w:rPr>
        <w:t>Advanced Oxidation and Disinfection Processes for Onsite Net-Zero Greywater Reuse: a Review,</w:t>
      </w:r>
      <w:r w:rsidR="00D5505F" w:rsidRPr="0014270C">
        <w:rPr>
          <w:rFonts w:ascii="Bookman Old Style" w:hAnsi="Bookman Old Style"/>
          <w:sz w:val="24"/>
          <w:szCs w:val="24"/>
        </w:rPr>
        <w:t>”</w:t>
      </w:r>
      <w:r w:rsidR="004C2DEC" w:rsidRPr="0014270C">
        <w:rPr>
          <w:rFonts w:ascii="Bookman Old Style" w:hAnsi="Bookman Old Style"/>
          <w:sz w:val="24"/>
          <w:szCs w:val="24"/>
        </w:rPr>
        <w:t xml:space="preserve"> </w:t>
      </w:r>
      <w:r w:rsidR="009117D8" w:rsidRPr="0014270C">
        <w:rPr>
          <w:rFonts w:ascii="Bookman Old Style" w:hAnsi="Bookman Old Style"/>
          <w:sz w:val="24"/>
          <w:szCs w:val="24"/>
        </w:rPr>
        <w:t>found that</w:t>
      </w:r>
      <w:r w:rsidR="003A6731" w:rsidRPr="0014270C">
        <w:rPr>
          <w:rFonts w:ascii="Bookman Old Style" w:hAnsi="Bookman Old Style"/>
          <w:sz w:val="24"/>
          <w:szCs w:val="24"/>
        </w:rPr>
        <w:t xml:space="preserve"> an</w:t>
      </w:r>
      <w:r w:rsidR="009117D8" w:rsidRPr="0014270C">
        <w:rPr>
          <w:rFonts w:ascii="Bookman Old Style" w:hAnsi="Bookman Old Style"/>
          <w:sz w:val="24"/>
          <w:szCs w:val="24"/>
        </w:rPr>
        <w:t xml:space="preserve"> Ozone-UV</w:t>
      </w:r>
      <w:r w:rsidR="00EE1200" w:rsidRPr="0014270C">
        <w:rPr>
          <w:rFonts w:ascii="Bookman Old Style" w:hAnsi="Bookman Old Style"/>
          <w:sz w:val="24"/>
          <w:szCs w:val="24"/>
        </w:rPr>
        <w:t xml:space="preserve"> treatment is an energy efficient method of disinfect</w:t>
      </w:r>
      <w:r w:rsidR="003A6731" w:rsidRPr="0014270C">
        <w:rPr>
          <w:rFonts w:ascii="Bookman Old Style" w:hAnsi="Bookman Old Style"/>
          <w:sz w:val="24"/>
          <w:szCs w:val="24"/>
        </w:rPr>
        <w:t xml:space="preserve">ion </w:t>
      </w:r>
      <w:r w:rsidR="00B05D35" w:rsidRPr="0014270C">
        <w:rPr>
          <w:rFonts w:ascii="Bookman Old Style" w:hAnsi="Bookman Old Style"/>
          <w:sz w:val="24"/>
          <w:szCs w:val="24"/>
        </w:rPr>
        <w:t xml:space="preserve">that could allow for compliance with health and </w:t>
      </w:r>
      <w:r w:rsidR="004912A7" w:rsidRPr="0014270C">
        <w:rPr>
          <w:rFonts w:ascii="Bookman Old Style" w:hAnsi="Bookman Old Style"/>
          <w:sz w:val="24"/>
          <w:szCs w:val="24"/>
        </w:rPr>
        <w:t xml:space="preserve">safety standards without a secondary disinfection process needing to be applied, </w:t>
      </w:r>
      <w:r w:rsidR="005A7FC8" w:rsidRPr="0014270C">
        <w:rPr>
          <w:rFonts w:ascii="Bookman Old Style" w:hAnsi="Bookman Old Style"/>
          <w:sz w:val="24"/>
          <w:szCs w:val="24"/>
        </w:rPr>
        <w:t xml:space="preserve">although the researchers mentioned that both chlorination and ozone </w:t>
      </w:r>
      <w:r w:rsidR="00531FE9" w:rsidRPr="0014270C">
        <w:rPr>
          <w:rFonts w:ascii="Bookman Old Style" w:hAnsi="Bookman Old Style"/>
          <w:sz w:val="24"/>
          <w:szCs w:val="24"/>
        </w:rPr>
        <w:t>may be used as a secondary disinfection method for on-site reuse application</w:t>
      </w:r>
      <w:r w:rsidR="00CB791F" w:rsidRPr="0014270C">
        <w:rPr>
          <w:rFonts w:ascii="Bookman Old Style" w:hAnsi="Bookman Old Style"/>
          <w:sz w:val="24"/>
          <w:szCs w:val="24"/>
        </w:rPr>
        <w:t>.</w:t>
      </w:r>
      <w:r w:rsidR="006673F6" w:rsidRPr="0014270C">
        <w:rPr>
          <w:rStyle w:val="FootnoteReference"/>
          <w:rFonts w:ascii="Bookman Old Style" w:hAnsi="Bookman Old Style"/>
          <w:sz w:val="24"/>
          <w:szCs w:val="24"/>
        </w:rPr>
        <w:footnoteReference w:id="91"/>
      </w:r>
      <w:r w:rsidR="005E1AF6" w:rsidRPr="0014270C">
        <w:rPr>
          <w:rFonts w:ascii="Bookman Old Style" w:hAnsi="Bookman Old Style"/>
          <w:sz w:val="24"/>
          <w:szCs w:val="24"/>
        </w:rPr>
        <w:t xml:space="preserve"> The study also provides an answer </w:t>
      </w:r>
      <w:r w:rsidR="005E1AF6" w:rsidRPr="0014270C">
        <w:rPr>
          <w:rFonts w:ascii="Bookman Old Style" w:hAnsi="Bookman Old Style"/>
          <w:noProof/>
          <w:sz w:val="24"/>
          <w:szCs w:val="24"/>
        </w:rPr>
        <w:t>for</w:t>
      </w:r>
      <w:r w:rsidR="005E1AF6" w:rsidRPr="0014270C">
        <w:rPr>
          <w:rFonts w:ascii="Bookman Old Style" w:hAnsi="Bookman Old Style"/>
          <w:sz w:val="24"/>
          <w:szCs w:val="24"/>
        </w:rPr>
        <w:t xml:space="preserve"> the provision of </w:t>
      </w:r>
      <w:r w:rsidR="00856817" w:rsidRPr="0014270C">
        <w:rPr>
          <w:rFonts w:ascii="Bookman Old Style" w:hAnsi="Bookman Old Style"/>
          <w:sz w:val="24"/>
          <w:szCs w:val="24"/>
        </w:rPr>
        <w:t xml:space="preserve">low-energy </w:t>
      </w:r>
      <w:r w:rsidR="005E1AF6" w:rsidRPr="0014270C">
        <w:rPr>
          <w:rFonts w:ascii="Bookman Old Style" w:hAnsi="Bookman Old Style"/>
          <w:sz w:val="24"/>
          <w:szCs w:val="24"/>
        </w:rPr>
        <w:t xml:space="preserve">hot water. It </w:t>
      </w:r>
      <w:proofErr w:type="gramStart"/>
      <w:r w:rsidR="005E1AF6" w:rsidRPr="0014270C">
        <w:rPr>
          <w:rFonts w:ascii="Bookman Old Style" w:hAnsi="Bookman Old Style"/>
          <w:sz w:val="24"/>
          <w:szCs w:val="24"/>
        </w:rPr>
        <w:t>is stated</w:t>
      </w:r>
      <w:proofErr w:type="gramEnd"/>
      <w:r w:rsidR="005E1AF6" w:rsidRPr="0014270C">
        <w:rPr>
          <w:rFonts w:ascii="Bookman Old Style" w:hAnsi="Bookman Old Style"/>
          <w:sz w:val="24"/>
          <w:szCs w:val="24"/>
        </w:rPr>
        <w:t xml:space="preserve"> that greywater contains the same thermal energy as that of municipal wastewater without the need for heat pumping, heat exchange, or energy conversion.</w:t>
      </w:r>
      <w:r w:rsidR="005E1AF6" w:rsidRPr="0014270C">
        <w:rPr>
          <w:rStyle w:val="FootnoteReference"/>
          <w:rFonts w:ascii="Bookman Old Style" w:hAnsi="Bookman Old Style"/>
          <w:sz w:val="24"/>
          <w:szCs w:val="24"/>
        </w:rPr>
        <w:footnoteReference w:id="92"/>
      </w:r>
      <w:r w:rsidR="005E1AF6" w:rsidRPr="0014270C">
        <w:rPr>
          <w:rFonts w:ascii="Bookman Old Style" w:hAnsi="Bookman Old Style"/>
          <w:sz w:val="24"/>
          <w:szCs w:val="24"/>
        </w:rPr>
        <w:t xml:space="preserve"> </w:t>
      </w:r>
    </w:p>
    <w:p w14:paraId="129C0F0A" w14:textId="5092C359" w:rsidR="00CA2DB8" w:rsidRPr="0014270C" w:rsidRDefault="00637EA1" w:rsidP="00CA2DB8">
      <w:pPr>
        <w:spacing w:line="480" w:lineRule="auto"/>
        <w:ind w:firstLine="720"/>
        <w:rPr>
          <w:rFonts w:ascii="Bookman Old Style" w:hAnsi="Bookman Old Style"/>
          <w:sz w:val="24"/>
          <w:szCs w:val="24"/>
        </w:rPr>
      </w:pPr>
      <w:r w:rsidRPr="0014270C">
        <w:rPr>
          <w:rFonts w:ascii="Bookman Old Style" w:hAnsi="Bookman Old Style"/>
          <w:sz w:val="24"/>
          <w:szCs w:val="24"/>
        </w:rPr>
        <w:t>The International Space Station is taking advantage of water recovery systems designed to sanitize and reuse urine and perspiration, cycling it back as potable water in a closed-loop.</w:t>
      </w:r>
      <w:r w:rsidRPr="0014270C">
        <w:rPr>
          <w:rStyle w:val="FootnoteReference"/>
          <w:rFonts w:ascii="Bookman Old Style" w:hAnsi="Bookman Old Style"/>
          <w:sz w:val="24"/>
          <w:szCs w:val="24"/>
        </w:rPr>
        <w:footnoteReference w:id="93"/>
      </w:r>
      <w:r w:rsidRPr="0014270C">
        <w:rPr>
          <w:rFonts w:ascii="Bookman Old Style" w:hAnsi="Bookman Old Style"/>
          <w:sz w:val="24"/>
          <w:szCs w:val="24"/>
        </w:rPr>
        <w:t xml:space="preserve"> This technology is also being put to use in </w:t>
      </w:r>
      <w:proofErr w:type="spellStart"/>
      <w:r w:rsidRPr="0014270C">
        <w:rPr>
          <w:rFonts w:ascii="Bookman Old Style" w:hAnsi="Bookman Old Style"/>
          <w:sz w:val="24"/>
          <w:szCs w:val="24"/>
        </w:rPr>
        <w:t>Kendala</w:t>
      </w:r>
      <w:proofErr w:type="spellEnd"/>
      <w:r w:rsidRPr="0014270C">
        <w:rPr>
          <w:rFonts w:ascii="Bookman Old Style" w:hAnsi="Bookman Old Style"/>
          <w:sz w:val="24"/>
          <w:szCs w:val="24"/>
        </w:rPr>
        <w:t>, a small village in Iraq, that had been struggling to find a source of water clean enough for human consumption.</w:t>
      </w:r>
      <w:r w:rsidRPr="0014270C">
        <w:rPr>
          <w:rStyle w:val="FootnoteReference"/>
          <w:rFonts w:ascii="Bookman Old Style" w:hAnsi="Bookman Old Style"/>
          <w:sz w:val="24"/>
          <w:szCs w:val="24"/>
        </w:rPr>
        <w:footnoteReference w:id="94"/>
      </w:r>
      <w:r w:rsidRPr="0014270C">
        <w:rPr>
          <w:rFonts w:ascii="Bookman Old Style" w:hAnsi="Bookman Old Style"/>
          <w:sz w:val="24"/>
          <w:szCs w:val="24"/>
        </w:rPr>
        <w:t xml:space="preserve"> </w:t>
      </w:r>
      <w:r w:rsidR="00CA2DB8" w:rsidRPr="0014270C">
        <w:rPr>
          <w:rFonts w:ascii="Bookman Old Style" w:hAnsi="Bookman Old Style"/>
          <w:sz w:val="24"/>
          <w:szCs w:val="24"/>
        </w:rPr>
        <w:t xml:space="preserve">While a single-family, residential scale NZGW reuse system may not be commercially available for </w:t>
      </w:r>
      <w:r w:rsidR="00CA2DB8" w:rsidRPr="0014270C">
        <w:rPr>
          <w:rFonts w:ascii="Bookman Old Style" w:hAnsi="Bookman Old Style"/>
          <w:sz w:val="24"/>
          <w:szCs w:val="24"/>
        </w:rPr>
        <w:lastRenderedPageBreak/>
        <w:t>some time,</w:t>
      </w:r>
      <w:r w:rsidR="00207E10" w:rsidRPr="0014270C">
        <w:rPr>
          <w:rFonts w:ascii="Bookman Old Style" w:hAnsi="Bookman Old Style"/>
          <w:sz w:val="24"/>
          <w:szCs w:val="24"/>
        </w:rPr>
        <w:t xml:space="preserve"> </w:t>
      </w:r>
      <w:r w:rsidR="009B3D3D" w:rsidRPr="0014270C">
        <w:rPr>
          <w:rFonts w:ascii="Bookman Old Style" w:hAnsi="Bookman Old Style"/>
          <w:sz w:val="24"/>
          <w:szCs w:val="24"/>
        </w:rPr>
        <w:t>a Swedish company by the name of Orbital Systems has developed a closed-loop shower</w:t>
      </w:r>
      <w:r w:rsidR="00670D5B" w:rsidRPr="0014270C">
        <w:rPr>
          <w:rFonts w:ascii="Bookman Old Style" w:hAnsi="Bookman Old Style"/>
          <w:sz w:val="24"/>
          <w:szCs w:val="24"/>
        </w:rPr>
        <w:t xml:space="preserve"> inspired by the water recycling system designed by Industrial Designer Mehrdad </w:t>
      </w:r>
      <w:proofErr w:type="spellStart"/>
      <w:r w:rsidR="00670D5B" w:rsidRPr="0014270C">
        <w:rPr>
          <w:rFonts w:ascii="Bookman Old Style" w:hAnsi="Bookman Old Style"/>
          <w:sz w:val="24"/>
          <w:szCs w:val="24"/>
        </w:rPr>
        <w:t>Mahdjoubi</w:t>
      </w:r>
      <w:proofErr w:type="spellEnd"/>
      <w:r w:rsidR="00670D5B" w:rsidRPr="0014270C">
        <w:rPr>
          <w:rFonts w:ascii="Bookman Old Style" w:hAnsi="Bookman Old Style"/>
          <w:sz w:val="24"/>
          <w:szCs w:val="24"/>
        </w:rPr>
        <w:t xml:space="preserve"> for use in the Mars Mission project by the National Aeronautics and Space Administration.</w:t>
      </w:r>
      <w:r w:rsidR="00670D5B" w:rsidRPr="0014270C">
        <w:rPr>
          <w:rStyle w:val="FootnoteReference"/>
          <w:rFonts w:ascii="Bookman Old Style" w:hAnsi="Bookman Old Style"/>
          <w:sz w:val="24"/>
          <w:szCs w:val="24"/>
        </w:rPr>
        <w:footnoteReference w:id="95"/>
      </w:r>
      <w:r w:rsidR="00670D5B" w:rsidRPr="0014270C">
        <w:rPr>
          <w:rFonts w:ascii="Bookman Old Style" w:hAnsi="Bookman Old Style"/>
          <w:sz w:val="24"/>
          <w:szCs w:val="24"/>
        </w:rPr>
        <w:t xml:space="preserve"> </w:t>
      </w:r>
      <w:r w:rsidR="00F7054B" w:rsidRPr="0014270C">
        <w:rPr>
          <w:rFonts w:ascii="Bookman Old Style" w:hAnsi="Bookman Old Style"/>
          <w:sz w:val="24"/>
          <w:szCs w:val="24"/>
        </w:rPr>
        <w:t>The</w:t>
      </w:r>
      <w:r w:rsidR="0080253B" w:rsidRPr="0014270C">
        <w:rPr>
          <w:rFonts w:ascii="Bookman Old Style" w:hAnsi="Bookman Old Style"/>
          <w:sz w:val="24"/>
          <w:szCs w:val="24"/>
        </w:rPr>
        <w:t xml:space="preserve"> fixture</w:t>
      </w:r>
      <w:r w:rsidR="00F7054B" w:rsidRPr="0014270C">
        <w:rPr>
          <w:rFonts w:ascii="Bookman Old Style" w:hAnsi="Bookman Old Style"/>
          <w:sz w:val="24"/>
          <w:szCs w:val="24"/>
        </w:rPr>
        <w:t xml:space="preserve"> is</w:t>
      </w:r>
      <w:r w:rsidR="009B3D3D" w:rsidRPr="0014270C">
        <w:rPr>
          <w:rFonts w:ascii="Bookman Old Style" w:hAnsi="Bookman Old Style"/>
          <w:sz w:val="24"/>
          <w:szCs w:val="24"/>
        </w:rPr>
        <w:t xml:space="preserve"> </w:t>
      </w:r>
      <w:r w:rsidR="00F7054B" w:rsidRPr="0014270C">
        <w:rPr>
          <w:rFonts w:ascii="Bookman Old Style" w:hAnsi="Bookman Old Style"/>
          <w:sz w:val="24"/>
          <w:szCs w:val="24"/>
        </w:rPr>
        <w:t xml:space="preserve">currently </w:t>
      </w:r>
      <w:r w:rsidR="009B3D3D" w:rsidRPr="0014270C">
        <w:rPr>
          <w:rFonts w:ascii="Bookman Old Style" w:hAnsi="Bookman Old Style"/>
          <w:sz w:val="24"/>
          <w:szCs w:val="24"/>
        </w:rPr>
        <w:t xml:space="preserve">on the market </w:t>
      </w:r>
      <w:r w:rsidR="00ED636C" w:rsidRPr="0014270C">
        <w:rPr>
          <w:rFonts w:ascii="Bookman Old Style" w:hAnsi="Bookman Old Style"/>
          <w:sz w:val="24"/>
          <w:szCs w:val="24"/>
        </w:rPr>
        <w:t xml:space="preserve">and saves </w:t>
      </w:r>
      <w:r w:rsidR="009B3D3D" w:rsidRPr="0014270C">
        <w:rPr>
          <w:rFonts w:ascii="Bookman Old Style" w:hAnsi="Bookman Old Style"/>
          <w:sz w:val="24"/>
          <w:szCs w:val="24"/>
        </w:rPr>
        <w:t xml:space="preserve">up to 90% of water and 80% of the </w:t>
      </w:r>
      <w:r w:rsidR="009B3D3D" w:rsidRPr="0014270C">
        <w:rPr>
          <w:rFonts w:ascii="Bookman Old Style" w:hAnsi="Bookman Old Style"/>
          <w:noProof/>
          <w:sz w:val="24"/>
          <w:szCs w:val="24"/>
        </w:rPr>
        <w:t>energy</w:t>
      </w:r>
      <w:r w:rsidR="009B3D3D" w:rsidRPr="0014270C">
        <w:rPr>
          <w:rFonts w:ascii="Bookman Old Style" w:hAnsi="Bookman Old Style"/>
          <w:sz w:val="24"/>
          <w:szCs w:val="24"/>
        </w:rPr>
        <w:t xml:space="preserve"> used</w:t>
      </w:r>
      <w:r w:rsidR="0080253B" w:rsidRPr="0014270C">
        <w:rPr>
          <w:rFonts w:ascii="Bookman Old Style" w:hAnsi="Bookman Old Style"/>
          <w:sz w:val="24"/>
          <w:szCs w:val="24"/>
        </w:rPr>
        <w:t xml:space="preserve"> </w:t>
      </w:r>
      <w:r w:rsidR="0058050E" w:rsidRPr="0014270C">
        <w:rPr>
          <w:rFonts w:ascii="Bookman Old Style" w:hAnsi="Bookman Old Style"/>
          <w:sz w:val="24"/>
          <w:szCs w:val="24"/>
        </w:rPr>
        <w:t xml:space="preserve">while </w:t>
      </w:r>
      <w:r w:rsidR="00CA2DB8" w:rsidRPr="0014270C">
        <w:rPr>
          <w:rFonts w:ascii="Bookman Old Style" w:hAnsi="Bookman Old Style"/>
          <w:sz w:val="24"/>
          <w:szCs w:val="24"/>
        </w:rPr>
        <w:t>treat</w:t>
      </w:r>
      <w:r w:rsidR="0080253B" w:rsidRPr="0014270C">
        <w:rPr>
          <w:rFonts w:ascii="Bookman Old Style" w:hAnsi="Bookman Old Style"/>
          <w:sz w:val="24"/>
          <w:szCs w:val="24"/>
        </w:rPr>
        <w:t xml:space="preserve">ing and </w:t>
      </w:r>
      <w:r w:rsidR="00CA2DB8" w:rsidRPr="0014270C">
        <w:rPr>
          <w:rFonts w:ascii="Bookman Old Style" w:hAnsi="Bookman Old Style"/>
          <w:sz w:val="24"/>
          <w:szCs w:val="24"/>
        </w:rPr>
        <w:t>recirculat</w:t>
      </w:r>
      <w:r w:rsidR="0080253B" w:rsidRPr="0014270C">
        <w:rPr>
          <w:rFonts w:ascii="Bookman Old Style" w:hAnsi="Bookman Old Style"/>
          <w:sz w:val="24"/>
          <w:szCs w:val="24"/>
        </w:rPr>
        <w:t>ing</w:t>
      </w:r>
      <w:r w:rsidR="00CA2DB8" w:rsidRPr="0014270C">
        <w:rPr>
          <w:rFonts w:ascii="Bookman Old Style" w:hAnsi="Bookman Old Style"/>
          <w:sz w:val="24"/>
          <w:szCs w:val="24"/>
        </w:rPr>
        <w:t xml:space="preserve"> water in real time, removing particles and neutralizing bacteria using two purification technologies,</w:t>
      </w:r>
      <w:r w:rsidR="00CA2DB8" w:rsidRPr="0014270C">
        <w:rPr>
          <w:rStyle w:val="FootnoteReference"/>
          <w:rFonts w:ascii="Bookman Old Style" w:hAnsi="Bookman Old Style"/>
          <w:sz w:val="24"/>
          <w:szCs w:val="24"/>
        </w:rPr>
        <w:footnoteReference w:id="96"/>
      </w:r>
      <w:r w:rsidR="00CA2DB8" w:rsidRPr="0014270C">
        <w:rPr>
          <w:rFonts w:ascii="Bookman Old Style" w:hAnsi="Bookman Old Style"/>
          <w:sz w:val="24"/>
          <w:szCs w:val="24"/>
        </w:rPr>
        <w:t xml:space="preserve"> proving the concept to be effective and applicable in daily use. </w:t>
      </w:r>
      <w:r w:rsidR="00F21E19" w:rsidRPr="0014270C">
        <w:rPr>
          <w:rFonts w:ascii="Bookman Old Style" w:hAnsi="Bookman Old Style"/>
          <w:sz w:val="24"/>
          <w:szCs w:val="24"/>
        </w:rPr>
        <w:t xml:space="preserve">The advantages to using a closed-loop system for water recycling </w:t>
      </w:r>
      <w:r w:rsidR="004468CF" w:rsidRPr="0014270C">
        <w:rPr>
          <w:rFonts w:ascii="Bookman Old Style" w:hAnsi="Bookman Old Style"/>
          <w:sz w:val="24"/>
          <w:szCs w:val="24"/>
        </w:rPr>
        <w:t>is the ability to have a reliable water supply</w:t>
      </w:r>
      <w:r w:rsidR="00393246" w:rsidRPr="0014270C">
        <w:rPr>
          <w:rFonts w:ascii="Bookman Old Style" w:hAnsi="Bookman Old Style"/>
          <w:sz w:val="24"/>
          <w:szCs w:val="24"/>
        </w:rPr>
        <w:t xml:space="preserve"> whe</w:t>
      </w:r>
      <w:r w:rsidR="00EF1AE2" w:rsidRPr="0014270C">
        <w:rPr>
          <w:rFonts w:ascii="Bookman Old Style" w:hAnsi="Bookman Old Style"/>
          <w:sz w:val="24"/>
          <w:szCs w:val="24"/>
        </w:rPr>
        <w:t>re</w:t>
      </w:r>
      <w:r w:rsidR="00393246" w:rsidRPr="0014270C">
        <w:rPr>
          <w:rFonts w:ascii="Bookman Old Style" w:hAnsi="Bookman Old Style"/>
          <w:sz w:val="24"/>
          <w:szCs w:val="24"/>
        </w:rPr>
        <w:t xml:space="preserve"> clean water</w:t>
      </w:r>
      <w:r w:rsidR="00783609" w:rsidRPr="0014270C">
        <w:rPr>
          <w:rFonts w:ascii="Bookman Old Style" w:hAnsi="Bookman Old Style"/>
          <w:sz w:val="24"/>
          <w:szCs w:val="24"/>
        </w:rPr>
        <w:t xml:space="preserve"> is lacking</w:t>
      </w:r>
      <w:r w:rsidR="00B90794" w:rsidRPr="0014270C">
        <w:rPr>
          <w:rFonts w:ascii="Bookman Old Style" w:hAnsi="Bookman Old Style"/>
          <w:sz w:val="24"/>
          <w:szCs w:val="24"/>
        </w:rPr>
        <w:t xml:space="preserve">. </w:t>
      </w:r>
      <w:r w:rsidR="006C50A8" w:rsidRPr="0014270C">
        <w:rPr>
          <w:rFonts w:ascii="Bookman Old Style" w:hAnsi="Bookman Old Style"/>
          <w:sz w:val="24"/>
          <w:szCs w:val="24"/>
        </w:rPr>
        <w:t xml:space="preserve">Utilizing a system such as this </w:t>
      </w:r>
      <w:r w:rsidR="00B90794" w:rsidRPr="0014270C">
        <w:rPr>
          <w:rFonts w:ascii="Bookman Old Style" w:hAnsi="Bookman Old Style"/>
          <w:sz w:val="24"/>
          <w:szCs w:val="24"/>
        </w:rPr>
        <w:t>also cuts back on the amount of storage needed</w:t>
      </w:r>
      <w:r w:rsidR="00422076" w:rsidRPr="0014270C">
        <w:rPr>
          <w:rFonts w:ascii="Bookman Old Style" w:hAnsi="Bookman Old Style"/>
          <w:sz w:val="24"/>
          <w:szCs w:val="24"/>
        </w:rPr>
        <w:t xml:space="preserve"> in a</w:t>
      </w:r>
      <w:r w:rsidR="00494D32" w:rsidRPr="0014270C">
        <w:rPr>
          <w:rFonts w:ascii="Bookman Old Style" w:hAnsi="Bookman Old Style"/>
          <w:sz w:val="24"/>
          <w:szCs w:val="24"/>
        </w:rPr>
        <w:t>n</w:t>
      </w:r>
      <w:r w:rsidR="00422076" w:rsidRPr="0014270C">
        <w:rPr>
          <w:rFonts w:ascii="Bookman Old Style" w:hAnsi="Bookman Old Style"/>
          <w:sz w:val="24"/>
          <w:szCs w:val="24"/>
        </w:rPr>
        <w:t xml:space="preserve"> RWH system</w:t>
      </w:r>
      <w:r w:rsidR="006C50A8" w:rsidRPr="0014270C">
        <w:rPr>
          <w:rFonts w:ascii="Bookman Old Style" w:hAnsi="Bookman Old Style"/>
          <w:sz w:val="24"/>
          <w:szCs w:val="24"/>
        </w:rPr>
        <w:t>.</w:t>
      </w:r>
    </w:p>
    <w:p w14:paraId="295D1196" w14:textId="77777777" w:rsidR="001D17D6" w:rsidRPr="0014270C" w:rsidRDefault="001D17D6" w:rsidP="00CA2DB8">
      <w:pPr>
        <w:spacing w:line="480" w:lineRule="auto"/>
        <w:ind w:firstLine="720"/>
        <w:rPr>
          <w:rFonts w:ascii="Bookman Old Style" w:hAnsi="Bookman Old Style"/>
          <w:sz w:val="24"/>
          <w:szCs w:val="24"/>
        </w:rPr>
      </w:pPr>
    </w:p>
    <w:p w14:paraId="18ABEA8B" w14:textId="419A4428" w:rsidR="00C855F3" w:rsidRPr="0014270C" w:rsidRDefault="005706B4" w:rsidP="00B93546">
      <w:pPr>
        <w:pStyle w:val="THESISLVL2"/>
      </w:pPr>
      <w:bookmarkStart w:id="31" w:name="_Toc8062267"/>
      <w:r w:rsidRPr="0014270C">
        <w:t>2.</w:t>
      </w:r>
      <w:r w:rsidR="00511F2E" w:rsidRPr="0014270C">
        <w:t>3</w:t>
      </w:r>
      <w:r w:rsidRPr="0014270C">
        <w:t xml:space="preserve"> </w:t>
      </w:r>
      <w:r w:rsidR="00CA5375" w:rsidRPr="0014270C">
        <w:t>The First Crusaders</w:t>
      </w:r>
      <w:bookmarkEnd w:id="31"/>
    </w:p>
    <w:p w14:paraId="212327FC" w14:textId="77777777" w:rsidR="00567DD7" w:rsidRPr="0014270C" w:rsidRDefault="00ED61AA" w:rsidP="00B93546">
      <w:pPr>
        <w:pStyle w:val="THESISLVL3"/>
      </w:pPr>
      <w:bookmarkStart w:id="32" w:name="_Toc8062268"/>
      <w:r w:rsidRPr="0014270C">
        <w:t>Katrina Cottage</w:t>
      </w:r>
      <w:bookmarkEnd w:id="32"/>
    </w:p>
    <w:p w14:paraId="56C4BDE2" w14:textId="740AC3D8" w:rsidR="00ED61AA" w:rsidRPr="0014270C" w:rsidRDefault="00ED61AA" w:rsidP="00E6044E">
      <w:pPr>
        <w:spacing w:line="480" w:lineRule="auto"/>
        <w:ind w:firstLine="720"/>
        <w:rPr>
          <w:rFonts w:ascii="Bookman Old Style" w:hAnsi="Bookman Old Style"/>
          <w:b/>
          <w:sz w:val="24"/>
          <w:szCs w:val="24"/>
        </w:rPr>
      </w:pPr>
      <w:r w:rsidRPr="0014270C">
        <w:rPr>
          <w:rFonts w:ascii="Bookman Old Style" w:hAnsi="Bookman Old Style"/>
          <w:sz w:val="24"/>
          <w:szCs w:val="24"/>
        </w:rPr>
        <w:t xml:space="preserve">Due to a perfect storm of poverty, uninsured homes, </w:t>
      </w:r>
      <w:r w:rsidR="00074E87" w:rsidRPr="0014270C">
        <w:rPr>
          <w:rFonts w:ascii="Bookman Old Style" w:hAnsi="Bookman Old Style"/>
          <w:sz w:val="24"/>
          <w:szCs w:val="24"/>
        </w:rPr>
        <w:t xml:space="preserve">and </w:t>
      </w:r>
      <w:r w:rsidR="00544D53" w:rsidRPr="0014270C">
        <w:rPr>
          <w:rFonts w:ascii="Bookman Old Style" w:hAnsi="Bookman Old Style"/>
          <w:sz w:val="24"/>
          <w:szCs w:val="24"/>
        </w:rPr>
        <w:t>inefficient planning and</w:t>
      </w:r>
      <w:r w:rsidR="00074E87" w:rsidRPr="0014270C">
        <w:rPr>
          <w:rFonts w:ascii="Bookman Old Style" w:hAnsi="Bookman Old Style"/>
          <w:sz w:val="24"/>
          <w:szCs w:val="24"/>
        </w:rPr>
        <w:t xml:space="preserve"> coordination</w:t>
      </w:r>
      <w:r w:rsidRPr="0014270C">
        <w:rPr>
          <w:rFonts w:ascii="Bookman Old Style" w:hAnsi="Bookman Old Style"/>
          <w:sz w:val="24"/>
          <w:szCs w:val="24"/>
        </w:rPr>
        <w:t xml:space="preserve"> after Hurricane Katrina, over a decade later, people are still trying to find their way home. Designers, architects, and philanthropists across the country saw this need for a better solution as early as a few months after Katrina and began stepping up to the plate. The Katrina Cottage was a project that became a movement, created by Andrés </w:t>
      </w:r>
      <w:proofErr w:type="spellStart"/>
      <w:r w:rsidRPr="0014270C">
        <w:rPr>
          <w:rFonts w:ascii="Bookman Old Style" w:hAnsi="Bookman Old Style"/>
          <w:sz w:val="24"/>
          <w:szCs w:val="24"/>
        </w:rPr>
        <w:t>Duany</w:t>
      </w:r>
      <w:proofErr w:type="spellEnd"/>
      <w:r w:rsidRPr="0014270C">
        <w:rPr>
          <w:rFonts w:ascii="Bookman Old Style" w:hAnsi="Bookman Old Style"/>
          <w:sz w:val="24"/>
          <w:szCs w:val="24"/>
        </w:rPr>
        <w:t xml:space="preserve"> at the Mississippi Renewal Forum in 2005; </w:t>
      </w:r>
      <w:proofErr w:type="gramStart"/>
      <w:r w:rsidRPr="0014270C">
        <w:rPr>
          <w:rFonts w:ascii="Bookman Old Style" w:hAnsi="Bookman Old Style"/>
          <w:sz w:val="24"/>
          <w:szCs w:val="24"/>
        </w:rPr>
        <w:t>it</w:t>
      </w:r>
      <w:proofErr w:type="gramEnd"/>
      <w:r w:rsidRPr="0014270C">
        <w:rPr>
          <w:rFonts w:ascii="Bookman Old Style" w:hAnsi="Bookman Old Style"/>
          <w:sz w:val="24"/>
          <w:szCs w:val="24"/>
        </w:rPr>
        <w:t xml:space="preserve"> united designers and architects in </w:t>
      </w:r>
      <w:r w:rsidRPr="0014270C">
        <w:rPr>
          <w:rFonts w:ascii="Bookman Old Style" w:hAnsi="Bookman Old Style"/>
          <w:sz w:val="24"/>
          <w:szCs w:val="24"/>
        </w:rPr>
        <w:lastRenderedPageBreak/>
        <w:t xml:space="preserve">an effort to develop livable, transitional housing for displaced victims of Hurricane Katrina. </w:t>
      </w:r>
      <w:proofErr w:type="spellStart"/>
      <w:r w:rsidRPr="0014270C">
        <w:rPr>
          <w:rFonts w:ascii="Bookman Old Style" w:hAnsi="Bookman Old Style"/>
          <w:sz w:val="24"/>
          <w:szCs w:val="24"/>
        </w:rPr>
        <w:t>Duany’s</w:t>
      </w:r>
      <w:proofErr w:type="spellEnd"/>
      <w:r w:rsidRPr="0014270C">
        <w:rPr>
          <w:rFonts w:ascii="Bookman Old Style" w:hAnsi="Bookman Old Style"/>
          <w:sz w:val="24"/>
          <w:szCs w:val="24"/>
        </w:rPr>
        <w:t xml:space="preserve"> vision was to incorporate long-term, small-scale, affordable relief housing into real neighborhoods, allowing victims to feel included in established communities rather than being isolated in </w:t>
      </w:r>
      <w:r w:rsidR="00C552EE" w:rsidRPr="0014270C">
        <w:rPr>
          <w:rFonts w:ascii="Bookman Old Style" w:hAnsi="Bookman Old Style"/>
          <w:sz w:val="24"/>
          <w:szCs w:val="24"/>
        </w:rPr>
        <w:t xml:space="preserve">a </w:t>
      </w:r>
      <w:r w:rsidRPr="0014270C">
        <w:rPr>
          <w:rFonts w:ascii="Bookman Old Style" w:hAnsi="Bookman Old Style"/>
          <w:sz w:val="24"/>
          <w:szCs w:val="24"/>
        </w:rPr>
        <w:t>storm-havocked wasteland.</w:t>
      </w:r>
      <w:r w:rsidRPr="0014270C">
        <w:rPr>
          <w:rStyle w:val="FootnoteReference"/>
          <w:rFonts w:ascii="Bookman Old Style" w:hAnsi="Bookman Old Style"/>
          <w:sz w:val="24"/>
          <w:szCs w:val="24"/>
        </w:rPr>
        <w:footnoteReference w:id="97"/>
      </w:r>
      <w:r w:rsidR="00E6044E" w:rsidRPr="0014270C">
        <w:rPr>
          <w:rFonts w:ascii="Bookman Old Style" w:hAnsi="Bookman Old Style"/>
          <w:b/>
          <w:sz w:val="24"/>
          <w:szCs w:val="24"/>
        </w:rPr>
        <w:t xml:space="preserve"> </w:t>
      </w:r>
      <w:r w:rsidRPr="0014270C">
        <w:rPr>
          <w:rFonts w:ascii="Bookman Old Style" w:hAnsi="Bookman Old Style"/>
          <w:sz w:val="24"/>
          <w:szCs w:val="24"/>
        </w:rPr>
        <w:t xml:space="preserve">Marianne </w:t>
      </w:r>
      <w:proofErr w:type="spellStart"/>
      <w:r w:rsidRPr="0014270C">
        <w:rPr>
          <w:rFonts w:ascii="Bookman Old Style" w:hAnsi="Bookman Old Style"/>
          <w:sz w:val="24"/>
          <w:szCs w:val="24"/>
        </w:rPr>
        <w:t>Cusato’s</w:t>
      </w:r>
      <w:proofErr w:type="spellEnd"/>
      <w:r w:rsidRPr="0014270C">
        <w:rPr>
          <w:rFonts w:ascii="Bookman Old Style" w:hAnsi="Bookman Old Style"/>
          <w:sz w:val="24"/>
          <w:szCs w:val="24"/>
        </w:rPr>
        <w:t xml:space="preserve"> “little yellow house” was the champion of the movement, winning the People’s Choice Award at the Cooper-Hewitt National Design Awards.</w:t>
      </w:r>
      <w:r w:rsidRPr="0014270C">
        <w:rPr>
          <w:rStyle w:val="FootnoteReference"/>
          <w:rFonts w:ascii="Bookman Old Style" w:hAnsi="Bookman Old Style"/>
          <w:sz w:val="24"/>
          <w:szCs w:val="24"/>
        </w:rPr>
        <w:footnoteReference w:id="98"/>
      </w:r>
      <w:r w:rsidRPr="0014270C">
        <w:rPr>
          <w:rFonts w:ascii="Bookman Old Style" w:hAnsi="Bookman Old Style"/>
          <w:sz w:val="24"/>
          <w:szCs w:val="24"/>
        </w:rPr>
        <w:t xml:space="preserve"> Her aesthetically pleasing and space efficient 308 square foot (28.61 square </w:t>
      </w:r>
      <w:r w:rsidRPr="0014270C">
        <w:rPr>
          <w:rFonts w:ascii="Bookman Old Style" w:hAnsi="Bookman Old Style"/>
          <w:noProof/>
          <w:sz w:val="24"/>
          <w:szCs w:val="24"/>
        </w:rPr>
        <w:t>meter</w:t>
      </w:r>
      <w:r w:rsidRPr="0014270C">
        <w:rPr>
          <w:rFonts w:ascii="Bookman Old Style" w:hAnsi="Bookman Old Style"/>
          <w:sz w:val="24"/>
          <w:szCs w:val="24"/>
        </w:rPr>
        <w:t xml:space="preserve">) cottage had a build cost of US$35,000. Though </w:t>
      </w:r>
      <w:proofErr w:type="spellStart"/>
      <w:r w:rsidRPr="0014270C">
        <w:rPr>
          <w:rFonts w:ascii="Bookman Old Style" w:hAnsi="Bookman Old Style"/>
          <w:sz w:val="24"/>
          <w:szCs w:val="24"/>
        </w:rPr>
        <w:t>Cusato’s</w:t>
      </w:r>
      <w:proofErr w:type="spellEnd"/>
      <w:r w:rsidRPr="0014270C">
        <w:rPr>
          <w:rFonts w:ascii="Bookman Old Style" w:hAnsi="Bookman Old Style"/>
          <w:sz w:val="24"/>
          <w:szCs w:val="24"/>
        </w:rPr>
        <w:t xml:space="preserve"> tiny house may have been an early favorite, it was only one small drop in a tidal wave of innovative designs, each smarter and more efficient than the last.</w:t>
      </w:r>
      <w:r w:rsidRPr="0014270C">
        <w:rPr>
          <w:rStyle w:val="FootnoteReference"/>
          <w:rFonts w:ascii="Bookman Old Style" w:hAnsi="Bookman Old Style"/>
          <w:sz w:val="24"/>
          <w:szCs w:val="24"/>
        </w:rPr>
        <w:footnoteReference w:id="99"/>
      </w:r>
      <w:r w:rsidRPr="0014270C">
        <w:rPr>
          <w:rFonts w:ascii="Bookman Old Style" w:hAnsi="Bookman Old Style"/>
          <w:sz w:val="24"/>
          <w:szCs w:val="24"/>
        </w:rPr>
        <w:t xml:space="preserve"> </w:t>
      </w:r>
    </w:p>
    <w:p w14:paraId="54B56D4E" w14:textId="60A58F2D" w:rsidR="00ED61AA" w:rsidRPr="0014270C" w:rsidRDefault="00ED61AA" w:rsidP="00ED61AA">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However, when the Katrina Cottages </w:t>
      </w:r>
      <w:proofErr w:type="gramStart"/>
      <w:r w:rsidRPr="0014270C">
        <w:rPr>
          <w:rFonts w:ascii="Bookman Old Style" w:hAnsi="Bookman Old Style"/>
          <w:sz w:val="24"/>
          <w:szCs w:val="24"/>
        </w:rPr>
        <w:t>were offered</w:t>
      </w:r>
      <w:proofErr w:type="gramEnd"/>
      <w:r w:rsidRPr="0014270C">
        <w:rPr>
          <w:rFonts w:ascii="Bookman Old Style" w:hAnsi="Bookman Old Style"/>
          <w:sz w:val="24"/>
          <w:szCs w:val="24"/>
        </w:rPr>
        <w:t xml:space="preserve"> to FEMA as a solution, the agency was not receptive. They did not want to get involved with permanent dwellings, arguing that it was outside of the scope of their purpose and would </w:t>
      </w:r>
      <w:proofErr w:type="gramStart"/>
      <w:r w:rsidRPr="0014270C">
        <w:rPr>
          <w:rFonts w:ascii="Bookman Old Style" w:hAnsi="Bookman Old Style"/>
          <w:sz w:val="24"/>
          <w:szCs w:val="24"/>
        </w:rPr>
        <w:t>be better left</w:t>
      </w:r>
      <w:proofErr w:type="gramEnd"/>
      <w:r w:rsidRPr="0014270C">
        <w:rPr>
          <w:rFonts w:ascii="Bookman Old Style" w:hAnsi="Bookman Old Style"/>
          <w:sz w:val="24"/>
          <w:szCs w:val="24"/>
        </w:rPr>
        <w:t xml:space="preserve"> for HUD. Given that FEMA was still in the thick of dealing with the fiasco of managing post-Katrina relief housing with the limited knowledge they had, it was understandable that they had no intention of taking on this responsibility without pushback. Steve </w:t>
      </w:r>
      <w:proofErr w:type="spellStart"/>
      <w:r w:rsidRPr="0014270C">
        <w:rPr>
          <w:rFonts w:ascii="Bookman Old Style" w:hAnsi="Bookman Old Style"/>
          <w:sz w:val="24"/>
          <w:szCs w:val="24"/>
        </w:rPr>
        <w:t>Mouzon</w:t>
      </w:r>
      <w:proofErr w:type="spellEnd"/>
      <w:r w:rsidRPr="0014270C">
        <w:rPr>
          <w:rFonts w:ascii="Bookman Old Style" w:hAnsi="Bookman Old Style"/>
          <w:sz w:val="24"/>
          <w:szCs w:val="24"/>
        </w:rPr>
        <w:t xml:space="preserve"> led the battle for getting the Katrina Cottages put into use and was able to get US$0.5 billion approved by </w:t>
      </w:r>
      <w:r w:rsidRPr="0014270C">
        <w:rPr>
          <w:rFonts w:ascii="Bookman Old Style" w:hAnsi="Bookman Old Style"/>
          <w:sz w:val="24"/>
          <w:szCs w:val="24"/>
        </w:rPr>
        <w:lastRenderedPageBreak/>
        <w:t xml:space="preserve">Congress for permanent installation. Unfortunately, miscommunication within the Forum led to mismanagement of the money for this project and the effort </w:t>
      </w:r>
      <w:proofErr w:type="gramStart"/>
      <w:r w:rsidRPr="0014270C">
        <w:rPr>
          <w:rFonts w:ascii="Bookman Old Style" w:hAnsi="Bookman Old Style"/>
          <w:sz w:val="24"/>
          <w:szCs w:val="24"/>
        </w:rPr>
        <w:t>was split</w:t>
      </w:r>
      <w:proofErr w:type="gramEnd"/>
      <w:r w:rsidRPr="0014270C">
        <w:rPr>
          <w:rFonts w:ascii="Bookman Old Style" w:hAnsi="Bookman Old Style"/>
          <w:sz w:val="24"/>
          <w:szCs w:val="24"/>
        </w:rPr>
        <w:t xml:space="preserve"> apart into several smaller operations.</w:t>
      </w:r>
      <w:r w:rsidRPr="0014270C">
        <w:rPr>
          <w:rStyle w:val="FootnoteReference"/>
          <w:rFonts w:ascii="Bookman Old Style" w:hAnsi="Bookman Old Style"/>
          <w:sz w:val="24"/>
          <w:szCs w:val="24"/>
        </w:rPr>
        <w:footnoteReference w:id="100"/>
      </w:r>
      <w:r w:rsidRPr="0014270C">
        <w:rPr>
          <w:rFonts w:ascii="Bookman Old Style" w:hAnsi="Bookman Old Style"/>
          <w:sz w:val="24"/>
          <w:szCs w:val="24"/>
        </w:rPr>
        <w:t xml:space="preserve">     </w:t>
      </w:r>
    </w:p>
    <w:p w14:paraId="5D00D70E" w14:textId="6FC47E19" w:rsidR="00ED61AA" w:rsidRPr="0014270C" w:rsidRDefault="00ED61AA" w:rsidP="00332998">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As functional as the first generation of Katrina Cottages were, </w:t>
      </w:r>
      <w:proofErr w:type="spellStart"/>
      <w:r w:rsidRPr="0014270C">
        <w:rPr>
          <w:rFonts w:ascii="Bookman Old Style" w:hAnsi="Bookman Old Style"/>
          <w:sz w:val="24"/>
          <w:szCs w:val="24"/>
        </w:rPr>
        <w:t>Mouzon</w:t>
      </w:r>
      <w:proofErr w:type="spellEnd"/>
      <w:r w:rsidRPr="0014270C">
        <w:rPr>
          <w:rFonts w:ascii="Bookman Old Style" w:hAnsi="Bookman Old Style"/>
          <w:sz w:val="24"/>
          <w:szCs w:val="24"/>
        </w:rPr>
        <w:t xml:space="preserve"> continued the design process, seeking more areas for improvement. He drafted a new model to address the need for growth when returning to normality after the crisis of disaster. In his book, “The Original Green (Unlocking the Mystery of True Sustainability),”</w:t>
      </w:r>
      <w:r w:rsidRPr="0014270C">
        <w:rPr>
          <w:rStyle w:val="FootnoteReference"/>
          <w:rFonts w:ascii="Bookman Old Style" w:hAnsi="Bookman Old Style"/>
          <w:sz w:val="24"/>
          <w:szCs w:val="24"/>
        </w:rPr>
        <w:footnoteReference w:id="101"/>
      </w:r>
      <w:r w:rsidRPr="0014270C">
        <w:rPr>
          <w:rFonts w:ascii="Bookman Old Style" w:hAnsi="Bookman Old Style"/>
          <w:sz w:val="24"/>
          <w:szCs w:val="24"/>
        </w:rPr>
        <w:t xml:space="preserve"> he acknowledges that many people are hesitant to accept tiny homes and often need to be convinced of their merits. Attempting to showcase the functionality of tiny homes, he called his revised concept the Smaller &amp; Smarter Cottage. His design incorporates more storage per square foot by using space in creative ways and is also capable of expansion into a more comfortable size, allowing a better solution for people hoping for more permanent accommodations. </w:t>
      </w:r>
      <w:proofErr w:type="spellStart"/>
      <w:r w:rsidRPr="0014270C">
        <w:rPr>
          <w:rFonts w:ascii="Bookman Old Style" w:hAnsi="Bookman Old Style"/>
          <w:sz w:val="24"/>
          <w:szCs w:val="24"/>
        </w:rPr>
        <w:t>Mouzon</w:t>
      </w:r>
      <w:proofErr w:type="spellEnd"/>
      <w:r w:rsidRPr="0014270C">
        <w:rPr>
          <w:rFonts w:ascii="Bookman Old Style" w:hAnsi="Bookman Old Style"/>
          <w:sz w:val="24"/>
          <w:szCs w:val="24"/>
        </w:rPr>
        <w:t xml:space="preserve"> called this second generation of Katrina Cottage the Katrina Kernel Cottage due to its ability to grow outward from a small seed home.</w:t>
      </w:r>
      <w:r w:rsidR="00332998" w:rsidRPr="0014270C">
        <w:rPr>
          <w:rFonts w:ascii="Bookman Old Style" w:hAnsi="Bookman Old Style"/>
          <w:sz w:val="24"/>
          <w:szCs w:val="24"/>
        </w:rPr>
        <w:t xml:space="preserve"> </w:t>
      </w:r>
      <w:r w:rsidRPr="0014270C">
        <w:rPr>
          <w:rFonts w:ascii="Bookman Old Style" w:hAnsi="Bookman Old Style"/>
          <w:sz w:val="24"/>
          <w:szCs w:val="24"/>
        </w:rPr>
        <w:t xml:space="preserve">When </w:t>
      </w:r>
      <w:proofErr w:type="spellStart"/>
      <w:r w:rsidRPr="0014270C">
        <w:rPr>
          <w:rFonts w:ascii="Bookman Old Style" w:hAnsi="Bookman Old Style"/>
          <w:sz w:val="24"/>
          <w:szCs w:val="24"/>
        </w:rPr>
        <w:t>Mouzon</w:t>
      </w:r>
      <w:proofErr w:type="spellEnd"/>
      <w:r w:rsidRPr="0014270C">
        <w:rPr>
          <w:rFonts w:ascii="Bookman Old Style" w:hAnsi="Bookman Old Style"/>
          <w:sz w:val="24"/>
          <w:szCs w:val="24"/>
        </w:rPr>
        <w:t xml:space="preserve"> brought his design to a manufacturer, he </w:t>
      </w:r>
      <w:proofErr w:type="gramStart"/>
      <w:r w:rsidRPr="0014270C">
        <w:rPr>
          <w:rFonts w:ascii="Bookman Old Style" w:hAnsi="Bookman Old Style"/>
          <w:sz w:val="24"/>
          <w:szCs w:val="24"/>
        </w:rPr>
        <w:t>was made</w:t>
      </w:r>
      <w:proofErr w:type="gramEnd"/>
      <w:r w:rsidRPr="0014270C">
        <w:rPr>
          <w:rFonts w:ascii="Bookman Old Style" w:hAnsi="Bookman Old Style"/>
          <w:sz w:val="24"/>
          <w:szCs w:val="24"/>
        </w:rPr>
        <w:t xml:space="preserve"> aware of several challenges that would bring mass production to a halt before it got started. The current culture of mobile home building is not suited for the type of housing </w:t>
      </w:r>
      <w:proofErr w:type="spellStart"/>
      <w:r w:rsidRPr="0014270C">
        <w:rPr>
          <w:rFonts w:ascii="Bookman Old Style" w:hAnsi="Bookman Old Style"/>
          <w:sz w:val="24"/>
          <w:szCs w:val="24"/>
        </w:rPr>
        <w:t>Mouzon</w:t>
      </w:r>
      <w:proofErr w:type="spellEnd"/>
      <w:r w:rsidRPr="0014270C">
        <w:rPr>
          <w:rFonts w:ascii="Bookman Old Style" w:hAnsi="Bookman Old Style"/>
          <w:sz w:val="24"/>
          <w:szCs w:val="24"/>
        </w:rPr>
        <w:t xml:space="preserve"> proposed. The CEO of the company he approached told him that his houses were so different that they would require </w:t>
      </w:r>
      <w:r w:rsidRPr="0014270C">
        <w:rPr>
          <w:rFonts w:ascii="Bookman Old Style" w:hAnsi="Bookman Old Style"/>
          <w:sz w:val="24"/>
          <w:szCs w:val="24"/>
        </w:rPr>
        <w:lastRenderedPageBreak/>
        <w:t>new materials, new factories, and a new workforce with a new mindset. These differences, he said would be “an investment of millions of dollars.”</w:t>
      </w:r>
      <w:r w:rsidRPr="0014270C">
        <w:rPr>
          <w:rStyle w:val="FootnoteReference"/>
          <w:rFonts w:ascii="Bookman Old Style" w:hAnsi="Bookman Old Style"/>
          <w:sz w:val="24"/>
          <w:szCs w:val="24"/>
        </w:rPr>
        <w:footnoteReference w:id="102"/>
      </w:r>
      <w:r w:rsidRPr="0014270C">
        <w:rPr>
          <w:rFonts w:ascii="Bookman Old Style" w:hAnsi="Bookman Old Style"/>
          <w:sz w:val="24"/>
          <w:szCs w:val="24"/>
        </w:rPr>
        <w:t xml:space="preserve"> These revelations led to the birth of </w:t>
      </w:r>
      <w:r w:rsidRPr="0014270C">
        <w:rPr>
          <w:rFonts w:ascii="Bookman Old Style" w:hAnsi="Bookman Old Style"/>
          <w:noProof/>
          <w:sz w:val="24"/>
          <w:szCs w:val="24"/>
        </w:rPr>
        <w:t>studioSky</w:t>
      </w:r>
      <w:r w:rsidRPr="0014270C">
        <w:rPr>
          <w:rFonts w:ascii="Bookman Old Style" w:hAnsi="Bookman Old Style"/>
          <w:sz w:val="24"/>
          <w:szCs w:val="24"/>
        </w:rPr>
        <w:t xml:space="preserve">, a design firm </w:t>
      </w:r>
      <w:proofErr w:type="spellStart"/>
      <w:r w:rsidRPr="0014270C">
        <w:rPr>
          <w:rFonts w:ascii="Bookman Old Style" w:hAnsi="Bookman Old Style"/>
          <w:sz w:val="24"/>
          <w:szCs w:val="24"/>
        </w:rPr>
        <w:t>Mouzon</w:t>
      </w:r>
      <w:proofErr w:type="spellEnd"/>
      <w:r w:rsidRPr="0014270C">
        <w:rPr>
          <w:rFonts w:ascii="Bookman Old Style" w:hAnsi="Bookman Old Style"/>
          <w:sz w:val="24"/>
          <w:szCs w:val="24"/>
        </w:rPr>
        <w:t xml:space="preserve"> shares with Eric Moser and Julia Sanford. Employing a new workforce with a new mindset, their mission is the implementation of the sustainable, innovative concepts that they had </w:t>
      </w:r>
      <w:proofErr w:type="gramStart"/>
      <w:r w:rsidRPr="0014270C">
        <w:rPr>
          <w:rFonts w:ascii="Bookman Old Style" w:hAnsi="Bookman Old Style"/>
          <w:sz w:val="24"/>
          <w:szCs w:val="24"/>
        </w:rPr>
        <w:t>been told</w:t>
      </w:r>
      <w:proofErr w:type="gramEnd"/>
      <w:r w:rsidRPr="0014270C">
        <w:rPr>
          <w:rFonts w:ascii="Bookman Old Style" w:hAnsi="Bookman Old Style"/>
          <w:sz w:val="24"/>
          <w:szCs w:val="24"/>
        </w:rPr>
        <w:t xml:space="preserve"> were impossible to get off the ground.</w:t>
      </w:r>
      <w:r w:rsidRPr="0014270C">
        <w:rPr>
          <w:rStyle w:val="FootnoteReference"/>
          <w:rFonts w:ascii="Bookman Old Style" w:hAnsi="Bookman Old Style"/>
          <w:sz w:val="24"/>
          <w:szCs w:val="24"/>
        </w:rPr>
        <w:footnoteReference w:id="103"/>
      </w:r>
      <w:r w:rsidRPr="0014270C">
        <w:rPr>
          <w:rFonts w:ascii="Bookman Old Style" w:hAnsi="Bookman Old Style"/>
          <w:sz w:val="24"/>
          <w:szCs w:val="24"/>
        </w:rPr>
        <w:t xml:space="preserve"> </w:t>
      </w:r>
    </w:p>
    <w:p w14:paraId="2DBF5547" w14:textId="77777777" w:rsidR="00567DD7" w:rsidRPr="0014270C" w:rsidRDefault="00ED61AA" w:rsidP="00B93546">
      <w:pPr>
        <w:pStyle w:val="THESISLVL3"/>
      </w:pPr>
      <w:bookmarkStart w:id="33" w:name="_Toc8062269"/>
      <w:r w:rsidRPr="0014270C">
        <w:t>Make It Right</w:t>
      </w:r>
      <w:bookmarkEnd w:id="33"/>
      <w:r w:rsidRPr="0014270C">
        <w:t xml:space="preserve"> </w:t>
      </w:r>
    </w:p>
    <w:p w14:paraId="4CB436DF" w14:textId="4C62FEA1" w:rsidR="00BC3C28" w:rsidRPr="0014270C" w:rsidRDefault="00ED61AA" w:rsidP="00181843">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Make It Right </w:t>
      </w:r>
      <w:r w:rsidR="006D1EF7" w:rsidRPr="0014270C">
        <w:rPr>
          <w:rFonts w:ascii="Bookman Old Style" w:hAnsi="Bookman Old Style"/>
          <w:sz w:val="24"/>
          <w:szCs w:val="24"/>
        </w:rPr>
        <w:t xml:space="preserve">(MIR) </w:t>
      </w:r>
      <w:r w:rsidRPr="0014270C">
        <w:rPr>
          <w:rFonts w:ascii="Bookman Old Style" w:hAnsi="Bookman Old Style"/>
          <w:sz w:val="24"/>
          <w:szCs w:val="24"/>
        </w:rPr>
        <w:t xml:space="preserve">Foundation, spearheaded by actor Brad Pitt in 2007, was another endeavor </w:t>
      </w:r>
      <w:r w:rsidR="00AE4E9F" w:rsidRPr="0014270C">
        <w:rPr>
          <w:rFonts w:ascii="Bookman Old Style" w:hAnsi="Bookman Old Style"/>
          <w:sz w:val="24"/>
          <w:szCs w:val="24"/>
        </w:rPr>
        <w:t>that</w:t>
      </w:r>
      <w:r w:rsidRPr="0014270C">
        <w:rPr>
          <w:rFonts w:ascii="Bookman Old Style" w:hAnsi="Bookman Old Style"/>
          <w:sz w:val="24"/>
          <w:szCs w:val="24"/>
        </w:rPr>
        <w:t xml:space="preserve"> aimed to create homes for people</w:t>
      </w:r>
      <w:r w:rsidR="009601E4" w:rsidRPr="0014270C">
        <w:rPr>
          <w:rFonts w:ascii="Bookman Old Style" w:hAnsi="Bookman Old Style"/>
          <w:sz w:val="24"/>
          <w:szCs w:val="24"/>
        </w:rPr>
        <w:t xml:space="preserve"> </w:t>
      </w:r>
      <w:r w:rsidRPr="0014270C">
        <w:rPr>
          <w:rFonts w:ascii="Bookman Old Style" w:hAnsi="Bookman Old Style"/>
          <w:sz w:val="24"/>
          <w:szCs w:val="24"/>
        </w:rPr>
        <w:t>affected by Hurricane Katrina</w:t>
      </w:r>
      <w:r w:rsidR="00976867" w:rsidRPr="0014270C">
        <w:rPr>
          <w:rFonts w:ascii="Bookman Old Style" w:hAnsi="Bookman Old Style"/>
          <w:sz w:val="24"/>
          <w:szCs w:val="24"/>
        </w:rPr>
        <w:t>, particularly in the Lower Ninth Ward</w:t>
      </w:r>
      <w:r w:rsidRPr="0014270C">
        <w:rPr>
          <w:rFonts w:ascii="Bookman Old Style" w:hAnsi="Bookman Old Style"/>
          <w:sz w:val="24"/>
          <w:szCs w:val="24"/>
        </w:rPr>
        <w:t xml:space="preserve">. </w:t>
      </w:r>
      <w:r w:rsidR="00976867" w:rsidRPr="0014270C">
        <w:rPr>
          <w:rFonts w:ascii="Bookman Old Style" w:hAnsi="Bookman Old Style"/>
          <w:sz w:val="24"/>
          <w:szCs w:val="24"/>
        </w:rPr>
        <w:t>The 1,400 square foot</w:t>
      </w:r>
      <w:r w:rsidR="00976867" w:rsidRPr="0014270C">
        <w:rPr>
          <w:rStyle w:val="FootnoteReference"/>
          <w:rFonts w:ascii="Bookman Old Style" w:hAnsi="Bookman Old Style"/>
          <w:sz w:val="24"/>
          <w:szCs w:val="24"/>
        </w:rPr>
        <w:footnoteReference w:id="104"/>
      </w:r>
      <w:r w:rsidR="00976867" w:rsidRPr="0014270C">
        <w:rPr>
          <w:rFonts w:ascii="Bookman Old Style" w:hAnsi="Bookman Old Style"/>
          <w:sz w:val="24"/>
          <w:szCs w:val="24"/>
        </w:rPr>
        <w:t xml:space="preserve"> (130.06 square </w:t>
      </w:r>
      <w:r w:rsidR="00976867" w:rsidRPr="0014270C">
        <w:rPr>
          <w:rFonts w:ascii="Bookman Old Style" w:hAnsi="Bookman Old Style"/>
          <w:noProof/>
          <w:sz w:val="24"/>
          <w:szCs w:val="24"/>
        </w:rPr>
        <w:t>meter</w:t>
      </w:r>
      <w:r w:rsidR="00976867" w:rsidRPr="0014270C">
        <w:rPr>
          <w:rFonts w:ascii="Bookman Old Style" w:hAnsi="Bookman Old Style"/>
          <w:sz w:val="24"/>
          <w:szCs w:val="24"/>
        </w:rPr>
        <w:t>) homes provided by MIR cost an average of US$150,000,</w:t>
      </w:r>
      <w:r w:rsidR="00976867" w:rsidRPr="0014270C">
        <w:rPr>
          <w:rStyle w:val="FootnoteReference"/>
          <w:rFonts w:ascii="Bookman Old Style" w:hAnsi="Bookman Old Style"/>
          <w:sz w:val="24"/>
          <w:szCs w:val="24"/>
        </w:rPr>
        <w:footnoteReference w:id="105"/>
      </w:r>
      <w:r w:rsidR="00976867" w:rsidRPr="0014270C">
        <w:rPr>
          <w:rFonts w:ascii="Bookman Old Style" w:hAnsi="Bookman Old Style"/>
          <w:sz w:val="24"/>
          <w:szCs w:val="24"/>
        </w:rPr>
        <w:t xml:space="preserve"> providing a significantly bigger and more expensive solution than proposed by other initiatives. </w:t>
      </w:r>
      <w:r w:rsidR="00FF481D" w:rsidRPr="0014270C">
        <w:rPr>
          <w:rFonts w:ascii="Bookman Old Style" w:hAnsi="Bookman Old Style"/>
          <w:sz w:val="24"/>
          <w:szCs w:val="24"/>
        </w:rPr>
        <w:t>The</w:t>
      </w:r>
      <w:r w:rsidRPr="0014270C">
        <w:rPr>
          <w:rFonts w:ascii="Bookman Old Style" w:hAnsi="Bookman Old Style"/>
          <w:sz w:val="24"/>
          <w:szCs w:val="24"/>
        </w:rPr>
        <w:t xml:space="preserve"> mission of the organization </w:t>
      </w:r>
      <w:r w:rsidR="001F1E4A" w:rsidRPr="0014270C">
        <w:rPr>
          <w:rFonts w:ascii="Bookman Old Style" w:hAnsi="Bookman Old Style"/>
          <w:sz w:val="24"/>
          <w:szCs w:val="24"/>
        </w:rPr>
        <w:t xml:space="preserve">was </w:t>
      </w:r>
      <w:r w:rsidRPr="0014270C">
        <w:rPr>
          <w:rFonts w:ascii="Bookman Old Style" w:hAnsi="Bookman Old Style"/>
          <w:sz w:val="24"/>
          <w:szCs w:val="24"/>
        </w:rPr>
        <w:t xml:space="preserve">to provide high-quality, safe homes that create </w:t>
      </w:r>
      <w:r w:rsidRPr="0014270C">
        <w:rPr>
          <w:rFonts w:ascii="Bookman Old Style" w:hAnsi="Bookman Old Style"/>
          <w:noProof/>
          <w:sz w:val="24"/>
          <w:szCs w:val="24"/>
        </w:rPr>
        <w:t>little</w:t>
      </w:r>
      <w:r w:rsidRPr="0014270C">
        <w:rPr>
          <w:rFonts w:ascii="Bookman Old Style" w:hAnsi="Bookman Old Style"/>
          <w:sz w:val="24"/>
          <w:szCs w:val="24"/>
        </w:rPr>
        <w:t xml:space="preserve"> impact to the environment.</w:t>
      </w:r>
      <w:r w:rsidRPr="0014270C">
        <w:rPr>
          <w:rStyle w:val="FootnoteReference"/>
          <w:rFonts w:ascii="Bookman Old Style" w:hAnsi="Bookman Old Style"/>
          <w:sz w:val="24"/>
          <w:szCs w:val="24"/>
        </w:rPr>
        <w:footnoteReference w:id="106"/>
      </w:r>
      <w:r w:rsidR="001F1A72" w:rsidRPr="0014270C">
        <w:rPr>
          <w:rFonts w:ascii="Bookman Old Style" w:hAnsi="Bookman Old Style"/>
          <w:sz w:val="24"/>
          <w:szCs w:val="24"/>
        </w:rPr>
        <w:t xml:space="preserve"> </w:t>
      </w:r>
      <w:r w:rsidRPr="0014270C">
        <w:rPr>
          <w:rFonts w:ascii="Bookman Old Style" w:hAnsi="Bookman Old Style"/>
          <w:sz w:val="24"/>
          <w:szCs w:val="24"/>
        </w:rPr>
        <w:t xml:space="preserve">Their </w:t>
      </w:r>
      <w:r w:rsidR="001320A0" w:rsidRPr="0014270C">
        <w:rPr>
          <w:rFonts w:ascii="Bookman Old Style" w:hAnsi="Bookman Old Style"/>
          <w:sz w:val="24"/>
          <w:szCs w:val="24"/>
        </w:rPr>
        <w:t xml:space="preserve">intention was to use a </w:t>
      </w:r>
      <w:r w:rsidRPr="0014270C">
        <w:rPr>
          <w:rFonts w:ascii="Bookman Old Style" w:hAnsi="Bookman Old Style"/>
          <w:sz w:val="24"/>
          <w:szCs w:val="24"/>
        </w:rPr>
        <w:t>cradle-to-cradle</w:t>
      </w:r>
      <w:r w:rsidRPr="0014270C">
        <w:rPr>
          <w:rStyle w:val="FootnoteReference"/>
          <w:rFonts w:ascii="Bookman Old Style" w:hAnsi="Bookman Old Style"/>
          <w:sz w:val="24"/>
          <w:szCs w:val="24"/>
        </w:rPr>
        <w:footnoteReference w:id="107"/>
      </w:r>
      <w:r w:rsidRPr="0014270C">
        <w:rPr>
          <w:rFonts w:ascii="Bookman Old Style" w:hAnsi="Bookman Old Style"/>
          <w:sz w:val="24"/>
          <w:szCs w:val="24"/>
        </w:rPr>
        <w:t xml:space="preserve"> approach </w:t>
      </w:r>
      <w:r w:rsidR="003E11EA" w:rsidRPr="0014270C">
        <w:rPr>
          <w:rFonts w:ascii="Bookman Old Style" w:hAnsi="Bookman Old Style"/>
          <w:sz w:val="24"/>
          <w:szCs w:val="24"/>
        </w:rPr>
        <w:t xml:space="preserve">to </w:t>
      </w:r>
      <w:r w:rsidRPr="0014270C">
        <w:rPr>
          <w:rFonts w:ascii="Bookman Old Style" w:hAnsi="Bookman Old Style"/>
          <w:sz w:val="24"/>
          <w:szCs w:val="24"/>
        </w:rPr>
        <w:t>ensure</w:t>
      </w:r>
      <w:r w:rsidR="003E11EA" w:rsidRPr="0014270C">
        <w:rPr>
          <w:rFonts w:ascii="Bookman Old Style" w:hAnsi="Bookman Old Style"/>
          <w:sz w:val="24"/>
          <w:szCs w:val="24"/>
        </w:rPr>
        <w:t xml:space="preserve"> that</w:t>
      </w:r>
      <w:r w:rsidRPr="0014270C">
        <w:rPr>
          <w:rFonts w:ascii="Bookman Old Style" w:hAnsi="Bookman Old Style"/>
          <w:sz w:val="24"/>
          <w:szCs w:val="24"/>
        </w:rPr>
        <w:t xml:space="preserve"> all </w:t>
      </w:r>
      <w:r w:rsidR="00DA2A5E" w:rsidRPr="0014270C">
        <w:rPr>
          <w:rFonts w:ascii="Bookman Old Style" w:hAnsi="Bookman Old Style"/>
          <w:sz w:val="24"/>
          <w:szCs w:val="24"/>
        </w:rPr>
        <w:t>stages</w:t>
      </w:r>
      <w:r w:rsidRPr="0014270C">
        <w:rPr>
          <w:rFonts w:ascii="Bookman Old Style" w:hAnsi="Bookman Old Style"/>
          <w:sz w:val="24"/>
          <w:szCs w:val="24"/>
        </w:rPr>
        <w:t xml:space="preserve"> of design were sustainable and recyclable; these homes used renewable energy and were designed for easy disassembly.</w:t>
      </w:r>
      <w:r w:rsidRPr="0014270C">
        <w:rPr>
          <w:rStyle w:val="FootnoteReference"/>
          <w:rFonts w:ascii="Bookman Old Style" w:hAnsi="Bookman Old Style"/>
          <w:sz w:val="24"/>
          <w:szCs w:val="24"/>
        </w:rPr>
        <w:footnoteReference w:id="108"/>
      </w:r>
      <w:r w:rsidRPr="0014270C">
        <w:rPr>
          <w:rFonts w:ascii="Bookman Old Style" w:hAnsi="Bookman Old Style"/>
          <w:sz w:val="24"/>
          <w:szCs w:val="24"/>
        </w:rPr>
        <w:t xml:space="preserve"> Additionally, </w:t>
      </w:r>
      <w:r w:rsidR="00DA2A5E" w:rsidRPr="0014270C">
        <w:rPr>
          <w:rFonts w:ascii="Bookman Old Style" w:hAnsi="Bookman Old Style"/>
          <w:sz w:val="24"/>
          <w:szCs w:val="24"/>
        </w:rPr>
        <w:t xml:space="preserve">MIR </w:t>
      </w:r>
      <w:r w:rsidRPr="0014270C">
        <w:rPr>
          <w:rFonts w:ascii="Bookman Old Style" w:hAnsi="Bookman Old Style"/>
          <w:sz w:val="24"/>
          <w:szCs w:val="24"/>
        </w:rPr>
        <w:t xml:space="preserve">committed </w:t>
      </w:r>
      <w:r w:rsidRPr="0014270C">
        <w:rPr>
          <w:rFonts w:ascii="Bookman Old Style" w:hAnsi="Bookman Old Style"/>
          <w:sz w:val="24"/>
          <w:szCs w:val="24"/>
        </w:rPr>
        <w:lastRenderedPageBreak/>
        <w:t>to building to Leaders in Energy and Environmental Design</w:t>
      </w:r>
      <w:r w:rsidR="00682C1B" w:rsidRPr="0014270C">
        <w:rPr>
          <w:rFonts w:ascii="Bookman Old Style" w:hAnsi="Bookman Old Style"/>
          <w:sz w:val="24"/>
          <w:szCs w:val="24"/>
        </w:rPr>
        <w:t xml:space="preserve"> (LEED)</w:t>
      </w:r>
      <w:r w:rsidRPr="0014270C">
        <w:rPr>
          <w:rFonts w:ascii="Bookman Old Style" w:hAnsi="Bookman Old Style"/>
          <w:sz w:val="24"/>
          <w:szCs w:val="24"/>
        </w:rPr>
        <w:t xml:space="preserve"> Platinum certification standards, the highest the program maintains. To achieve LEED Platinum status, a building must have at least 90 points in eight categories for building practices such as sustainable siting, energy efficiency, and indoor air quality</w:t>
      </w:r>
      <w:r w:rsidRPr="0014270C">
        <w:rPr>
          <w:rStyle w:val="FootnoteReference"/>
          <w:rFonts w:ascii="Bookman Old Style" w:hAnsi="Bookman Old Style"/>
          <w:sz w:val="24"/>
          <w:szCs w:val="24"/>
        </w:rPr>
        <w:footnoteReference w:id="109"/>
      </w:r>
      <w:r w:rsidRPr="0014270C">
        <w:rPr>
          <w:rFonts w:ascii="Bookman Old Style" w:hAnsi="Bookman Old Style"/>
          <w:sz w:val="24"/>
          <w:szCs w:val="24"/>
        </w:rPr>
        <w:t xml:space="preserve"> - attributes that were all greatly needed in lieu of the toxic trailers offered </w:t>
      </w:r>
      <w:r w:rsidR="00925A5A" w:rsidRPr="0014270C">
        <w:rPr>
          <w:rFonts w:ascii="Bookman Old Style" w:hAnsi="Bookman Old Style"/>
          <w:sz w:val="24"/>
          <w:szCs w:val="24"/>
        </w:rPr>
        <w:t>immediately after the storm</w:t>
      </w:r>
      <w:r w:rsidRPr="0014270C">
        <w:rPr>
          <w:rFonts w:ascii="Bookman Old Style" w:hAnsi="Bookman Old Style"/>
          <w:sz w:val="24"/>
          <w:szCs w:val="24"/>
        </w:rPr>
        <w:t xml:space="preserve">. </w:t>
      </w:r>
    </w:p>
    <w:p w14:paraId="376E7DFA" w14:textId="22FF447D" w:rsidR="00846979" w:rsidRPr="0014270C" w:rsidRDefault="00EF714F" w:rsidP="001F1A72">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While </w:t>
      </w:r>
      <w:r w:rsidR="000C0B17" w:rsidRPr="0014270C">
        <w:rPr>
          <w:rFonts w:ascii="Bookman Old Style" w:hAnsi="Bookman Old Style"/>
          <w:sz w:val="24"/>
          <w:szCs w:val="24"/>
        </w:rPr>
        <w:t xml:space="preserve">John C. Williams, the executive architect hired by the foundation, </w:t>
      </w:r>
      <w:r w:rsidRPr="0014270C">
        <w:rPr>
          <w:rFonts w:ascii="Bookman Old Style" w:hAnsi="Bookman Old Style"/>
          <w:sz w:val="24"/>
          <w:szCs w:val="24"/>
        </w:rPr>
        <w:t xml:space="preserve">did succeed in </w:t>
      </w:r>
      <w:r w:rsidR="006C4EF5" w:rsidRPr="0014270C">
        <w:rPr>
          <w:rFonts w:ascii="Bookman Old Style" w:hAnsi="Bookman Old Style"/>
          <w:sz w:val="24"/>
          <w:szCs w:val="24"/>
        </w:rPr>
        <w:t>achiev</w:t>
      </w:r>
      <w:r w:rsidRPr="0014270C">
        <w:rPr>
          <w:rFonts w:ascii="Bookman Old Style" w:hAnsi="Bookman Old Style"/>
          <w:sz w:val="24"/>
          <w:szCs w:val="24"/>
        </w:rPr>
        <w:t>ing</w:t>
      </w:r>
      <w:r w:rsidR="006C4EF5" w:rsidRPr="0014270C">
        <w:rPr>
          <w:rFonts w:ascii="Bookman Old Style" w:hAnsi="Bookman Old Style"/>
          <w:sz w:val="24"/>
          <w:szCs w:val="24"/>
        </w:rPr>
        <w:t xml:space="preserve"> LEED Platinum status, </w:t>
      </w:r>
      <w:r w:rsidR="00114C42" w:rsidRPr="0014270C">
        <w:rPr>
          <w:rFonts w:ascii="Bookman Old Style" w:hAnsi="Bookman Old Style"/>
          <w:sz w:val="24"/>
          <w:szCs w:val="24"/>
        </w:rPr>
        <w:t>creating energy efficient and</w:t>
      </w:r>
      <w:r w:rsidR="00BE6442" w:rsidRPr="0014270C">
        <w:rPr>
          <w:rFonts w:ascii="Bookman Old Style" w:hAnsi="Bookman Old Style"/>
          <w:sz w:val="24"/>
          <w:szCs w:val="24"/>
        </w:rPr>
        <w:t xml:space="preserve"> </w:t>
      </w:r>
      <w:r w:rsidR="00114C42" w:rsidRPr="0014270C">
        <w:rPr>
          <w:rFonts w:ascii="Bookman Old Style" w:hAnsi="Bookman Old Style"/>
          <w:sz w:val="24"/>
          <w:szCs w:val="24"/>
        </w:rPr>
        <w:t xml:space="preserve">affordable </w:t>
      </w:r>
      <w:r w:rsidR="000C0B17" w:rsidRPr="0014270C">
        <w:rPr>
          <w:rFonts w:ascii="Bookman Old Style" w:hAnsi="Bookman Old Style"/>
          <w:sz w:val="24"/>
          <w:szCs w:val="24"/>
        </w:rPr>
        <w:t>designs</w:t>
      </w:r>
      <w:r w:rsidR="00114C42" w:rsidRPr="0014270C">
        <w:rPr>
          <w:rFonts w:ascii="Bookman Old Style" w:hAnsi="Bookman Old Style"/>
          <w:sz w:val="24"/>
          <w:szCs w:val="24"/>
        </w:rPr>
        <w:t xml:space="preserve">, </w:t>
      </w:r>
      <w:r w:rsidR="002802CC" w:rsidRPr="0014270C">
        <w:rPr>
          <w:rFonts w:ascii="Bookman Old Style" w:hAnsi="Bookman Old Style"/>
          <w:sz w:val="24"/>
          <w:szCs w:val="24"/>
        </w:rPr>
        <w:t>several of the</w:t>
      </w:r>
      <w:r w:rsidR="006C4EF5" w:rsidRPr="0014270C">
        <w:rPr>
          <w:rFonts w:ascii="Bookman Old Style" w:hAnsi="Bookman Old Style"/>
          <w:sz w:val="24"/>
          <w:szCs w:val="24"/>
        </w:rPr>
        <w:t xml:space="preserve"> homes </w:t>
      </w:r>
      <w:r w:rsidR="00362DCA" w:rsidRPr="0014270C">
        <w:rPr>
          <w:rFonts w:ascii="Bookman Old Style" w:hAnsi="Bookman Old Style"/>
          <w:sz w:val="24"/>
          <w:szCs w:val="24"/>
        </w:rPr>
        <w:t>were showing signs</w:t>
      </w:r>
      <w:r w:rsidR="00DB3307" w:rsidRPr="0014270C">
        <w:rPr>
          <w:rFonts w:ascii="Bookman Old Style" w:hAnsi="Bookman Old Style"/>
          <w:sz w:val="24"/>
          <w:szCs w:val="24"/>
        </w:rPr>
        <w:t xml:space="preserve"> of decay only a year after construction</w:t>
      </w:r>
      <w:r w:rsidR="006B7145" w:rsidRPr="0014270C">
        <w:rPr>
          <w:rFonts w:ascii="Bookman Old Style" w:hAnsi="Bookman Old Style"/>
          <w:sz w:val="24"/>
          <w:szCs w:val="24"/>
        </w:rPr>
        <w:t>, l</w:t>
      </w:r>
      <w:r w:rsidR="000C0B17" w:rsidRPr="0014270C">
        <w:rPr>
          <w:rFonts w:ascii="Bookman Old Style" w:hAnsi="Bookman Old Style"/>
          <w:sz w:val="24"/>
          <w:szCs w:val="24"/>
        </w:rPr>
        <w:t>eaving Williams faced</w:t>
      </w:r>
      <w:r w:rsidR="008B4E4D" w:rsidRPr="0014270C">
        <w:rPr>
          <w:rFonts w:ascii="Bookman Old Style" w:hAnsi="Bookman Old Style"/>
          <w:sz w:val="24"/>
          <w:szCs w:val="24"/>
        </w:rPr>
        <w:t xml:space="preserve"> with the harsh reality of building in New Orleans</w:t>
      </w:r>
      <w:r w:rsidR="00992145" w:rsidRPr="0014270C">
        <w:rPr>
          <w:rFonts w:ascii="Bookman Old Style" w:hAnsi="Bookman Old Style"/>
          <w:sz w:val="24"/>
          <w:szCs w:val="24"/>
        </w:rPr>
        <w:t>,</w:t>
      </w:r>
      <w:r w:rsidR="008B4E4D" w:rsidRPr="0014270C">
        <w:rPr>
          <w:rFonts w:ascii="Bookman Old Style" w:hAnsi="Bookman Old Style"/>
          <w:sz w:val="24"/>
          <w:szCs w:val="24"/>
        </w:rPr>
        <w:t xml:space="preserve"> despite being local to the area</w:t>
      </w:r>
      <w:r w:rsidR="00D52BDE" w:rsidRPr="0014270C">
        <w:rPr>
          <w:rFonts w:ascii="Bookman Old Style" w:hAnsi="Bookman Old Style"/>
          <w:sz w:val="24"/>
          <w:szCs w:val="24"/>
        </w:rPr>
        <w:t xml:space="preserve">. </w:t>
      </w:r>
      <w:r w:rsidR="008B4E4D" w:rsidRPr="0014270C">
        <w:rPr>
          <w:rFonts w:ascii="Bookman Old Style" w:hAnsi="Bookman Old Style"/>
          <w:sz w:val="24"/>
          <w:szCs w:val="24"/>
        </w:rPr>
        <w:t>Moisture is a constant in the region</w:t>
      </w:r>
      <w:r w:rsidR="002802CC" w:rsidRPr="0014270C">
        <w:rPr>
          <w:rFonts w:ascii="Bookman Old Style" w:hAnsi="Bookman Old Style"/>
          <w:sz w:val="24"/>
          <w:szCs w:val="24"/>
        </w:rPr>
        <w:t xml:space="preserve"> </w:t>
      </w:r>
      <w:r w:rsidR="008B4E4D" w:rsidRPr="0014270C">
        <w:rPr>
          <w:rFonts w:ascii="Bookman Old Style" w:hAnsi="Bookman Old Style"/>
          <w:sz w:val="24"/>
          <w:szCs w:val="24"/>
        </w:rPr>
        <w:t>and</w:t>
      </w:r>
      <w:r w:rsidR="007A43EF" w:rsidRPr="0014270C">
        <w:rPr>
          <w:rFonts w:ascii="Bookman Old Style" w:hAnsi="Bookman Old Style"/>
          <w:sz w:val="24"/>
          <w:szCs w:val="24"/>
        </w:rPr>
        <w:t xml:space="preserve"> </w:t>
      </w:r>
      <w:r w:rsidR="008B4E4D" w:rsidRPr="0014270C">
        <w:rPr>
          <w:rFonts w:ascii="Bookman Old Style" w:hAnsi="Bookman Old Style"/>
          <w:sz w:val="24"/>
          <w:szCs w:val="24"/>
        </w:rPr>
        <w:t>the new homes were not able to hold up to the climate</w:t>
      </w:r>
      <w:r w:rsidR="000C0B17" w:rsidRPr="0014270C">
        <w:rPr>
          <w:rFonts w:ascii="Bookman Old Style" w:hAnsi="Bookman Old Style"/>
          <w:sz w:val="24"/>
          <w:szCs w:val="24"/>
        </w:rPr>
        <w:t xml:space="preserve">, demonstrating the importance of extensive research to know </w:t>
      </w:r>
      <w:r w:rsidR="000F1725" w:rsidRPr="0014270C">
        <w:rPr>
          <w:rFonts w:ascii="Bookman Old Style" w:hAnsi="Bookman Old Style"/>
          <w:sz w:val="24"/>
          <w:szCs w:val="24"/>
        </w:rPr>
        <w:t>what</w:t>
      </w:r>
      <w:r w:rsidR="000C0B17" w:rsidRPr="0014270C">
        <w:rPr>
          <w:rFonts w:ascii="Bookman Old Style" w:hAnsi="Bookman Old Style"/>
          <w:sz w:val="24"/>
          <w:szCs w:val="24"/>
        </w:rPr>
        <w:t xml:space="preserve"> challenges </w:t>
      </w:r>
      <w:r w:rsidR="000F1725" w:rsidRPr="0014270C">
        <w:rPr>
          <w:rFonts w:ascii="Bookman Old Style" w:hAnsi="Bookman Old Style"/>
          <w:sz w:val="24"/>
          <w:szCs w:val="24"/>
        </w:rPr>
        <w:t xml:space="preserve">are to </w:t>
      </w:r>
      <w:proofErr w:type="gramStart"/>
      <w:r w:rsidR="000F1725" w:rsidRPr="0014270C">
        <w:rPr>
          <w:rFonts w:ascii="Bookman Old Style" w:hAnsi="Bookman Old Style"/>
          <w:sz w:val="24"/>
          <w:szCs w:val="24"/>
        </w:rPr>
        <w:t>be encountered</w:t>
      </w:r>
      <w:proofErr w:type="gramEnd"/>
      <w:r w:rsidR="000C0B17" w:rsidRPr="0014270C">
        <w:rPr>
          <w:rFonts w:ascii="Bookman Old Style" w:hAnsi="Bookman Old Style"/>
          <w:sz w:val="24"/>
          <w:szCs w:val="24"/>
        </w:rPr>
        <w:t xml:space="preserve"> in order to develop s</w:t>
      </w:r>
      <w:r w:rsidR="00C86277" w:rsidRPr="0014270C">
        <w:rPr>
          <w:rFonts w:ascii="Bookman Old Style" w:hAnsi="Bookman Old Style"/>
          <w:sz w:val="24"/>
          <w:szCs w:val="24"/>
        </w:rPr>
        <w:t>olutions</w:t>
      </w:r>
      <w:r w:rsidR="000C0B17" w:rsidRPr="0014270C">
        <w:rPr>
          <w:rFonts w:ascii="Bookman Old Style" w:hAnsi="Bookman Old Style"/>
          <w:sz w:val="24"/>
          <w:szCs w:val="24"/>
        </w:rPr>
        <w:t xml:space="preserve"> that stand the test of time</w:t>
      </w:r>
      <w:r w:rsidR="008B4E4D" w:rsidRPr="0014270C">
        <w:rPr>
          <w:rFonts w:ascii="Bookman Old Style" w:hAnsi="Bookman Old Style"/>
          <w:sz w:val="24"/>
          <w:szCs w:val="24"/>
        </w:rPr>
        <w:t xml:space="preserve">. </w:t>
      </w:r>
      <w:r w:rsidR="001D0D29" w:rsidRPr="0014270C">
        <w:rPr>
          <w:rFonts w:ascii="Bookman Old Style" w:hAnsi="Bookman Old Style"/>
          <w:sz w:val="24"/>
          <w:szCs w:val="24"/>
        </w:rPr>
        <w:t>S</w:t>
      </w:r>
      <w:r w:rsidR="00672152" w:rsidRPr="0014270C">
        <w:rPr>
          <w:rFonts w:ascii="Bookman Old Style" w:hAnsi="Bookman Old Style"/>
          <w:sz w:val="24"/>
          <w:szCs w:val="24"/>
        </w:rPr>
        <w:t xml:space="preserve">everal </w:t>
      </w:r>
      <w:r w:rsidR="00672152" w:rsidRPr="0014270C">
        <w:rPr>
          <w:rFonts w:ascii="Bookman Old Style" w:hAnsi="Bookman Old Style"/>
          <w:noProof/>
          <w:sz w:val="24"/>
          <w:szCs w:val="24"/>
        </w:rPr>
        <w:t>lawsuits</w:t>
      </w:r>
      <w:r w:rsidR="00846979" w:rsidRPr="0014270C">
        <w:rPr>
          <w:rFonts w:ascii="Bookman Old Style" w:hAnsi="Bookman Old Style"/>
          <w:sz w:val="24"/>
          <w:szCs w:val="24"/>
        </w:rPr>
        <w:t xml:space="preserve"> </w:t>
      </w:r>
      <w:r w:rsidR="00672152" w:rsidRPr="0014270C">
        <w:rPr>
          <w:rFonts w:ascii="Bookman Old Style" w:hAnsi="Bookman Old Style"/>
          <w:sz w:val="24"/>
          <w:szCs w:val="24"/>
        </w:rPr>
        <w:t xml:space="preserve">came about due to problems with </w:t>
      </w:r>
      <w:r w:rsidR="002802CC" w:rsidRPr="0014270C">
        <w:rPr>
          <w:rFonts w:ascii="Bookman Old Style" w:hAnsi="Bookman Old Style"/>
          <w:sz w:val="24"/>
          <w:szCs w:val="24"/>
        </w:rPr>
        <w:t xml:space="preserve">black mold, </w:t>
      </w:r>
      <w:r w:rsidR="00672152" w:rsidRPr="0014270C">
        <w:rPr>
          <w:rFonts w:ascii="Bookman Old Style" w:hAnsi="Bookman Old Style"/>
          <w:sz w:val="24"/>
          <w:szCs w:val="24"/>
        </w:rPr>
        <w:t>sagging porches, roof leakages, water accumulation, and failing HVAC systems</w:t>
      </w:r>
      <w:r w:rsidR="002802CC" w:rsidRPr="0014270C">
        <w:rPr>
          <w:rFonts w:ascii="Bookman Old Style" w:hAnsi="Bookman Old Style"/>
          <w:sz w:val="24"/>
          <w:szCs w:val="24"/>
        </w:rPr>
        <w:t>,</w:t>
      </w:r>
      <w:r w:rsidR="00846979" w:rsidRPr="0014270C">
        <w:rPr>
          <w:rFonts w:ascii="Bookman Old Style" w:hAnsi="Bookman Old Style"/>
          <w:sz w:val="24"/>
          <w:szCs w:val="24"/>
        </w:rPr>
        <w:t xml:space="preserve"> calling for the foundation to return to the area to make it right, again.</w:t>
      </w:r>
      <w:r w:rsidR="00846979" w:rsidRPr="0014270C">
        <w:rPr>
          <w:rStyle w:val="FootnoteReference"/>
          <w:rFonts w:ascii="Bookman Old Style" w:hAnsi="Bookman Old Style"/>
          <w:sz w:val="24"/>
          <w:szCs w:val="24"/>
        </w:rPr>
        <w:footnoteReference w:id="110"/>
      </w:r>
      <w:r w:rsidR="00846979" w:rsidRPr="0014270C">
        <w:rPr>
          <w:rFonts w:ascii="Bookman Old Style" w:hAnsi="Bookman Old Style"/>
          <w:sz w:val="24"/>
          <w:szCs w:val="24"/>
        </w:rPr>
        <w:t xml:space="preserve">  </w:t>
      </w:r>
    </w:p>
    <w:p w14:paraId="62D05101" w14:textId="6A5BA94C" w:rsidR="00672152" w:rsidRPr="0014270C" w:rsidRDefault="00672152" w:rsidP="00375894">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Many of the problems with the houses were due to the use of </w:t>
      </w:r>
      <w:proofErr w:type="spellStart"/>
      <w:r w:rsidRPr="0014270C">
        <w:rPr>
          <w:rFonts w:ascii="Bookman Old Style" w:hAnsi="Bookman Old Style"/>
          <w:sz w:val="24"/>
          <w:szCs w:val="24"/>
        </w:rPr>
        <w:t>TimberSIL</w:t>
      </w:r>
      <w:proofErr w:type="spellEnd"/>
      <w:r w:rsidRPr="0014270C">
        <w:rPr>
          <w:rFonts w:ascii="Bookman Old Style" w:hAnsi="Bookman Old Style"/>
          <w:sz w:val="24"/>
          <w:szCs w:val="24"/>
        </w:rPr>
        <w:t>,</w:t>
      </w:r>
      <w:r w:rsidRPr="0014270C">
        <w:rPr>
          <w:rStyle w:val="FootnoteReference"/>
          <w:rFonts w:ascii="Bookman Old Style" w:hAnsi="Bookman Old Style"/>
          <w:sz w:val="24"/>
          <w:szCs w:val="24"/>
        </w:rPr>
        <w:footnoteReference w:id="111"/>
      </w:r>
      <w:r w:rsidRPr="0014270C">
        <w:rPr>
          <w:rFonts w:ascii="Bookman Old Style" w:hAnsi="Bookman Old Style"/>
          <w:sz w:val="24"/>
          <w:szCs w:val="24"/>
        </w:rPr>
        <w:t xml:space="preserve"> a wood product infused with glass, promoted as an eco-friendly, </w:t>
      </w:r>
      <w:r w:rsidRPr="0014270C">
        <w:rPr>
          <w:rFonts w:ascii="Bookman Old Style" w:hAnsi="Bookman Old Style"/>
          <w:sz w:val="24"/>
          <w:szCs w:val="24"/>
        </w:rPr>
        <w:lastRenderedPageBreak/>
        <w:t xml:space="preserve">non-toxic way to prevent water, heat, and insect damage without the use of chemicals. </w:t>
      </w:r>
      <w:r w:rsidR="00EB12F8" w:rsidRPr="0014270C">
        <w:rPr>
          <w:rFonts w:ascii="Bookman Old Style" w:hAnsi="Bookman Old Style"/>
          <w:sz w:val="24"/>
          <w:szCs w:val="24"/>
        </w:rPr>
        <w:t xml:space="preserve">Although </w:t>
      </w:r>
      <w:r w:rsidR="00416215" w:rsidRPr="0014270C">
        <w:rPr>
          <w:rFonts w:ascii="Bookman Old Style" w:hAnsi="Bookman Old Style"/>
          <w:sz w:val="24"/>
          <w:szCs w:val="24"/>
        </w:rPr>
        <w:t xml:space="preserve">the foundation switched to </w:t>
      </w:r>
      <w:r w:rsidR="00E329A2" w:rsidRPr="0014270C">
        <w:rPr>
          <w:rFonts w:ascii="Bookman Old Style" w:hAnsi="Bookman Old Style"/>
          <w:sz w:val="24"/>
          <w:szCs w:val="24"/>
        </w:rPr>
        <w:t xml:space="preserve">using </w:t>
      </w:r>
      <w:r w:rsidR="00416215" w:rsidRPr="0014270C">
        <w:rPr>
          <w:rFonts w:ascii="Bookman Old Style" w:hAnsi="Bookman Old Style"/>
          <w:sz w:val="24"/>
          <w:szCs w:val="24"/>
        </w:rPr>
        <w:t xml:space="preserve">yellow pine in 2010 prior to any mention </w:t>
      </w:r>
      <w:r w:rsidR="00745B6A" w:rsidRPr="0014270C">
        <w:rPr>
          <w:rFonts w:ascii="Bookman Old Style" w:hAnsi="Bookman Old Style"/>
          <w:sz w:val="24"/>
          <w:szCs w:val="24"/>
        </w:rPr>
        <w:t xml:space="preserve">of </w:t>
      </w:r>
      <w:r w:rsidR="001016E6" w:rsidRPr="0014270C">
        <w:rPr>
          <w:rFonts w:ascii="Bookman Old Style" w:hAnsi="Bookman Old Style"/>
          <w:sz w:val="24"/>
          <w:szCs w:val="24"/>
        </w:rPr>
        <w:t>a problem</w:t>
      </w:r>
      <w:r w:rsidR="00745B6A" w:rsidRPr="0014270C">
        <w:rPr>
          <w:rFonts w:ascii="Bookman Old Style" w:hAnsi="Bookman Old Style"/>
          <w:sz w:val="24"/>
          <w:szCs w:val="24"/>
        </w:rPr>
        <w:t>,</w:t>
      </w:r>
      <w:r w:rsidR="005A483B" w:rsidRPr="0014270C">
        <w:rPr>
          <w:rStyle w:val="FootnoteReference"/>
          <w:rFonts w:ascii="Bookman Old Style" w:hAnsi="Bookman Old Style"/>
          <w:sz w:val="24"/>
          <w:szCs w:val="24"/>
        </w:rPr>
        <w:footnoteReference w:id="112"/>
      </w:r>
      <w:r w:rsidR="00745B6A" w:rsidRPr="0014270C">
        <w:rPr>
          <w:rFonts w:ascii="Bookman Old Style" w:hAnsi="Bookman Old Style"/>
          <w:sz w:val="24"/>
          <w:szCs w:val="24"/>
        </w:rPr>
        <w:t xml:space="preserve"> </w:t>
      </w:r>
      <w:r w:rsidR="002019BD" w:rsidRPr="0014270C">
        <w:rPr>
          <w:rFonts w:ascii="Bookman Old Style" w:hAnsi="Bookman Old Style"/>
          <w:sz w:val="24"/>
          <w:szCs w:val="24"/>
        </w:rPr>
        <w:t xml:space="preserve">at least </w:t>
      </w:r>
      <w:r w:rsidR="00A70275" w:rsidRPr="0014270C">
        <w:rPr>
          <w:rFonts w:ascii="Bookman Old Style" w:hAnsi="Bookman Old Style"/>
          <w:sz w:val="24"/>
          <w:szCs w:val="24"/>
        </w:rPr>
        <w:t>thirty-nine</w:t>
      </w:r>
      <w:r w:rsidR="00745B6A" w:rsidRPr="0014270C">
        <w:rPr>
          <w:rFonts w:ascii="Bookman Old Style" w:hAnsi="Bookman Old Style"/>
          <w:sz w:val="24"/>
          <w:szCs w:val="24"/>
        </w:rPr>
        <w:t xml:space="preserve"> houses had </w:t>
      </w:r>
      <w:proofErr w:type="gramStart"/>
      <w:r w:rsidR="00745B6A" w:rsidRPr="0014270C">
        <w:rPr>
          <w:rFonts w:ascii="Bookman Old Style" w:hAnsi="Bookman Old Style"/>
          <w:sz w:val="24"/>
          <w:szCs w:val="24"/>
        </w:rPr>
        <w:t>been constructed</w:t>
      </w:r>
      <w:proofErr w:type="gramEnd"/>
      <w:r w:rsidR="00745B6A" w:rsidRPr="0014270C">
        <w:rPr>
          <w:rFonts w:ascii="Bookman Old Style" w:hAnsi="Bookman Old Style"/>
          <w:sz w:val="24"/>
          <w:szCs w:val="24"/>
        </w:rPr>
        <w:t xml:space="preserve"> using the </w:t>
      </w:r>
      <w:r w:rsidR="00E85DE5" w:rsidRPr="0014270C">
        <w:rPr>
          <w:rFonts w:ascii="Bookman Old Style" w:hAnsi="Bookman Old Style"/>
          <w:sz w:val="24"/>
          <w:szCs w:val="24"/>
        </w:rPr>
        <w:t>defective</w:t>
      </w:r>
      <w:r w:rsidR="00A70275" w:rsidRPr="0014270C">
        <w:rPr>
          <w:rFonts w:ascii="Bookman Old Style" w:hAnsi="Bookman Old Style"/>
          <w:sz w:val="24"/>
          <w:szCs w:val="24"/>
        </w:rPr>
        <w:t xml:space="preserve"> material. </w:t>
      </w:r>
      <w:r w:rsidRPr="0014270C">
        <w:rPr>
          <w:rFonts w:ascii="Bookman Old Style" w:hAnsi="Bookman Old Style"/>
          <w:sz w:val="24"/>
          <w:szCs w:val="24"/>
        </w:rPr>
        <w:t xml:space="preserve">Make It Right returned to the Lower Ninth in 2014, spending approximately US$12,000 </w:t>
      </w:r>
      <w:r w:rsidR="002C331C" w:rsidRPr="0014270C">
        <w:rPr>
          <w:rFonts w:ascii="Bookman Old Style" w:hAnsi="Bookman Old Style"/>
          <w:sz w:val="24"/>
          <w:szCs w:val="24"/>
        </w:rPr>
        <w:t>per home</w:t>
      </w:r>
      <w:r w:rsidRPr="0014270C">
        <w:rPr>
          <w:rFonts w:ascii="Bookman Old Style" w:hAnsi="Bookman Old Style"/>
          <w:sz w:val="24"/>
          <w:szCs w:val="24"/>
        </w:rPr>
        <w:t xml:space="preserve"> replacing the </w:t>
      </w:r>
      <w:proofErr w:type="spellStart"/>
      <w:r w:rsidRPr="0014270C">
        <w:rPr>
          <w:rFonts w:ascii="Bookman Old Style" w:hAnsi="Bookman Old Style"/>
          <w:sz w:val="24"/>
          <w:szCs w:val="24"/>
        </w:rPr>
        <w:t>TimberSIL</w:t>
      </w:r>
      <w:proofErr w:type="spellEnd"/>
      <w:r w:rsidRPr="0014270C">
        <w:rPr>
          <w:rFonts w:ascii="Bookman Old Style" w:hAnsi="Bookman Old Style"/>
          <w:sz w:val="24"/>
          <w:szCs w:val="24"/>
        </w:rPr>
        <w:t xml:space="preserve">; the foundation then sued the manufacturer in 2015 for US$500,000 for its false claims of having a reliable product. </w:t>
      </w:r>
      <w:r w:rsidR="001D0D29" w:rsidRPr="0014270C">
        <w:rPr>
          <w:rFonts w:ascii="Bookman Old Style" w:hAnsi="Bookman Old Style"/>
          <w:sz w:val="24"/>
          <w:szCs w:val="24"/>
        </w:rPr>
        <w:t>However, t</w:t>
      </w:r>
      <w:r w:rsidR="004875F8" w:rsidRPr="0014270C">
        <w:rPr>
          <w:rFonts w:ascii="Bookman Old Style" w:hAnsi="Bookman Old Style"/>
          <w:sz w:val="24"/>
          <w:szCs w:val="24"/>
        </w:rPr>
        <w:t xml:space="preserve">he </w:t>
      </w:r>
      <w:r w:rsidR="00F542A4" w:rsidRPr="0014270C">
        <w:rPr>
          <w:rFonts w:ascii="Bookman Old Style" w:hAnsi="Bookman Old Style"/>
          <w:sz w:val="24"/>
          <w:szCs w:val="24"/>
        </w:rPr>
        <w:t xml:space="preserve">money spent fixing the </w:t>
      </w:r>
      <w:r w:rsidR="006D1EF7" w:rsidRPr="0014270C">
        <w:rPr>
          <w:rFonts w:ascii="Bookman Old Style" w:hAnsi="Bookman Old Style"/>
          <w:sz w:val="24"/>
          <w:szCs w:val="24"/>
        </w:rPr>
        <w:t>mistake</w:t>
      </w:r>
      <w:r w:rsidR="00771E15" w:rsidRPr="0014270C">
        <w:rPr>
          <w:rFonts w:ascii="Bookman Old Style" w:hAnsi="Bookman Old Style"/>
          <w:sz w:val="24"/>
          <w:szCs w:val="24"/>
        </w:rPr>
        <w:t xml:space="preserve"> was not enough</w:t>
      </w:r>
      <w:r w:rsidR="00E442B2" w:rsidRPr="0014270C">
        <w:rPr>
          <w:rFonts w:ascii="Bookman Old Style" w:hAnsi="Bookman Old Style"/>
          <w:sz w:val="24"/>
          <w:szCs w:val="24"/>
        </w:rPr>
        <w:t xml:space="preserve"> to repair the damage and </w:t>
      </w:r>
      <w:r w:rsidR="00F542A4" w:rsidRPr="0014270C">
        <w:rPr>
          <w:rFonts w:ascii="Bookman Old Style" w:hAnsi="Bookman Old Style"/>
          <w:sz w:val="24"/>
          <w:szCs w:val="24"/>
        </w:rPr>
        <w:t>many residents fe</w:t>
      </w:r>
      <w:r w:rsidR="001D0D29" w:rsidRPr="0014270C">
        <w:rPr>
          <w:rFonts w:ascii="Bookman Old Style" w:hAnsi="Bookman Old Style"/>
          <w:sz w:val="24"/>
          <w:szCs w:val="24"/>
        </w:rPr>
        <w:t>lt</w:t>
      </w:r>
      <w:r w:rsidR="00115DCA" w:rsidRPr="0014270C">
        <w:rPr>
          <w:rFonts w:ascii="Bookman Old Style" w:hAnsi="Bookman Old Style"/>
          <w:sz w:val="24"/>
          <w:szCs w:val="24"/>
        </w:rPr>
        <w:t xml:space="preserve"> as though MIR left them </w:t>
      </w:r>
      <w:r w:rsidR="000F4334" w:rsidRPr="0014270C">
        <w:rPr>
          <w:rFonts w:ascii="Bookman Old Style" w:hAnsi="Bookman Old Style"/>
          <w:sz w:val="24"/>
          <w:szCs w:val="24"/>
        </w:rPr>
        <w:t>with expensive re</w:t>
      </w:r>
      <w:r w:rsidR="00764E24" w:rsidRPr="0014270C">
        <w:rPr>
          <w:rFonts w:ascii="Bookman Old Style" w:hAnsi="Bookman Old Style"/>
          <w:sz w:val="24"/>
          <w:szCs w:val="24"/>
        </w:rPr>
        <w:t>novations</w:t>
      </w:r>
      <w:r w:rsidR="000F4334" w:rsidRPr="0014270C">
        <w:rPr>
          <w:rFonts w:ascii="Bookman Old Style" w:hAnsi="Bookman Old Style"/>
          <w:sz w:val="24"/>
          <w:szCs w:val="24"/>
        </w:rPr>
        <w:t xml:space="preserve"> they c</w:t>
      </w:r>
      <w:r w:rsidR="00764E24" w:rsidRPr="0014270C">
        <w:rPr>
          <w:rFonts w:ascii="Bookman Old Style" w:hAnsi="Bookman Old Style"/>
          <w:sz w:val="24"/>
          <w:szCs w:val="24"/>
        </w:rPr>
        <w:t>ould</w:t>
      </w:r>
      <w:r w:rsidR="00870107" w:rsidRPr="0014270C">
        <w:rPr>
          <w:rFonts w:ascii="Bookman Old Style" w:hAnsi="Bookman Old Style"/>
          <w:sz w:val="24"/>
          <w:szCs w:val="24"/>
        </w:rPr>
        <w:t xml:space="preserve"> no</w:t>
      </w:r>
      <w:r w:rsidR="000F4334" w:rsidRPr="0014270C">
        <w:rPr>
          <w:rFonts w:ascii="Bookman Old Style" w:hAnsi="Bookman Old Style"/>
          <w:sz w:val="24"/>
          <w:szCs w:val="24"/>
        </w:rPr>
        <w:t>t afford to fix</w:t>
      </w:r>
      <w:r w:rsidR="00E52229" w:rsidRPr="0014270C">
        <w:rPr>
          <w:rFonts w:ascii="Bookman Old Style" w:hAnsi="Bookman Old Style"/>
          <w:sz w:val="24"/>
          <w:szCs w:val="24"/>
        </w:rPr>
        <w:t xml:space="preserve">, leading them to abandon </w:t>
      </w:r>
      <w:r w:rsidR="004245E6" w:rsidRPr="0014270C">
        <w:rPr>
          <w:rFonts w:ascii="Bookman Old Style" w:hAnsi="Bookman Old Style"/>
          <w:sz w:val="24"/>
          <w:szCs w:val="24"/>
        </w:rPr>
        <w:t>the homes and seek out safer place</w:t>
      </w:r>
      <w:r w:rsidR="00764E24" w:rsidRPr="0014270C">
        <w:rPr>
          <w:rFonts w:ascii="Bookman Old Style" w:hAnsi="Bookman Old Style"/>
          <w:sz w:val="24"/>
          <w:szCs w:val="24"/>
        </w:rPr>
        <w:t>s</w:t>
      </w:r>
      <w:r w:rsidR="004245E6" w:rsidRPr="0014270C">
        <w:rPr>
          <w:rFonts w:ascii="Bookman Old Style" w:hAnsi="Bookman Old Style"/>
          <w:sz w:val="24"/>
          <w:szCs w:val="24"/>
        </w:rPr>
        <w:t xml:space="preserve"> to live</w:t>
      </w:r>
      <w:r w:rsidR="0098471A" w:rsidRPr="0014270C">
        <w:rPr>
          <w:rFonts w:ascii="Bookman Old Style" w:hAnsi="Bookman Old Style"/>
          <w:sz w:val="24"/>
          <w:szCs w:val="24"/>
        </w:rPr>
        <w:t>.</w:t>
      </w:r>
      <w:r w:rsidR="002019BD" w:rsidRPr="0014270C">
        <w:rPr>
          <w:rStyle w:val="FootnoteReference"/>
          <w:rFonts w:ascii="Bookman Old Style" w:hAnsi="Bookman Old Style"/>
          <w:sz w:val="24"/>
          <w:szCs w:val="24"/>
        </w:rPr>
        <w:footnoteReference w:id="113"/>
      </w:r>
      <w:r w:rsidR="002019BD" w:rsidRPr="0014270C">
        <w:rPr>
          <w:rFonts w:ascii="Bookman Old Style" w:hAnsi="Bookman Old Style"/>
          <w:sz w:val="24"/>
          <w:szCs w:val="24"/>
        </w:rPr>
        <w:t xml:space="preserve"> </w:t>
      </w:r>
      <w:r w:rsidR="00CB2DCD" w:rsidRPr="0014270C">
        <w:rPr>
          <w:rStyle w:val="FootnoteReference"/>
          <w:rFonts w:ascii="Bookman Old Style" w:hAnsi="Bookman Old Style"/>
          <w:sz w:val="24"/>
          <w:szCs w:val="24"/>
        </w:rPr>
        <w:footnoteReference w:id="114"/>
      </w:r>
    </w:p>
    <w:p w14:paraId="2C7514C6" w14:textId="50B915C6" w:rsidR="003F6CEF" w:rsidRPr="0014270C" w:rsidRDefault="00EF7BE2" w:rsidP="005924D4">
      <w:pPr>
        <w:pStyle w:val="THESISLVL3"/>
      </w:pPr>
      <w:bookmarkStart w:id="34" w:name="_Toc8062270"/>
      <w:r w:rsidRPr="0014270C">
        <w:t>Lowernine.org</w:t>
      </w:r>
      <w:bookmarkEnd w:id="34"/>
    </w:p>
    <w:p w14:paraId="67851C6D" w14:textId="0A9CF9C4" w:rsidR="00B137CF" w:rsidRPr="0014270C" w:rsidRDefault="00B137CF" w:rsidP="00133216">
      <w:pPr>
        <w:spacing w:line="480" w:lineRule="auto"/>
        <w:rPr>
          <w:rFonts w:ascii="Bookman Old Style" w:hAnsi="Bookman Old Style"/>
          <w:sz w:val="24"/>
          <w:szCs w:val="24"/>
        </w:rPr>
      </w:pPr>
      <w:r w:rsidRPr="0014270C">
        <w:rPr>
          <w:rFonts w:ascii="Bookman Old Style" w:hAnsi="Bookman Old Style"/>
          <w:b/>
          <w:sz w:val="24"/>
          <w:szCs w:val="24"/>
        </w:rPr>
        <w:tab/>
      </w:r>
      <w:r w:rsidRPr="0014270C">
        <w:rPr>
          <w:rFonts w:ascii="Bookman Old Style" w:hAnsi="Bookman Old Style"/>
          <w:sz w:val="24"/>
          <w:szCs w:val="24"/>
        </w:rPr>
        <w:t xml:space="preserve">In 2007, </w:t>
      </w:r>
      <w:r w:rsidR="00B7382F" w:rsidRPr="0014270C">
        <w:rPr>
          <w:rFonts w:ascii="Bookman Old Style" w:hAnsi="Bookman Old Style"/>
          <w:sz w:val="24"/>
          <w:szCs w:val="24"/>
        </w:rPr>
        <w:t xml:space="preserve">Rick Prose founded Lowernine.org after realizing that </w:t>
      </w:r>
      <w:r w:rsidR="004801FC" w:rsidRPr="0014270C">
        <w:rPr>
          <w:rFonts w:ascii="Bookman Old Style" w:hAnsi="Bookman Old Style"/>
          <w:sz w:val="24"/>
          <w:szCs w:val="24"/>
        </w:rPr>
        <w:t xml:space="preserve">unskilled volunteers could rebuild homes effectively with little supervision. </w:t>
      </w:r>
      <w:r w:rsidR="00D14BCB" w:rsidRPr="0014270C">
        <w:rPr>
          <w:rFonts w:ascii="Bookman Old Style" w:hAnsi="Bookman Old Style"/>
          <w:sz w:val="24"/>
          <w:szCs w:val="24"/>
        </w:rPr>
        <w:t>T</w:t>
      </w:r>
      <w:r w:rsidR="00D01758" w:rsidRPr="0014270C">
        <w:rPr>
          <w:rFonts w:ascii="Bookman Old Style" w:hAnsi="Bookman Old Style"/>
          <w:sz w:val="24"/>
          <w:szCs w:val="24"/>
        </w:rPr>
        <w:t>he organization has rebuilt 88 homes in the neighborhood</w:t>
      </w:r>
      <w:r w:rsidR="00D14BCB" w:rsidRPr="0014270C">
        <w:rPr>
          <w:rFonts w:ascii="Bookman Old Style" w:hAnsi="Bookman Old Style"/>
          <w:sz w:val="24"/>
          <w:szCs w:val="24"/>
        </w:rPr>
        <w:t xml:space="preserve"> and renovated over 200</w:t>
      </w:r>
      <w:r w:rsidR="00362399" w:rsidRPr="0014270C">
        <w:rPr>
          <w:rFonts w:ascii="Bookman Old Style" w:hAnsi="Bookman Old Style"/>
          <w:sz w:val="24"/>
          <w:szCs w:val="24"/>
        </w:rPr>
        <w:t xml:space="preserve"> homes</w:t>
      </w:r>
      <w:r w:rsidR="00CC6F7E" w:rsidRPr="0014270C">
        <w:rPr>
          <w:rFonts w:ascii="Bookman Old Style" w:hAnsi="Bookman Old Style"/>
          <w:sz w:val="24"/>
          <w:szCs w:val="24"/>
        </w:rPr>
        <w:t>.</w:t>
      </w:r>
      <w:r w:rsidR="00B174C1" w:rsidRPr="0014270C">
        <w:rPr>
          <w:rStyle w:val="FootnoteReference"/>
          <w:rFonts w:ascii="Bookman Old Style" w:hAnsi="Bookman Old Style"/>
          <w:sz w:val="24"/>
          <w:szCs w:val="24"/>
        </w:rPr>
        <w:footnoteReference w:id="115"/>
      </w:r>
      <w:r w:rsidR="00CC6F7E" w:rsidRPr="0014270C">
        <w:rPr>
          <w:rFonts w:ascii="Bookman Old Style" w:hAnsi="Bookman Old Style"/>
          <w:sz w:val="24"/>
          <w:szCs w:val="24"/>
        </w:rPr>
        <w:t xml:space="preserve"> The organization’s website boasts an accomplishment of having brought back </w:t>
      </w:r>
      <w:r w:rsidR="007A7850" w:rsidRPr="0014270C">
        <w:rPr>
          <w:rFonts w:ascii="Bookman Old Style" w:hAnsi="Bookman Old Style"/>
          <w:sz w:val="24"/>
          <w:szCs w:val="24"/>
        </w:rPr>
        <w:t>“more Lower Ninth Ward families than any other single organization</w:t>
      </w:r>
      <w:r w:rsidR="00CF1185" w:rsidRPr="0014270C">
        <w:rPr>
          <w:rFonts w:ascii="Bookman Old Style" w:hAnsi="Bookman Old Style"/>
          <w:sz w:val="24"/>
          <w:szCs w:val="24"/>
        </w:rPr>
        <w:t>,</w:t>
      </w:r>
      <w:r w:rsidR="007A7850" w:rsidRPr="0014270C">
        <w:rPr>
          <w:rFonts w:ascii="Bookman Old Style" w:hAnsi="Bookman Old Style"/>
          <w:sz w:val="24"/>
          <w:szCs w:val="24"/>
        </w:rPr>
        <w:t>”</w:t>
      </w:r>
      <w:r w:rsidR="00CF1185" w:rsidRPr="0014270C">
        <w:rPr>
          <w:rFonts w:ascii="Bookman Old Style" w:hAnsi="Bookman Old Style"/>
          <w:sz w:val="24"/>
          <w:szCs w:val="24"/>
        </w:rPr>
        <w:t xml:space="preserve"> though it does note that many of the residents are new to the </w:t>
      </w:r>
      <w:r w:rsidR="00CF1185" w:rsidRPr="0014270C">
        <w:rPr>
          <w:rFonts w:ascii="Bookman Old Style" w:hAnsi="Bookman Old Style"/>
          <w:sz w:val="24"/>
          <w:szCs w:val="24"/>
        </w:rPr>
        <w:lastRenderedPageBreak/>
        <w:t>area</w:t>
      </w:r>
      <w:r w:rsidR="00840BA6" w:rsidRPr="0014270C">
        <w:rPr>
          <w:rFonts w:ascii="Bookman Old Style" w:hAnsi="Bookman Old Style"/>
          <w:sz w:val="24"/>
          <w:szCs w:val="24"/>
        </w:rPr>
        <w:t>, buying land as it increases in value which has fo</w:t>
      </w:r>
      <w:r w:rsidR="00F723A2" w:rsidRPr="0014270C">
        <w:rPr>
          <w:rFonts w:ascii="Bookman Old Style" w:hAnsi="Bookman Old Style"/>
          <w:sz w:val="24"/>
          <w:szCs w:val="24"/>
        </w:rPr>
        <w:t xml:space="preserve">rced pre-Katrina residents out. </w:t>
      </w:r>
      <w:r w:rsidR="00E95B4D" w:rsidRPr="0014270C">
        <w:rPr>
          <w:rFonts w:ascii="Bookman Old Style" w:hAnsi="Bookman Old Style"/>
          <w:sz w:val="24"/>
          <w:szCs w:val="24"/>
        </w:rPr>
        <w:t>Despite the unfortunate gentrification of the area</w:t>
      </w:r>
      <w:r w:rsidR="00825CFB" w:rsidRPr="0014270C">
        <w:rPr>
          <w:rFonts w:ascii="Bookman Old Style" w:hAnsi="Bookman Old Style"/>
          <w:sz w:val="24"/>
          <w:szCs w:val="24"/>
        </w:rPr>
        <w:t>,</w:t>
      </w:r>
      <w:r w:rsidR="00C5599C" w:rsidRPr="0014270C">
        <w:rPr>
          <w:rFonts w:ascii="Bookman Old Style" w:hAnsi="Bookman Old Style"/>
          <w:sz w:val="24"/>
          <w:szCs w:val="24"/>
        </w:rPr>
        <w:t xml:space="preserve"> which is another issue that deserves attention,</w:t>
      </w:r>
      <w:r w:rsidR="00825CFB" w:rsidRPr="0014270C">
        <w:rPr>
          <w:rFonts w:ascii="Bookman Old Style" w:hAnsi="Bookman Old Style"/>
          <w:sz w:val="24"/>
          <w:szCs w:val="24"/>
        </w:rPr>
        <w:t xml:space="preserve"> the organization has proven that local effort </w:t>
      </w:r>
      <w:r w:rsidR="00FF7024" w:rsidRPr="0014270C">
        <w:rPr>
          <w:rFonts w:ascii="Bookman Old Style" w:hAnsi="Bookman Old Style"/>
          <w:sz w:val="24"/>
          <w:szCs w:val="24"/>
        </w:rPr>
        <w:t>by volunteers ha</w:t>
      </w:r>
      <w:r w:rsidR="0028664D" w:rsidRPr="0014270C">
        <w:rPr>
          <w:rFonts w:ascii="Bookman Old Style" w:hAnsi="Bookman Old Style"/>
          <w:sz w:val="24"/>
          <w:szCs w:val="24"/>
        </w:rPr>
        <w:t>s</w:t>
      </w:r>
      <w:r w:rsidR="00FF7024" w:rsidRPr="0014270C">
        <w:rPr>
          <w:rFonts w:ascii="Bookman Old Style" w:hAnsi="Bookman Old Style"/>
          <w:sz w:val="24"/>
          <w:szCs w:val="24"/>
        </w:rPr>
        <w:t xml:space="preserve"> been an effective strategy for rebuilding. </w:t>
      </w:r>
    </w:p>
    <w:p w14:paraId="62545F36" w14:textId="70536389" w:rsidR="00DA5E7E" w:rsidRPr="0014270C" w:rsidRDefault="00DA5E7E" w:rsidP="00133216">
      <w:pPr>
        <w:spacing w:line="480" w:lineRule="auto"/>
        <w:rPr>
          <w:rFonts w:ascii="Bookman Old Style" w:hAnsi="Bookman Old Style"/>
          <w:sz w:val="24"/>
          <w:szCs w:val="24"/>
        </w:rPr>
      </w:pPr>
    </w:p>
    <w:p w14:paraId="0BB28DF8" w14:textId="3C9CD498" w:rsidR="00DA5E7E" w:rsidRPr="0014270C" w:rsidRDefault="00DA5E7E" w:rsidP="00DA5E7E">
      <w:pPr>
        <w:pStyle w:val="THESISLVL2"/>
      </w:pPr>
      <w:bookmarkStart w:id="35" w:name="_Toc8062271"/>
      <w:r w:rsidRPr="0014270C">
        <w:t>2.4 Tiny Concepts</w:t>
      </w:r>
      <w:bookmarkEnd w:id="35"/>
    </w:p>
    <w:p w14:paraId="5BFD2B2C" w14:textId="77777777" w:rsidR="00DA5E7E" w:rsidRPr="0014270C" w:rsidRDefault="00DA5E7E" w:rsidP="00DA5E7E">
      <w:pPr>
        <w:pStyle w:val="THESISLVL3"/>
      </w:pPr>
      <w:bookmarkStart w:id="36" w:name="_Toc8062272"/>
      <w:r w:rsidRPr="0014270C">
        <w:t>A Tiny Prototype</w:t>
      </w:r>
      <w:bookmarkEnd w:id="36"/>
    </w:p>
    <w:p w14:paraId="1A6E2D26" w14:textId="77777777" w:rsidR="00DA5E7E" w:rsidRPr="0014270C" w:rsidRDefault="00DA5E7E" w:rsidP="00DA5E7E">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Jessica </w:t>
      </w:r>
      <w:proofErr w:type="spellStart"/>
      <w:r w:rsidRPr="0014270C">
        <w:rPr>
          <w:rFonts w:ascii="Bookman Old Style" w:hAnsi="Bookman Old Style"/>
          <w:sz w:val="24"/>
          <w:szCs w:val="24"/>
        </w:rPr>
        <w:t>Gjerde</w:t>
      </w:r>
      <w:proofErr w:type="spellEnd"/>
      <w:r w:rsidRPr="0014270C">
        <w:rPr>
          <w:rFonts w:ascii="Bookman Old Style" w:hAnsi="Bookman Old Style"/>
          <w:sz w:val="24"/>
          <w:szCs w:val="24"/>
        </w:rPr>
        <w:t>, an architectural engineering major, led a project conducted by a team of student engineers at the University of Kansas, crafting a tiny house model for use in temporary housing for disaster relief.</w:t>
      </w:r>
      <w:r w:rsidRPr="0014270C">
        <w:rPr>
          <w:rStyle w:val="FootnoteReference"/>
          <w:rFonts w:ascii="Bookman Old Style" w:hAnsi="Bookman Old Style"/>
          <w:sz w:val="24"/>
          <w:szCs w:val="24"/>
        </w:rPr>
        <w:footnoteReference w:id="116"/>
      </w:r>
      <w:r w:rsidRPr="0014270C">
        <w:rPr>
          <w:rFonts w:ascii="Bookman Old Style" w:hAnsi="Bookman Old Style"/>
          <w:sz w:val="24"/>
          <w:szCs w:val="24"/>
        </w:rPr>
        <w:t xml:space="preserve"> The team consisted of a variety of students from different engineering backgrounds such as aerospace, mechanical, electrical, architectural, civil, chemical, and computer science and information technology.</w:t>
      </w:r>
      <w:r w:rsidRPr="0014270C">
        <w:rPr>
          <w:rStyle w:val="FootnoteReference"/>
          <w:rFonts w:ascii="Bookman Old Style" w:hAnsi="Bookman Old Style"/>
          <w:sz w:val="24"/>
          <w:szCs w:val="24"/>
        </w:rPr>
        <w:footnoteReference w:id="117"/>
      </w:r>
      <w:r w:rsidRPr="0014270C">
        <w:rPr>
          <w:rFonts w:ascii="Bookman Old Style" w:hAnsi="Bookman Old Style"/>
          <w:sz w:val="24"/>
          <w:szCs w:val="24"/>
        </w:rPr>
        <w:t xml:space="preserve"> This team of multidisciplinary minds worked together to solve many of the timing delays faced in post-hurricane housing. The model </w:t>
      </w:r>
      <w:proofErr w:type="gramStart"/>
      <w:r w:rsidRPr="0014270C">
        <w:rPr>
          <w:rFonts w:ascii="Bookman Old Style" w:hAnsi="Bookman Old Style"/>
          <w:sz w:val="24"/>
          <w:szCs w:val="24"/>
        </w:rPr>
        <w:t>was designed</w:t>
      </w:r>
      <w:proofErr w:type="gramEnd"/>
      <w:r w:rsidRPr="0014270C">
        <w:rPr>
          <w:rFonts w:ascii="Bookman Old Style" w:hAnsi="Bookman Old Style"/>
          <w:sz w:val="24"/>
          <w:szCs w:val="24"/>
        </w:rPr>
        <w:t xml:space="preserve"> for use in the absence of running water, utilizing amenities such as composting toilets and pump sinks to avoid the need for utility hookups, which has been a common delay in getting victims into FEMA-provided trailers. Andrew Williams, associate dean for diversity, equity, and inclusion, mentioned the panels for the houses are “modular and easy to put together,” packaged similarly to IKEA furniture. The assembly </w:t>
      </w:r>
      <w:r w:rsidRPr="0014270C">
        <w:rPr>
          <w:rFonts w:ascii="Bookman Old Style" w:hAnsi="Bookman Old Style"/>
          <w:sz w:val="24"/>
          <w:szCs w:val="24"/>
        </w:rPr>
        <w:lastRenderedPageBreak/>
        <w:t xml:space="preserve">covers an area of 128 square feet (11.89 square meters) and includes a kitchen, bathroom, living space, and a loft for sleeping. </w:t>
      </w:r>
      <w:proofErr w:type="spellStart"/>
      <w:r w:rsidRPr="0014270C">
        <w:rPr>
          <w:rFonts w:ascii="Bookman Old Style" w:hAnsi="Bookman Old Style"/>
          <w:sz w:val="24"/>
          <w:szCs w:val="24"/>
        </w:rPr>
        <w:t>Gjerde</w:t>
      </w:r>
      <w:proofErr w:type="spellEnd"/>
      <w:r w:rsidRPr="0014270C">
        <w:rPr>
          <w:rFonts w:ascii="Bookman Old Style" w:hAnsi="Bookman Old Style"/>
          <w:sz w:val="24"/>
          <w:szCs w:val="24"/>
        </w:rPr>
        <w:t xml:space="preserve"> acknowledges that </w:t>
      </w:r>
      <w:r w:rsidRPr="0014270C">
        <w:rPr>
          <w:rFonts w:ascii="Bookman Old Style" w:hAnsi="Bookman Old Style"/>
          <w:noProof/>
          <w:sz w:val="24"/>
          <w:szCs w:val="24"/>
        </w:rPr>
        <w:t>the space</w:t>
      </w:r>
      <w:r w:rsidRPr="0014270C">
        <w:rPr>
          <w:rFonts w:ascii="Bookman Old Style" w:hAnsi="Bookman Old Style"/>
          <w:sz w:val="24"/>
          <w:szCs w:val="24"/>
        </w:rPr>
        <w:t xml:space="preserve"> is small though preferable to homelessness or public shelter, in that it allows victims to have a place for themselves while rebuilding their lives.</w:t>
      </w:r>
    </w:p>
    <w:p w14:paraId="0FC6CF71" w14:textId="77777777" w:rsidR="00DA5E7E" w:rsidRPr="0014270C" w:rsidRDefault="00DA5E7E" w:rsidP="00DA5E7E">
      <w:pPr>
        <w:pStyle w:val="THESISLVL3"/>
      </w:pPr>
      <w:bookmarkStart w:id="37" w:name="_Toc8062273"/>
      <w:r w:rsidRPr="0014270C">
        <w:t>Minimalist Relief House</w:t>
      </w:r>
      <w:bookmarkEnd w:id="37"/>
    </w:p>
    <w:p w14:paraId="5910E436" w14:textId="0DCAD50B" w:rsidR="00DA5E7E" w:rsidRPr="0014270C" w:rsidRDefault="00DA5E7E" w:rsidP="00DA5E7E">
      <w:pPr>
        <w:spacing w:line="480" w:lineRule="auto"/>
        <w:ind w:firstLine="720"/>
        <w:rPr>
          <w:rFonts w:ascii="Bookman Old Style" w:hAnsi="Bookman Old Style"/>
          <w:sz w:val="24"/>
          <w:szCs w:val="24"/>
        </w:rPr>
      </w:pPr>
      <w:r w:rsidRPr="0014270C">
        <w:rPr>
          <w:rFonts w:ascii="Bookman Old Style" w:hAnsi="Bookman Old Style"/>
          <w:sz w:val="24"/>
          <w:szCs w:val="24"/>
        </w:rPr>
        <w:t>Joseph Darnell Brown from Auburn University is another designer who promotes a minimalistic approach to emergency shelter.</w:t>
      </w:r>
      <w:r w:rsidRPr="0014270C">
        <w:rPr>
          <w:rStyle w:val="FootnoteReference"/>
          <w:rFonts w:ascii="Bookman Old Style" w:hAnsi="Bookman Old Style"/>
          <w:sz w:val="24"/>
          <w:szCs w:val="24"/>
        </w:rPr>
        <w:footnoteReference w:id="118"/>
      </w:r>
      <w:r w:rsidRPr="0014270C">
        <w:rPr>
          <w:rFonts w:ascii="Bookman Old Style" w:hAnsi="Bookman Old Style"/>
          <w:sz w:val="24"/>
          <w:szCs w:val="24"/>
        </w:rPr>
        <w:t xml:space="preserve"> He is critical of the trailers used by FEMA, noting the high formaldehyde levels due to mass production and circulation before materials were able to cure in addition to the added effects the Louisiana climate had on the issue.</w:t>
      </w:r>
      <w:r w:rsidRPr="0014270C">
        <w:rPr>
          <w:rStyle w:val="FootnoteReference"/>
          <w:rFonts w:ascii="Bookman Old Style" w:hAnsi="Bookman Old Style"/>
          <w:sz w:val="24"/>
          <w:szCs w:val="24"/>
        </w:rPr>
        <w:footnoteReference w:id="119"/>
      </w:r>
      <w:r w:rsidRPr="0014270C">
        <w:rPr>
          <w:rFonts w:ascii="Bookman Old Style" w:hAnsi="Bookman Old Style"/>
          <w:sz w:val="24"/>
          <w:szCs w:val="24"/>
        </w:rPr>
        <w:t xml:space="preserve"> He also acknowledges the difficulty in storing the trailers, their large footprint making them unable to be stored efficiently causing massive amounts of lot space to be taken by unused units.</w:t>
      </w:r>
      <w:r w:rsidRPr="0014270C">
        <w:rPr>
          <w:rStyle w:val="FootnoteReference"/>
          <w:rFonts w:ascii="Bookman Old Style" w:hAnsi="Bookman Old Style"/>
          <w:sz w:val="24"/>
          <w:szCs w:val="24"/>
        </w:rPr>
        <w:footnoteReference w:id="120"/>
      </w:r>
      <w:r w:rsidRPr="0014270C">
        <w:rPr>
          <w:rFonts w:ascii="Bookman Old Style" w:hAnsi="Bookman Old Style"/>
          <w:sz w:val="24"/>
          <w:szCs w:val="24"/>
        </w:rPr>
        <w:t xml:space="preserve"> Brown’s 152 square foot</w:t>
      </w:r>
      <w:r w:rsidRPr="0014270C">
        <w:rPr>
          <w:rStyle w:val="FootnoteReference"/>
          <w:rFonts w:ascii="Bookman Old Style" w:hAnsi="Bookman Old Style"/>
          <w:sz w:val="24"/>
          <w:szCs w:val="24"/>
        </w:rPr>
        <w:footnoteReference w:id="121"/>
      </w:r>
      <w:r w:rsidRPr="0014270C">
        <w:rPr>
          <w:rFonts w:ascii="Bookman Old Style" w:hAnsi="Bookman Old Style"/>
          <w:sz w:val="24"/>
          <w:szCs w:val="24"/>
        </w:rPr>
        <w:t xml:space="preserve"> (14.12 square meter) design focuses on techniques that allow for off-grid placement. Providing an adequate number of windows allows for natural light to filter through the unit for use during the day and panels contain battery operated lighting for use at night.</w:t>
      </w:r>
      <w:r w:rsidRPr="0014270C">
        <w:rPr>
          <w:rStyle w:val="FootnoteReference"/>
          <w:rFonts w:ascii="Bookman Old Style" w:hAnsi="Bookman Old Style"/>
          <w:sz w:val="24"/>
          <w:szCs w:val="24"/>
        </w:rPr>
        <w:footnoteReference w:id="122"/>
      </w:r>
      <w:r w:rsidRPr="0014270C">
        <w:rPr>
          <w:rFonts w:ascii="Bookman Old Style" w:hAnsi="Bookman Old Style"/>
          <w:sz w:val="24"/>
          <w:szCs w:val="24"/>
        </w:rPr>
        <w:t xml:space="preserve"> Proper orientation of the unit allows for passive heating and cooling, relieving the structure of the need for electricity to regulate temperature.</w:t>
      </w:r>
      <w:r w:rsidRPr="0014270C">
        <w:rPr>
          <w:rStyle w:val="FootnoteReference"/>
          <w:rFonts w:ascii="Bookman Old Style" w:hAnsi="Bookman Old Style"/>
          <w:sz w:val="24"/>
          <w:szCs w:val="24"/>
        </w:rPr>
        <w:footnoteReference w:id="123"/>
      </w:r>
      <w:r w:rsidRPr="0014270C">
        <w:rPr>
          <w:rFonts w:ascii="Bookman Old Style" w:hAnsi="Bookman Old Style"/>
          <w:sz w:val="24"/>
          <w:szCs w:val="24"/>
        </w:rPr>
        <w:t xml:space="preserve"> A water </w:t>
      </w:r>
      <w:r w:rsidRPr="0014270C">
        <w:rPr>
          <w:rFonts w:ascii="Bookman Old Style" w:hAnsi="Bookman Old Style"/>
          <w:sz w:val="24"/>
          <w:szCs w:val="24"/>
        </w:rPr>
        <w:lastRenderedPageBreak/>
        <w:t>catchment system supplies a reservoir for personal hygiene</w:t>
      </w:r>
      <w:r w:rsidRPr="0014270C">
        <w:rPr>
          <w:rStyle w:val="FootnoteReference"/>
          <w:rFonts w:ascii="Bookman Old Style" w:hAnsi="Bookman Old Style"/>
          <w:sz w:val="24"/>
          <w:szCs w:val="24"/>
        </w:rPr>
        <w:footnoteReference w:id="124"/>
      </w:r>
      <w:r w:rsidRPr="0014270C">
        <w:rPr>
          <w:rFonts w:ascii="Bookman Old Style" w:hAnsi="Bookman Old Style"/>
          <w:sz w:val="24"/>
          <w:szCs w:val="24"/>
        </w:rPr>
        <w:t xml:space="preserve"> while a chemical toilet is suggested as an inexpensive alternative to a composting toilet when water is scarce.</w:t>
      </w:r>
      <w:r w:rsidRPr="0014270C">
        <w:rPr>
          <w:rStyle w:val="FootnoteReference"/>
          <w:rFonts w:ascii="Bookman Old Style" w:hAnsi="Bookman Old Style"/>
          <w:sz w:val="24"/>
          <w:szCs w:val="24"/>
        </w:rPr>
        <w:footnoteReference w:id="125"/>
      </w:r>
      <w:r w:rsidRPr="0014270C">
        <w:rPr>
          <w:rFonts w:ascii="Bookman Old Style" w:hAnsi="Bookman Old Style"/>
          <w:sz w:val="24"/>
          <w:szCs w:val="24"/>
        </w:rPr>
        <w:t xml:space="preserve"> The panels of Brown’s tiny house are structural insulated panels made of fiber-reinforced polymer and a </w:t>
      </w:r>
      <w:proofErr w:type="spellStart"/>
      <w:r w:rsidRPr="0014270C">
        <w:rPr>
          <w:rFonts w:ascii="Bookman Old Style" w:hAnsi="Bookman Old Style"/>
          <w:sz w:val="24"/>
          <w:szCs w:val="24"/>
        </w:rPr>
        <w:t>CeraMix</w:t>
      </w:r>
      <w:r w:rsidRPr="0014270C">
        <w:rPr>
          <w:rFonts w:ascii="Bookman Old Style" w:hAnsi="Bookman Old Style"/>
          <w:sz w:val="24"/>
          <w:szCs w:val="24"/>
          <w:vertAlign w:val="superscript"/>
        </w:rPr>
        <w:t>TM</w:t>
      </w:r>
      <w:proofErr w:type="spellEnd"/>
      <w:r w:rsidRPr="0014270C">
        <w:rPr>
          <w:rFonts w:ascii="Bookman Old Style" w:hAnsi="Bookman Old Style"/>
          <w:sz w:val="24"/>
          <w:szCs w:val="24"/>
        </w:rPr>
        <w:t xml:space="preserve"> hard shell. This material is durable and </w:t>
      </w:r>
      <w:r w:rsidRPr="0014270C">
        <w:rPr>
          <w:rFonts w:ascii="Bookman Old Style" w:hAnsi="Bookman Old Style"/>
          <w:noProof/>
          <w:sz w:val="24"/>
          <w:szCs w:val="24"/>
        </w:rPr>
        <w:t>waterproof</w:t>
      </w:r>
      <w:r w:rsidRPr="0014270C">
        <w:rPr>
          <w:rFonts w:ascii="Bookman Old Style" w:hAnsi="Bookman Old Style"/>
          <w:sz w:val="24"/>
          <w:szCs w:val="24"/>
        </w:rPr>
        <w:t xml:space="preserve"> in addition to being energy</w:t>
      </w:r>
      <w:r w:rsidR="00F72515" w:rsidRPr="0014270C">
        <w:rPr>
          <w:rFonts w:ascii="Bookman Old Style" w:hAnsi="Bookman Old Style"/>
          <w:sz w:val="24"/>
          <w:szCs w:val="24"/>
        </w:rPr>
        <w:t xml:space="preserve"> </w:t>
      </w:r>
      <w:r w:rsidRPr="0014270C">
        <w:rPr>
          <w:rFonts w:ascii="Bookman Old Style" w:hAnsi="Bookman Old Style"/>
          <w:sz w:val="24"/>
          <w:szCs w:val="24"/>
        </w:rPr>
        <w:t>efficient, economical, and safe for the environment and human use.</w:t>
      </w:r>
      <w:r w:rsidRPr="0014270C">
        <w:rPr>
          <w:rStyle w:val="FootnoteReference"/>
          <w:rFonts w:ascii="Bookman Old Style" w:hAnsi="Bookman Old Style"/>
          <w:sz w:val="24"/>
          <w:szCs w:val="24"/>
        </w:rPr>
        <w:footnoteReference w:id="126"/>
      </w:r>
      <w:r w:rsidRPr="0014270C">
        <w:rPr>
          <w:rFonts w:ascii="Bookman Old Style" w:hAnsi="Bookman Old Style"/>
          <w:sz w:val="24"/>
          <w:szCs w:val="24"/>
        </w:rPr>
        <w:t xml:space="preserve"> Intended for temporary use they are designed to be modular; the unit can be shipped in a 4ft W x 8ft L x 6ft H (1.21m W x 2.43m L x 1.82m H) biodegradable box allowing for easy transportation, construction, deconstruction, storage, and reuse.</w:t>
      </w:r>
      <w:r w:rsidRPr="0014270C">
        <w:rPr>
          <w:rStyle w:val="FootnoteReference"/>
          <w:rFonts w:ascii="Bookman Old Style" w:hAnsi="Bookman Old Style"/>
          <w:sz w:val="24"/>
          <w:szCs w:val="24"/>
        </w:rPr>
        <w:footnoteReference w:id="127"/>
      </w:r>
      <w:r w:rsidRPr="0014270C">
        <w:rPr>
          <w:rFonts w:ascii="Bookman Old Style" w:hAnsi="Bookman Old Style"/>
          <w:sz w:val="24"/>
          <w:szCs w:val="24"/>
        </w:rPr>
        <w:t xml:space="preserve"> Brown estimates the cost of each unit to be US$909, making his design among the most </w:t>
      </w:r>
      <w:r w:rsidRPr="0014270C">
        <w:rPr>
          <w:rFonts w:ascii="Bookman Old Style" w:hAnsi="Bookman Old Style"/>
          <w:noProof/>
          <w:sz w:val="24"/>
          <w:szCs w:val="24"/>
        </w:rPr>
        <w:t>cost-efficient</w:t>
      </w:r>
      <w:r w:rsidRPr="0014270C">
        <w:rPr>
          <w:rFonts w:ascii="Bookman Old Style" w:hAnsi="Bookman Old Style"/>
          <w:sz w:val="24"/>
          <w:szCs w:val="24"/>
        </w:rPr>
        <w:t xml:space="preserve"> proposals for disaster relief housing.</w:t>
      </w:r>
      <w:r w:rsidRPr="0014270C">
        <w:rPr>
          <w:rStyle w:val="FootnoteReference"/>
          <w:rFonts w:ascii="Bookman Old Style" w:hAnsi="Bookman Old Style"/>
          <w:sz w:val="24"/>
          <w:szCs w:val="24"/>
        </w:rPr>
        <w:footnoteReference w:id="128"/>
      </w:r>
      <w:r w:rsidRPr="0014270C">
        <w:rPr>
          <w:rFonts w:ascii="Bookman Old Style" w:hAnsi="Bookman Old Style"/>
          <w:sz w:val="24"/>
          <w:szCs w:val="24"/>
        </w:rPr>
        <w:t xml:space="preserve"> </w:t>
      </w:r>
    </w:p>
    <w:p w14:paraId="780FD45D" w14:textId="77777777" w:rsidR="00DA5E7E" w:rsidRPr="0014270C" w:rsidRDefault="00DA5E7E" w:rsidP="00DA5E7E">
      <w:pPr>
        <w:pStyle w:val="THESISLVL3"/>
      </w:pPr>
      <w:bookmarkStart w:id="38" w:name="_Toc8062274"/>
      <w:r w:rsidRPr="0014270C">
        <w:t>Flex House</w:t>
      </w:r>
      <w:bookmarkEnd w:id="38"/>
    </w:p>
    <w:p w14:paraId="6E2AFCFB" w14:textId="5D1C77E0" w:rsidR="003F34A1" w:rsidRPr="0014270C" w:rsidRDefault="00DA5E7E" w:rsidP="003D132E">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Like </w:t>
      </w:r>
      <w:proofErr w:type="spellStart"/>
      <w:r w:rsidRPr="0014270C">
        <w:rPr>
          <w:rFonts w:ascii="Bookman Old Style" w:hAnsi="Bookman Old Style"/>
          <w:sz w:val="24"/>
          <w:szCs w:val="24"/>
        </w:rPr>
        <w:t>Gjerde</w:t>
      </w:r>
      <w:proofErr w:type="spellEnd"/>
      <w:r w:rsidRPr="0014270C">
        <w:rPr>
          <w:rFonts w:ascii="Bookman Old Style" w:hAnsi="Bookman Old Style"/>
          <w:sz w:val="24"/>
          <w:szCs w:val="24"/>
        </w:rPr>
        <w:t xml:space="preserve"> and Brown, Kathryn Schenk is a proponent of prefabricated tiny housing, arguing that it offers an affordable, sustainable solution to urban sprawl and the reduction of waste.</w:t>
      </w:r>
      <w:r w:rsidRPr="0014270C">
        <w:rPr>
          <w:rStyle w:val="FootnoteReference"/>
          <w:rFonts w:ascii="Bookman Old Style" w:hAnsi="Bookman Old Style"/>
          <w:sz w:val="24"/>
          <w:szCs w:val="24"/>
        </w:rPr>
        <w:footnoteReference w:id="129"/>
      </w:r>
      <w:r w:rsidRPr="0014270C">
        <w:rPr>
          <w:rFonts w:ascii="Bookman Old Style" w:hAnsi="Bookman Old Style"/>
          <w:sz w:val="24"/>
          <w:szCs w:val="24"/>
        </w:rPr>
        <w:t xml:space="preserve"> Schenk observes several common factors in successful tiny housing: providing visual openness using large windows, having options and flexibility in design, access to the outdoors, utilizing vertical space efficiently, and using prefabrication and mass production to minimize cost.</w:t>
      </w:r>
      <w:r w:rsidRPr="0014270C">
        <w:rPr>
          <w:rStyle w:val="FootnoteReference"/>
          <w:rFonts w:ascii="Bookman Old Style" w:hAnsi="Bookman Old Style"/>
          <w:sz w:val="24"/>
          <w:szCs w:val="24"/>
        </w:rPr>
        <w:footnoteReference w:id="130"/>
      </w:r>
      <w:r w:rsidRPr="0014270C">
        <w:rPr>
          <w:rFonts w:ascii="Bookman Old Style" w:hAnsi="Bookman Old Style"/>
          <w:sz w:val="24"/>
          <w:szCs w:val="24"/>
        </w:rPr>
        <w:t xml:space="preserve"> In designing her Flex House, Schenk includes several important factors </w:t>
      </w:r>
      <w:r w:rsidRPr="0014270C">
        <w:rPr>
          <w:rFonts w:ascii="Bookman Old Style" w:hAnsi="Bookman Old Style"/>
          <w:sz w:val="24"/>
          <w:szCs w:val="24"/>
        </w:rPr>
        <w:lastRenderedPageBreak/>
        <w:t>to be considered such as the ability to be assembled by a few people without heavy equipment and the integration of passive design and sustainable techniques. Her design is described as consisting of a “series of 4’ x 8’ panels on a grid that can be interchanged and adapted to accommodate a number of different functions.”</w:t>
      </w:r>
      <w:r w:rsidRPr="0014270C">
        <w:rPr>
          <w:rStyle w:val="FootnoteReference"/>
          <w:rFonts w:ascii="Bookman Old Style" w:hAnsi="Bookman Old Style"/>
          <w:sz w:val="24"/>
          <w:szCs w:val="24"/>
        </w:rPr>
        <w:footnoteReference w:id="131"/>
      </w:r>
      <w:r w:rsidRPr="0014270C">
        <w:rPr>
          <w:rFonts w:ascii="Bookman Old Style" w:hAnsi="Bookman Old Style"/>
          <w:sz w:val="24"/>
          <w:szCs w:val="24"/>
        </w:rPr>
        <w:t xml:space="preserve"> The panels are crafted from high-quality materials and when assembled correctly create a highly efficient, insulated, and ventilated space that can be trusted to provide a comfortable, healthy, long-term living space.</w:t>
      </w:r>
      <w:r w:rsidRPr="0014270C">
        <w:rPr>
          <w:rStyle w:val="FootnoteReference"/>
          <w:rFonts w:ascii="Bookman Old Style" w:hAnsi="Bookman Old Style"/>
          <w:sz w:val="24"/>
          <w:szCs w:val="24"/>
        </w:rPr>
        <w:footnoteReference w:id="132"/>
      </w:r>
      <w:r w:rsidRPr="0014270C">
        <w:rPr>
          <w:rFonts w:ascii="Bookman Old Style" w:hAnsi="Bookman Old Style"/>
          <w:sz w:val="24"/>
          <w:szCs w:val="24"/>
        </w:rPr>
        <w:t xml:space="preserve"> </w:t>
      </w:r>
    </w:p>
    <w:p w14:paraId="282FBDF8" w14:textId="77777777" w:rsidR="003D132E" w:rsidRPr="0014270C" w:rsidRDefault="003D132E" w:rsidP="003D132E">
      <w:pPr>
        <w:spacing w:line="480" w:lineRule="auto"/>
        <w:ind w:firstLine="720"/>
        <w:rPr>
          <w:rFonts w:ascii="Bookman Old Style" w:hAnsi="Bookman Old Style"/>
          <w:sz w:val="24"/>
          <w:szCs w:val="24"/>
        </w:rPr>
      </w:pPr>
    </w:p>
    <w:p w14:paraId="71D6402F" w14:textId="182D2A4B" w:rsidR="00753552" w:rsidRPr="0014270C" w:rsidRDefault="00753552" w:rsidP="00753552">
      <w:pPr>
        <w:pStyle w:val="THESISLVL2"/>
      </w:pPr>
      <w:bookmarkStart w:id="39" w:name="_Toc8062275"/>
      <w:r w:rsidRPr="0014270C">
        <w:t>2.5 Design Approaches</w:t>
      </w:r>
      <w:bookmarkEnd w:id="39"/>
    </w:p>
    <w:p w14:paraId="43693FAA" w14:textId="77777777" w:rsidR="00753552" w:rsidRPr="0014270C" w:rsidRDefault="00753552" w:rsidP="00753552">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There are numerous sustainable design approaches; those discussed in this research are the Integrated Design Approach that the Green Building Council uses in their LEED certification program to ensure all areas of the process are considered in the development of healthy, energy </w:t>
      </w:r>
      <w:r w:rsidRPr="0014270C">
        <w:rPr>
          <w:rFonts w:ascii="Bookman Old Style" w:hAnsi="Bookman Old Style"/>
          <w:noProof/>
          <w:sz w:val="24"/>
          <w:szCs w:val="24"/>
        </w:rPr>
        <w:t>efficient</w:t>
      </w:r>
      <w:r w:rsidRPr="0014270C">
        <w:rPr>
          <w:rFonts w:ascii="Bookman Old Style" w:hAnsi="Bookman Old Style"/>
          <w:sz w:val="24"/>
          <w:szCs w:val="24"/>
        </w:rPr>
        <w:t xml:space="preserve"> buildings,</w:t>
      </w:r>
      <w:r w:rsidRPr="0014270C">
        <w:rPr>
          <w:rStyle w:val="FootnoteReference"/>
          <w:rFonts w:ascii="Bookman Old Style" w:hAnsi="Bookman Old Style"/>
          <w:sz w:val="24"/>
          <w:szCs w:val="24"/>
        </w:rPr>
        <w:footnoteReference w:id="133"/>
      </w:r>
      <w:r w:rsidRPr="0014270C">
        <w:rPr>
          <w:rFonts w:ascii="Bookman Old Style" w:hAnsi="Bookman Old Style"/>
          <w:sz w:val="24"/>
          <w:szCs w:val="24"/>
        </w:rPr>
        <w:t xml:space="preserve"> and the </w:t>
      </w:r>
      <w:r w:rsidRPr="0014270C">
        <w:rPr>
          <w:rFonts w:ascii="Bookman Old Style" w:hAnsi="Bookman Old Style"/>
          <w:noProof/>
          <w:sz w:val="24"/>
          <w:szCs w:val="24"/>
        </w:rPr>
        <w:t>Okala</w:t>
      </w:r>
      <w:r w:rsidRPr="0014270C">
        <w:rPr>
          <w:rFonts w:ascii="Bookman Old Style" w:hAnsi="Bookman Old Style"/>
          <w:sz w:val="24"/>
          <w:szCs w:val="24"/>
        </w:rPr>
        <w:t xml:space="preserve"> Eco-design Strategy Wheel, a guide that is applicable to all aspects of design including manufacturing and use.</w:t>
      </w:r>
      <w:r w:rsidRPr="0014270C">
        <w:rPr>
          <w:rStyle w:val="FootnoteReference"/>
          <w:rFonts w:ascii="Bookman Old Style" w:hAnsi="Bookman Old Style"/>
          <w:sz w:val="24"/>
          <w:szCs w:val="24"/>
        </w:rPr>
        <w:footnoteReference w:id="134"/>
      </w:r>
      <w:r w:rsidRPr="0014270C">
        <w:rPr>
          <w:rFonts w:ascii="Bookman Old Style" w:hAnsi="Bookman Old Style"/>
          <w:sz w:val="24"/>
          <w:szCs w:val="24"/>
        </w:rPr>
        <w:t xml:space="preserve"> Using these strategies can help to establish a better approach to design and function of housing for disaster relief and recovery. Understanding the entire life of a housing unit, including materials, uses, and end-of-life can allow for a more </w:t>
      </w:r>
      <w:r w:rsidRPr="0014270C">
        <w:rPr>
          <w:rFonts w:ascii="Bookman Old Style" w:hAnsi="Bookman Old Style"/>
          <w:sz w:val="24"/>
          <w:szCs w:val="24"/>
        </w:rPr>
        <w:lastRenderedPageBreak/>
        <w:t xml:space="preserve">efficient process of getting hurricane victims into and out of the units as smoothly as possible.  </w:t>
      </w:r>
    </w:p>
    <w:p w14:paraId="37BC2883" w14:textId="77777777" w:rsidR="00753552" w:rsidRPr="0014270C" w:rsidRDefault="00753552" w:rsidP="00753552">
      <w:pPr>
        <w:pStyle w:val="THESISLVL3"/>
      </w:pPr>
      <w:bookmarkStart w:id="40" w:name="_Toc8062276"/>
      <w:r w:rsidRPr="0014270C">
        <w:t>Integrated Design Approach</w:t>
      </w:r>
      <w:bookmarkEnd w:id="40"/>
    </w:p>
    <w:p w14:paraId="486AF591" w14:textId="2F40A60B" w:rsidR="00753552" w:rsidRPr="0014270C" w:rsidRDefault="00753552" w:rsidP="00753552">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Integrated Design Process (IDP) focuses on holistic design concepts that help to </w:t>
      </w:r>
      <w:r w:rsidR="00F2265B" w:rsidRPr="0014270C">
        <w:rPr>
          <w:rFonts w:ascii="Bookman Old Style" w:hAnsi="Bookman Old Style"/>
          <w:sz w:val="24"/>
          <w:szCs w:val="24"/>
        </w:rPr>
        <w:t>create</w:t>
      </w:r>
      <w:r w:rsidR="00F817F5" w:rsidRPr="0014270C">
        <w:rPr>
          <w:rFonts w:ascii="Bookman Old Style" w:hAnsi="Bookman Old Style"/>
          <w:sz w:val="24"/>
          <w:szCs w:val="24"/>
        </w:rPr>
        <w:t xml:space="preserve"> </w:t>
      </w:r>
      <w:r w:rsidRPr="0014270C">
        <w:rPr>
          <w:rFonts w:ascii="Bookman Old Style" w:hAnsi="Bookman Old Style"/>
          <w:sz w:val="24"/>
          <w:szCs w:val="24"/>
        </w:rPr>
        <w:t>sustainab</w:t>
      </w:r>
      <w:r w:rsidR="00537D2E" w:rsidRPr="0014270C">
        <w:rPr>
          <w:rFonts w:ascii="Bookman Old Style" w:hAnsi="Bookman Old Style"/>
          <w:sz w:val="24"/>
          <w:szCs w:val="24"/>
        </w:rPr>
        <w:t>le building</w:t>
      </w:r>
      <w:r w:rsidR="00F817F5" w:rsidRPr="0014270C">
        <w:rPr>
          <w:rFonts w:ascii="Bookman Old Style" w:hAnsi="Bookman Old Style"/>
          <w:sz w:val="24"/>
          <w:szCs w:val="24"/>
        </w:rPr>
        <w:t>s</w:t>
      </w:r>
      <w:r w:rsidRPr="0014270C">
        <w:rPr>
          <w:rFonts w:ascii="Bookman Old Style" w:hAnsi="Bookman Old Style"/>
          <w:sz w:val="24"/>
          <w:szCs w:val="24"/>
        </w:rPr>
        <w:t>.</w:t>
      </w:r>
      <w:r w:rsidRPr="0014270C">
        <w:rPr>
          <w:rStyle w:val="FootnoteReference"/>
          <w:rFonts w:ascii="Bookman Old Style" w:hAnsi="Bookman Old Style"/>
          <w:sz w:val="24"/>
          <w:szCs w:val="24"/>
        </w:rPr>
        <w:footnoteReference w:id="135"/>
      </w:r>
      <w:r w:rsidRPr="0014270C">
        <w:rPr>
          <w:rFonts w:ascii="Bookman Old Style" w:hAnsi="Bookman Old Style"/>
          <w:sz w:val="24"/>
          <w:szCs w:val="24"/>
        </w:rPr>
        <w:t xml:space="preserve"> Two of the key topics of IDP are </w:t>
      </w:r>
    </w:p>
    <w:p w14:paraId="4A5B9C8F" w14:textId="77777777" w:rsidR="00753552" w:rsidRPr="0014270C" w:rsidRDefault="00753552" w:rsidP="00753552">
      <w:pPr>
        <w:pStyle w:val="ListParagraph"/>
        <w:numPr>
          <w:ilvl w:val="0"/>
          <w:numId w:val="2"/>
        </w:numPr>
        <w:spacing w:line="480" w:lineRule="auto"/>
        <w:rPr>
          <w:rFonts w:ascii="Bookman Old Style" w:hAnsi="Bookman Old Style"/>
          <w:sz w:val="24"/>
          <w:szCs w:val="24"/>
        </w:rPr>
      </w:pPr>
      <w:r w:rsidRPr="0014270C">
        <w:rPr>
          <w:rFonts w:ascii="Bookman Old Style" w:hAnsi="Bookman Old Style"/>
          <w:sz w:val="24"/>
          <w:szCs w:val="24"/>
        </w:rPr>
        <w:t>Integrated Project Delivery</w:t>
      </w:r>
    </w:p>
    <w:p w14:paraId="3791EE78" w14:textId="77777777" w:rsidR="00753552" w:rsidRPr="0014270C" w:rsidRDefault="00753552" w:rsidP="00753552">
      <w:pPr>
        <w:pStyle w:val="ListParagraph"/>
        <w:numPr>
          <w:ilvl w:val="0"/>
          <w:numId w:val="2"/>
        </w:numPr>
        <w:spacing w:line="480" w:lineRule="auto"/>
        <w:rPr>
          <w:rFonts w:ascii="Bookman Old Style" w:hAnsi="Bookman Old Style"/>
          <w:sz w:val="24"/>
          <w:szCs w:val="24"/>
        </w:rPr>
      </w:pPr>
      <w:r w:rsidRPr="0014270C">
        <w:rPr>
          <w:rFonts w:ascii="Bookman Old Style" w:hAnsi="Bookman Old Style"/>
          <w:sz w:val="24"/>
          <w:szCs w:val="24"/>
        </w:rPr>
        <w:t>Integrated Project Team</w:t>
      </w:r>
    </w:p>
    <w:p w14:paraId="7476473C" w14:textId="77777777" w:rsidR="00753552" w:rsidRPr="0014270C" w:rsidRDefault="00753552" w:rsidP="00753552">
      <w:pPr>
        <w:spacing w:line="480" w:lineRule="auto"/>
        <w:ind w:firstLine="720"/>
        <w:rPr>
          <w:rFonts w:ascii="Bookman Old Style" w:hAnsi="Bookman Old Style"/>
          <w:sz w:val="24"/>
          <w:szCs w:val="24"/>
        </w:rPr>
      </w:pPr>
      <w:bookmarkStart w:id="41" w:name="_Toc8062277"/>
      <w:r w:rsidRPr="0014270C">
        <w:rPr>
          <w:rStyle w:val="THESISLVL4Char"/>
        </w:rPr>
        <w:t>Integrated Project Delivery</w:t>
      </w:r>
      <w:bookmarkEnd w:id="41"/>
      <w:r w:rsidRPr="0014270C">
        <w:rPr>
          <w:rFonts w:ascii="Bookman Old Style" w:hAnsi="Bookman Old Style"/>
          <w:sz w:val="24"/>
          <w:szCs w:val="24"/>
        </w:rPr>
        <w:t xml:space="preserve">. Integrated Project Delivery (IPD) is the stage of IDP that promotes collaboration between the main stakeholders involved in a project during the earliest stages of the design process. This stage is where the goals of the project </w:t>
      </w:r>
      <w:proofErr w:type="gramStart"/>
      <w:r w:rsidRPr="0014270C">
        <w:rPr>
          <w:rFonts w:ascii="Bookman Old Style" w:hAnsi="Bookman Old Style"/>
          <w:sz w:val="24"/>
          <w:szCs w:val="24"/>
        </w:rPr>
        <w:t>are addressed</w:t>
      </w:r>
      <w:proofErr w:type="gramEnd"/>
      <w:r w:rsidRPr="0014270C">
        <w:rPr>
          <w:rFonts w:ascii="Bookman Old Style" w:hAnsi="Bookman Old Style"/>
          <w:sz w:val="24"/>
          <w:szCs w:val="24"/>
        </w:rPr>
        <w:t xml:space="preserve"> and defined, allowing an exchange of information and priorities to be had between clients, designers, contractors, architects, investors, and engineers. The phases of IPD include pre-design, when data is collected and goals are determined; design, a detailed phase of schematics, development, and construction documentation needed for permissions and bidding; bidding, where appropriate contractors are selected for construction; commissioning, a process that ensures quality by on-site verification throughout design and installation; and occupancy, achieving certification of occupancy, ensuring the building is safe.</w:t>
      </w:r>
      <w:r w:rsidRPr="0014270C">
        <w:rPr>
          <w:rStyle w:val="FootnoteReference"/>
          <w:rFonts w:ascii="Bookman Old Style" w:hAnsi="Bookman Old Style"/>
          <w:sz w:val="24"/>
          <w:szCs w:val="24"/>
        </w:rPr>
        <w:footnoteReference w:id="136"/>
      </w:r>
      <w:r w:rsidRPr="0014270C">
        <w:rPr>
          <w:rFonts w:ascii="Bookman Old Style" w:hAnsi="Bookman Old Style"/>
          <w:sz w:val="24"/>
          <w:szCs w:val="24"/>
        </w:rPr>
        <w:t xml:space="preserve"> </w:t>
      </w:r>
    </w:p>
    <w:p w14:paraId="2F3CA13B" w14:textId="5E43D3D3" w:rsidR="00753552" w:rsidRPr="0014270C" w:rsidRDefault="00753552" w:rsidP="00753552">
      <w:pPr>
        <w:spacing w:line="480" w:lineRule="auto"/>
        <w:ind w:firstLine="720"/>
        <w:rPr>
          <w:rFonts w:ascii="Bookman Old Style" w:hAnsi="Bookman Old Style"/>
          <w:sz w:val="24"/>
          <w:szCs w:val="24"/>
        </w:rPr>
      </w:pPr>
      <w:bookmarkStart w:id="42" w:name="_Toc8062278"/>
      <w:r w:rsidRPr="0014270C">
        <w:rPr>
          <w:rStyle w:val="THESISLVL4Char"/>
        </w:rPr>
        <w:t>Integrated Project Team</w:t>
      </w:r>
      <w:bookmarkEnd w:id="42"/>
      <w:r w:rsidRPr="0014270C">
        <w:rPr>
          <w:rFonts w:ascii="Bookman Old Style" w:hAnsi="Bookman Old Style"/>
          <w:sz w:val="24"/>
          <w:szCs w:val="24"/>
        </w:rPr>
        <w:t xml:space="preserve">. In following the Integrated Design Approach, planners, designers, technicians, builders, and stakeholders collaborate </w:t>
      </w:r>
      <w:r w:rsidRPr="0014270C">
        <w:rPr>
          <w:rFonts w:ascii="Bookman Old Style" w:hAnsi="Bookman Old Style"/>
          <w:sz w:val="24"/>
          <w:szCs w:val="24"/>
        </w:rPr>
        <w:lastRenderedPageBreak/>
        <w:t xml:space="preserve">throughout the process. Typically, many contractors involved in building a house do not interact until their step of the process </w:t>
      </w:r>
      <w:proofErr w:type="gramStart"/>
      <w:r w:rsidRPr="0014270C">
        <w:rPr>
          <w:rFonts w:ascii="Bookman Old Style" w:hAnsi="Bookman Old Style"/>
          <w:sz w:val="24"/>
          <w:szCs w:val="24"/>
        </w:rPr>
        <w:t>is needed</w:t>
      </w:r>
      <w:proofErr w:type="gramEnd"/>
      <w:r w:rsidRPr="0014270C">
        <w:rPr>
          <w:rFonts w:ascii="Bookman Old Style" w:hAnsi="Bookman Old Style"/>
          <w:sz w:val="24"/>
          <w:szCs w:val="24"/>
        </w:rPr>
        <w:t xml:space="preserve">. If problems </w:t>
      </w:r>
      <w:proofErr w:type="gramStart"/>
      <w:r w:rsidRPr="0014270C">
        <w:rPr>
          <w:rFonts w:ascii="Bookman Old Style" w:hAnsi="Bookman Old Style"/>
          <w:sz w:val="24"/>
          <w:szCs w:val="24"/>
        </w:rPr>
        <w:t>are not identified</w:t>
      </w:r>
      <w:proofErr w:type="gramEnd"/>
      <w:r w:rsidRPr="0014270C">
        <w:rPr>
          <w:rFonts w:ascii="Bookman Old Style" w:hAnsi="Bookman Old Style"/>
          <w:sz w:val="24"/>
          <w:szCs w:val="24"/>
        </w:rPr>
        <w:t xml:space="preserve"> in the design stage, they could appear later in the build, creating a higher cost to rework or in many cases, a more efficient alternative could have been used that is no longer an option. The project team involved in the Integrated Design Approach is one of the most important components of the IDP. Every discipline involved in the construction of a building should </w:t>
      </w:r>
      <w:proofErr w:type="gramStart"/>
      <w:r w:rsidRPr="0014270C">
        <w:rPr>
          <w:rFonts w:ascii="Bookman Old Style" w:hAnsi="Bookman Old Style"/>
          <w:sz w:val="24"/>
          <w:szCs w:val="24"/>
        </w:rPr>
        <w:t>be included</w:t>
      </w:r>
      <w:proofErr w:type="gramEnd"/>
      <w:r w:rsidRPr="0014270C">
        <w:rPr>
          <w:rFonts w:ascii="Bookman Old Style" w:hAnsi="Bookman Old Style"/>
          <w:sz w:val="24"/>
          <w:szCs w:val="24"/>
        </w:rPr>
        <w:t xml:space="preserve"> in the project team from the beginning. By opening access for communication and coordination between all stakeholders early in the design stage, the opportunity for error, miscommunication, and conflict </w:t>
      </w:r>
      <w:r w:rsidRPr="0014270C">
        <w:rPr>
          <w:rFonts w:ascii="Bookman Old Style" w:hAnsi="Bookman Old Style"/>
          <w:noProof/>
          <w:sz w:val="24"/>
          <w:szCs w:val="24"/>
        </w:rPr>
        <w:t>diminishes</w:t>
      </w:r>
      <w:r w:rsidRPr="0014270C">
        <w:rPr>
          <w:rFonts w:ascii="Bookman Old Style" w:hAnsi="Bookman Old Style"/>
          <w:sz w:val="24"/>
          <w:szCs w:val="24"/>
        </w:rPr>
        <w:t>.</w:t>
      </w:r>
      <w:r w:rsidRPr="0014270C">
        <w:rPr>
          <w:rStyle w:val="FootnoteReference"/>
          <w:rFonts w:ascii="Bookman Old Style" w:hAnsi="Bookman Old Style"/>
          <w:sz w:val="24"/>
          <w:szCs w:val="24"/>
        </w:rPr>
        <w:footnoteReference w:id="137"/>
      </w:r>
    </w:p>
    <w:p w14:paraId="44022462" w14:textId="317DD0FB" w:rsidR="00753552" w:rsidRPr="0014270C" w:rsidRDefault="00753552" w:rsidP="00753552">
      <w:pPr>
        <w:pStyle w:val="THESISLVL3"/>
      </w:pPr>
      <w:bookmarkStart w:id="43" w:name="_Toc8062279"/>
      <w:proofErr w:type="spellStart"/>
      <w:r w:rsidRPr="0014270C">
        <w:t>Okala</w:t>
      </w:r>
      <w:proofErr w:type="spellEnd"/>
      <w:r w:rsidRPr="0014270C">
        <w:t xml:space="preserve"> Eco-design</w:t>
      </w:r>
      <w:r w:rsidR="00362A4A" w:rsidRPr="0014270C">
        <w:t xml:space="preserve"> Strategy</w:t>
      </w:r>
      <w:bookmarkEnd w:id="43"/>
    </w:p>
    <w:p w14:paraId="213A962D" w14:textId="52D1CB85" w:rsidR="00753552" w:rsidRPr="0014270C" w:rsidRDefault="00753552" w:rsidP="00753552">
      <w:pPr>
        <w:pStyle w:val="ListParagraph"/>
        <w:spacing w:line="480" w:lineRule="auto"/>
        <w:ind w:left="0" w:firstLine="720"/>
        <w:rPr>
          <w:rFonts w:ascii="Bookman Old Style" w:hAnsi="Bookman Old Style"/>
          <w:sz w:val="24"/>
          <w:szCs w:val="24"/>
        </w:rPr>
      </w:pPr>
      <w:r w:rsidRPr="0014270C">
        <w:rPr>
          <w:rFonts w:ascii="Bookman Old Style" w:hAnsi="Bookman Old Style"/>
          <w:sz w:val="24"/>
          <w:szCs w:val="24"/>
        </w:rPr>
        <w:t xml:space="preserve">The </w:t>
      </w:r>
      <w:proofErr w:type="spellStart"/>
      <w:r w:rsidRPr="0014270C">
        <w:rPr>
          <w:rFonts w:ascii="Bookman Old Style" w:hAnsi="Bookman Old Style"/>
          <w:sz w:val="24"/>
          <w:szCs w:val="24"/>
        </w:rPr>
        <w:t>Okala</w:t>
      </w:r>
      <w:proofErr w:type="spellEnd"/>
      <w:r w:rsidRPr="0014270C">
        <w:rPr>
          <w:rFonts w:ascii="Bookman Old Style" w:hAnsi="Bookman Old Style"/>
          <w:sz w:val="24"/>
          <w:szCs w:val="24"/>
        </w:rPr>
        <w:t xml:space="preserve"> Eco-design Strategy</w:t>
      </w:r>
      <w:r w:rsidR="009C1357">
        <w:rPr>
          <w:rFonts w:ascii="Bookman Old Style" w:hAnsi="Bookman Old Style"/>
          <w:sz w:val="24"/>
          <w:szCs w:val="24"/>
        </w:rPr>
        <w:t xml:space="preserve"> Wheel</w:t>
      </w:r>
      <w:r w:rsidRPr="0014270C">
        <w:rPr>
          <w:rFonts w:ascii="Bookman Old Style" w:hAnsi="Bookman Old Style"/>
          <w:sz w:val="24"/>
          <w:szCs w:val="24"/>
        </w:rPr>
        <w:t xml:space="preserve"> is an approach that overlaps with many of the same concepts involved in the Integrated Design Approach used by the Green Building Council. </w:t>
      </w:r>
      <w:proofErr w:type="spellStart"/>
      <w:r w:rsidRPr="0014270C">
        <w:rPr>
          <w:rFonts w:ascii="Bookman Old Style" w:hAnsi="Bookman Old Style"/>
          <w:sz w:val="24"/>
          <w:szCs w:val="24"/>
        </w:rPr>
        <w:t>Okala</w:t>
      </w:r>
      <w:proofErr w:type="spellEnd"/>
      <w:r w:rsidRPr="0014270C">
        <w:rPr>
          <w:rFonts w:ascii="Bookman Old Style" w:hAnsi="Bookman Old Style"/>
          <w:sz w:val="24"/>
          <w:szCs w:val="24"/>
        </w:rPr>
        <w:t xml:space="preserve"> mentions eight categories</w:t>
      </w:r>
      <w:r w:rsidRPr="0014270C">
        <w:rPr>
          <w:rStyle w:val="FootnoteReference"/>
          <w:rFonts w:ascii="Bookman Old Style" w:hAnsi="Bookman Old Style"/>
          <w:sz w:val="24"/>
          <w:szCs w:val="24"/>
        </w:rPr>
        <w:footnoteReference w:id="138"/>
      </w:r>
      <w:r w:rsidRPr="0014270C">
        <w:rPr>
          <w:rFonts w:ascii="Bookman Old Style" w:hAnsi="Bookman Old Style"/>
          <w:sz w:val="24"/>
          <w:szCs w:val="24"/>
        </w:rPr>
        <w:t xml:space="preserve"> to consider when approaching design, with ideas for how to achieve successful results. The </w:t>
      </w:r>
      <w:proofErr w:type="spellStart"/>
      <w:r w:rsidRPr="0014270C">
        <w:rPr>
          <w:rFonts w:ascii="Bookman Old Style" w:hAnsi="Bookman Old Style"/>
          <w:sz w:val="24"/>
          <w:szCs w:val="24"/>
        </w:rPr>
        <w:t>Okala</w:t>
      </w:r>
      <w:proofErr w:type="spellEnd"/>
      <w:r w:rsidRPr="0014270C">
        <w:rPr>
          <w:rFonts w:ascii="Bookman Old Style" w:hAnsi="Bookman Old Style"/>
          <w:sz w:val="24"/>
          <w:szCs w:val="24"/>
        </w:rPr>
        <w:t xml:space="preserve"> strategy complements the Integrated Design Approach by incorporating a structured and descriptive guideline for life cycle design, with each category containing details about how to approach each stage: </w:t>
      </w:r>
    </w:p>
    <w:p w14:paraId="5F9FF644" w14:textId="77777777" w:rsidR="00753552" w:rsidRPr="0014270C" w:rsidRDefault="00753552" w:rsidP="00753552">
      <w:pPr>
        <w:pStyle w:val="ListParagraph"/>
        <w:numPr>
          <w:ilvl w:val="0"/>
          <w:numId w:val="3"/>
        </w:numPr>
        <w:spacing w:line="480" w:lineRule="auto"/>
        <w:rPr>
          <w:rFonts w:ascii="Bookman Old Style" w:hAnsi="Bookman Old Style"/>
          <w:sz w:val="24"/>
          <w:szCs w:val="24"/>
        </w:rPr>
      </w:pPr>
      <w:r w:rsidRPr="0014270C">
        <w:rPr>
          <w:rFonts w:ascii="Bookman Old Style" w:hAnsi="Bookman Old Style"/>
          <w:sz w:val="24"/>
          <w:szCs w:val="24"/>
        </w:rPr>
        <w:t>Innovation</w:t>
      </w:r>
      <w:r w:rsidRPr="0014270C">
        <w:rPr>
          <w:rStyle w:val="FootnoteReference"/>
          <w:rFonts w:ascii="Bookman Old Style" w:hAnsi="Bookman Old Style"/>
          <w:sz w:val="24"/>
          <w:szCs w:val="24"/>
        </w:rPr>
        <w:footnoteReference w:id="139"/>
      </w:r>
    </w:p>
    <w:p w14:paraId="16B77834" w14:textId="77777777" w:rsidR="00753552" w:rsidRPr="0014270C" w:rsidRDefault="00753552" w:rsidP="00753552">
      <w:pPr>
        <w:pStyle w:val="ListParagraph"/>
        <w:numPr>
          <w:ilvl w:val="0"/>
          <w:numId w:val="5"/>
        </w:numPr>
        <w:spacing w:line="480" w:lineRule="auto"/>
        <w:ind w:left="1800"/>
        <w:rPr>
          <w:rFonts w:ascii="Bookman Old Style" w:hAnsi="Bookman Old Style"/>
          <w:sz w:val="24"/>
          <w:szCs w:val="24"/>
        </w:rPr>
      </w:pPr>
      <w:r w:rsidRPr="0014270C">
        <w:rPr>
          <w:rFonts w:ascii="Bookman Old Style" w:hAnsi="Bookman Old Style"/>
          <w:sz w:val="24"/>
          <w:szCs w:val="24"/>
        </w:rPr>
        <w:t>Rethinking how to provide benefits</w:t>
      </w:r>
    </w:p>
    <w:p w14:paraId="178B3324" w14:textId="77777777" w:rsidR="00753552" w:rsidRPr="0014270C" w:rsidRDefault="00753552" w:rsidP="00753552">
      <w:pPr>
        <w:pStyle w:val="ListParagraph"/>
        <w:numPr>
          <w:ilvl w:val="0"/>
          <w:numId w:val="5"/>
        </w:numPr>
        <w:spacing w:line="480" w:lineRule="auto"/>
        <w:ind w:left="1800"/>
        <w:rPr>
          <w:rFonts w:ascii="Bookman Old Style" w:hAnsi="Bookman Old Style"/>
          <w:sz w:val="24"/>
          <w:szCs w:val="24"/>
        </w:rPr>
      </w:pPr>
      <w:r w:rsidRPr="0014270C">
        <w:rPr>
          <w:rFonts w:ascii="Bookman Old Style" w:hAnsi="Bookman Old Style"/>
          <w:sz w:val="24"/>
          <w:szCs w:val="24"/>
        </w:rPr>
        <w:t>Designing for flexibility</w:t>
      </w:r>
    </w:p>
    <w:p w14:paraId="5235B429" w14:textId="77777777" w:rsidR="00753552" w:rsidRPr="0014270C" w:rsidRDefault="00753552" w:rsidP="00753552">
      <w:pPr>
        <w:pStyle w:val="ListParagraph"/>
        <w:numPr>
          <w:ilvl w:val="0"/>
          <w:numId w:val="5"/>
        </w:numPr>
        <w:spacing w:line="480" w:lineRule="auto"/>
        <w:ind w:left="1800"/>
        <w:rPr>
          <w:rFonts w:ascii="Bookman Old Style" w:hAnsi="Bookman Old Style"/>
          <w:sz w:val="24"/>
          <w:szCs w:val="24"/>
        </w:rPr>
      </w:pPr>
      <w:r w:rsidRPr="0014270C">
        <w:rPr>
          <w:rFonts w:ascii="Bookman Old Style" w:hAnsi="Bookman Old Style"/>
          <w:sz w:val="24"/>
          <w:szCs w:val="24"/>
        </w:rPr>
        <w:lastRenderedPageBreak/>
        <w:t>Providing a product as a service</w:t>
      </w:r>
    </w:p>
    <w:p w14:paraId="714D58B1" w14:textId="77777777" w:rsidR="00753552" w:rsidRPr="0014270C" w:rsidRDefault="00753552" w:rsidP="00753552">
      <w:pPr>
        <w:pStyle w:val="ListParagraph"/>
        <w:numPr>
          <w:ilvl w:val="0"/>
          <w:numId w:val="5"/>
        </w:numPr>
        <w:spacing w:line="480" w:lineRule="auto"/>
        <w:ind w:left="1800"/>
        <w:rPr>
          <w:rFonts w:ascii="Bookman Old Style" w:hAnsi="Bookman Old Style"/>
          <w:sz w:val="24"/>
          <w:szCs w:val="24"/>
        </w:rPr>
      </w:pPr>
      <w:r w:rsidRPr="0014270C">
        <w:rPr>
          <w:rFonts w:ascii="Bookman Old Style" w:hAnsi="Bookman Old Style"/>
          <w:sz w:val="24"/>
          <w:szCs w:val="24"/>
        </w:rPr>
        <w:t xml:space="preserve">Creating a shared product </w:t>
      </w:r>
    </w:p>
    <w:p w14:paraId="3F50694C" w14:textId="77777777" w:rsidR="00753552" w:rsidRPr="0014270C" w:rsidRDefault="00753552" w:rsidP="00753552">
      <w:pPr>
        <w:pStyle w:val="ListParagraph"/>
        <w:numPr>
          <w:ilvl w:val="0"/>
          <w:numId w:val="3"/>
        </w:numPr>
        <w:spacing w:line="480" w:lineRule="auto"/>
        <w:rPr>
          <w:rFonts w:ascii="Bookman Old Style" w:hAnsi="Bookman Old Style"/>
          <w:sz w:val="24"/>
          <w:szCs w:val="24"/>
        </w:rPr>
      </w:pPr>
      <w:r w:rsidRPr="0014270C">
        <w:rPr>
          <w:rFonts w:ascii="Bookman Old Style" w:hAnsi="Bookman Old Style"/>
          <w:sz w:val="24"/>
          <w:szCs w:val="24"/>
        </w:rPr>
        <w:t>Reduced Material Impacts</w:t>
      </w:r>
      <w:r w:rsidRPr="0014270C">
        <w:rPr>
          <w:rStyle w:val="FootnoteReference"/>
          <w:rFonts w:ascii="Bookman Old Style" w:hAnsi="Bookman Old Style"/>
          <w:sz w:val="24"/>
          <w:szCs w:val="24"/>
        </w:rPr>
        <w:footnoteReference w:id="140"/>
      </w:r>
    </w:p>
    <w:p w14:paraId="0AE47123" w14:textId="77777777" w:rsidR="00753552" w:rsidRPr="0014270C" w:rsidRDefault="00753552" w:rsidP="00753552">
      <w:pPr>
        <w:pStyle w:val="ListParagraph"/>
        <w:numPr>
          <w:ilvl w:val="0"/>
          <w:numId w:val="6"/>
        </w:numPr>
        <w:spacing w:line="480" w:lineRule="auto"/>
        <w:ind w:left="1800"/>
        <w:rPr>
          <w:rFonts w:ascii="Bookman Old Style" w:hAnsi="Bookman Old Style"/>
          <w:sz w:val="24"/>
          <w:szCs w:val="24"/>
        </w:rPr>
      </w:pPr>
      <w:r w:rsidRPr="0014270C">
        <w:rPr>
          <w:rFonts w:ascii="Bookman Old Style" w:hAnsi="Bookman Old Style"/>
          <w:sz w:val="24"/>
          <w:szCs w:val="24"/>
        </w:rPr>
        <w:t>Avoiding materials that cause damage to society or environment</w:t>
      </w:r>
    </w:p>
    <w:p w14:paraId="78D50E19" w14:textId="77777777" w:rsidR="00753552" w:rsidRPr="0014270C" w:rsidRDefault="00753552" w:rsidP="00753552">
      <w:pPr>
        <w:pStyle w:val="ListParagraph"/>
        <w:numPr>
          <w:ilvl w:val="0"/>
          <w:numId w:val="6"/>
        </w:numPr>
        <w:spacing w:line="480" w:lineRule="auto"/>
        <w:ind w:left="1800"/>
        <w:rPr>
          <w:rFonts w:ascii="Bookman Old Style" w:hAnsi="Bookman Old Style"/>
          <w:sz w:val="24"/>
          <w:szCs w:val="24"/>
        </w:rPr>
      </w:pPr>
      <w:r w:rsidRPr="0014270C">
        <w:rPr>
          <w:rFonts w:ascii="Bookman Old Style" w:hAnsi="Bookman Old Style"/>
          <w:sz w:val="24"/>
          <w:szCs w:val="24"/>
        </w:rPr>
        <w:t>Minimizing the quantity of materials</w:t>
      </w:r>
    </w:p>
    <w:p w14:paraId="208AD2BD" w14:textId="77777777" w:rsidR="00753552" w:rsidRPr="0014270C" w:rsidRDefault="00753552" w:rsidP="00753552">
      <w:pPr>
        <w:pStyle w:val="ListParagraph"/>
        <w:numPr>
          <w:ilvl w:val="0"/>
          <w:numId w:val="6"/>
        </w:numPr>
        <w:spacing w:line="480" w:lineRule="auto"/>
        <w:ind w:left="1800"/>
        <w:rPr>
          <w:rFonts w:ascii="Bookman Old Style" w:hAnsi="Bookman Old Style"/>
          <w:sz w:val="24"/>
          <w:szCs w:val="24"/>
        </w:rPr>
      </w:pPr>
      <w:r w:rsidRPr="0014270C">
        <w:rPr>
          <w:rFonts w:ascii="Bookman Old Style" w:hAnsi="Bookman Old Style"/>
          <w:sz w:val="24"/>
          <w:szCs w:val="24"/>
        </w:rPr>
        <w:t>Using renewable, recycled, or reclaimed resources and materials</w:t>
      </w:r>
    </w:p>
    <w:p w14:paraId="08C367AB" w14:textId="1CE575B3" w:rsidR="00753552" w:rsidRPr="0014270C" w:rsidRDefault="00753552" w:rsidP="00753552">
      <w:pPr>
        <w:pStyle w:val="ListParagraph"/>
        <w:numPr>
          <w:ilvl w:val="0"/>
          <w:numId w:val="6"/>
        </w:numPr>
        <w:spacing w:line="480" w:lineRule="auto"/>
        <w:ind w:left="1800"/>
        <w:rPr>
          <w:rFonts w:ascii="Bookman Old Style" w:hAnsi="Bookman Old Style"/>
          <w:sz w:val="24"/>
          <w:szCs w:val="24"/>
        </w:rPr>
      </w:pPr>
      <w:r w:rsidRPr="0014270C">
        <w:rPr>
          <w:rFonts w:ascii="Bookman Old Style" w:hAnsi="Bookman Old Style"/>
          <w:sz w:val="24"/>
          <w:szCs w:val="24"/>
        </w:rPr>
        <w:t>Utiliz</w:t>
      </w:r>
      <w:r w:rsidR="00443215">
        <w:rPr>
          <w:rFonts w:ascii="Bookman Old Style" w:hAnsi="Bookman Old Style"/>
          <w:sz w:val="24"/>
          <w:szCs w:val="24"/>
        </w:rPr>
        <w:t>ation of</w:t>
      </w:r>
      <w:r w:rsidRPr="0014270C">
        <w:rPr>
          <w:rFonts w:ascii="Bookman Old Style" w:hAnsi="Bookman Old Style"/>
          <w:sz w:val="24"/>
          <w:szCs w:val="24"/>
        </w:rPr>
        <w:t xml:space="preserve"> waste products</w:t>
      </w:r>
    </w:p>
    <w:p w14:paraId="4B6CB7C7" w14:textId="77777777" w:rsidR="00753552" w:rsidRPr="0014270C" w:rsidRDefault="00753552" w:rsidP="00753552">
      <w:pPr>
        <w:pStyle w:val="ListParagraph"/>
        <w:numPr>
          <w:ilvl w:val="0"/>
          <w:numId w:val="3"/>
        </w:numPr>
        <w:spacing w:line="480" w:lineRule="auto"/>
        <w:rPr>
          <w:rFonts w:ascii="Bookman Old Style" w:hAnsi="Bookman Old Style"/>
          <w:sz w:val="24"/>
          <w:szCs w:val="24"/>
        </w:rPr>
      </w:pPr>
      <w:r w:rsidRPr="0014270C">
        <w:rPr>
          <w:rFonts w:ascii="Bookman Old Style" w:hAnsi="Bookman Old Style"/>
          <w:sz w:val="24"/>
          <w:szCs w:val="24"/>
        </w:rPr>
        <w:t>Manufacturing Innovation</w:t>
      </w:r>
      <w:r w:rsidRPr="0014270C">
        <w:rPr>
          <w:rStyle w:val="FootnoteReference"/>
          <w:rFonts w:ascii="Bookman Old Style" w:hAnsi="Bookman Old Style"/>
          <w:sz w:val="24"/>
          <w:szCs w:val="24"/>
        </w:rPr>
        <w:footnoteReference w:id="141"/>
      </w:r>
    </w:p>
    <w:p w14:paraId="24D33106" w14:textId="77777777" w:rsidR="00753552" w:rsidRPr="0014270C" w:rsidRDefault="00753552" w:rsidP="00753552">
      <w:pPr>
        <w:pStyle w:val="ListParagraph"/>
        <w:numPr>
          <w:ilvl w:val="0"/>
          <w:numId w:val="7"/>
        </w:numPr>
        <w:spacing w:line="480" w:lineRule="auto"/>
        <w:ind w:left="1800"/>
        <w:rPr>
          <w:rFonts w:ascii="Bookman Old Style" w:hAnsi="Bookman Old Style"/>
          <w:sz w:val="24"/>
          <w:szCs w:val="24"/>
        </w:rPr>
      </w:pPr>
      <w:r w:rsidRPr="0014270C">
        <w:rPr>
          <w:rFonts w:ascii="Bookman Old Style" w:hAnsi="Bookman Old Style"/>
          <w:sz w:val="24"/>
          <w:szCs w:val="24"/>
        </w:rPr>
        <w:t xml:space="preserve">Minimizing waste and energy use </w:t>
      </w:r>
    </w:p>
    <w:p w14:paraId="550C83F4" w14:textId="77777777" w:rsidR="00753552" w:rsidRPr="0014270C" w:rsidRDefault="00753552" w:rsidP="00753552">
      <w:pPr>
        <w:pStyle w:val="ListParagraph"/>
        <w:numPr>
          <w:ilvl w:val="0"/>
          <w:numId w:val="7"/>
        </w:numPr>
        <w:spacing w:line="480" w:lineRule="auto"/>
        <w:ind w:left="1800"/>
        <w:rPr>
          <w:rFonts w:ascii="Bookman Old Style" w:hAnsi="Bookman Old Style"/>
          <w:sz w:val="24"/>
          <w:szCs w:val="24"/>
        </w:rPr>
      </w:pPr>
      <w:r w:rsidRPr="0014270C">
        <w:rPr>
          <w:rFonts w:ascii="Bookman Old Style" w:hAnsi="Bookman Old Style"/>
          <w:sz w:val="24"/>
          <w:szCs w:val="24"/>
        </w:rPr>
        <w:t xml:space="preserve">Optimizing the process for quality control </w:t>
      </w:r>
    </w:p>
    <w:p w14:paraId="5C2EFA23" w14:textId="77777777" w:rsidR="00753552" w:rsidRPr="0014270C" w:rsidRDefault="00753552" w:rsidP="00753552">
      <w:pPr>
        <w:pStyle w:val="ListParagraph"/>
        <w:numPr>
          <w:ilvl w:val="0"/>
          <w:numId w:val="7"/>
        </w:numPr>
        <w:spacing w:line="480" w:lineRule="auto"/>
        <w:ind w:left="1800"/>
        <w:rPr>
          <w:rFonts w:ascii="Bookman Old Style" w:hAnsi="Bookman Old Style"/>
          <w:sz w:val="24"/>
          <w:szCs w:val="24"/>
        </w:rPr>
      </w:pPr>
      <w:r w:rsidRPr="0014270C">
        <w:rPr>
          <w:rFonts w:ascii="Bookman Old Style" w:hAnsi="Bookman Old Style"/>
          <w:sz w:val="24"/>
          <w:szCs w:val="24"/>
        </w:rPr>
        <w:t>Designing with the intention of sustainable energy sourcing</w:t>
      </w:r>
    </w:p>
    <w:p w14:paraId="113EEA08" w14:textId="77777777" w:rsidR="00753552" w:rsidRPr="0014270C" w:rsidRDefault="00753552" w:rsidP="00753552">
      <w:pPr>
        <w:pStyle w:val="ListParagraph"/>
        <w:numPr>
          <w:ilvl w:val="0"/>
          <w:numId w:val="7"/>
        </w:numPr>
        <w:spacing w:line="480" w:lineRule="auto"/>
        <w:ind w:left="1800"/>
        <w:rPr>
          <w:rFonts w:ascii="Bookman Old Style" w:hAnsi="Bookman Old Style"/>
          <w:sz w:val="24"/>
          <w:szCs w:val="24"/>
        </w:rPr>
      </w:pPr>
      <w:r w:rsidRPr="0014270C">
        <w:rPr>
          <w:rFonts w:ascii="Bookman Old Style" w:hAnsi="Bookman Old Style"/>
          <w:sz w:val="24"/>
          <w:szCs w:val="24"/>
        </w:rPr>
        <w:t>Elimination of toxic emissions</w:t>
      </w:r>
    </w:p>
    <w:p w14:paraId="35A4FC2A" w14:textId="77777777" w:rsidR="00753552" w:rsidRPr="0014270C" w:rsidRDefault="00753552" w:rsidP="00753552">
      <w:pPr>
        <w:pStyle w:val="ListParagraph"/>
        <w:numPr>
          <w:ilvl w:val="0"/>
          <w:numId w:val="3"/>
        </w:numPr>
        <w:spacing w:line="480" w:lineRule="auto"/>
        <w:rPr>
          <w:rFonts w:ascii="Bookman Old Style" w:hAnsi="Bookman Old Style"/>
          <w:sz w:val="24"/>
          <w:szCs w:val="24"/>
        </w:rPr>
      </w:pPr>
      <w:r w:rsidRPr="0014270C">
        <w:rPr>
          <w:rFonts w:ascii="Bookman Old Style" w:hAnsi="Bookman Old Style"/>
          <w:sz w:val="24"/>
          <w:szCs w:val="24"/>
        </w:rPr>
        <w:t>Reduced Distribution Impacts</w:t>
      </w:r>
      <w:r w:rsidRPr="0014270C">
        <w:rPr>
          <w:rStyle w:val="FootnoteReference"/>
          <w:rFonts w:ascii="Bookman Old Style" w:hAnsi="Bookman Old Style"/>
          <w:sz w:val="24"/>
          <w:szCs w:val="24"/>
        </w:rPr>
        <w:footnoteReference w:id="142"/>
      </w:r>
    </w:p>
    <w:p w14:paraId="156AA722" w14:textId="77777777" w:rsidR="00753552" w:rsidRPr="0014270C" w:rsidRDefault="00753552" w:rsidP="00753552">
      <w:pPr>
        <w:pStyle w:val="ListParagraph"/>
        <w:numPr>
          <w:ilvl w:val="0"/>
          <w:numId w:val="8"/>
        </w:numPr>
        <w:spacing w:line="480" w:lineRule="auto"/>
        <w:ind w:left="1800"/>
        <w:rPr>
          <w:rFonts w:ascii="Bookman Old Style" w:hAnsi="Bookman Old Style"/>
          <w:sz w:val="24"/>
          <w:szCs w:val="24"/>
        </w:rPr>
      </w:pPr>
      <w:r w:rsidRPr="0014270C">
        <w:rPr>
          <w:rFonts w:ascii="Bookman Old Style" w:hAnsi="Bookman Old Style"/>
          <w:sz w:val="24"/>
          <w:szCs w:val="24"/>
        </w:rPr>
        <w:t>Reducing product weight and volume</w:t>
      </w:r>
    </w:p>
    <w:p w14:paraId="379A8EF4" w14:textId="77777777" w:rsidR="00753552" w:rsidRPr="0014270C" w:rsidRDefault="00753552" w:rsidP="00753552">
      <w:pPr>
        <w:pStyle w:val="ListParagraph"/>
        <w:numPr>
          <w:ilvl w:val="0"/>
          <w:numId w:val="8"/>
        </w:numPr>
        <w:spacing w:line="480" w:lineRule="auto"/>
        <w:ind w:left="1800"/>
        <w:rPr>
          <w:rFonts w:ascii="Bookman Old Style" w:hAnsi="Bookman Old Style"/>
          <w:sz w:val="24"/>
          <w:szCs w:val="24"/>
        </w:rPr>
      </w:pPr>
      <w:r w:rsidRPr="0014270C">
        <w:rPr>
          <w:rFonts w:ascii="Bookman Old Style" w:hAnsi="Bookman Old Style"/>
          <w:sz w:val="24"/>
          <w:szCs w:val="24"/>
        </w:rPr>
        <w:t>Finding low impact transport options and reusable systems</w:t>
      </w:r>
    </w:p>
    <w:p w14:paraId="3F6B0B0B" w14:textId="77777777" w:rsidR="00753552" w:rsidRPr="0014270C" w:rsidRDefault="00753552" w:rsidP="00753552">
      <w:pPr>
        <w:pStyle w:val="ListParagraph"/>
        <w:numPr>
          <w:ilvl w:val="0"/>
          <w:numId w:val="8"/>
        </w:numPr>
        <w:spacing w:line="480" w:lineRule="auto"/>
        <w:ind w:left="1800"/>
        <w:rPr>
          <w:rFonts w:ascii="Bookman Old Style" w:hAnsi="Bookman Old Style"/>
          <w:sz w:val="24"/>
          <w:szCs w:val="24"/>
        </w:rPr>
      </w:pPr>
      <w:r w:rsidRPr="0014270C">
        <w:rPr>
          <w:rFonts w:ascii="Bookman Old Style" w:hAnsi="Bookman Old Style"/>
          <w:sz w:val="24"/>
          <w:szCs w:val="24"/>
        </w:rPr>
        <w:t>Utilizing locally sourced materials and services</w:t>
      </w:r>
    </w:p>
    <w:p w14:paraId="08938E20" w14:textId="77777777" w:rsidR="00753552" w:rsidRPr="0014270C" w:rsidRDefault="00753552" w:rsidP="00753552">
      <w:pPr>
        <w:pStyle w:val="ListParagraph"/>
        <w:numPr>
          <w:ilvl w:val="0"/>
          <w:numId w:val="3"/>
        </w:numPr>
        <w:spacing w:line="480" w:lineRule="auto"/>
        <w:rPr>
          <w:rFonts w:ascii="Bookman Old Style" w:hAnsi="Bookman Old Style"/>
          <w:sz w:val="24"/>
          <w:szCs w:val="24"/>
        </w:rPr>
      </w:pPr>
      <w:r w:rsidRPr="0014270C">
        <w:rPr>
          <w:rFonts w:ascii="Bookman Old Style" w:hAnsi="Bookman Old Style"/>
          <w:sz w:val="24"/>
          <w:szCs w:val="24"/>
        </w:rPr>
        <w:t>Reduced Behavior and Use Impacts</w:t>
      </w:r>
      <w:r w:rsidRPr="0014270C">
        <w:rPr>
          <w:rStyle w:val="FootnoteReference"/>
          <w:rFonts w:ascii="Bookman Old Style" w:hAnsi="Bookman Old Style"/>
          <w:sz w:val="24"/>
          <w:szCs w:val="24"/>
        </w:rPr>
        <w:footnoteReference w:id="143"/>
      </w:r>
    </w:p>
    <w:p w14:paraId="1FC00F09" w14:textId="77777777" w:rsidR="00753552" w:rsidRPr="0014270C" w:rsidRDefault="00753552" w:rsidP="00753552">
      <w:pPr>
        <w:pStyle w:val="ListParagraph"/>
        <w:numPr>
          <w:ilvl w:val="0"/>
          <w:numId w:val="9"/>
        </w:numPr>
        <w:spacing w:line="480" w:lineRule="auto"/>
        <w:ind w:left="1800"/>
        <w:rPr>
          <w:rFonts w:ascii="Bookman Old Style" w:hAnsi="Bookman Old Style"/>
          <w:sz w:val="24"/>
          <w:szCs w:val="24"/>
        </w:rPr>
      </w:pPr>
      <w:r w:rsidRPr="0014270C">
        <w:rPr>
          <w:rFonts w:ascii="Bookman Old Style" w:hAnsi="Bookman Old Style"/>
          <w:sz w:val="24"/>
          <w:szCs w:val="24"/>
        </w:rPr>
        <w:t>Designing to encourage low impact behaviors</w:t>
      </w:r>
    </w:p>
    <w:p w14:paraId="260D8298" w14:textId="77777777" w:rsidR="00753552" w:rsidRPr="0014270C" w:rsidRDefault="00753552" w:rsidP="00753552">
      <w:pPr>
        <w:pStyle w:val="ListParagraph"/>
        <w:numPr>
          <w:ilvl w:val="0"/>
          <w:numId w:val="9"/>
        </w:numPr>
        <w:spacing w:line="480" w:lineRule="auto"/>
        <w:ind w:left="1800"/>
        <w:rPr>
          <w:rFonts w:ascii="Bookman Old Style" w:hAnsi="Bookman Old Style"/>
          <w:sz w:val="24"/>
          <w:szCs w:val="24"/>
        </w:rPr>
      </w:pPr>
      <w:r w:rsidRPr="0014270C">
        <w:rPr>
          <w:rFonts w:ascii="Bookman Old Style" w:hAnsi="Bookman Old Style"/>
          <w:sz w:val="24"/>
          <w:szCs w:val="24"/>
        </w:rPr>
        <w:t>Reducing energy and water consumption</w:t>
      </w:r>
    </w:p>
    <w:p w14:paraId="6F57CF24" w14:textId="77777777" w:rsidR="00753552" w:rsidRPr="0014270C" w:rsidRDefault="00753552" w:rsidP="00753552">
      <w:pPr>
        <w:pStyle w:val="ListParagraph"/>
        <w:numPr>
          <w:ilvl w:val="0"/>
          <w:numId w:val="3"/>
        </w:numPr>
        <w:spacing w:line="480" w:lineRule="auto"/>
        <w:rPr>
          <w:rFonts w:ascii="Bookman Old Style" w:hAnsi="Bookman Old Style"/>
          <w:sz w:val="24"/>
          <w:szCs w:val="24"/>
        </w:rPr>
      </w:pPr>
      <w:r w:rsidRPr="0014270C">
        <w:rPr>
          <w:rFonts w:ascii="Bookman Old Style" w:hAnsi="Bookman Old Style"/>
          <w:sz w:val="24"/>
          <w:szCs w:val="24"/>
        </w:rPr>
        <w:lastRenderedPageBreak/>
        <w:t>System Longevity</w:t>
      </w:r>
      <w:r w:rsidRPr="0014270C">
        <w:rPr>
          <w:rStyle w:val="FootnoteReference"/>
          <w:rFonts w:ascii="Bookman Old Style" w:hAnsi="Bookman Old Style"/>
          <w:sz w:val="24"/>
          <w:szCs w:val="24"/>
        </w:rPr>
        <w:footnoteReference w:id="144"/>
      </w:r>
    </w:p>
    <w:p w14:paraId="16B294B0" w14:textId="77777777" w:rsidR="00753552" w:rsidRPr="0014270C" w:rsidRDefault="00753552" w:rsidP="00753552">
      <w:pPr>
        <w:pStyle w:val="ListParagraph"/>
        <w:numPr>
          <w:ilvl w:val="0"/>
          <w:numId w:val="10"/>
        </w:numPr>
        <w:spacing w:line="480" w:lineRule="auto"/>
        <w:ind w:left="1800"/>
        <w:rPr>
          <w:rFonts w:ascii="Bookman Old Style" w:hAnsi="Bookman Old Style"/>
          <w:sz w:val="24"/>
          <w:szCs w:val="24"/>
        </w:rPr>
      </w:pPr>
      <w:r w:rsidRPr="0014270C">
        <w:rPr>
          <w:rFonts w:ascii="Bookman Old Style" w:hAnsi="Bookman Old Style"/>
          <w:sz w:val="24"/>
          <w:szCs w:val="24"/>
        </w:rPr>
        <w:t>Designing for durability, reuse, and easy maintenance</w:t>
      </w:r>
    </w:p>
    <w:p w14:paraId="5BFEDA1C" w14:textId="77777777" w:rsidR="00753552" w:rsidRPr="0014270C" w:rsidRDefault="00753552" w:rsidP="00753552">
      <w:pPr>
        <w:pStyle w:val="ListParagraph"/>
        <w:numPr>
          <w:ilvl w:val="0"/>
          <w:numId w:val="11"/>
        </w:numPr>
        <w:spacing w:line="480" w:lineRule="auto"/>
        <w:ind w:left="1800"/>
        <w:rPr>
          <w:rFonts w:ascii="Bookman Old Style" w:hAnsi="Bookman Old Style"/>
          <w:sz w:val="24"/>
          <w:szCs w:val="24"/>
        </w:rPr>
      </w:pPr>
      <w:r w:rsidRPr="0014270C">
        <w:rPr>
          <w:rFonts w:ascii="Bookman Old Style" w:hAnsi="Bookman Old Style"/>
          <w:sz w:val="24"/>
          <w:szCs w:val="24"/>
        </w:rPr>
        <w:t xml:space="preserve">Promoting an emotional connection </w:t>
      </w:r>
    </w:p>
    <w:p w14:paraId="5B024A86" w14:textId="77777777" w:rsidR="00753552" w:rsidRPr="0014270C" w:rsidRDefault="00753552" w:rsidP="00753552">
      <w:pPr>
        <w:pStyle w:val="ListParagraph"/>
        <w:numPr>
          <w:ilvl w:val="0"/>
          <w:numId w:val="3"/>
        </w:numPr>
        <w:spacing w:line="480" w:lineRule="auto"/>
        <w:rPr>
          <w:rFonts w:ascii="Bookman Old Style" w:hAnsi="Bookman Old Style"/>
          <w:sz w:val="24"/>
          <w:szCs w:val="24"/>
        </w:rPr>
      </w:pPr>
      <w:r w:rsidRPr="0014270C">
        <w:rPr>
          <w:rFonts w:ascii="Bookman Old Style" w:hAnsi="Bookman Old Style"/>
          <w:sz w:val="24"/>
          <w:szCs w:val="24"/>
        </w:rPr>
        <w:t>Transitional Systems</w:t>
      </w:r>
      <w:r w:rsidRPr="0014270C">
        <w:rPr>
          <w:rStyle w:val="FootnoteReference"/>
          <w:rFonts w:ascii="Bookman Old Style" w:hAnsi="Bookman Old Style"/>
          <w:sz w:val="24"/>
          <w:szCs w:val="24"/>
        </w:rPr>
        <w:footnoteReference w:id="145"/>
      </w:r>
    </w:p>
    <w:p w14:paraId="01F1D52B" w14:textId="77777777" w:rsidR="00753552" w:rsidRPr="0014270C" w:rsidRDefault="00753552" w:rsidP="00753552">
      <w:pPr>
        <w:pStyle w:val="ListParagraph"/>
        <w:numPr>
          <w:ilvl w:val="0"/>
          <w:numId w:val="12"/>
        </w:numPr>
        <w:spacing w:line="480" w:lineRule="auto"/>
        <w:ind w:left="1800"/>
        <w:rPr>
          <w:rFonts w:ascii="Bookman Old Style" w:hAnsi="Bookman Old Style"/>
          <w:sz w:val="24"/>
          <w:szCs w:val="24"/>
        </w:rPr>
      </w:pPr>
      <w:r w:rsidRPr="0014270C">
        <w:rPr>
          <w:rFonts w:ascii="Bookman Old Style" w:hAnsi="Bookman Old Style"/>
          <w:sz w:val="24"/>
          <w:szCs w:val="24"/>
        </w:rPr>
        <w:t>Designing with a second life in mind</w:t>
      </w:r>
    </w:p>
    <w:p w14:paraId="358B87F9" w14:textId="77777777" w:rsidR="00753552" w:rsidRPr="0014270C" w:rsidRDefault="00753552" w:rsidP="00753552">
      <w:pPr>
        <w:pStyle w:val="ListParagraph"/>
        <w:numPr>
          <w:ilvl w:val="0"/>
          <w:numId w:val="13"/>
        </w:numPr>
        <w:spacing w:line="480" w:lineRule="auto"/>
        <w:ind w:left="1800"/>
        <w:rPr>
          <w:rFonts w:ascii="Bookman Old Style" w:hAnsi="Bookman Old Style"/>
          <w:sz w:val="24"/>
          <w:szCs w:val="24"/>
        </w:rPr>
      </w:pPr>
      <w:r w:rsidRPr="0014270C">
        <w:rPr>
          <w:rFonts w:ascii="Bookman Old Style" w:hAnsi="Bookman Old Style"/>
          <w:sz w:val="24"/>
          <w:szCs w:val="24"/>
        </w:rPr>
        <w:t>Allowing for the reuse of components</w:t>
      </w:r>
    </w:p>
    <w:p w14:paraId="44EC1B86" w14:textId="77777777" w:rsidR="00753552" w:rsidRPr="0014270C" w:rsidRDefault="00753552" w:rsidP="00753552">
      <w:pPr>
        <w:pStyle w:val="ListParagraph"/>
        <w:numPr>
          <w:ilvl w:val="0"/>
          <w:numId w:val="3"/>
        </w:numPr>
        <w:spacing w:line="480" w:lineRule="auto"/>
        <w:rPr>
          <w:rFonts w:ascii="Bookman Old Style" w:hAnsi="Bookman Old Style"/>
          <w:sz w:val="24"/>
          <w:szCs w:val="24"/>
        </w:rPr>
      </w:pPr>
      <w:r w:rsidRPr="0014270C">
        <w:rPr>
          <w:rFonts w:ascii="Bookman Old Style" w:hAnsi="Bookman Old Style"/>
          <w:sz w:val="24"/>
          <w:szCs w:val="24"/>
        </w:rPr>
        <w:t>Optimized End-of-Life</w:t>
      </w:r>
      <w:r w:rsidRPr="0014270C">
        <w:rPr>
          <w:rStyle w:val="FootnoteReference"/>
          <w:rFonts w:ascii="Bookman Old Style" w:hAnsi="Bookman Old Style"/>
          <w:sz w:val="24"/>
          <w:szCs w:val="24"/>
        </w:rPr>
        <w:footnoteReference w:id="146"/>
      </w:r>
      <w:r w:rsidRPr="0014270C">
        <w:rPr>
          <w:rFonts w:ascii="Bookman Old Style" w:hAnsi="Bookman Old Style"/>
          <w:sz w:val="24"/>
          <w:szCs w:val="24"/>
        </w:rPr>
        <w:t xml:space="preserve"> </w:t>
      </w:r>
    </w:p>
    <w:p w14:paraId="30E8B9C6" w14:textId="77777777" w:rsidR="00753552" w:rsidRPr="0014270C" w:rsidRDefault="00753552" w:rsidP="00753552">
      <w:pPr>
        <w:pStyle w:val="ListParagraph"/>
        <w:numPr>
          <w:ilvl w:val="0"/>
          <w:numId w:val="14"/>
        </w:numPr>
        <w:spacing w:line="480" w:lineRule="auto"/>
        <w:ind w:left="1800"/>
        <w:rPr>
          <w:rFonts w:ascii="Bookman Old Style" w:hAnsi="Bookman Old Style"/>
          <w:sz w:val="24"/>
          <w:szCs w:val="24"/>
        </w:rPr>
      </w:pPr>
      <w:r w:rsidRPr="0014270C">
        <w:rPr>
          <w:rFonts w:ascii="Bookman Old Style" w:hAnsi="Bookman Old Style"/>
          <w:sz w:val="24"/>
          <w:szCs w:val="24"/>
        </w:rPr>
        <w:t>Using materials that are safe for reuse or disposal</w:t>
      </w:r>
    </w:p>
    <w:p w14:paraId="6B2BAF74" w14:textId="77777777" w:rsidR="00753552" w:rsidRPr="0014270C" w:rsidRDefault="00753552" w:rsidP="00753552">
      <w:pPr>
        <w:pStyle w:val="ListParagraph"/>
        <w:numPr>
          <w:ilvl w:val="0"/>
          <w:numId w:val="15"/>
        </w:numPr>
        <w:spacing w:line="480" w:lineRule="auto"/>
        <w:ind w:left="1800"/>
        <w:rPr>
          <w:rFonts w:ascii="Bookman Old Style" w:hAnsi="Bookman Old Style"/>
          <w:sz w:val="24"/>
          <w:szCs w:val="24"/>
        </w:rPr>
      </w:pPr>
      <w:r w:rsidRPr="0014270C">
        <w:rPr>
          <w:rFonts w:ascii="Bookman Old Style" w:hAnsi="Bookman Old Style"/>
          <w:sz w:val="24"/>
          <w:szCs w:val="24"/>
        </w:rPr>
        <w:t xml:space="preserve">Designing for quick disassembly </w:t>
      </w:r>
    </w:p>
    <w:p w14:paraId="05F6DCC5" w14:textId="77777777" w:rsidR="00753552" w:rsidRPr="0014270C" w:rsidRDefault="00753552" w:rsidP="00753552">
      <w:pPr>
        <w:pStyle w:val="ListParagraph"/>
        <w:numPr>
          <w:ilvl w:val="0"/>
          <w:numId w:val="16"/>
        </w:numPr>
        <w:spacing w:line="480" w:lineRule="auto"/>
        <w:ind w:left="1800"/>
        <w:rPr>
          <w:rFonts w:ascii="Bookman Old Style" w:hAnsi="Bookman Old Style"/>
          <w:sz w:val="24"/>
          <w:szCs w:val="24"/>
        </w:rPr>
      </w:pPr>
      <w:r w:rsidRPr="0014270C">
        <w:rPr>
          <w:rFonts w:ascii="Bookman Old Style" w:hAnsi="Bookman Old Style"/>
          <w:sz w:val="24"/>
          <w:szCs w:val="24"/>
        </w:rPr>
        <w:t>Creating a business model that provides a recycling plan</w:t>
      </w:r>
    </w:p>
    <w:p w14:paraId="6A802D22" w14:textId="77777777" w:rsidR="00753552" w:rsidRPr="0014270C" w:rsidRDefault="00753552" w:rsidP="00753552">
      <w:pPr>
        <w:pStyle w:val="THESISLVL3"/>
      </w:pPr>
      <w:bookmarkStart w:id="44" w:name="_Toc8062280"/>
      <w:r w:rsidRPr="0014270C">
        <w:t>Life Cycle Analysis</w:t>
      </w:r>
      <w:bookmarkEnd w:id="44"/>
    </w:p>
    <w:p w14:paraId="52505AB3" w14:textId="77777777" w:rsidR="00753552" w:rsidRPr="0014270C" w:rsidRDefault="00753552" w:rsidP="00753552">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w:t>
      </w:r>
      <w:proofErr w:type="spellStart"/>
      <w:r w:rsidRPr="0014270C">
        <w:rPr>
          <w:rFonts w:ascii="Bookman Old Style" w:hAnsi="Bookman Old Style"/>
          <w:sz w:val="24"/>
          <w:szCs w:val="24"/>
        </w:rPr>
        <w:t>Okala</w:t>
      </w:r>
      <w:proofErr w:type="spellEnd"/>
      <w:r w:rsidRPr="0014270C">
        <w:rPr>
          <w:rFonts w:ascii="Bookman Old Style" w:hAnsi="Bookman Old Style"/>
          <w:sz w:val="24"/>
          <w:szCs w:val="24"/>
        </w:rPr>
        <w:t xml:space="preserve"> Eco-design Strategy would precede a life cycle analysis (LCA), a technique that helps to determine the environmental impacts of each stage of a process. An LCA begins with the raw materials and follows a product or service through processing, manufacturing, assembly, transport, product use, and end-of-life.</w:t>
      </w:r>
      <w:r w:rsidRPr="0014270C">
        <w:rPr>
          <w:rStyle w:val="FootnoteReference"/>
          <w:rFonts w:ascii="Bookman Old Style" w:hAnsi="Bookman Old Style"/>
          <w:sz w:val="24"/>
          <w:szCs w:val="24"/>
        </w:rPr>
        <w:footnoteReference w:id="147"/>
      </w:r>
      <w:r w:rsidRPr="0014270C">
        <w:rPr>
          <w:rFonts w:ascii="Bookman Old Style" w:hAnsi="Bookman Old Style"/>
          <w:sz w:val="24"/>
          <w:szCs w:val="24"/>
        </w:rPr>
        <w:t xml:space="preserve"> Figure 2 shows an example of the different life cycle approaches. An open-loop approach, known as cradle-to-grave, is an unsustainable system that </w:t>
      </w:r>
      <w:proofErr w:type="gramStart"/>
      <w:r w:rsidRPr="0014270C">
        <w:rPr>
          <w:rFonts w:ascii="Bookman Old Style" w:hAnsi="Bookman Old Style"/>
          <w:sz w:val="24"/>
          <w:szCs w:val="24"/>
        </w:rPr>
        <w:t>is commonly used</w:t>
      </w:r>
      <w:proofErr w:type="gramEnd"/>
      <w:r w:rsidRPr="0014270C">
        <w:rPr>
          <w:rFonts w:ascii="Bookman Old Style" w:hAnsi="Bookman Old Style"/>
          <w:sz w:val="24"/>
          <w:szCs w:val="24"/>
        </w:rPr>
        <w:t xml:space="preserve"> in building and manufacturing that does not fully consider the end-of-life stages of a product. By using a closed-loop approach, cradle-to-cradle, a more sustainable system can </w:t>
      </w:r>
      <w:proofErr w:type="gramStart"/>
      <w:r w:rsidRPr="0014270C">
        <w:rPr>
          <w:rFonts w:ascii="Bookman Old Style" w:hAnsi="Bookman Old Style"/>
          <w:sz w:val="24"/>
          <w:szCs w:val="24"/>
        </w:rPr>
        <w:t xml:space="preserve">be </w:t>
      </w:r>
      <w:r w:rsidRPr="0014270C">
        <w:rPr>
          <w:rFonts w:ascii="Bookman Old Style" w:hAnsi="Bookman Old Style"/>
          <w:sz w:val="24"/>
          <w:szCs w:val="24"/>
        </w:rPr>
        <w:lastRenderedPageBreak/>
        <w:t>achieved</w:t>
      </w:r>
      <w:proofErr w:type="gramEnd"/>
      <w:r w:rsidRPr="0014270C">
        <w:rPr>
          <w:rFonts w:ascii="Bookman Old Style" w:hAnsi="Bookman Old Style"/>
          <w:sz w:val="24"/>
          <w:szCs w:val="24"/>
        </w:rPr>
        <w:t xml:space="preserve"> where the materials at the end of a product’s initial use can be recycled or reused to begin another life cycle.</w:t>
      </w:r>
      <w:r w:rsidRPr="0014270C">
        <w:rPr>
          <w:rStyle w:val="FootnoteReference"/>
          <w:rFonts w:ascii="Bookman Old Style" w:hAnsi="Bookman Old Style"/>
          <w:sz w:val="24"/>
          <w:szCs w:val="24"/>
        </w:rPr>
        <w:footnoteReference w:id="148"/>
      </w:r>
    </w:p>
    <w:p w14:paraId="6FB46DB3" w14:textId="77777777" w:rsidR="00753552" w:rsidRPr="0014270C" w:rsidRDefault="00753552" w:rsidP="00753552">
      <w:pPr>
        <w:spacing w:line="480" w:lineRule="auto"/>
        <w:ind w:right="-540"/>
        <w:rPr>
          <w:rFonts w:ascii="Bookman Old Style" w:hAnsi="Bookman Old Style"/>
          <w:sz w:val="24"/>
          <w:szCs w:val="24"/>
        </w:rPr>
      </w:pPr>
      <w:r w:rsidRPr="0014270C">
        <w:rPr>
          <w:rFonts w:ascii="Bookman Old Style" w:hAnsi="Bookman Old Style"/>
          <w:noProof/>
          <w:sz w:val="24"/>
          <w:szCs w:val="24"/>
        </w:rPr>
        <w:drawing>
          <wp:inline distT="0" distB="0" distL="0" distR="0" wp14:anchorId="14D08E29" wp14:editId="249A2CE5">
            <wp:extent cx="2881170" cy="2514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pen loop.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5336" cy="2579329"/>
                    </a:xfrm>
                    <a:prstGeom prst="rect">
                      <a:avLst/>
                    </a:prstGeom>
                  </pic:spPr>
                </pic:pic>
              </a:graphicData>
            </a:graphic>
          </wp:inline>
        </w:drawing>
      </w:r>
      <w:r w:rsidRPr="0014270C">
        <w:rPr>
          <w:rFonts w:ascii="Bookman Old Style" w:hAnsi="Bookman Old Style"/>
          <w:noProof/>
          <w:sz w:val="24"/>
          <w:szCs w:val="24"/>
        </w:rPr>
        <w:drawing>
          <wp:inline distT="0" distB="0" distL="0" distR="0" wp14:anchorId="0344F9E6" wp14:editId="4D596672">
            <wp:extent cx="3044875" cy="2657475"/>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osed loop.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48114" cy="2747579"/>
                    </a:xfrm>
                    <a:prstGeom prst="rect">
                      <a:avLst/>
                    </a:prstGeom>
                  </pic:spPr>
                </pic:pic>
              </a:graphicData>
            </a:graphic>
          </wp:inline>
        </w:drawing>
      </w:r>
    </w:p>
    <w:p w14:paraId="77E162B6" w14:textId="77777777" w:rsidR="00753552" w:rsidRPr="0014270C" w:rsidRDefault="00753552" w:rsidP="00753552">
      <w:pPr>
        <w:spacing w:line="480" w:lineRule="auto"/>
        <w:rPr>
          <w:rFonts w:ascii="Bookman Old Style" w:hAnsi="Bookman Old Style"/>
          <w:sz w:val="24"/>
          <w:szCs w:val="24"/>
        </w:rPr>
      </w:pPr>
      <w:bookmarkStart w:id="45" w:name="_Toc8062331"/>
      <w:r w:rsidRPr="0014270C">
        <w:rPr>
          <w:rStyle w:val="THESISFigureHeadChar"/>
        </w:rPr>
        <w:t>Figure 2. Life Cycle of a product or service.</w:t>
      </w:r>
      <w:bookmarkEnd w:id="45"/>
      <w:r w:rsidRPr="0014270C">
        <w:rPr>
          <w:rFonts w:ascii="Bookman Old Style" w:hAnsi="Bookman Old Style"/>
          <w:sz w:val="24"/>
          <w:szCs w:val="24"/>
        </w:rPr>
        <w:t xml:space="preserve"> Left: Open-loop, cradle-to-grave. Right: Closed-loop, cradle-to-cradle.</w:t>
      </w:r>
    </w:p>
    <w:p w14:paraId="2DECDE92" w14:textId="5F6DB269" w:rsidR="00E76FBE" w:rsidRPr="0014270C" w:rsidRDefault="00753552" w:rsidP="00581539">
      <w:pPr>
        <w:spacing w:line="480" w:lineRule="auto"/>
        <w:rPr>
          <w:rFonts w:ascii="Bookman Old Style" w:hAnsi="Bookman Old Style"/>
          <w:sz w:val="24"/>
          <w:szCs w:val="24"/>
        </w:rPr>
      </w:pPr>
      <w:r w:rsidRPr="0014270C">
        <w:rPr>
          <w:rFonts w:ascii="Bookman Old Style" w:hAnsi="Bookman Old Style"/>
          <w:sz w:val="24"/>
          <w:szCs w:val="24"/>
        </w:rPr>
        <w:tab/>
        <w:t xml:space="preserve">To begin an LCA, the goal and scope of the project need to </w:t>
      </w:r>
      <w:proofErr w:type="gramStart"/>
      <w:r w:rsidRPr="0014270C">
        <w:rPr>
          <w:rFonts w:ascii="Bookman Old Style" w:hAnsi="Bookman Old Style"/>
          <w:sz w:val="24"/>
          <w:szCs w:val="24"/>
        </w:rPr>
        <w:t>be identified</w:t>
      </w:r>
      <w:proofErr w:type="gramEnd"/>
      <w:r w:rsidRPr="0014270C">
        <w:rPr>
          <w:rFonts w:ascii="Bookman Old Style" w:hAnsi="Bookman Old Style"/>
          <w:sz w:val="24"/>
          <w:szCs w:val="24"/>
        </w:rPr>
        <w:t xml:space="preserve">. This step defines the purpose of the study, what boundaries are set, and any assumptions about expected outcomes. An inventory needs to </w:t>
      </w:r>
      <w:proofErr w:type="gramStart"/>
      <w:r w:rsidRPr="0014270C">
        <w:rPr>
          <w:rFonts w:ascii="Bookman Old Style" w:hAnsi="Bookman Old Style"/>
          <w:sz w:val="24"/>
          <w:szCs w:val="24"/>
        </w:rPr>
        <w:t>be established</w:t>
      </w:r>
      <w:proofErr w:type="gramEnd"/>
      <w:r w:rsidRPr="0014270C">
        <w:rPr>
          <w:rFonts w:ascii="Bookman Old Style" w:hAnsi="Bookman Old Style"/>
          <w:sz w:val="24"/>
          <w:szCs w:val="24"/>
        </w:rPr>
        <w:t xml:space="preserve"> in order to quantify energy usages and raw material inputs as well as any environmental releases associated with each stage of the product or service’s life cycle from sourcing through end-of-life. The assessment </w:t>
      </w:r>
      <w:proofErr w:type="gramStart"/>
      <w:r w:rsidRPr="0014270C">
        <w:rPr>
          <w:rFonts w:ascii="Bookman Old Style" w:hAnsi="Bookman Old Style"/>
          <w:sz w:val="24"/>
          <w:szCs w:val="24"/>
        </w:rPr>
        <w:t>is then conducted</w:t>
      </w:r>
      <w:proofErr w:type="gramEnd"/>
      <w:r w:rsidRPr="0014270C">
        <w:rPr>
          <w:rFonts w:ascii="Bookman Old Style" w:hAnsi="Bookman Old Style"/>
          <w:sz w:val="24"/>
          <w:szCs w:val="24"/>
        </w:rPr>
        <w:t xml:space="preserve"> using inventory </w:t>
      </w:r>
      <w:r w:rsidR="006665D7" w:rsidRPr="0014270C">
        <w:rPr>
          <w:rFonts w:ascii="Bookman Old Style" w:hAnsi="Bookman Old Style"/>
          <w:sz w:val="24"/>
          <w:szCs w:val="24"/>
        </w:rPr>
        <w:t>data</w:t>
      </w:r>
      <w:r w:rsidRPr="0014270C">
        <w:rPr>
          <w:rFonts w:ascii="Bookman Old Style" w:hAnsi="Bookman Old Style"/>
          <w:sz w:val="24"/>
          <w:szCs w:val="24"/>
        </w:rPr>
        <w:t xml:space="preserve"> to determine the impact on human health and the environment. Finally, an interpretation of the analysis </w:t>
      </w:r>
      <w:proofErr w:type="gramStart"/>
      <w:r w:rsidRPr="0014270C">
        <w:rPr>
          <w:rFonts w:ascii="Bookman Old Style" w:hAnsi="Bookman Old Style"/>
          <w:sz w:val="24"/>
          <w:szCs w:val="24"/>
        </w:rPr>
        <w:t>is done</w:t>
      </w:r>
      <w:proofErr w:type="gramEnd"/>
      <w:r w:rsidRPr="0014270C">
        <w:rPr>
          <w:rFonts w:ascii="Bookman Old Style" w:hAnsi="Bookman Old Style"/>
          <w:sz w:val="24"/>
          <w:szCs w:val="24"/>
        </w:rPr>
        <w:t xml:space="preserve">, including the results and transparent presentation of conclusions based on the findings. </w:t>
      </w:r>
      <w:r w:rsidR="005242C7" w:rsidRPr="0014270C">
        <w:rPr>
          <w:rFonts w:ascii="Bookman Old Style" w:hAnsi="Bookman Old Style"/>
          <w:sz w:val="24"/>
          <w:szCs w:val="24"/>
        </w:rPr>
        <w:t>Due to the lack of transparency regarding inventory for the trailers used by FEMA,</w:t>
      </w:r>
      <w:r w:rsidR="00E76FBE" w:rsidRPr="0014270C">
        <w:rPr>
          <w:rFonts w:ascii="Bookman Old Style" w:hAnsi="Bookman Old Style"/>
          <w:sz w:val="24"/>
          <w:szCs w:val="24"/>
        </w:rPr>
        <w:t xml:space="preserve"> </w:t>
      </w:r>
      <w:r w:rsidR="00E76FBE" w:rsidRPr="0014270C">
        <w:rPr>
          <w:rFonts w:ascii="Bookman Old Style" w:hAnsi="Bookman Old Style"/>
          <w:sz w:val="24"/>
          <w:szCs w:val="24"/>
        </w:rPr>
        <w:lastRenderedPageBreak/>
        <w:t xml:space="preserve">this research </w:t>
      </w:r>
      <w:r w:rsidR="005242C7" w:rsidRPr="0014270C">
        <w:rPr>
          <w:rFonts w:ascii="Bookman Old Style" w:hAnsi="Bookman Old Style"/>
          <w:sz w:val="24"/>
          <w:szCs w:val="24"/>
        </w:rPr>
        <w:t>aims</w:t>
      </w:r>
      <w:r w:rsidR="00E76FBE" w:rsidRPr="0014270C">
        <w:rPr>
          <w:rFonts w:ascii="Bookman Old Style" w:hAnsi="Bookman Old Style"/>
          <w:sz w:val="24"/>
          <w:szCs w:val="24"/>
        </w:rPr>
        <w:t xml:space="preserve"> to establish conceptual strategies for approaching the design of off-grid tiny housing for disaster relief and recovery</w:t>
      </w:r>
      <w:r w:rsidR="005242C7" w:rsidRPr="0014270C">
        <w:rPr>
          <w:rFonts w:ascii="Bookman Old Style" w:hAnsi="Bookman Old Style"/>
          <w:sz w:val="24"/>
          <w:szCs w:val="24"/>
        </w:rPr>
        <w:t xml:space="preserve">, rather than performing a full life cycle analysis and comparison. Further, this research hopes to </w:t>
      </w:r>
      <w:r w:rsidR="00F77EE2" w:rsidRPr="0014270C">
        <w:rPr>
          <w:rFonts w:ascii="Bookman Old Style" w:hAnsi="Bookman Old Style"/>
          <w:sz w:val="24"/>
          <w:szCs w:val="24"/>
        </w:rPr>
        <w:t>focus on gaining</w:t>
      </w:r>
      <w:r w:rsidR="005242C7" w:rsidRPr="0014270C">
        <w:rPr>
          <w:rFonts w:ascii="Bookman Old Style" w:hAnsi="Bookman Old Style"/>
          <w:sz w:val="24"/>
          <w:szCs w:val="24"/>
        </w:rPr>
        <w:t xml:space="preserve"> an</w:t>
      </w:r>
      <w:r w:rsidR="00E76FBE" w:rsidRPr="0014270C">
        <w:rPr>
          <w:rFonts w:ascii="Bookman Old Style" w:hAnsi="Bookman Old Style"/>
          <w:sz w:val="24"/>
          <w:szCs w:val="24"/>
        </w:rPr>
        <w:t xml:space="preserve"> understanding </w:t>
      </w:r>
      <w:r w:rsidR="005242C7" w:rsidRPr="0014270C">
        <w:rPr>
          <w:rFonts w:ascii="Bookman Old Style" w:hAnsi="Bookman Old Style"/>
          <w:sz w:val="24"/>
          <w:szCs w:val="24"/>
        </w:rPr>
        <w:t xml:space="preserve">of </w:t>
      </w:r>
      <w:r w:rsidR="00E76FBE" w:rsidRPr="0014270C">
        <w:rPr>
          <w:rFonts w:ascii="Bookman Old Style" w:hAnsi="Bookman Old Style"/>
          <w:sz w:val="24"/>
          <w:szCs w:val="24"/>
        </w:rPr>
        <w:t xml:space="preserve">the </w:t>
      </w:r>
      <w:r w:rsidR="008461E1" w:rsidRPr="0014270C">
        <w:rPr>
          <w:rFonts w:ascii="Bookman Old Style" w:hAnsi="Bookman Old Style"/>
          <w:sz w:val="24"/>
          <w:szCs w:val="24"/>
        </w:rPr>
        <w:t>factors</w:t>
      </w:r>
      <w:r w:rsidR="00581539" w:rsidRPr="0014270C">
        <w:rPr>
          <w:rFonts w:ascii="Bookman Old Style" w:hAnsi="Bookman Old Style"/>
          <w:sz w:val="24"/>
          <w:szCs w:val="24"/>
        </w:rPr>
        <w:t>, such as social capital,</w:t>
      </w:r>
      <w:r w:rsidR="008461E1" w:rsidRPr="0014270C">
        <w:rPr>
          <w:rFonts w:ascii="Bookman Old Style" w:hAnsi="Bookman Old Style"/>
          <w:sz w:val="24"/>
          <w:szCs w:val="24"/>
        </w:rPr>
        <w:t xml:space="preserve"> that could influence the </w:t>
      </w:r>
      <w:r w:rsidR="00E76FBE" w:rsidRPr="0014270C">
        <w:rPr>
          <w:rFonts w:ascii="Bookman Old Style" w:hAnsi="Bookman Old Style"/>
          <w:sz w:val="24"/>
          <w:szCs w:val="24"/>
        </w:rPr>
        <w:t xml:space="preserve">implementation of </w:t>
      </w:r>
      <w:r w:rsidR="00581539" w:rsidRPr="0014270C">
        <w:rPr>
          <w:rFonts w:ascii="Bookman Old Style" w:hAnsi="Bookman Old Style"/>
          <w:sz w:val="24"/>
          <w:szCs w:val="24"/>
        </w:rPr>
        <w:t>a possible</w:t>
      </w:r>
      <w:r w:rsidR="00E76FBE" w:rsidRPr="0014270C">
        <w:rPr>
          <w:rFonts w:ascii="Bookman Old Style" w:hAnsi="Bookman Old Style"/>
          <w:sz w:val="24"/>
          <w:szCs w:val="24"/>
        </w:rPr>
        <w:t xml:space="preserve"> solution.</w:t>
      </w:r>
    </w:p>
    <w:p w14:paraId="7E503CAD" w14:textId="77777777" w:rsidR="008461E1" w:rsidRPr="0014270C" w:rsidRDefault="008461E1" w:rsidP="008461E1">
      <w:pPr>
        <w:spacing w:line="480" w:lineRule="auto"/>
        <w:ind w:firstLine="720"/>
        <w:rPr>
          <w:rFonts w:ascii="Bookman Old Style" w:hAnsi="Bookman Old Style"/>
          <w:sz w:val="24"/>
          <w:szCs w:val="24"/>
        </w:rPr>
      </w:pPr>
    </w:p>
    <w:p w14:paraId="08ABDAFE" w14:textId="197A4E58" w:rsidR="00F26523" w:rsidRPr="0014270C" w:rsidRDefault="00F26523" w:rsidP="00B93546">
      <w:pPr>
        <w:pStyle w:val="THESISLVL2"/>
      </w:pPr>
      <w:bookmarkStart w:id="46" w:name="_Toc8062281"/>
      <w:r w:rsidRPr="0014270C">
        <w:t>2.</w:t>
      </w:r>
      <w:r w:rsidR="00753552" w:rsidRPr="0014270C">
        <w:t>6</w:t>
      </w:r>
      <w:r w:rsidR="00DA5E7E" w:rsidRPr="0014270C">
        <w:t xml:space="preserve"> </w:t>
      </w:r>
      <w:r w:rsidR="00783AA1" w:rsidRPr="0014270C">
        <w:t>Social Capital</w:t>
      </w:r>
      <w:bookmarkEnd w:id="46"/>
    </w:p>
    <w:p w14:paraId="0E3BF614" w14:textId="740B7A09" w:rsidR="00567DD7" w:rsidRPr="0014270C" w:rsidRDefault="00783AA1" w:rsidP="00B93546">
      <w:pPr>
        <w:pStyle w:val="THESISLVL3"/>
      </w:pPr>
      <w:bookmarkStart w:id="47" w:name="_Toc8062282"/>
      <w:r w:rsidRPr="0014270C">
        <w:t>Leadership</w:t>
      </w:r>
      <w:r w:rsidR="00BB51A4" w:rsidRPr="0014270C">
        <w:t xml:space="preserve"> and Trust</w:t>
      </w:r>
      <w:r w:rsidR="006B13B7" w:rsidRPr="0014270C">
        <w:t>ed Networks</w:t>
      </w:r>
      <w:bookmarkEnd w:id="47"/>
    </w:p>
    <w:p w14:paraId="13CEC831" w14:textId="3AAE38E5" w:rsidR="00561C0A" w:rsidRPr="0014270C" w:rsidRDefault="00F26523" w:rsidP="00DE2397">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Social capital is the relationships people have with </w:t>
      </w:r>
      <w:r w:rsidRPr="0014270C">
        <w:rPr>
          <w:rFonts w:ascii="Bookman Old Style" w:hAnsi="Bookman Old Style"/>
          <w:noProof/>
          <w:sz w:val="24"/>
          <w:szCs w:val="24"/>
        </w:rPr>
        <w:t>society</w:t>
      </w:r>
      <w:r w:rsidRPr="0014270C">
        <w:rPr>
          <w:rFonts w:ascii="Bookman Old Style" w:hAnsi="Bookman Old Style"/>
          <w:sz w:val="24"/>
          <w:szCs w:val="24"/>
        </w:rPr>
        <w:t xml:space="preserve"> that allow trust, norms, and networks to </w:t>
      </w:r>
      <w:proofErr w:type="gramStart"/>
      <w:r w:rsidRPr="0014270C">
        <w:rPr>
          <w:rFonts w:ascii="Bookman Old Style" w:hAnsi="Bookman Old Style"/>
          <w:sz w:val="24"/>
          <w:szCs w:val="24"/>
        </w:rPr>
        <w:t>be formed</w:t>
      </w:r>
      <w:proofErr w:type="gramEnd"/>
      <w:r w:rsidRPr="0014270C">
        <w:rPr>
          <w:rFonts w:ascii="Bookman Old Style" w:hAnsi="Bookman Old Style"/>
          <w:sz w:val="24"/>
          <w:szCs w:val="24"/>
        </w:rPr>
        <w:t xml:space="preserve">. </w:t>
      </w:r>
      <w:proofErr w:type="spellStart"/>
      <w:r w:rsidR="00BB6FAA" w:rsidRPr="0014270C">
        <w:rPr>
          <w:rFonts w:ascii="Bookman Old Style" w:hAnsi="Bookman Old Style"/>
          <w:sz w:val="24"/>
          <w:szCs w:val="24"/>
        </w:rPr>
        <w:t>Rajib</w:t>
      </w:r>
      <w:proofErr w:type="spellEnd"/>
      <w:r w:rsidR="00BB6FAA" w:rsidRPr="0014270C">
        <w:rPr>
          <w:rFonts w:ascii="Bookman Old Style" w:hAnsi="Bookman Old Style"/>
          <w:sz w:val="24"/>
          <w:szCs w:val="24"/>
        </w:rPr>
        <w:t xml:space="preserve"> Shaw and Yuko Nakagawa </w:t>
      </w:r>
      <w:r w:rsidRPr="0014270C">
        <w:rPr>
          <w:rFonts w:ascii="Bookman Old Style" w:hAnsi="Bookman Old Style"/>
          <w:sz w:val="24"/>
          <w:szCs w:val="24"/>
        </w:rPr>
        <w:t xml:space="preserve">found that communities that were able to best recover from a disaster were those that had strong social capital. Their study </w:t>
      </w:r>
      <w:proofErr w:type="gramStart"/>
      <w:r w:rsidRPr="0014270C">
        <w:rPr>
          <w:rFonts w:ascii="Bookman Old Style" w:hAnsi="Bookman Old Style"/>
          <w:sz w:val="24"/>
          <w:szCs w:val="24"/>
        </w:rPr>
        <w:t>was done</w:t>
      </w:r>
      <w:proofErr w:type="gramEnd"/>
      <w:r w:rsidRPr="0014270C">
        <w:rPr>
          <w:rFonts w:ascii="Bookman Old Style" w:hAnsi="Bookman Old Style"/>
          <w:sz w:val="24"/>
          <w:szCs w:val="24"/>
        </w:rPr>
        <w:t xml:space="preserve"> in post-earthquake Kobe, Japan and Gujarat, India – allowing an understanding of how vastly different cultures act in similar recovery environments. When assessing how disaster management </w:t>
      </w:r>
      <w:proofErr w:type="gramStart"/>
      <w:r w:rsidRPr="0014270C">
        <w:rPr>
          <w:rFonts w:ascii="Bookman Old Style" w:hAnsi="Bookman Old Style"/>
          <w:sz w:val="24"/>
          <w:szCs w:val="24"/>
        </w:rPr>
        <w:t>was handled</w:t>
      </w:r>
      <w:proofErr w:type="gramEnd"/>
      <w:r w:rsidRPr="0014270C">
        <w:rPr>
          <w:rFonts w:ascii="Bookman Old Style" w:hAnsi="Bookman Old Style"/>
          <w:sz w:val="24"/>
          <w:szCs w:val="24"/>
        </w:rPr>
        <w:t xml:space="preserve">, </w:t>
      </w:r>
      <w:r w:rsidR="00801B14" w:rsidRPr="0014270C">
        <w:rPr>
          <w:rFonts w:ascii="Bookman Old Style" w:hAnsi="Bookman Old Style"/>
          <w:sz w:val="24"/>
          <w:szCs w:val="24"/>
        </w:rPr>
        <w:t xml:space="preserve">Shaw and </w:t>
      </w:r>
      <w:r w:rsidRPr="0014270C">
        <w:rPr>
          <w:rFonts w:ascii="Bookman Old Style" w:hAnsi="Bookman Old Style"/>
          <w:sz w:val="24"/>
          <w:szCs w:val="24"/>
        </w:rPr>
        <w:t>Nakagawa found that within the mitigation and response processes, social aspects were lacking.</w:t>
      </w:r>
      <w:r w:rsidRPr="0014270C">
        <w:rPr>
          <w:rStyle w:val="FootnoteReference"/>
          <w:rFonts w:ascii="Bookman Old Style" w:hAnsi="Bookman Old Style"/>
          <w:sz w:val="24"/>
          <w:szCs w:val="24"/>
        </w:rPr>
        <w:footnoteReference w:id="149"/>
      </w:r>
      <w:r w:rsidRPr="0014270C">
        <w:rPr>
          <w:rFonts w:ascii="Bookman Old Style" w:hAnsi="Bookman Old Style"/>
          <w:sz w:val="24"/>
          <w:szCs w:val="24"/>
        </w:rPr>
        <w:t xml:space="preserve"> In order to assess their cases fairly, they evaluated similar disasters in urban settings in developed and developing communities with relatively high damage from the events. </w:t>
      </w:r>
      <w:proofErr w:type="spellStart"/>
      <w:r w:rsidRPr="0014270C">
        <w:rPr>
          <w:rFonts w:ascii="Bookman Old Style" w:hAnsi="Bookman Old Style"/>
          <w:sz w:val="24"/>
          <w:szCs w:val="24"/>
        </w:rPr>
        <w:t>Soni</w:t>
      </w:r>
      <w:proofErr w:type="spellEnd"/>
      <w:r w:rsidRPr="0014270C">
        <w:rPr>
          <w:rFonts w:ascii="Bookman Old Style" w:hAnsi="Bookman Old Style"/>
          <w:sz w:val="24"/>
          <w:szCs w:val="24"/>
        </w:rPr>
        <w:t xml:space="preserve"> and </w:t>
      </w:r>
      <w:proofErr w:type="spellStart"/>
      <w:r w:rsidRPr="0014270C">
        <w:rPr>
          <w:rFonts w:ascii="Bookman Old Style" w:hAnsi="Bookman Old Style"/>
          <w:sz w:val="24"/>
          <w:szCs w:val="24"/>
        </w:rPr>
        <w:t>Lohana</w:t>
      </w:r>
      <w:proofErr w:type="spellEnd"/>
      <w:r w:rsidRPr="0014270C">
        <w:rPr>
          <w:rFonts w:ascii="Bookman Old Style" w:hAnsi="Bookman Old Style"/>
          <w:sz w:val="24"/>
          <w:szCs w:val="24"/>
        </w:rPr>
        <w:t xml:space="preserve"> were two of the communities observed. Both communities had democratic systems, high involvement in multidisciplinary actions, established networks outside of their own, and formal collaboration </w:t>
      </w:r>
      <w:r w:rsidRPr="0014270C">
        <w:rPr>
          <w:rFonts w:ascii="Bookman Old Style" w:hAnsi="Bookman Old Style"/>
          <w:sz w:val="24"/>
          <w:szCs w:val="24"/>
        </w:rPr>
        <w:lastRenderedPageBreak/>
        <w:t xml:space="preserve">with </w:t>
      </w:r>
      <w:r w:rsidRPr="0014270C">
        <w:rPr>
          <w:rFonts w:ascii="Bookman Old Style" w:hAnsi="Bookman Old Style"/>
          <w:noProof/>
          <w:sz w:val="24"/>
          <w:szCs w:val="24"/>
        </w:rPr>
        <w:t>government</w:t>
      </w:r>
      <w:r w:rsidRPr="0014270C">
        <w:rPr>
          <w:rFonts w:ascii="Bookman Old Style" w:hAnsi="Bookman Old Style"/>
          <w:sz w:val="24"/>
          <w:szCs w:val="24"/>
        </w:rPr>
        <w:t>; the main difference between the two communities was trust in leadership and shared thinking.</w:t>
      </w:r>
      <w:r w:rsidR="00811172" w:rsidRPr="0014270C">
        <w:rPr>
          <w:rStyle w:val="FootnoteReference"/>
          <w:rFonts w:ascii="Bookman Old Style" w:hAnsi="Bookman Old Style"/>
          <w:sz w:val="24"/>
          <w:szCs w:val="24"/>
        </w:rPr>
        <w:footnoteReference w:id="150"/>
      </w:r>
      <w:r w:rsidRPr="0014270C">
        <w:rPr>
          <w:rFonts w:ascii="Bookman Old Style" w:hAnsi="Bookman Old Style"/>
          <w:sz w:val="24"/>
          <w:szCs w:val="24"/>
        </w:rPr>
        <w:t xml:space="preserve"> Trust in leadership from members of the </w:t>
      </w:r>
      <w:proofErr w:type="spellStart"/>
      <w:r w:rsidRPr="0014270C">
        <w:rPr>
          <w:rFonts w:ascii="Bookman Old Style" w:hAnsi="Bookman Old Style"/>
          <w:sz w:val="24"/>
          <w:szCs w:val="24"/>
        </w:rPr>
        <w:t>Soni</w:t>
      </w:r>
      <w:proofErr w:type="spellEnd"/>
      <w:r w:rsidRPr="0014270C">
        <w:rPr>
          <w:rFonts w:ascii="Bookman Old Style" w:hAnsi="Bookman Old Style"/>
          <w:sz w:val="24"/>
          <w:szCs w:val="24"/>
        </w:rPr>
        <w:t xml:space="preserve"> community was found to be essential in fast recovery. Despite having a lower income level, </w:t>
      </w:r>
      <w:proofErr w:type="spellStart"/>
      <w:r w:rsidRPr="0014270C">
        <w:rPr>
          <w:rFonts w:ascii="Bookman Old Style" w:hAnsi="Bookman Old Style"/>
          <w:sz w:val="24"/>
          <w:szCs w:val="24"/>
        </w:rPr>
        <w:t>Soni</w:t>
      </w:r>
      <w:proofErr w:type="spellEnd"/>
      <w:r w:rsidRPr="0014270C">
        <w:rPr>
          <w:rFonts w:ascii="Bookman Old Style" w:hAnsi="Bookman Old Style"/>
          <w:sz w:val="24"/>
          <w:szCs w:val="24"/>
        </w:rPr>
        <w:t xml:space="preserve"> recover</w:t>
      </w:r>
      <w:r w:rsidR="00561C0A" w:rsidRPr="0014270C">
        <w:rPr>
          <w:rFonts w:ascii="Bookman Old Style" w:hAnsi="Bookman Old Style"/>
          <w:sz w:val="24"/>
          <w:szCs w:val="24"/>
        </w:rPr>
        <w:t>ed</w:t>
      </w:r>
      <w:r w:rsidRPr="0014270C">
        <w:rPr>
          <w:rFonts w:ascii="Bookman Old Style" w:hAnsi="Bookman Old Style"/>
          <w:sz w:val="24"/>
          <w:szCs w:val="24"/>
        </w:rPr>
        <w:t xml:space="preserve"> faster with higher satisfaction than any of the other communities observed. </w:t>
      </w:r>
      <w:proofErr w:type="spellStart"/>
      <w:r w:rsidRPr="0014270C">
        <w:rPr>
          <w:rFonts w:ascii="Bookman Old Style" w:hAnsi="Bookman Old Style"/>
          <w:sz w:val="24"/>
          <w:szCs w:val="24"/>
        </w:rPr>
        <w:t>Lohana</w:t>
      </w:r>
      <w:proofErr w:type="spellEnd"/>
      <w:r w:rsidRPr="0014270C">
        <w:rPr>
          <w:rFonts w:ascii="Bookman Old Style" w:hAnsi="Bookman Old Style"/>
          <w:sz w:val="24"/>
          <w:szCs w:val="24"/>
        </w:rPr>
        <w:t>, despite high involvement from wealthy businesspeople trying to support rebuilding, was not as successful due to lack of trust and ability to make collective decisions.</w:t>
      </w:r>
      <w:r w:rsidR="00FD7124" w:rsidRPr="0014270C">
        <w:rPr>
          <w:rStyle w:val="FootnoteReference"/>
          <w:rFonts w:ascii="Bookman Old Style" w:hAnsi="Bookman Old Style"/>
          <w:sz w:val="24"/>
          <w:szCs w:val="24"/>
        </w:rPr>
        <w:footnoteReference w:id="151"/>
      </w:r>
      <w:r w:rsidRPr="0014270C">
        <w:rPr>
          <w:rFonts w:ascii="Bookman Old Style" w:hAnsi="Bookman Old Style"/>
          <w:sz w:val="24"/>
          <w:szCs w:val="24"/>
        </w:rPr>
        <w:t xml:space="preserve"> This research from Shaw </w:t>
      </w:r>
      <w:r w:rsidR="00801B14" w:rsidRPr="0014270C">
        <w:rPr>
          <w:rFonts w:ascii="Bookman Old Style" w:hAnsi="Bookman Old Style"/>
          <w:sz w:val="24"/>
          <w:szCs w:val="24"/>
        </w:rPr>
        <w:t xml:space="preserve">and Nakagawa </w:t>
      </w:r>
      <w:r w:rsidRPr="0014270C">
        <w:rPr>
          <w:rFonts w:ascii="Bookman Old Style" w:hAnsi="Bookman Old Style"/>
          <w:sz w:val="24"/>
          <w:szCs w:val="24"/>
        </w:rPr>
        <w:t xml:space="preserve">shows that </w:t>
      </w:r>
      <w:r w:rsidR="00A328BD" w:rsidRPr="0014270C">
        <w:rPr>
          <w:rFonts w:ascii="Bookman Old Style" w:hAnsi="Bookman Old Style"/>
          <w:sz w:val="24"/>
          <w:szCs w:val="24"/>
        </w:rPr>
        <w:t xml:space="preserve">when leadership is able to gain social capital with a community, </w:t>
      </w:r>
      <w:r w:rsidR="00856BBF" w:rsidRPr="0014270C">
        <w:rPr>
          <w:rFonts w:ascii="Bookman Old Style" w:hAnsi="Bookman Old Style"/>
          <w:sz w:val="24"/>
          <w:szCs w:val="24"/>
        </w:rPr>
        <w:t xml:space="preserve">the </w:t>
      </w:r>
      <w:r w:rsidRPr="0014270C">
        <w:rPr>
          <w:rFonts w:ascii="Bookman Old Style" w:hAnsi="Bookman Old Style"/>
          <w:sz w:val="24"/>
          <w:szCs w:val="24"/>
        </w:rPr>
        <w:t>trust</w:t>
      </w:r>
      <w:r w:rsidR="00856BBF" w:rsidRPr="0014270C">
        <w:rPr>
          <w:rFonts w:ascii="Bookman Old Style" w:hAnsi="Bookman Old Style"/>
          <w:sz w:val="24"/>
          <w:szCs w:val="24"/>
        </w:rPr>
        <w:t xml:space="preserve"> that is formed</w:t>
      </w:r>
      <w:r w:rsidRPr="0014270C">
        <w:rPr>
          <w:rFonts w:ascii="Bookman Old Style" w:hAnsi="Bookman Old Style"/>
          <w:sz w:val="24"/>
          <w:szCs w:val="24"/>
        </w:rPr>
        <w:t xml:space="preserve"> and the ability of </w:t>
      </w:r>
      <w:r w:rsidR="00EC1105" w:rsidRPr="0014270C">
        <w:rPr>
          <w:rFonts w:ascii="Bookman Old Style" w:hAnsi="Bookman Old Style"/>
          <w:sz w:val="24"/>
          <w:szCs w:val="24"/>
        </w:rPr>
        <w:t xml:space="preserve">that </w:t>
      </w:r>
      <w:r w:rsidRPr="0014270C">
        <w:rPr>
          <w:rFonts w:ascii="Bookman Old Style" w:hAnsi="Bookman Old Style"/>
          <w:sz w:val="24"/>
          <w:szCs w:val="24"/>
        </w:rPr>
        <w:t xml:space="preserve">community to be of one mind </w:t>
      </w:r>
      <w:r w:rsidR="00EC1105" w:rsidRPr="0014270C">
        <w:rPr>
          <w:rFonts w:ascii="Bookman Old Style" w:hAnsi="Bookman Old Style"/>
          <w:sz w:val="24"/>
          <w:szCs w:val="24"/>
        </w:rPr>
        <w:t>allows</w:t>
      </w:r>
      <w:r w:rsidRPr="0014270C">
        <w:rPr>
          <w:rFonts w:ascii="Bookman Old Style" w:hAnsi="Bookman Old Style"/>
          <w:sz w:val="24"/>
          <w:szCs w:val="24"/>
        </w:rPr>
        <w:t xml:space="preserve"> </w:t>
      </w:r>
      <w:r w:rsidR="00EC1105" w:rsidRPr="0014270C">
        <w:rPr>
          <w:rFonts w:ascii="Bookman Old Style" w:hAnsi="Bookman Old Style"/>
          <w:sz w:val="24"/>
          <w:szCs w:val="24"/>
        </w:rPr>
        <w:t>for a</w:t>
      </w:r>
      <w:r w:rsidRPr="0014270C">
        <w:rPr>
          <w:rFonts w:ascii="Bookman Old Style" w:hAnsi="Bookman Old Style"/>
          <w:sz w:val="24"/>
          <w:szCs w:val="24"/>
        </w:rPr>
        <w:t xml:space="preserve"> successful post-disaster recovery.</w:t>
      </w:r>
      <w:r w:rsidR="00134840" w:rsidRPr="0014270C">
        <w:rPr>
          <w:rFonts w:ascii="Bookman Old Style" w:hAnsi="Bookman Old Style"/>
          <w:sz w:val="24"/>
          <w:szCs w:val="24"/>
        </w:rPr>
        <w:t xml:space="preserve">  </w:t>
      </w:r>
    </w:p>
    <w:p w14:paraId="179D48B8" w14:textId="1FBCC578" w:rsidR="00753552" w:rsidRPr="0014270C" w:rsidRDefault="003D244A" w:rsidP="006E5B2D">
      <w:pPr>
        <w:spacing w:line="480" w:lineRule="auto"/>
        <w:ind w:firstLine="720"/>
        <w:rPr>
          <w:rFonts w:ascii="Bookman Old Style" w:hAnsi="Bookman Old Style"/>
          <w:sz w:val="24"/>
          <w:szCs w:val="24"/>
        </w:rPr>
      </w:pPr>
      <w:r w:rsidRPr="0014270C">
        <w:rPr>
          <w:rFonts w:ascii="Bookman Old Style" w:hAnsi="Bookman Old Style"/>
          <w:sz w:val="24"/>
          <w:szCs w:val="24"/>
        </w:rPr>
        <w:t>Daniel Aldrich and Michelle Meyer, like Shaw and Nakagawa, acknowledge the importance of social</w:t>
      </w:r>
      <w:r w:rsidR="003C0701" w:rsidRPr="0014270C">
        <w:rPr>
          <w:rFonts w:ascii="Bookman Old Style" w:hAnsi="Bookman Old Style"/>
          <w:sz w:val="24"/>
          <w:szCs w:val="24"/>
        </w:rPr>
        <w:t xml:space="preserve"> </w:t>
      </w:r>
      <w:r w:rsidR="00F34CD4" w:rsidRPr="0014270C">
        <w:rPr>
          <w:rFonts w:ascii="Bookman Old Style" w:hAnsi="Bookman Old Style"/>
          <w:sz w:val="24"/>
          <w:szCs w:val="24"/>
        </w:rPr>
        <w:t xml:space="preserve">capital in disaster recovery. </w:t>
      </w:r>
      <w:r w:rsidR="00EB1942" w:rsidRPr="0014270C">
        <w:rPr>
          <w:rFonts w:ascii="Bookman Old Style" w:hAnsi="Bookman Old Style"/>
          <w:sz w:val="24"/>
          <w:szCs w:val="24"/>
        </w:rPr>
        <w:t>They cite several examples of neighbors acting as first responders</w:t>
      </w:r>
      <w:r w:rsidR="000E61B3" w:rsidRPr="0014270C">
        <w:rPr>
          <w:rFonts w:ascii="Bookman Old Style" w:hAnsi="Bookman Old Style"/>
          <w:sz w:val="24"/>
          <w:szCs w:val="24"/>
        </w:rPr>
        <w:t xml:space="preserve">, </w:t>
      </w:r>
      <w:r w:rsidR="0090059D" w:rsidRPr="0014270C">
        <w:rPr>
          <w:rFonts w:ascii="Bookman Old Style" w:hAnsi="Bookman Old Style"/>
          <w:sz w:val="24"/>
          <w:szCs w:val="24"/>
        </w:rPr>
        <w:t xml:space="preserve">financial </w:t>
      </w:r>
      <w:r w:rsidR="005B30E5" w:rsidRPr="0014270C">
        <w:rPr>
          <w:rFonts w:ascii="Bookman Old Style" w:hAnsi="Bookman Old Style"/>
          <w:sz w:val="24"/>
          <w:szCs w:val="24"/>
        </w:rPr>
        <w:t xml:space="preserve">and non-financial </w:t>
      </w:r>
      <w:r w:rsidR="0090059D" w:rsidRPr="0014270C">
        <w:rPr>
          <w:rFonts w:ascii="Bookman Old Style" w:hAnsi="Bookman Old Style"/>
          <w:sz w:val="24"/>
          <w:szCs w:val="24"/>
        </w:rPr>
        <w:t>assistance, and psychological support</w:t>
      </w:r>
      <w:r w:rsidR="0058738F" w:rsidRPr="0014270C">
        <w:rPr>
          <w:rFonts w:ascii="Bookman Old Style" w:hAnsi="Bookman Old Style"/>
          <w:sz w:val="24"/>
          <w:szCs w:val="24"/>
        </w:rPr>
        <w:t xml:space="preserve"> in times of crisis, taking note that disaster management </w:t>
      </w:r>
      <w:r w:rsidR="00EB16F4" w:rsidRPr="0014270C">
        <w:rPr>
          <w:rFonts w:ascii="Bookman Old Style" w:hAnsi="Bookman Old Style"/>
          <w:sz w:val="24"/>
          <w:szCs w:val="24"/>
        </w:rPr>
        <w:t xml:space="preserve">has yet to embrace social capital as </w:t>
      </w:r>
      <w:r w:rsidR="00CF36E8" w:rsidRPr="0014270C">
        <w:rPr>
          <w:rFonts w:ascii="Bookman Old Style" w:hAnsi="Bookman Old Style"/>
          <w:sz w:val="24"/>
          <w:szCs w:val="24"/>
        </w:rPr>
        <w:t>integral for</w:t>
      </w:r>
      <w:r w:rsidR="009A2537" w:rsidRPr="0014270C">
        <w:rPr>
          <w:rFonts w:ascii="Bookman Old Style" w:hAnsi="Bookman Old Style"/>
          <w:sz w:val="24"/>
          <w:szCs w:val="24"/>
        </w:rPr>
        <w:t xml:space="preserve"> recovery.</w:t>
      </w:r>
      <w:r w:rsidR="00BC5D3C" w:rsidRPr="0014270C">
        <w:rPr>
          <w:rStyle w:val="FootnoteReference"/>
          <w:rFonts w:ascii="Bookman Old Style" w:hAnsi="Bookman Old Style"/>
          <w:sz w:val="24"/>
          <w:szCs w:val="24"/>
        </w:rPr>
        <w:footnoteReference w:id="152"/>
      </w:r>
      <w:r w:rsidR="00561C0A" w:rsidRPr="0014270C">
        <w:rPr>
          <w:rFonts w:ascii="Bookman Old Style" w:hAnsi="Bookman Old Style"/>
          <w:sz w:val="24"/>
          <w:szCs w:val="24"/>
        </w:rPr>
        <w:t xml:space="preserve"> </w:t>
      </w:r>
      <w:r w:rsidR="000E6DDD" w:rsidRPr="0014270C">
        <w:rPr>
          <w:rFonts w:ascii="Bookman Old Style" w:hAnsi="Bookman Old Style"/>
          <w:sz w:val="24"/>
          <w:szCs w:val="24"/>
        </w:rPr>
        <w:t xml:space="preserve">Their research </w:t>
      </w:r>
      <w:r w:rsidR="003009D3" w:rsidRPr="0014270C">
        <w:rPr>
          <w:rFonts w:ascii="Bookman Old Style" w:hAnsi="Bookman Old Style"/>
          <w:sz w:val="24"/>
          <w:szCs w:val="24"/>
        </w:rPr>
        <w:t>shows that strong bonding social capital</w:t>
      </w:r>
      <w:r w:rsidR="00614FCC" w:rsidRPr="0014270C">
        <w:rPr>
          <w:rFonts w:ascii="Bookman Old Style" w:hAnsi="Bookman Old Style"/>
          <w:sz w:val="24"/>
          <w:szCs w:val="24"/>
        </w:rPr>
        <w:t xml:space="preserve"> can reduce the amount of </w:t>
      </w:r>
      <w:r w:rsidR="00A96F3D" w:rsidRPr="0014270C">
        <w:rPr>
          <w:rFonts w:ascii="Bookman Old Style" w:hAnsi="Bookman Old Style"/>
          <w:sz w:val="24"/>
          <w:szCs w:val="24"/>
        </w:rPr>
        <w:t>formal aid needed by a community</w:t>
      </w:r>
      <w:r w:rsidR="00A60FB4" w:rsidRPr="0014270C">
        <w:rPr>
          <w:rFonts w:ascii="Bookman Old Style" w:hAnsi="Bookman Old Style"/>
          <w:sz w:val="24"/>
          <w:szCs w:val="24"/>
        </w:rPr>
        <w:t xml:space="preserve">. </w:t>
      </w:r>
      <w:r w:rsidR="000C4973" w:rsidRPr="0014270C">
        <w:rPr>
          <w:rFonts w:ascii="Bookman Old Style" w:hAnsi="Bookman Old Style"/>
          <w:sz w:val="24"/>
          <w:szCs w:val="24"/>
        </w:rPr>
        <w:t xml:space="preserve">Aldrich and Meyer provided an </w:t>
      </w:r>
      <w:r w:rsidR="00B95315" w:rsidRPr="0014270C">
        <w:rPr>
          <w:rFonts w:ascii="Bookman Old Style" w:hAnsi="Bookman Old Style"/>
          <w:sz w:val="24"/>
          <w:szCs w:val="24"/>
        </w:rPr>
        <w:t xml:space="preserve">example of this in post-Katrina New Orleans low-income </w:t>
      </w:r>
      <w:r w:rsidR="000C4973" w:rsidRPr="0014270C">
        <w:rPr>
          <w:rFonts w:ascii="Bookman Old Style" w:hAnsi="Bookman Old Style"/>
          <w:sz w:val="24"/>
          <w:szCs w:val="24"/>
        </w:rPr>
        <w:t xml:space="preserve">Village de </w:t>
      </w:r>
      <w:proofErr w:type="spellStart"/>
      <w:r w:rsidR="000C4973" w:rsidRPr="0014270C">
        <w:rPr>
          <w:rFonts w:ascii="Bookman Old Style" w:hAnsi="Bookman Old Style"/>
          <w:sz w:val="24"/>
          <w:szCs w:val="24"/>
        </w:rPr>
        <w:t>L’Est</w:t>
      </w:r>
      <w:proofErr w:type="spellEnd"/>
      <w:r w:rsidR="00B6164A" w:rsidRPr="0014270C">
        <w:rPr>
          <w:rFonts w:ascii="Bookman Old Style" w:hAnsi="Bookman Old Style"/>
          <w:sz w:val="24"/>
          <w:szCs w:val="24"/>
        </w:rPr>
        <w:t>. This community was able to re</w:t>
      </w:r>
      <w:r w:rsidR="00B03EBC" w:rsidRPr="0014270C">
        <w:rPr>
          <w:rFonts w:ascii="Bookman Old Style" w:hAnsi="Bookman Old Style"/>
          <w:sz w:val="24"/>
          <w:szCs w:val="24"/>
        </w:rPr>
        <w:t>build more efficiently than wea</w:t>
      </w:r>
      <w:r w:rsidR="00F974FB" w:rsidRPr="0014270C">
        <w:rPr>
          <w:rFonts w:ascii="Bookman Old Style" w:hAnsi="Bookman Old Style"/>
          <w:sz w:val="24"/>
          <w:szCs w:val="24"/>
        </w:rPr>
        <w:t>lt</w:t>
      </w:r>
      <w:r w:rsidR="00B03EBC" w:rsidRPr="0014270C">
        <w:rPr>
          <w:rFonts w:ascii="Bookman Old Style" w:hAnsi="Bookman Old Style"/>
          <w:sz w:val="24"/>
          <w:szCs w:val="24"/>
        </w:rPr>
        <w:t xml:space="preserve">hier </w:t>
      </w:r>
      <w:r w:rsidR="00AC6F2B" w:rsidRPr="0014270C">
        <w:rPr>
          <w:rFonts w:ascii="Bookman Old Style" w:hAnsi="Bookman Old Style"/>
          <w:sz w:val="24"/>
          <w:szCs w:val="24"/>
        </w:rPr>
        <w:t>areas that suffered from less damage and flooding</w:t>
      </w:r>
      <w:r w:rsidR="00F974FB" w:rsidRPr="0014270C">
        <w:rPr>
          <w:rFonts w:ascii="Bookman Old Style" w:hAnsi="Bookman Old Style"/>
          <w:sz w:val="24"/>
          <w:szCs w:val="24"/>
        </w:rPr>
        <w:t>. Their recovery was</w:t>
      </w:r>
      <w:r w:rsidR="00AC6F2B" w:rsidRPr="0014270C">
        <w:rPr>
          <w:rFonts w:ascii="Bookman Old Style" w:hAnsi="Bookman Old Style"/>
          <w:sz w:val="24"/>
          <w:szCs w:val="24"/>
        </w:rPr>
        <w:t xml:space="preserve"> largely due to the </w:t>
      </w:r>
      <w:r w:rsidR="00AC6F2B" w:rsidRPr="0014270C">
        <w:rPr>
          <w:rFonts w:ascii="Bookman Old Style" w:hAnsi="Bookman Old Style"/>
          <w:sz w:val="24"/>
          <w:szCs w:val="24"/>
        </w:rPr>
        <w:lastRenderedPageBreak/>
        <w:t>church</w:t>
      </w:r>
      <w:r w:rsidR="00FF2780" w:rsidRPr="0014270C">
        <w:rPr>
          <w:rFonts w:ascii="Bookman Old Style" w:hAnsi="Bookman Old Style"/>
          <w:sz w:val="24"/>
          <w:szCs w:val="24"/>
        </w:rPr>
        <w:t>’s coordination</w:t>
      </w:r>
      <w:r w:rsidR="009979C1" w:rsidRPr="0014270C">
        <w:rPr>
          <w:rFonts w:ascii="Bookman Old Style" w:hAnsi="Bookman Old Style"/>
          <w:sz w:val="24"/>
          <w:szCs w:val="24"/>
        </w:rPr>
        <w:t xml:space="preserve"> with aid and</w:t>
      </w:r>
      <w:r w:rsidR="00F974FB" w:rsidRPr="0014270C">
        <w:rPr>
          <w:rFonts w:ascii="Bookman Old Style" w:hAnsi="Bookman Old Style"/>
          <w:sz w:val="24"/>
          <w:szCs w:val="24"/>
        </w:rPr>
        <w:t xml:space="preserve"> its</w:t>
      </w:r>
      <w:r w:rsidR="009979C1" w:rsidRPr="0014270C">
        <w:rPr>
          <w:rFonts w:ascii="Bookman Old Style" w:hAnsi="Bookman Old Style"/>
          <w:sz w:val="24"/>
          <w:szCs w:val="24"/>
        </w:rPr>
        <w:t xml:space="preserve"> active role in ensuring any political actions </w:t>
      </w:r>
      <w:proofErr w:type="gramStart"/>
      <w:r w:rsidR="009979C1" w:rsidRPr="0014270C">
        <w:rPr>
          <w:rFonts w:ascii="Bookman Old Style" w:hAnsi="Bookman Old Style"/>
          <w:sz w:val="24"/>
          <w:szCs w:val="24"/>
        </w:rPr>
        <w:t xml:space="preserve">were </w:t>
      </w:r>
      <w:r w:rsidR="00F974FB" w:rsidRPr="0014270C">
        <w:rPr>
          <w:rFonts w:ascii="Bookman Old Style" w:hAnsi="Bookman Old Style"/>
          <w:sz w:val="24"/>
          <w:szCs w:val="24"/>
        </w:rPr>
        <w:t>kept</w:t>
      </w:r>
      <w:proofErr w:type="gramEnd"/>
      <w:r w:rsidR="00F974FB" w:rsidRPr="0014270C">
        <w:rPr>
          <w:rFonts w:ascii="Bookman Old Style" w:hAnsi="Bookman Old Style"/>
          <w:sz w:val="24"/>
          <w:szCs w:val="24"/>
        </w:rPr>
        <w:t xml:space="preserve"> at bay. </w:t>
      </w:r>
      <w:r w:rsidR="008E01F7" w:rsidRPr="0014270C">
        <w:rPr>
          <w:rFonts w:ascii="Bookman Old Style" w:hAnsi="Bookman Old Style"/>
          <w:sz w:val="24"/>
          <w:szCs w:val="24"/>
        </w:rPr>
        <w:t>The trust the community had in the institution of the church</w:t>
      </w:r>
      <w:r w:rsidR="00517DC0" w:rsidRPr="0014270C">
        <w:rPr>
          <w:rFonts w:ascii="Bookman Old Style" w:hAnsi="Bookman Old Style"/>
          <w:sz w:val="24"/>
          <w:szCs w:val="24"/>
        </w:rPr>
        <w:t>, as well as the bonding ties with their friends and neighbors in the community,</w:t>
      </w:r>
      <w:r w:rsidR="002F1FAE" w:rsidRPr="0014270C">
        <w:rPr>
          <w:rFonts w:ascii="Bookman Old Style" w:hAnsi="Bookman Old Style"/>
          <w:sz w:val="24"/>
          <w:szCs w:val="24"/>
        </w:rPr>
        <w:t xml:space="preserve"> allowed them to </w:t>
      </w:r>
      <w:r w:rsidR="006867F9" w:rsidRPr="0014270C">
        <w:rPr>
          <w:rFonts w:ascii="Bookman Old Style" w:hAnsi="Bookman Old Style"/>
          <w:sz w:val="24"/>
          <w:szCs w:val="24"/>
        </w:rPr>
        <w:t xml:space="preserve">successfully </w:t>
      </w:r>
      <w:r w:rsidR="00F003A0" w:rsidRPr="0014270C">
        <w:rPr>
          <w:rFonts w:ascii="Bookman Old Style" w:hAnsi="Bookman Old Style"/>
          <w:sz w:val="24"/>
          <w:szCs w:val="24"/>
        </w:rPr>
        <w:t>restore their neighborhood.</w:t>
      </w:r>
      <w:r w:rsidR="005906D4" w:rsidRPr="0014270C">
        <w:rPr>
          <w:rStyle w:val="FootnoteReference"/>
          <w:rFonts w:ascii="Bookman Old Style" w:hAnsi="Bookman Old Style"/>
          <w:sz w:val="24"/>
          <w:szCs w:val="24"/>
        </w:rPr>
        <w:footnoteReference w:id="153"/>
      </w:r>
    </w:p>
    <w:p w14:paraId="27F05F3E" w14:textId="67467462" w:rsidR="008E5870" w:rsidRPr="0014270C" w:rsidRDefault="008E5870" w:rsidP="006E5B2D">
      <w:pPr>
        <w:spacing w:line="480" w:lineRule="auto"/>
        <w:ind w:firstLine="720"/>
        <w:rPr>
          <w:rFonts w:ascii="Bookman Old Style" w:hAnsi="Bookman Old Style"/>
          <w:sz w:val="24"/>
          <w:szCs w:val="24"/>
        </w:rPr>
      </w:pPr>
      <w:r w:rsidRPr="0014270C">
        <w:rPr>
          <w:rFonts w:ascii="Bookman Old Style" w:hAnsi="Bookman Old Style"/>
          <w:sz w:val="24"/>
          <w:szCs w:val="24"/>
        </w:rPr>
        <w:t>Brisson and Usher show evidence that low-income neighborhoods that have received resources from outside sources (e</w:t>
      </w:r>
      <w:r w:rsidR="00727A54">
        <w:rPr>
          <w:rFonts w:ascii="Bookman Old Style" w:hAnsi="Bookman Old Style"/>
          <w:sz w:val="24"/>
          <w:szCs w:val="24"/>
        </w:rPr>
        <w:t>.</w:t>
      </w:r>
      <w:r w:rsidRPr="0014270C">
        <w:rPr>
          <w:rFonts w:ascii="Bookman Old Style" w:hAnsi="Bookman Old Style"/>
          <w:sz w:val="24"/>
          <w:szCs w:val="24"/>
        </w:rPr>
        <w:t>g. response to crisis or government funded programs) are encouraged to participate in recovery or development,</w:t>
      </w:r>
      <w:r w:rsidR="00FB0659">
        <w:rPr>
          <w:rStyle w:val="FootnoteReference"/>
          <w:rFonts w:ascii="Bookman Old Style" w:hAnsi="Bookman Old Style"/>
          <w:sz w:val="24"/>
          <w:szCs w:val="24"/>
        </w:rPr>
        <w:footnoteReference w:id="154"/>
      </w:r>
      <w:r w:rsidRPr="0014270C">
        <w:rPr>
          <w:rFonts w:ascii="Bookman Old Style" w:hAnsi="Bookman Old Style"/>
          <w:sz w:val="24"/>
          <w:szCs w:val="24"/>
        </w:rPr>
        <w:t xml:space="preserve"> which can play a role in forming relationships and developing bonds that can lead the community to be more self-reliant. It is important to note that social capital is not inherent in low-income areas just as it is not necessarily inherent in more affluent areas. Social capital is determined by the ability to form trusted networks between people, organizations, and leadership within and outside of a community, which, according to Lash and </w:t>
      </w:r>
      <w:proofErr w:type="spellStart"/>
      <w:r w:rsidRPr="0014270C">
        <w:rPr>
          <w:rFonts w:ascii="Bookman Old Style" w:hAnsi="Bookman Old Style"/>
          <w:sz w:val="24"/>
          <w:szCs w:val="24"/>
        </w:rPr>
        <w:t>Belfiore</w:t>
      </w:r>
      <w:proofErr w:type="spellEnd"/>
      <w:r w:rsidRPr="0014270C">
        <w:rPr>
          <w:rFonts w:ascii="Bookman Old Style" w:hAnsi="Bookman Old Style"/>
          <w:sz w:val="24"/>
          <w:szCs w:val="24"/>
        </w:rPr>
        <w:t>, are established by caring friends and adults, near-peers and role models, mentors and coaches, networks and weak-ties, and resources and connectors;</w:t>
      </w:r>
      <w:r w:rsidR="00FB0659">
        <w:rPr>
          <w:rStyle w:val="FootnoteReference"/>
          <w:rFonts w:ascii="Bookman Old Style" w:hAnsi="Bookman Old Style"/>
          <w:sz w:val="24"/>
          <w:szCs w:val="24"/>
        </w:rPr>
        <w:footnoteReference w:id="155"/>
      </w:r>
      <w:r w:rsidRPr="0014270C">
        <w:rPr>
          <w:rFonts w:ascii="Bookman Old Style" w:hAnsi="Bookman Old Style"/>
          <w:sz w:val="24"/>
          <w:szCs w:val="24"/>
        </w:rPr>
        <w:t xml:space="preserve"> the researchers establish that these roles within a network are what define the development of social capital. Lash and </w:t>
      </w:r>
      <w:proofErr w:type="spellStart"/>
      <w:r w:rsidRPr="0014270C">
        <w:rPr>
          <w:rFonts w:ascii="Bookman Old Style" w:hAnsi="Bookman Old Style"/>
          <w:sz w:val="24"/>
          <w:szCs w:val="24"/>
        </w:rPr>
        <w:t>Belfiore</w:t>
      </w:r>
      <w:proofErr w:type="spellEnd"/>
      <w:r w:rsidRPr="0014270C">
        <w:rPr>
          <w:rFonts w:ascii="Bookman Old Style" w:hAnsi="Bookman Old Style"/>
          <w:sz w:val="24"/>
          <w:szCs w:val="24"/>
        </w:rPr>
        <w:t xml:space="preserve"> focus their research on how stresses in affording basic necessities limit success and how social capital can help to overcome those stresses.</w:t>
      </w:r>
      <w:r w:rsidR="00FB0659">
        <w:rPr>
          <w:rStyle w:val="FootnoteReference"/>
          <w:rFonts w:ascii="Bookman Old Style" w:hAnsi="Bookman Old Style"/>
          <w:sz w:val="24"/>
          <w:szCs w:val="24"/>
        </w:rPr>
        <w:footnoteReference w:id="156"/>
      </w:r>
      <w:r w:rsidRPr="0014270C">
        <w:rPr>
          <w:rFonts w:ascii="Bookman Old Style" w:hAnsi="Bookman Old Style"/>
          <w:sz w:val="24"/>
          <w:szCs w:val="24"/>
        </w:rPr>
        <w:t xml:space="preserve"> More affluent neighborhoods tend to have </w:t>
      </w:r>
      <w:r w:rsidRPr="0014270C">
        <w:rPr>
          <w:rFonts w:ascii="Bookman Old Style" w:hAnsi="Bookman Old Style"/>
          <w:sz w:val="24"/>
          <w:szCs w:val="24"/>
        </w:rPr>
        <w:lastRenderedPageBreak/>
        <w:t>an abundancy of institutions in their community with which to become involved, while more segregated communities can suffer from limited access to these opportunities for networking.</w:t>
      </w:r>
      <w:r w:rsidR="00FB0659">
        <w:rPr>
          <w:rStyle w:val="FootnoteReference"/>
          <w:rFonts w:ascii="Bookman Old Style" w:hAnsi="Bookman Old Style"/>
          <w:sz w:val="24"/>
          <w:szCs w:val="24"/>
        </w:rPr>
        <w:footnoteReference w:id="157"/>
      </w:r>
      <w:r w:rsidRPr="0014270C">
        <w:rPr>
          <w:rFonts w:ascii="Bookman Old Style" w:hAnsi="Bookman Old Style"/>
          <w:sz w:val="24"/>
          <w:szCs w:val="24"/>
        </w:rPr>
        <w:t xml:space="preserve"> These connections can lead to opportunities for growth that may not have otherwise presented themselves. This suggests that it is not the affluence of a community that determines success but the strength of connections and availability of friends, role models, mentors, networks, and resources. While more affluent areas may be able to establish these networks more easily, low-income areas can successfully come together to self-manage and adapt to stressors regardless of income, given th</w:t>
      </w:r>
      <w:r w:rsidR="00727A54">
        <w:rPr>
          <w:rFonts w:ascii="Bookman Old Style" w:hAnsi="Bookman Old Style"/>
          <w:sz w:val="24"/>
          <w:szCs w:val="24"/>
        </w:rPr>
        <w:t>at</w:t>
      </w:r>
      <w:r w:rsidRPr="0014270C">
        <w:rPr>
          <w:rFonts w:ascii="Bookman Old Style" w:hAnsi="Bookman Old Style"/>
          <w:sz w:val="24"/>
          <w:szCs w:val="24"/>
        </w:rPr>
        <w:t xml:space="preserve"> strong social capital is already present. This is evident in the study by Shaw and Nakagawa on post-disaster Kobe, Japan, and Gujarat, India, as well as in the successful recovery of Village De </w:t>
      </w:r>
      <w:proofErr w:type="spellStart"/>
      <w:r w:rsidRPr="0014270C">
        <w:rPr>
          <w:rFonts w:ascii="Bookman Old Style" w:hAnsi="Bookman Old Style"/>
          <w:sz w:val="24"/>
          <w:szCs w:val="24"/>
        </w:rPr>
        <w:t>L’est</w:t>
      </w:r>
      <w:proofErr w:type="spellEnd"/>
      <w:r w:rsidRPr="0014270C">
        <w:rPr>
          <w:rFonts w:ascii="Bookman Old Style" w:hAnsi="Bookman Old Style"/>
          <w:sz w:val="24"/>
          <w:szCs w:val="24"/>
        </w:rPr>
        <w:t xml:space="preserve"> in New Orleans.     </w:t>
      </w:r>
    </w:p>
    <w:p w14:paraId="582D38B2" w14:textId="5F51ADE5" w:rsidR="00264228" w:rsidRPr="0014270C" w:rsidRDefault="00264228" w:rsidP="006E5B2D">
      <w:pPr>
        <w:spacing w:line="480" w:lineRule="auto"/>
        <w:ind w:firstLine="720"/>
        <w:rPr>
          <w:rFonts w:ascii="Bookman Old Style" w:hAnsi="Bookman Old Style"/>
          <w:sz w:val="24"/>
          <w:szCs w:val="24"/>
        </w:rPr>
      </w:pPr>
      <w:r w:rsidRPr="0014270C">
        <w:rPr>
          <w:rFonts w:ascii="Bookman Old Style" w:hAnsi="Bookman Old Style"/>
          <w:sz w:val="24"/>
          <w:szCs w:val="24"/>
        </w:rPr>
        <w:t>While Brisson and Usher show that affluence can contribute to greater access to networking opportunities, they also note that the relationship between population density and the ability to engage in activities that build social capital is more easily found in densely populated areas</w:t>
      </w:r>
      <w:r w:rsidR="002C3E6E" w:rsidRPr="0014270C">
        <w:rPr>
          <w:rFonts w:ascii="Bookman Old Style" w:hAnsi="Bookman Old Style"/>
          <w:sz w:val="24"/>
          <w:szCs w:val="24"/>
        </w:rPr>
        <w:t>;</w:t>
      </w:r>
      <w:r w:rsidR="00FB0659">
        <w:rPr>
          <w:rStyle w:val="FootnoteReference"/>
          <w:rFonts w:ascii="Bookman Old Style" w:hAnsi="Bookman Old Style"/>
          <w:sz w:val="24"/>
          <w:szCs w:val="24"/>
        </w:rPr>
        <w:footnoteReference w:id="158"/>
      </w:r>
      <w:r w:rsidRPr="0014270C">
        <w:rPr>
          <w:rFonts w:ascii="Bookman Old Style" w:hAnsi="Bookman Old Style"/>
          <w:sz w:val="24"/>
          <w:szCs w:val="24"/>
        </w:rPr>
        <w:t xml:space="preserve"> John </w:t>
      </w:r>
      <w:proofErr w:type="spellStart"/>
      <w:r w:rsidRPr="0014270C">
        <w:rPr>
          <w:rFonts w:ascii="Bookman Old Style" w:hAnsi="Bookman Old Style"/>
          <w:sz w:val="24"/>
          <w:szCs w:val="24"/>
        </w:rPr>
        <w:t>Durston’s</w:t>
      </w:r>
      <w:proofErr w:type="spellEnd"/>
      <w:r w:rsidRPr="0014270C">
        <w:rPr>
          <w:rFonts w:ascii="Bookman Old Style" w:hAnsi="Bookman Old Style"/>
          <w:sz w:val="24"/>
          <w:szCs w:val="24"/>
        </w:rPr>
        <w:t xml:space="preserve"> study on building social capital in rural communities, more isolated from opportunity to network, focuses on the difficulties of creating social capital where it does not exist. </w:t>
      </w:r>
      <w:proofErr w:type="spellStart"/>
      <w:r w:rsidRPr="0014270C">
        <w:rPr>
          <w:rFonts w:ascii="Bookman Old Style" w:hAnsi="Bookman Old Style"/>
          <w:sz w:val="24"/>
          <w:szCs w:val="24"/>
        </w:rPr>
        <w:t>Durston</w:t>
      </w:r>
      <w:proofErr w:type="spellEnd"/>
      <w:r w:rsidRPr="0014270C">
        <w:rPr>
          <w:rFonts w:ascii="Bookman Old Style" w:hAnsi="Bookman Old Style"/>
          <w:sz w:val="24"/>
          <w:szCs w:val="24"/>
        </w:rPr>
        <w:t xml:space="preserve"> suggests social capital is a resource that contributes to the public good, but not all transactions constitute social capital and there are formal and informal rules that define whether reciprocity </w:t>
      </w:r>
      <w:r w:rsidRPr="0014270C">
        <w:rPr>
          <w:rFonts w:ascii="Bookman Old Style" w:hAnsi="Bookman Old Style"/>
          <w:sz w:val="24"/>
          <w:szCs w:val="24"/>
        </w:rPr>
        <w:lastRenderedPageBreak/>
        <w:t>contributes to social capital or not.</w:t>
      </w:r>
      <w:r w:rsidR="00727A54">
        <w:rPr>
          <w:rStyle w:val="FootnoteReference"/>
          <w:rFonts w:ascii="Bookman Old Style" w:hAnsi="Bookman Old Style"/>
          <w:sz w:val="24"/>
          <w:szCs w:val="24"/>
        </w:rPr>
        <w:footnoteReference w:id="159"/>
      </w:r>
      <w:r w:rsidRPr="0014270C">
        <w:rPr>
          <w:rFonts w:ascii="Bookman Old Style" w:hAnsi="Bookman Old Style"/>
          <w:sz w:val="24"/>
          <w:szCs w:val="24"/>
        </w:rPr>
        <w:t xml:space="preserve"> In his study, </w:t>
      </w:r>
      <w:proofErr w:type="spellStart"/>
      <w:r w:rsidRPr="0014270C">
        <w:rPr>
          <w:rFonts w:ascii="Bookman Old Style" w:hAnsi="Bookman Old Style"/>
          <w:sz w:val="24"/>
          <w:szCs w:val="24"/>
        </w:rPr>
        <w:t>Durston</w:t>
      </w:r>
      <w:proofErr w:type="spellEnd"/>
      <w:r w:rsidRPr="0014270C">
        <w:rPr>
          <w:rFonts w:ascii="Bookman Old Style" w:hAnsi="Bookman Old Style"/>
          <w:sz w:val="24"/>
          <w:szCs w:val="24"/>
        </w:rPr>
        <w:t xml:space="preserve"> states that “for the theory of social capital to have any practical usefulness to policy-makers, it must be clear that it can be built,”</w:t>
      </w:r>
      <w:r w:rsidR="00727A54">
        <w:rPr>
          <w:rStyle w:val="FootnoteReference"/>
          <w:rFonts w:ascii="Bookman Old Style" w:hAnsi="Bookman Old Style"/>
          <w:sz w:val="24"/>
          <w:szCs w:val="24"/>
        </w:rPr>
        <w:footnoteReference w:id="160"/>
      </w:r>
      <w:r w:rsidRPr="0014270C">
        <w:rPr>
          <w:rFonts w:ascii="Bookman Old Style" w:hAnsi="Bookman Old Style"/>
          <w:sz w:val="24"/>
          <w:szCs w:val="24"/>
        </w:rPr>
        <w:t xml:space="preserve"> acknowledging that this concept must be shown effective for government to be persuaded to allocate resources to this cause. In his case study in Eastern Guatemala, </w:t>
      </w:r>
      <w:proofErr w:type="spellStart"/>
      <w:r w:rsidRPr="0014270C">
        <w:rPr>
          <w:rFonts w:ascii="Bookman Old Style" w:hAnsi="Bookman Old Style"/>
          <w:sz w:val="24"/>
          <w:szCs w:val="24"/>
        </w:rPr>
        <w:t>Durston</w:t>
      </w:r>
      <w:proofErr w:type="spellEnd"/>
      <w:r w:rsidRPr="0014270C">
        <w:rPr>
          <w:rFonts w:ascii="Bookman Old Style" w:hAnsi="Bookman Old Style"/>
          <w:sz w:val="24"/>
          <w:szCs w:val="24"/>
        </w:rPr>
        <w:t xml:space="preserve"> provides some confirmation that it is possible to build social capital where it is lacking. He reviewed efforts by the International Fund for Agricultural Development and the Dutch Government for their “Proyecto de </w:t>
      </w:r>
      <w:proofErr w:type="spellStart"/>
      <w:r w:rsidRPr="0014270C">
        <w:rPr>
          <w:rFonts w:ascii="Bookman Old Style" w:hAnsi="Bookman Old Style"/>
          <w:sz w:val="24"/>
          <w:szCs w:val="24"/>
        </w:rPr>
        <w:t>Apoyo</w:t>
      </w:r>
      <w:proofErr w:type="spellEnd"/>
      <w:r w:rsidRPr="0014270C">
        <w:rPr>
          <w:rFonts w:ascii="Bookman Old Style" w:hAnsi="Bookman Old Style"/>
          <w:sz w:val="24"/>
          <w:szCs w:val="24"/>
        </w:rPr>
        <w:t xml:space="preserve"> a los </w:t>
      </w:r>
      <w:proofErr w:type="spellStart"/>
      <w:r w:rsidRPr="0014270C">
        <w:rPr>
          <w:rFonts w:ascii="Bookman Old Style" w:hAnsi="Bookman Old Style"/>
          <w:sz w:val="24"/>
          <w:szCs w:val="24"/>
        </w:rPr>
        <w:t>Pequeños</w:t>
      </w:r>
      <w:proofErr w:type="spellEnd"/>
      <w:r w:rsidRPr="0014270C">
        <w:rPr>
          <w:rFonts w:ascii="Bookman Old Style" w:hAnsi="Bookman Old Style"/>
          <w:sz w:val="24"/>
          <w:szCs w:val="24"/>
        </w:rPr>
        <w:t xml:space="preserve"> </w:t>
      </w:r>
      <w:proofErr w:type="spellStart"/>
      <w:r w:rsidRPr="0014270C">
        <w:rPr>
          <w:rFonts w:ascii="Bookman Old Style" w:hAnsi="Bookman Old Style"/>
          <w:sz w:val="24"/>
          <w:szCs w:val="24"/>
        </w:rPr>
        <w:t>Productores</w:t>
      </w:r>
      <w:proofErr w:type="spellEnd"/>
      <w:r w:rsidRPr="0014270C">
        <w:rPr>
          <w:rFonts w:ascii="Bookman Old Style" w:hAnsi="Bookman Old Style"/>
          <w:sz w:val="24"/>
          <w:szCs w:val="24"/>
        </w:rPr>
        <w:t xml:space="preserve"> de Zacapa y Chiquimula,” a project in support of the small producers in Zacapa and Chiquimula, focusing on 5,000 families in 130 villages lacking in grassroots organizations or inter-family cooperation.</w:t>
      </w:r>
      <w:r w:rsidR="00727A54">
        <w:rPr>
          <w:rStyle w:val="FootnoteReference"/>
          <w:rFonts w:ascii="Bookman Old Style" w:hAnsi="Bookman Old Style"/>
          <w:sz w:val="24"/>
          <w:szCs w:val="24"/>
        </w:rPr>
        <w:footnoteReference w:id="161"/>
      </w:r>
      <w:r w:rsidRPr="0014270C">
        <w:rPr>
          <w:rFonts w:ascii="Bookman Old Style" w:hAnsi="Bookman Old Style"/>
          <w:sz w:val="24"/>
          <w:szCs w:val="24"/>
        </w:rPr>
        <w:t xml:space="preserve"> He found that the culture in this area was deeply individualistic and did not have the inherent ability to be of one mind to work toward a common goal. The people living in this area were unfamiliar with community projects and turnout to events was lacking.</w:t>
      </w:r>
      <w:r w:rsidR="00FB0659">
        <w:rPr>
          <w:rStyle w:val="FootnoteReference"/>
          <w:rFonts w:ascii="Bookman Old Style" w:hAnsi="Bookman Old Style"/>
          <w:sz w:val="24"/>
          <w:szCs w:val="24"/>
        </w:rPr>
        <w:footnoteReference w:id="162"/>
      </w:r>
      <w:r w:rsidRPr="0014270C">
        <w:rPr>
          <w:rFonts w:ascii="Bookman Old Style" w:hAnsi="Bookman Old Style"/>
          <w:sz w:val="24"/>
          <w:szCs w:val="24"/>
        </w:rPr>
        <w:t xml:space="preserve"> When developing a strategy for increasing participation in community projects, the team realized that a large portion of the population had common surnames. They scaled back the efforts to organize, focusing on nuclear groups in order to form bonds in households with the same surname, promoting benefits to these smaller groups rather than the larger whole.</w:t>
      </w:r>
      <w:r w:rsidR="00FB0659">
        <w:rPr>
          <w:rStyle w:val="FootnoteReference"/>
          <w:rFonts w:ascii="Bookman Old Style" w:hAnsi="Bookman Old Style"/>
          <w:sz w:val="24"/>
          <w:szCs w:val="24"/>
        </w:rPr>
        <w:footnoteReference w:id="163"/>
      </w:r>
      <w:r w:rsidRPr="0014270C">
        <w:rPr>
          <w:rFonts w:ascii="Bookman Old Style" w:hAnsi="Bookman Old Style"/>
          <w:sz w:val="24"/>
          <w:szCs w:val="24"/>
        </w:rPr>
        <w:t xml:space="preserve"> </w:t>
      </w:r>
      <w:proofErr w:type="spellStart"/>
      <w:r w:rsidRPr="0014270C">
        <w:rPr>
          <w:rFonts w:ascii="Bookman Old Style" w:hAnsi="Bookman Old Style"/>
          <w:sz w:val="24"/>
          <w:szCs w:val="24"/>
        </w:rPr>
        <w:lastRenderedPageBreak/>
        <w:t>Durston</w:t>
      </w:r>
      <w:proofErr w:type="spellEnd"/>
      <w:r w:rsidRPr="0014270C">
        <w:rPr>
          <w:rFonts w:ascii="Bookman Old Style" w:hAnsi="Bookman Old Style"/>
          <w:sz w:val="24"/>
          <w:szCs w:val="24"/>
        </w:rPr>
        <w:t xml:space="preserve"> confirms the effectiveness of this strategy, stating that by the second year of activity almost every household was involved in community projects and began to actively set goals and express their needs.</w:t>
      </w:r>
      <w:r w:rsidR="00FB0659">
        <w:rPr>
          <w:rStyle w:val="FootnoteReference"/>
          <w:rFonts w:ascii="Bookman Old Style" w:hAnsi="Bookman Old Style"/>
          <w:sz w:val="24"/>
          <w:szCs w:val="24"/>
        </w:rPr>
        <w:footnoteReference w:id="164"/>
      </w:r>
      <w:r w:rsidRPr="0014270C">
        <w:rPr>
          <w:rFonts w:ascii="Bookman Old Style" w:hAnsi="Bookman Old Style"/>
          <w:sz w:val="24"/>
          <w:szCs w:val="24"/>
        </w:rPr>
        <w:t xml:space="preserve"> This case study suggests that building social capital is possible through understanding the culture of an area and finding a connection among residents.</w:t>
      </w:r>
    </w:p>
    <w:p w14:paraId="3E1672B6" w14:textId="529EE0C7" w:rsidR="007644A6" w:rsidRPr="0014270C" w:rsidRDefault="007C2D91" w:rsidP="006E5B2D">
      <w:pPr>
        <w:spacing w:line="480" w:lineRule="auto"/>
        <w:ind w:firstLine="720"/>
        <w:rPr>
          <w:rFonts w:ascii="Bookman Old Style" w:hAnsi="Bookman Old Style"/>
          <w:sz w:val="24"/>
          <w:szCs w:val="24"/>
        </w:rPr>
      </w:pPr>
      <w:proofErr w:type="spellStart"/>
      <w:r w:rsidRPr="0014270C">
        <w:rPr>
          <w:rFonts w:ascii="Bookman Old Style" w:hAnsi="Bookman Old Style"/>
          <w:sz w:val="24"/>
          <w:szCs w:val="24"/>
        </w:rPr>
        <w:t>Adger</w:t>
      </w:r>
      <w:proofErr w:type="spellEnd"/>
      <w:r w:rsidR="00E00322" w:rsidRPr="0014270C">
        <w:rPr>
          <w:rFonts w:ascii="Bookman Old Style" w:hAnsi="Bookman Old Style"/>
          <w:sz w:val="24"/>
          <w:szCs w:val="24"/>
        </w:rPr>
        <w:t xml:space="preserve"> et al. explore social capital further with their research of social-ecological resilience, specifically following disasters in coastal regions. The focus of their work is adaptive capacity, which is the ability to self-manage, learn, and adapt to stressors.</w:t>
      </w:r>
      <w:r w:rsidR="00E00322" w:rsidRPr="0014270C">
        <w:rPr>
          <w:rStyle w:val="FootnoteReference"/>
          <w:rFonts w:ascii="Bookman Old Style" w:hAnsi="Bookman Old Style"/>
          <w:sz w:val="24"/>
          <w:szCs w:val="24"/>
        </w:rPr>
        <w:footnoteReference w:id="165"/>
      </w:r>
      <w:r w:rsidR="00E00322" w:rsidRPr="0014270C">
        <w:rPr>
          <w:rFonts w:ascii="Bookman Old Style" w:hAnsi="Bookman Old Style"/>
          <w:sz w:val="24"/>
          <w:szCs w:val="24"/>
        </w:rPr>
        <w:t xml:space="preserve"> </w:t>
      </w:r>
      <w:r w:rsidR="0096489D" w:rsidRPr="0014270C">
        <w:rPr>
          <w:rFonts w:ascii="Bookman Old Style" w:hAnsi="Bookman Old Style"/>
          <w:sz w:val="24"/>
          <w:szCs w:val="24"/>
        </w:rPr>
        <w:t>The current economic structure of coastal regions is different than it has been in the past, with more global connections and tourism influencing the vulnerability of the coasts; the researchers stress that this increased risk demands better adaptive capacity through purposeful action.</w:t>
      </w:r>
      <w:r w:rsidR="0096489D" w:rsidRPr="0014270C">
        <w:rPr>
          <w:rStyle w:val="FootnoteReference"/>
          <w:rFonts w:ascii="Bookman Old Style" w:hAnsi="Bookman Old Style"/>
          <w:sz w:val="24"/>
          <w:szCs w:val="24"/>
        </w:rPr>
        <w:footnoteReference w:id="166"/>
      </w:r>
      <w:r w:rsidR="0096489D" w:rsidRPr="0014270C">
        <w:rPr>
          <w:rFonts w:ascii="Bookman Old Style" w:hAnsi="Bookman Old Style"/>
          <w:sz w:val="24"/>
          <w:szCs w:val="24"/>
        </w:rPr>
        <w:t xml:space="preserve"> </w:t>
      </w:r>
      <w:proofErr w:type="spellStart"/>
      <w:r w:rsidR="00262EC5" w:rsidRPr="0014270C">
        <w:rPr>
          <w:rFonts w:ascii="Bookman Old Style" w:hAnsi="Bookman Old Style"/>
          <w:sz w:val="24"/>
          <w:szCs w:val="24"/>
        </w:rPr>
        <w:t>Adger</w:t>
      </w:r>
      <w:proofErr w:type="spellEnd"/>
      <w:r w:rsidR="00262EC5" w:rsidRPr="0014270C">
        <w:rPr>
          <w:rFonts w:ascii="Bookman Old Style" w:hAnsi="Bookman Old Style"/>
          <w:sz w:val="24"/>
          <w:szCs w:val="24"/>
        </w:rPr>
        <w:t xml:space="preserve"> et al. argue that prepared communities with knowledgeable residents and responsive institutions are more likely to prevent a natural phenomenon from becoming a long-term social disaster.</w:t>
      </w:r>
      <w:r w:rsidR="00262EC5" w:rsidRPr="0014270C">
        <w:rPr>
          <w:rStyle w:val="FootnoteReference"/>
          <w:rFonts w:ascii="Bookman Old Style" w:hAnsi="Bookman Old Style"/>
          <w:sz w:val="24"/>
          <w:szCs w:val="24"/>
        </w:rPr>
        <w:footnoteReference w:id="167"/>
      </w:r>
      <w:r w:rsidR="00262EC5" w:rsidRPr="0014270C">
        <w:rPr>
          <w:rFonts w:ascii="Bookman Old Style" w:hAnsi="Bookman Old Style"/>
          <w:sz w:val="24"/>
          <w:szCs w:val="24"/>
        </w:rPr>
        <w:t xml:space="preserve"> Through researching how two communities responded following</w:t>
      </w:r>
      <w:r w:rsidR="00323EBD" w:rsidRPr="0014270C">
        <w:rPr>
          <w:rFonts w:ascii="Bookman Old Style" w:hAnsi="Bookman Old Style"/>
          <w:sz w:val="24"/>
          <w:szCs w:val="24"/>
        </w:rPr>
        <w:t xml:space="preserve"> </w:t>
      </w:r>
      <w:r w:rsidR="00262EC5" w:rsidRPr="0014270C">
        <w:rPr>
          <w:rFonts w:ascii="Bookman Old Style" w:hAnsi="Bookman Old Style"/>
          <w:sz w:val="24"/>
          <w:szCs w:val="24"/>
        </w:rPr>
        <w:t>separate events, the researchers found that the ability of formal and informal institutions to adapt to changing circumstances rapidly are the key to managing the long-term social impacts of natural hazards.</w:t>
      </w:r>
      <w:r w:rsidR="00262EC5" w:rsidRPr="0014270C">
        <w:rPr>
          <w:rStyle w:val="FootnoteReference"/>
          <w:rFonts w:ascii="Bookman Old Style" w:hAnsi="Bookman Old Style"/>
          <w:sz w:val="24"/>
          <w:szCs w:val="24"/>
        </w:rPr>
        <w:footnoteReference w:id="168"/>
      </w:r>
      <w:r w:rsidR="00262EC5" w:rsidRPr="0014270C">
        <w:rPr>
          <w:rFonts w:ascii="Bookman Old Style" w:hAnsi="Bookman Old Style"/>
          <w:sz w:val="24"/>
          <w:szCs w:val="24"/>
        </w:rPr>
        <w:t xml:space="preserve"> </w:t>
      </w:r>
    </w:p>
    <w:p w14:paraId="17B337C5" w14:textId="77777777" w:rsidR="00096690" w:rsidRPr="0014270C" w:rsidRDefault="0042426B" w:rsidP="006E5B2D">
      <w:pPr>
        <w:spacing w:line="480" w:lineRule="auto"/>
        <w:ind w:firstLine="720"/>
        <w:rPr>
          <w:rFonts w:ascii="Bookman Old Style" w:hAnsi="Bookman Old Style"/>
          <w:sz w:val="24"/>
          <w:szCs w:val="24"/>
        </w:rPr>
      </w:pPr>
      <w:r w:rsidRPr="0014270C">
        <w:rPr>
          <w:rFonts w:ascii="Bookman Old Style" w:hAnsi="Bookman Old Style"/>
          <w:sz w:val="24"/>
          <w:szCs w:val="24"/>
        </w:rPr>
        <w:lastRenderedPageBreak/>
        <w:t>A</w:t>
      </w:r>
      <w:r w:rsidR="00262EC5" w:rsidRPr="0014270C">
        <w:rPr>
          <w:rFonts w:ascii="Bookman Old Style" w:hAnsi="Bookman Old Style"/>
          <w:sz w:val="24"/>
          <w:szCs w:val="24"/>
        </w:rPr>
        <w:t>lthough the</w:t>
      </w:r>
      <w:r w:rsidRPr="0014270C">
        <w:rPr>
          <w:rFonts w:ascii="Bookman Old Style" w:hAnsi="Bookman Old Style"/>
          <w:sz w:val="24"/>
          <w:szCs w:val="24"/>
        </w:rPr>
        <w:t xml:space="preserve"> </w:t>
      </w:r>
      <w:r w:rsidR="00262EC5" w:rsidRPr="0014270C">
        <w:rPr>
          <w:rFonts w:ascii="Bookman Old Style" w:hAnsi="Bookman Old Style"/>
          <w:sz w:val="24"/>
          <w:szCs w:val="24"/>
        </w:rPr>
        <w:t>changing physical environment is part</w:t>
      </w:r>
      <w:r w:rsidRPr="0014270C">
        <w:rPr>
          <w:rFonts w:ascii="Bookman Old Style" w:hAnsi="Bookman Old Style"/>
          <w:sz w:val="24"/>
          <w:szCs w:val="24"/>
        </w:rPr>
        <w:t xml:space="preserve">ly to blame for </w:t>
      </w:r>
      <w:r w:rsidR="00262EC5" w:rsidRPr="0014270C">
        <w:rPr>
          <w:rFonts w:ascii="Bookman Old Style" w:hAnsi="Bookman Old Style"/>
          <w:sz w:val="24"/>
          <w:szCs w:val="24"/>
        </w:rPr>
        <w:t xml:space="preserve">the </w:t>
      </w:r>
      <w:r w:rsidRPr="0014270C">
        <w:rPr>
          <w:rFonts w:ascii="Bookman Old Style" w:hAnsi="Bookman Old Style"/>
          <w:sz w:val="24"/>
          <w:szCs w:val="24"/>
        </w:rPr>
        <w:t xml:space="preserve">dramatic increase of hurricane related </w:t>
      </w:r>
      <w:r w:rsidR="00262EC5" w:rsidRPr="0014270C">
        <w:rPr>
          <w:rFonts w:ascii="Bookman Old Style" w:hAnsi="Bookman Old Style"/>
          <w:sz w:val="24"/>
          <w:szCs w:val="24"/>
        </w:rPr>
        <w:t xml:space="preserve">costs </w:t>
      </w:r>
      <w:r w:rsidR="00323EBD" w:rsidRPr="0014270C">
        <w:rPr>
          <w:rFonts w:ascii="Bookman Old Style" w:hAnsi="Bookman Old Style"/>
          <w:sz w:val="24"/>
          <w:szCs w:val="24"/>
        </w:rPr>
        <w:t xml:space="preserve">over time, </w:t>
      </w:r>
      <w:r w:rsidRPr="0014270C">
        <w:rPr>
          <w:rFonts w:ascii="Bookman Old Style" w:hAnsi="Bookman Old Style"/>
          <w:sz w:val="24"/>
          <w:szCs w:val="24"/>
        </w:rPr>
        <w:t xml:space="preserve">the researchers insist that </w:t>
      </w:r>
      <w:r w:rsidR="00323EBD" w:rsidRPr="0014270C">
        <w:rPr>
          <w:rFonts w:ascii="Bookman Old Style" w:hAnsi="Bookman Old Style"/>
          <w:sz w:val="24"/>
          <w:szCs w:val="24"/>
        </w:rPr>
        <w:t xml:space="preserve">the increased social vulnerability of coastal regions plays an equal part. They cite changes made in the Cayman Islands as an example of how adaptation through the promotion of strong social cohesion has made a distinct difference from Hurricanes Mitch and Michelle, </w:t>
      </w:r>
      <w:r w:rsidR="0094068D" w:rsidRPr="0014270C">
        <w:rPr>
          <w:rFonts w:ascii="Bookman Old Style" w:hAnsi="Bookman Old Style"/>
          <w:sz w:val="24"/>
          <w:szCs w:val="24"/>
        </w:rPr>
        <w:t>which occurred</w:t>
      </w:r>
      <w:r w:rsidR="00323EBD" w:rsidRPr="0014270C">
        <w:rPr>
          <w:rFonts w:ascii="Bookman Old Style" w:hAnsi="Bookman Old Style"/>
          <w:sz w:val="24"/>
          <w:szCs w:val="24"/>
        </w:rPr>
        <w:t xml:space="preserve"> toward the end of the last century, to Hurricane Ivan in 2004.</w:t>
      </w:r>
      <w:r w:rsidRPr="0014270C">
        <w:rPr>
          <w:rFonts w:ascii="Bookman Old Style" w:hAnsi="Bookman Old Style"/>
          <w:sz w:val="24"/>
          <w:szCs w:val="24"/>
        </w:rPr>
        <w:t xml:space="preserve"> </w:t>
      </w:r>
      <w:proofErr w:type="spellStart"/>
      <w:r w:rsidRPr="0014270C">
        <w:rPr>
          <w:rFonts w:ascii="Bookman Old Style" w:hAnsi="Bookman Old Style"/>
          <w:sz w:val="24"/>
          <w:szCs w:val="24"/>
        </w:rPr>
        <w:t>Adger</w:t>
      </w:r>
      <w:proofErr w:type="spellEnd"/>
      <w:r w:rsidRPr="0014270C">
        <w:rPr>
          <w:rFonts w:ascii="Bookman Old Style" w:hAnsi="Bookman Old Style"/>
          <w:sz w:val="24"/>
          <w:szCs w:val="24"/>
        </w:rPr>
        <w:t xml:space="preserve"> et al. conclude that </w:t>
      </w:r>
      <w:r w:rsidR="003E395C" w:rsidRPr="0014270C">
        <w:rPr>
          <w:rFonts w:ascii="Bookman Old Style" w:hAnsi="Bookman Old Style"/>
          <w:sz w:val="24"/>
          <w:szCs w:val="24"/>
        </w:rPr>
        <w:t>large-scale changes to environment and society demand effective multilevel governance systems which promote social capital. This strength in leadership and building of a trusted network of connections is critical to implementing the necessary changes for adaptation to new norms.</w:t>
      </w:r>
      <w:r w:rsidR="003E395C" w:rsidRPr="0014270C">
        <w:rPr>
          <w:rStyle w:val="FootnoteReference"/>
          <w:rFonts w:ascii="Bookman Old Style" w:hAnsi="Bookman Old Style"/>
          <w:sz w:val="24"/>
          <w:szCs w:val="24"/>
        </w:rPr>
        <w:footnoteReference w:id="169"/>
      </w:r>
      <w:r w:rsidR="003E395C" w:rsidRPr="0014270C">
        <w:rPr>
          <w:rFonts w:ascii="Bookman Old Style" w:hAnsi="Bookman Old Style"/>
          <w:sz w:val="24"/>
          <w:szCs w:val="24"/>
        </w:rPr>
        <w:t xml:space="preserve"> </w:t>
      </w:r>
    </w:p>
    <w:p w14:paraId="32B62989" w14:textId="3F2F3EF2" w:rsidR="006B6BE6" w:rsidRPr="0014270C" w:rsidRDefault="00096690" w:rsidP="0066392D">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Brisson and Usher recognize the importance of varying levels of social capital. Bonding, what defines trusted intra-community relationships, </w:t>
      </w:r>
      <w:r w:rsidR="009B3CF3">
        <w:rPr>
          <w:rFonts w:ascii="Bookman Old Style" w:hAnsi="Bookman Old Style"/>
          <w:sz w:val="24"/>
          <w:szCs w:val="24"/>
        </w:rPr>
        <w:t>is</w:t>
      </w:r>
      <w:r w:rsidRPr="0014270C">
        <w:rPr>
          <w:rFonts w:ascii="Bookman Old Style" w:hAnsi="Bookman Old Style"/>
          <w:sz w:val="24"/>
          <w:szCs w:val="24"/>
        </w:rPr>
        <w:t xml:space="preserve"> more personal and serve</w:t>
      </w:r>
      <w:r w:rsidR="009B3CF3">
        <w:rPr>
          <w:rFonts w:ascii="Bookman Old Style" w:hAnsi="Bookman Old Style"/>
          <w:sz w:val="24"/>
          <w:szCs w:val="24"/>
        </w:rPr>
        <w:t>s</w:t>
      </w:r>
      <w:r w:rsidRPr="0014270C">
        <w:rPr>
          <w:rFonts w:ascii="Bookman Old Style" w:hAnsi="Bookman Old Style"/>
          <w:sz w:val="24"/>
          <w:szCs w:val="24"/>
        </w:rPr>
        <w:t xml:space="preserve"> the community on a smaller scale. This allows a community to pool its resources, helping family and neighbors by using collective effort to contribute whatever is available. The researchers note that in lower-income areas, social </w:t>
      </w:r>
      <w:r w:rsidR="00DC3428" w:rsidRPr="0014270C">
        <w:rPr>
          <w:rFonts w:ascii="Bookman Old Style" w:hAnsi="Bookman Old Style"/>
          <w:sz w:val="24"/>
          <w:szCs w:val="24"/>
        </w:rPr>
        <w:t xml:space="preserve">bridging </w:t>
      </w:r>
      <w:r w:rsidRPr="0014270C">
        <w:rPr>
          <w:rFonts w:ascii="Bookman Old Style" w:hAnsi="Bookman Old Style"/>
          <w:sz w:val="24"/>
          <w:szCs w:val="24"/>
        </w:rPr>
        <w:t>with organizations and leadership outside of a community is what can help relieve an area of the recurring need for pooling of resources by implementing long-term solutions for the root of the problem.</w:t>
      </w:r>
      <w:r w:rsidR="0066392D">
        <w:rPr>
          <w:rStyle w:val="FootnoteReference"/>
          <w:rFonts w:ascii="Bookman Old Style" w:hAnsi="Bookman Old Style"/>
          <w:sz w:val="24"/>
          <w:szCs w:val="24"/>
        </w:rPr>
        <w:footnoteReference w:id="170"/>
      </w:r>
      <w:r w:rsidRPr="0014270C">
        <w:rPr>
          <w:rFonts w:ascii="Bookman Old Style" w:hAnsi="Bookman Old Style"/>
          <w:sz w:val="24"/>
          <w:szCs w:val="24"/>
        </w:rPr>
        <w:t xml:space="preserve"> Brisson and Usher explain how social capital also has the potential to have negative influence, particularly in low-come areas that have been </w:t>
      </w:r>
      <w:r w:rsidRPr="0014270C">
        <w:rPr>
          <w:rFonts w:ascii="Bookman Old Style" w:hAnsi="Bookman Old Style"/>
          <w:sz w:val="24"/>
          <w:szCs w:val="24"/>
        </w:rPr>
        <w:lastRenderedPageBreak/>
        <w:t>systemically neglected. The formation of gangs is an example of social capital used to negatively gain power, which could lead to increased crime.</w:t>
      </w:r>
      <w:r w:rsidR="0066392D">
        <w:rPr>
          <w:rStyle w:val="FootnoteReference"/>
          <w:rFonts w:ascii="Bookman Old Style" w:hAnsi="Bookman Old Style"/>
          <w:sz w:val="24"/>
          <w:szCs w:val="24"/>
        </w:rPr>
        <w:footnoteReference w:id="171"/>
      </w:r>
      <w:r w:rsidRPr="0014270C">
        <w:rPr>
          <w:rFonts w:ascii="Bookman Old Style" w:hAnsi="Bookman Old Style"/>
          <w:sz w:val="24"/>
          <w:szCs w:val="24"/>
        </w:rPr>
        <w:t xml:space="preserve"> This suggests that extra-community bridging is necessary as a support to build trust between those living in a community and those looking in from an outside perspective. </w:t>
      </w:r>
    </w:p>
    <w:p w14:paraId="40AB9814" w14:textId="5CB319A7" w:rsidR="00567DD7" w:rsidRPr="0014270C" w:rsidRDefault="00783AA1" w:rsidP="00B93546">
      <w:pPr>
        <w:pStyle w:val="THESISLVL3"/>
      </w:pPr>
      <w:bookmarkStart w:id="48" w:name="_Toc8062283"/>
      <w:r w:rsidRPr="0014270C">
        <w:t xml:space="preserve">No </w:t>
      </w:r>
      <w:r w:rsidR="00346B91" w:rsidRPr="0014270C">
        <w:t>P</w:t>
      </w:r>
      <w:r w:rsidRPr="0014270C">
        <w:t xml:space="preserve">lace </w:t>
      </w:r>
      <w:r w:rsidR="00346B91" w:rsidRPr="0014270C">
        <w:t>L</w:t>
      </w:r>
      <w:r w:rsidRPr="0014270C">
        <w:t xml:space="preserve">ike </w:t>
      </w:r>
      <w:r w:rsidR="00346B91" w:rsidRPr="0014270C">
        <w:t>H</w:t>
      </w:r>
      <w:r w:rsidRPr="0014270C">
        <w:t>ome</w:t>
      </w:r>
      <w:bookmarkEnd w:id="48"/>
    </w:p>
    <w:p w14:paraId="26563D80" w14:textId="4B77B84F" w:rsidR="006B13B7" w:rsidRPr="0014270C" w:rsidRDefault="006B5FF2" w:rsidP="006B13B7">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Leanne Rivlin and Jeanne Moore recognize </w:t>
      </w:r>
      <w:r w:rsidR="00217763" w:rsidRPr="0014270C">
        <w:rPr>
          <w:rFonts w:ascii="Bookman Old Style" w:hAnsi="Bookman Old Style"/>
          <w:sz w:val="24"/>
          <w:szCs w:val="24"/>
        </w:rPr>
        <w:t xml:space="preserve">the importance of a holistic approach </w:t>
      </w:r>
      <w:r w:rsidR="00AC0B2E" w:rsidRPr="0014270C">
        <w:rPr>
          <w:rFonts w:ascii="Bookman Old Style" w:hAnsi="Bookman Old Style"/>
          <w:sz w:val="24"/>
          <w:szCs w:val="24"/>
        </w:rPr>
        <w:t>to</w:t>
      </w:r>
      <w:r w:rsidR="00217763" w:rsidRPr="0014270C">
        <w:rPr>
          <w:rFonts w:ascii="Bookman Old Style" w:hAnsi="Bookman Old Style"/>
          <w:sz w:val="24"/>
          <w:szCs w:val="24"/>
        </w:rPr>
        <w:t xml:space="preserve"> home-making. </w:t>
      </w:r>
      <w:r w:rsidR="00085250" w:rsidRPr="0014270C">
        <w:rPr>
          <w:rFonts w:ascii="Bookman Old Style" w:hAnsi="Bookman Old Style"/>
          <w:sz w:val="24"/>
          <w:szCs w:val="24"/>
        </w:rPr>
        <w:t>Their 2001 study</w:t>
      </w:r>
      <w:r w:rsidR="00E14D65" w:rsidRPr="0014270C">
        <w:rPr>
          <w:rFonts w:ascii="Bookman Old Style" w:hAnsi="Bookman Old Style"/>
          <w:sz w:val="24"/>
          <w:szCs w:val="24"/>
        </w:rPr>
        <w:t xml:space="preserve">, </w:t>
      </w:r>
      <w:r w:rsidR="00311422" w:rsidRPr="0014270C">
        <w:rPr>
          <w:rFonts w:ascii="Bookman Old Style" w:hAnsi="Bookman Old Style"/>
          <w:sz w:val="24"/>
          <w:szCs w:val="24"/>
        </w:rPr>
        <w:t>“</w:t>
      </w:r>
      <w:r w:rsidR="00927EE7" w:rsidRPr="0014270C">
        <w:rPr>
          <w:rFonts w:ascii="Bookman Old Style" w:hAnsi="Bookman Old Style"/>
          <w:sz w:val="24"/>
          <w:szCs w:val="24"/>
        </w:rPr>
        <w:t>Home-Making: Supports and Barriers to the Process of Home,</w:t>
      </w:r>
      <w:r w:rsidR="00311422" w:rsidRPr="0014270C">
        <w:rPr>
          <w:rFonts w:ascii="Bookman Old Style" w:hAnsi="Bookman Old Style"/>
          <w:sz w:val="24"/>
          <w:szCs w:val="24"/>
        </w:rPr>
        <w:t>”</w:t>
      </w:r>
      <w:r w:rsidR="00927EE7" w:rsidRPr="0014270C">
        <w:rPr>
          <w:rFonts w:ascii="Bookman Old Style" w:hAnsi="Bookman Old Style"/>
          <w:sz w:val="24"/>
          <w:szCs w:val="24"/>
        </w:rPr>
        <w:t xml:space="preserve"> </w:t>
      </w:r>
      <w:r w:rsidR="000B6360" w:rsidRPr="0014270C">
        <w:rPr>
          <w:rFonts w:ascii="Bookman Old Style" w:hAnsi="Bookman Old Style"/>
          <w:sz w:val="24"/>
          <w:szCs w:val="24"/>
        </w:rPr>
        <w:t xml:space="preserve">analyzes the importance of </w:t>
      </w:r>
      <w:r w:rsidR="005A6CD1" w:rsidRPr="0014270C">
        <w:rPr>
          <w:rFonts w:ascii="Bookman Old Style" w:hAnsi="Bookman Old Style"/>
          <w:sz w:val="24"/>
          <w:szCs w:val="24"/>
        </w:rPr>
        <w:t>“social, physical, environmental, financial, and practical supports and barriers”</w:t>
      </w:r>
      <w:r w:rsidR="00755F34" w:rsidRPr="0014270C">
        <w:rPr>
          <w:rStyle w:val="FootnoteReference"/>
          <w:rFonts w:ascii="Bookman Old Style" w:hAnsi="Bookman Old Style"/>
          <w:sz w:val="24"/>
          <w:szCs w:val="24"/>
        </w:rPr>
        <w:footnoteReference w:id="172"/>
      </w:r>
      <w:r w:rsidR="005A6CD1" w:rsidRPr="0014270C">
        <w:rPr>
          <w:rFonts w:ascii="Bookman Old Style" w:hAnsi="Bookman Old Style"/>
          <w:sz w:val="24"/>
          <w:szCs w:val="24"/>
        </w:rPr>
        <w:t xml:space="preserve"> </w:t>
      </w:r>
      <w:r w:rsidR="00896A58" w:rsidRPr="0014270C">
        <w:rPr>
          <w:rFonts w:ascii="Bookman Old Style" w:hAnsi="Bookman Old Style"/>
          <w:sz w:val="24"/>
          <w:szCs w:val="24"/>
        </w:rPr>
        <w:t xml:space="preserve">by </w:t>
      </w:r>
      <w:r w:rsidR="001002D4" w:rsidRPr="0014270C">
        <w:rPr>
          <w:rFonts w:ascii="Bookman Old Style" w:hAnsi="Bookman Old Style"/>
          <w:sz w:val="24"/>
          <w:szCs w:val="24"/>
        </w:rPr>
        <w:t>finding common themes among studies on</w:t>
      </w:r>
      <w:r w:rsidR="00896A58" w:rsidRPr="0014270C">
        <w:rPr>
          <w:rFonts w:ascii="Bookman Old Style" w:hAnsi="Bookman Old Style"/>
          <w:sz w:val="24"/>
          <w:szCs w:val="24"/>
        </w:rPr>
        <w:t xml:space="preserve"> homeless</w:t>
      </w:r>
      <w:r w:rsidR="00CC3147" w:rsidRPr="0014270C">
        <w:rPr>
          <w:rFonts w:ascii="Bookman Old Style" w:hAnsi="Bookman Old Style"/>
          <w:sz w:val="24"/>
          <w:szCs w:val="24"/>
        </w:rPr>
        <w:t>ness</w:t>
      </w:r>
      <w:r w:rsidR="00896A58" w:rsidRPr="0014270C">
        <w:rPr>
          <w:rFonts w:ascii="Bookman Old Style" w:hAnsi="Bookman Old Style"/>
          <w:sz w:val="24"/>
          <w:szCs w:val="24"/>
        </w:rPr>
        <w:t xml:space="preserve"> in the United States and the United Kingdom.</w:t>
      </w:r>
      <w:r w:rsidR="006B13B7" w:rsidRPr="0014270C">
        <w:rPr>
          <w:rFonts w:ascii="Bookman Old Style" w:hAnsi="Bookman Old Style"/>
          <w:sz w:val="24"/>
          <w:szCs w:val="24"/>
        </w:rPr>
        <w:t xml:space="preserve"> </w:t>
      </w:r>
      <w:r w:rsidR="009C1D00" w:rsidRPr="0014270C">
        <w:rPr>
          <w:rFonts w:ascii="Bookman Old Style" w:hAnsi="Bookman Old Style"/>
          <w:sz w:val="24"/>
          <w:szCs w:val="24"/>
        </w:rPr>
        <w:t xml:space="preserve">It </w:t>
      </w:r>
      <w:proofErr w:type="gramStart"/>
      <w:r w:rsidR="009C1D00" w:rsidRPr="0014270C">
        <w:rPr>
          <w:rFonts w:ascii="Bookman Old Style" w:hAnsi="Bookman Old Style"/>
          <w:sz w:val="24"/>
          <w:szCs w:val="24"/>
        </w:rPr>
        <w:t>was found</w:t>
      </w:r>
      <w:proofErr w:type="gramEnd"/>
      <w:r w:rsidR="009C1D00" w:rsidRPr="0014270C">
        <w:rPr>
          <w:rFonts w:ascii="Bookman Old Style" w:hAnsi="Bookman Old Style"/>
          <w:sz w:val="24"/>
          <w:szCs w:val="24"/>
        </w:rPr>
        <w:t xml:space="preserve"> that there are many functions that </w:t>
      </w:r>
      <w:r w:rsidR="00F05A18" w:rsidRPr="0014270C">
        <w:rPr>
          <w:rFonts w:ascii="Bookman Old Style" w:hAnsi="Bookman Old Style"/>
          <w:sz w:val="24"/>
          <w:szCs w:val="24"/>
        </w:rPr>
        <w:t xml:space="preserve">go into the process of home-making that </w:t>
      </w:r>
      <w:r w:rsidR="00260416" w:rsidRPr="0014270C">
        <w:rPr>
          <w:rFonts w:ascii="Bookman Old Style" w:hAnsi="Bookman Old Style"/>
          <w:noProof/>
          <w:sz w:val="24"/>
          <w:szCs w:val="24"/>
        </w:rPr>
        <w:t>are</w:t>
      </w:r>
      <w:r w:rsidR="00F05A18" w:rsidRPr="0014270C">
        <w:rPr>
          <w:rFonts w:ascii="Bookman Old Style" w:hAnsi="Bookman Old Style"/>
          <w:sz w:val="24"/>
          <w:szCs w:val="24"/>
        </w:rPr>
        <w:t xml:space="preserve"> outside of </w:t>
      </w:r>
      <w:r w:rsidR="00DA04A1" w:rsidRPr="0014270C">
        <w:rPr>
          <w:rFonts w:ascii="Bookman Old Style" w:hAnsi="Bookman Old Style"/>
          <w:sz w:val="24"/>
          <w:szCs w:val="24"/>
        </w:rPr>
        <w:t>the provision of a roof</w:t>
      </w:r>
      <w:r w:rsidR="000D54F1" w:rsidRPr="0014270C">
        <w:rPr>
          <w:rFonts w:ascii="Bookman Old Style" w:hAnsi="Bookman Old Style"/>
          <w:sz w:val="24"/>
          <w:szCs w:val="24"/>
        </w:rPr>
        <w:t xml:space="preserve"> and four walls</w:t>
      </w:r>
      <w:r w:rsidR="00DA04A1" w:rsidRPr="0014270C">
        <w:rPr>
          <w:rFonts w:ascii="Bookman Old Style" w:hAnsi="Bookman Old Style"/>
          <w:sz w:val="24"/>
          <w:szCs w:val="24"/>
        </w:rPr>
        <w:t xml:space="preserve">. </w:t>
      </w:r>
      <w:r w:rsidR="00E22A97" w:rsidRPr="0014270C">
        <w:rPr>
          <w:rFonts w:ascii="Bookman Old Style" w:hAnsi="Bookman Old Style"/>
          <w:sz w:val="24"/>
          <w:szCs w:val="24"/>
        </w:rPr>
        <w:t xml:space="preserve">The ability to afford rent, utilities, medical expenses, and food </w:t>
      </w:r>
      <w:r w:rsidR="00260416" w:rsidRPr="0014270C">
        <w:rPr>
          <w:rFonts w:ascii="Bookman Old Style" w:hAnsi="Bookman Old Style"/>
          <w:noProof/>
          <w:sz w:val="24"/>
          <w:szCs w:val="24"/>
        </w:rPr>
        <w:t>is</w:t>
      </w:r>
      <w:r w:rsidR="00E22A97" w:rsidRPr="0014270C">
        <w:rPr>
          <w:rFonts w:ascii="Bookman Old Style" w:hAnsi="Bookman Old Style"/>
          <w:sz w:val="24"/>
          <w:szCs w:val="24"/>
        </w:rPr>
        <w:t xml:space="preserve"> </w:t>
      </w:r>
      <w:r w:rsidR="00F957EB" w:rsidRPr="0014270C">
        <w:rPr>
          <w:rFonts w:ascii="Bookman Old Style" w:hAnsi="Bookman Old Style"/>
          <w:sz w:val="24"/>
          <w:szCs w:val="24"/>
        </w:rPr>
        <w:t xml:space="preserve">significant, as many people </w:t>
      </w:r>
      <w:proofErr w:type="gramStart"/>
      <w:r w:rsidR="00F957EB" w:rsidRPr="0014270C">
        <w:rPr>
          <w:rFonts w:ascii="Bookman Old Style" w:hAnsi="Bookman Old Style"/>
          <w:sz w:val="24"/>
          <w:szCs w:val="24"/>
        </w:rPr>
        <w:t>are kept</w:t>
      </w:r>
      <w:proofErr w:type="gramEnd"/>
      <w:r w:rsidR="00F957EB" w:rsidRPr="0014270C">
        <w:rPr>
          <w:rFonts w:ascii="Bookman Old Style" w:hAnsi="Bookman Old Style"/>
          <w:sz w:val="24"/>
          <w:szCs w:val="24"/>
        </w:rPr>
        <w:t xml:space="preserve"> in poverty due to these absolute necessities of life</w:t>
      </w:r>
      <w:r w:rsidR="00CB6E83" w:rsidRPr="0014270C">
        <w:rPr>
          <w:rFonts w:ascii="Bookman Old Style" w:hAnsi="Bookman Old Style"/>
          <w:sz w:val="24"/>
          <w:szCs w:val="24"/>
        </w:rPr>
        <w:t xml:space="preserve">. </w:t>
      </w:r>
      <w:r w:rsidR="00F957EB" w:rsidRPr="0014270C">
        <w:rPr>
          <w:rFonts w:ascii="Bookman Old Style" w:hAnsi="Bookman Old Style"/>
          <w:sz w:val="24"/>
          <w:szCs w:val="24"/>
        </w:rPr>
        <w:t xml:space="preserve"> </w:t>
      </w:r>
    </w:p>
    <w:p w14:paraId="145FF033" w14:textId="6D157DE3" w:rsidR="00076D3C" w:rsidRDefault="00A04418" w:rsidP="003D132E">
      <w:pPr>
        <w:spacing w:line="480" w:lineRule="auto"/>
        <w:ind w:firstLine="720"/>
        <w:rPr>
          <w:rFonts w:ascii="Bookman Old Style" w:hAnsi="Bookman Old Style"/>
          <w:sz w:val="24"/>
          <w:szCs w:val="24"/>
        </w:rPr>
      </w:pPr>
      <w:r w:rsidRPr="0014270C">
        <w:rPr>
          <w:rFonts w:ascii="Bookman Old Style" w:hAnsi="Bookman Old Style"/>
          <w:sz w:val="24"/>
          <w:szCs w:val="24"/>
        </w:rPr>
        <w:t>Having a sense of control over a dwelling</w:t>
      </w:r>
      <w:r w:rsidR="00755FC3" w:rsidRPr="0014270C">
        <w:rPr>
          <w:rFonts w:ascii="Bookman Old Style" w:hAnsi="Bookman Old Style"/>
          <w:sz w:val="24"/>
          <w:szCs w:val="24"/>
        </w:rPr>
        <w:t xml:space="preserve"> was found to be a factor in the process of </w:t>
      </w:r>
      <w:proofErr w:type="gramStart"/>
      <w:r w:rsidR="00755FC3" w:rsidRPr="0014270C">
        <w:rPr>
          <w:rFonts w:ascii="Bookman Old Style" w:hAnsi="Bookman Old Style"/>
          <w:sz w:val="24"/>
          <w:szCs w:val="24"/>
        </w:rPr>
        <w:t>home-making</w:t>
      </w:r>
      <w:proofErr w:type="gramEnd"/>
      <w:r w:rsidR="00755FC3" w:rsidRPr="0014270C">
        <w:rPr>
          <w:rFonts w:ascii="Bookman Old Style" w:hAnsi="Bookman Old Style"/>
          <w:sz w:val="24"/>
          <w:szCs w:val="24"/>
        </w:rPr>
        <w:t>.</w:t>
      </w:r>
      <w:r w:rsidRPr="0014270C">
        <w:rPr>
          <w:rFonts w:ascii="Bookman Old Style" w:hAnsi="Bookman Old Style"/>
          <w:sz w:val="24"/>
          <w:szCs w:val="24"/>
        </w:rPr>
        <w:t xml:space="preserve"> </w:t>
      </w:r>
      <w:r w:rsidR="00F84D08" w:rsidRPr="0014270C">
        <w:rPr>
          <w:rFonts w:ascii="Bookman Old Style" w:hAnsi="Bookman Old Style"/>
          <w:sz w:val="24"/>
          <w:szCs w:val="24"/>
        </w:rPr>
        <w:t>People who were provided</w:t>
      </w:r>
      <w:r w:rsidR="00336074" w:rsidRPr="0014270C">
        <w:rPr>
          <w:rFonts w:ascii="Bookman Old Style" w:hAnsi="Bookman Old Style"/>
          <w:sz w:val="24"/>
          <w:szCs w:val="24"/>
        </w:rPr>
        <w:t xml:space="preserve"> </w:t>
      </w:r>
      <w:r w:rsidR="004C7238" w:rsidRPr="0014270C">
        <w:rPr>
          <w:rFonts w:ascii="Bookman Old Style" w:hAnsi="Bookman Old Style"/>
          <w:sz w:val="24"/>
          <w:szCs w:val="24"/>
        </w:rPr>
        <w:t xml:space="preserve">storage and </w:t>
      </w:r>
      <w:r w:rsidR="00336074" w:rsidRPr="0014270C">
        <w:rPr>
          <w:rFonts w:ascii="Bookman Old Style" w:hAnsi="Bookman Old Style"/>
          <w:sz w:val="24"/>
          <w:szCs w:val="24"/>
        </w:rPr>
        <w:t>a</w:t>
      </w:r>
      <w:r w:rsidRPr="0014270C">
        <w:rPr>
          <w:rFonts w:ascii="Bookman Old Style" w:hAnsi="Bookman Old Style"/>
          <w:sz w:val="24"/>
          <w:szCs w:val="24"/>
        </w:rPr>
        <w:t xml:space="preserve"> kitchen, allowing for culture to be passed on through generations in the form of cooking,</w:t>
      </w:r>
      <w:r w:rsidRPr="0014270C">
        <w:rPr>
          <w:rStyle w:val="FootnoteReference"/>
          <w:rFonts w:ascii="Bookman Old Style" w:hAnsi="Bookman Old Style"/>
          <w:sz w:val="24"/>
          <w:szCs w:val="24"/>
        </w:rPr>
        <w:footnoteReference w:id="173"/>
      </w:r>
      <w:r w:rsidRPr="0014270C">
        <w:rPr>
          <w:rFonts w:ascii="Bookman Old Style" w:hAnsi="Bookman Old Style"/>
          <w:sz w:val="24"/>
          <w:szCs w:val="24"/>
        </w:rPr>
        <w:t xml:space="preserve"> </w:t>
      </w:r>
      <w:r w:rsidR="00D57DD8" w:rsidRPr="0014270C">
        <w:rPr>
          <w:rFonts w:ascii="Bookman Old Style" w:hAnsi="Bookman Old Style"/>
          <w:sz w:val="24"/>
          <w:szCs w:val="24"/>
        </w:rPr>
        <w:t xml:space="preserve">proved </w:t>
      </w:r>
      <w:r w:rsidR="00403C6A" w:rsidRPr="0014270C">
        <w:rPr>
          <w:rFonts w:ascii="Bookman Old Style" w:hAnsi="Bookman Old Style"/>
          <w:sz w:val="24"/>
          <w:szCs w:val="24"/>
        </w:rPr>
        <w:t>more effective</w:t>
      </w:r>
      <w:r w:rsidR="00D57DD8" w:rsidRPr="0014270C">
        <w:rPr>
          <w:rFonts w:ascii="Bookman Old Style" w:hAnsi="Bookman Old Style"/>
          <w:sz w:val="24"/>
          <w:szCs w:val="24"/>
        </w:rPr>
        <w:t xml:space="preserve"> in su</w:t>
      </w:r>
      <w:r w:rsidRPr="0014270C">
        <w:rPr>
          <w:rFonts w:ascii="Bookman Old Style" w:hAnsi="Bookman Old Style"/>
          <w:sz w:val="24"/>
          <w:szCs w:val="24"/>
        </w:rPr>
        <w:t>ccessful</w:t>
      </w:r>
      <w:r w:rsidR="00141792" w:rsidRPr="0014270C">
        <w:rPr>
          <w:rFonts w:ascii="Bookman Old Style" w:hAnsi="Bookman Old Style"/>
          <w:sz w:val="24"/>
          <w:szCs w:val="24"/>
        </w:rPr>
        <w:t>ly</w:t>
      </w:r>
      <w:r w:rsidRPr="0014270C">
        <w:rPr>
          <w:rFonts w:ascii="Bookman Old Style" w:hAnsi="Bookman Old Style"/>
          <w:sz w:val="24"/>
          <w:szCs w:val="24"/>
        </w:rPr>
        <w:t xml:space="preserve"> establish</w:t>
      </w:r>
      <w:r w:rsidR="004C7238" w:rsidRPr="0014270C">
        <w:rPr>
          <w:rFonts w:ascii="Bookman Old Style" w:hAnsi="Bookman Old Style"/>
          <w:sz w:val="24"/>
          <w:szCs w:val="24"/>
        </w:rPr>
        <w:t>ing a</w:t>
      </w:r>
      <w:r w:rsidRPr="0014270C">
        <w:rPr>
          <w:rFonts w:ascii="Bookman Old Style" w:hAnsi="Bookman Old Style"/>
          <w:sz w:val="24"/>
          <w:szCs w:val="24"/>
        </w:rPr>
        <w:t xml:space="preserve"> feeling of home </w:t>
      </w:r>
      <w:r w:rsidRPr="0014270C">
        <w:rPr>
          <w:rFonts w:ascii="Bookman Old Style" w:hAnsi="Bookman Old Style"/>
          <w:sz w:val="24"/>
          <w:szCs w:val="24"/>
        </w:rPr>
        <w:lastRenderedPageBreak/>
        <w:t>than those who were not afforded these accommodations.</w:t>
      </w:r>
      <w:r w:rsidRPr="0014270C">
        <w:rPr>
          <w:rStyle w:val="FootnoteReference"/>
          <w:rFonts w:ascii="Bookman Old Style" w:hAnsi="Bookman Old Style"/>
          <w:sz w:val="24"/>
          <w:szCs w:val="24"/>
        </w:rPr>
        <w:footnoteReference w:id="174"/>
      </w:r>
      <w:r w:rsidRPr="0014270C">
        <w:rPr>
          <w:rFonts w:ascii="Bookman Old Style" w:hAnsi="Bookman Old Style"/>
          <w:sz w:val="24"/>
          <w:szCs w:val="24"/>
        </w:rPr>
        <w:t xml:space="preserve">  This feeling of empowerment was also apparent in those who were given leases and keys to their apartments and the ability to decorate as they like. </w:t>
      </w:r>
      <w:r w:rsidR="00494232" w:rsidRPr="0014270C">
        <w:rPr>
          <w:rFonts w:ascii="Bookman Old Style" w:hAnsi="Bookman Old Style"/>
          <w:noProof/>
          <w:sz w:val="24"/>
          <w:szCs w:val="24"/>
        </w:rPr>
        <w:t>F</w:t>
      </w:r>
      <w:r w:rsidR="005C3E6C" w:rsidRPr="0014270C">
        <w:rPr>
          <w:rFonts w:ascii="Bookman Old Style" w:hAnsi="Bookman Old Style"/>
          <w:noProof/>
          <w:sz w:val="24"/>
          <w:szCs w:val="24"/>
        </w:rPr>
        <w:t>amiliarity</w:t>
      </w:r>
      <w:r w:rsidR="005C3E6C" w:rsidRPr="0014270C">
        <w:rPr>
          <w:rFonts w:ascii="Bookman Old Style" w:hAnsi="Bookman Old Style"/>
          <w:sz w:val="24"/>
          <w:szCs w:val="24"/>
        </w:rPr>
        <w:t xml:space="preserve"> of the area</w:t>
      </w:r>
      <w:r w:rsidR="00FC15C5" w:rsidRPr="0014270C">
        <w:rPr>
          <w:rFonts w:ascii="Bookman Old Style" w:hAnsi="Bookman Old Style"/>
          <w:sz w:val="24"/>
          <w:szCs w:val="24"/>
        </w:rPr>
        <w:t xml:space="preserve"> </w:t>
      </w:r>
      <w:proofErr w:type="gramStart"/>
      <w:r w:rsidR="00EF2BC0" w:rsidRPr="0014270C">
        <w:rPr>
          <w:rFonts w:ascii="Bookman Old Style" w:hAnsi="Bookman Old Style"/>
          <w:sz w:val="24"/>
          <w:szCs w:val="24"/>
        </w:rPr>
        <w:t>was found</w:t>
      </w:r>
      <w:proofErr w:type="gramEnd"/>
      <w:r w:rsidR="00EF2BC0" w:rsidRPr="0014270C">
        <w:rPr>
          <w:rFonts w:ascii="Bookman Old Style" w:hAnsi="Bookman Old Style"/>
          <w:sz w:val="24"/>
          <w:szCs w:val="24"/>
        </w:rPr>
        <w:t xml:space="preserve"> to be important in maintaining </w:t>
      </w:r>
      <w:r w:rsidR="00670460" w:rsidRPr="0014270C">
        <w:rPr>
          <w:rFonts w:ascii="Bookman Old Style" w:hAnsi="Bookman Old Style"/>
          <w:sz w:val="24"/>
          <w:szCs w:val="24"/>
        </w:rPr>
        <w:t xml:space="preserve">relationships and connections to family and friends, </w:t>
      </w:r>
      <w:r w:rsidR="00B94A28" w:rsidRPr="0014270C">
        <w:rPr>
          <w:rFonts w:ascii="Bookman Old Style" w:hAnsi="Bookman Old Style"/>
          <w:sz w:val="24"/>
          <w:szCs w:val="24"/>
        </w:rPr>
        <w:t xml:space="preserve">which may </w:t>
      </w:r>
      <w:r w:rsidR="00670460" w:rsidRPr="0014270C">
        <w:rPr>
          <w:rFonts w:ascii="Bookman Old Style" w:hAnsi="Bookman Old Style"/>
          <w:sz w:val="24"/>
          <w:szCs w:val="24"/>
        </w:rPr>
        <w:t>provid</w:t>
      </w:r>
      <w:r w:rsidR="00B94A28" w:rsidRPr="0014270C">
        <w:rPr>
          <w:rFonts w:ascii="Bookman Old Style" w:hAnsi="Bookman Old Style"/>
          <w:sz w:val="24"/>
          <w:szCs w:val="24"/>
        </w:rPr>
        <w:t>e</w:t>
      </w:r>
      <w:r w:rsidR="00670460" w:rsidRPr="0014270C">
        <w:rPr>
          <w:rFonts w:ascii="Bookman Old Style" w:hAnsi="Bookman Old Style"/>
          <w:sz w:val="24"/>
          <w:szCs w:val="24"/>
        </w:rPr>
        <w:t xml:space="preserve"> invaluable resources </w:t>
      </w:r>
      <w:r w:rsidR="001A7A62" w:rsidRPr="0014270C">
        <w:rPr>
          <w:rFonts w:ascii="Bookman Old Style" w:hAnsi="Bookman Old Style"/>
          <w:sz w:val="24"/>
          <w:szCs w:val="24"/>
        </w:rPr>
        <w:t xml:space="preserve">and emotional support that otherwise might be unavailable </w:t>
      </w:r>
      <w:r w:rsidR="00974AA4" w:rsidRPr="0014270C">
        <w:rPr>
          <w:rFonts w:ascii="Bookman Old Style" w:hAnsi="Bookman Old Style"/>
          <w:sz w:val="24"/>
          <w:szCs w:val="24"/>
        </w:rPr>
        <w:t xml:space="preserve">in an unfamiliar place. </w:t>
      </w:r>
      <w:r w:rsidR="00A6463A" w:rsidRPr="0014270C">
        <w:rPr>
          <w:rFonts w:ascii="Bookman Old Style" w:hAnsi="Bookman Old Style"/>
          <w:sz w:val="24"/>
          <w:szCs w:val="24"/>
        </w:rPr>
        <w:t xml:space="preserve">Rivlin and Moore also </w:t>
      </w:r>
      <w:r w:rsidR="00657CFF" w:rsidRPr="0014270C">
        <w:rPr>
          <w:rFonts w:ascii="Bookman Old Style" w:hAnsi="Bookman Old Style"/>
          <w:sz w:val="24"/>
          <w:szCs w:val="24"/>
        </w:rPr>
        <w:t xml:space="preserve">found that when </w:t>
      </w:r>
      <w:r w:rsidR="00555E22" w:rsidRPr="0014270C">
        <w:rPr>
          <w:rFonts w:ascii="Bookman Old Style" w:hAnsi="Bookman Old Style"/>
          <w:sz w:val="24"/>
          <w:szCs w:val="24"/>
        </w:rPr>
        <w:t xml:space="preserve">extensive </w:t>
      </w:r>
      <w:r w:rsidR="00657CFF" w:rsidRPr="0014270C">
        <w:rPr>
          <w:rFonts w:ascii="Bookman Old Style" w:hAnsi="Bookman Old Style"/>
          <w:sz w:val="24"/>
          <w:szCs w:val="24"/>
        </w:rPr>
        <w:t xml:space="preserve">sharing </w:t>
      </w:r>
      <w:proofErr w:type="gramStart"/>
      <w:r w:rsidR="00657CFF" w:rsidRPr="0014270C">
        <w:rPr>
          <w:rFonts w:ascii="Bookman Old Style" w:hAnsi="Bookman Old Style"/>
          <w:sz w:val="24"/>
          <w:szCs w:val="24"/>
        </w:rPr>
        <w:t>is required</w:t>
      </w:r>
      <w:proofErr w:type="gramEnd"/>
      <w:r w:rsidR="00657CFF" w:rsidRPr="0014270C">
        <w:rPr>
          <w:rFonts w:ascii="Bookman Old Style" w:hAnsi="Bookman Old Style"/>
          <w:sz w:val="24"/>
          <w:szCs w:val="24"/>
        </w:rPr>
        <w:t xml:space="preserve"> of</w:t>
      </w:r>
      <w:r w:rsidR="00555E22" w:rsidRPr="0014270C">
        <w:rPr>
          <w:rFonts w:ascii="Bookman Old Style" w:hAnsi="Bookman Old Style"/>
          <w:sz w:val="24"/>
          <w:szCs w:val="24"/>
        </w:rPr>
        <w:t xml:space="preserve"> residents,</w:t>
      </w:r>
      <w:r w:rsidR="0040260D" w:rsidRPr="0014270C">
        <w:rPr>
          <w:rFonts w:ascii="Bookman Old Style" w:hAnsi="Bookman Old Style"/>
          <w:sz w:val="24"/>
          <w:szCs w:val="24"/>
        </w:rPr>
        <w:t xml:space="preserve"> safety became more of an issue.</w:t>
      </w:r>
      <w:r w:rsidR="0040260D" w:rsidRPr="0014270C">
        <w:rPr>
          <w:rStyle w:val="FootnoteReference"/>
          <w:rFonts w:ascii="Bookman Old Style" w:hAnsi="Bookman Old Style"/>
          <w:sz w:val="24"/>
          <w:szCs w:val="24"/>
        </w:rPr>
        <w:footnoteReference w:id="175"/>
      </w:r>
      <w:r w:rsidR="006B13B7" w:rsidRPr="0014270C">
        <w:rPr>
          <w:rFonts w:ascii="Bookman Old Style" w:hAnsi="Bookman Old Style"/>
          <w:sz w:val="24"/>
          <w:szCs w:val="24"/>
        </w:rPr>
        <w:t xml:space="preserve"> </w:t>
      </w:r>
      <w:r w:rsidR="002F2071" w:rsidRPr="0014270C">
        <w:rPr>
          <w:rFonts w:ascii="Bookman Old Style" w:hAnsi="Bookman Old Style"/>
          <w:sz w:val="24"/>
          <w:szCs w:val="24"/>
        </w:rPr>
        <w:t xml:space="preserve">The study touched upon the importance of having services available that support people in their journey to establish themselves. Educational services for acquiring the skills necessary to find work, health and nutrition coaching, and other skills such as </w:t>
      </w:r>
      <w:proofErr w:type="gramStart"/>
      <w:r w:rsidR="002F2071" w:rsidRPr="0014270C">
        <w:rPr>
          <w:rFonts w:ascii="Bookman Old Style" w:hAnsi="Bookman Old Style"/>
          <w:sz w:val="24"/>
          <w:szCs w:val="24"/>
        </w:rPr>
        <w:t>cooking</w:t>
      </w:r>
      <w:proofErr w:type="gramEnd"/>
      <w:r w:rsidR="002F2071" w:rsidRPr="0014270C">
        <w:rPr>
          <w:rFonts w:ascii="Bookman Old Style" w:hAnsi="Bookman Old Style"/>
          <w:sz w:val="24"/>
          <w:szCs w:val="24"/>
        </w:rPr>
        <w:t xml:space="preserve"> and budgeting could make a world of difference to people in getting them re-established into society.</w:t>
      </w:r>
      <w:r w:rsidR="002F2071" w:rsidRPr="0014270C">
        <w:rPr>
          <w:rStyle w:val="FootnoteReference"/>
          <w:rFonts w:ascii="Bookman Old Style" w:hAnsi="Bookman Old Style"/>
          <w:sz w:val="24"/>
          <w:szCs w:val="24"/>
        </w:rPr>
        <w:footnoteReference w:id="176"/>
      </w:r>
      <w:r w:rsidR="002F2071" w:rsidRPr="0014270C">
        <w:rPr>
          <w:rFonts w:ascii="Bookman Old Style" w:hAnsi="Bookman Old Style"/>
          <w:sz w:val="24"/>
          <w:szCs w:val="24"/>
        </w:rPr>
        <w:t xml:space="preserve"> </w:t>
      </w:r>
    </w:p>
    <w:p w14:paraId="6C8B5F21" w14:textId="1033A724" w:rsidR="001E3163" w:rsidRDefault="001E3163" w:rsidP="003D132E">
      <w:pPr>
        <w:spacing w:line="480" w:lineRule="auto"/>
        <w:ind w:firstLine="720"/>
        <w:rPr>
          <w:rFonts w:ascii="Bookman Old Style" w:hAnsi="Bookman Old Style"/>
          <w:sz w:val="24"/>
          <w:szCs w:val="24"/>
        </w:rPr>
      </w:pPr>
      <w:r>
        <w:rPr>
          <w:rFonts w:ascii="Bookman Old Style" w:hAnsi="Bookman Old Style"/>
          <w:sz w:val="24"/>
          <w:szCs w:val="24"/>
        </w:rPr>
        <w:t xml:space="preserve">Charlie </w:t>
      </w:r>
      <w:proofErr w:type="spellStart"/>
      <w:r>
        <w:rPr>
          <w:rFonts w:ascii="Bookman Old Style" w:hAnsi="Bookman Old Style"/>
          <w:sz w:val="24"/>
          <w:szCs w:val="24"/>
        </w:rPr>
        <w:t>Kilman</w:t>
      </w:r>
      <w:proofErr w:type="spellEnd"/>
      <w:r>
        <w:rPr>
          <w:rFonts w:ascii="Bookman Old Style" w:hAnsi="Bookman Old Style"/>
          <w:sz w:val="24"/>
          <w:szCs w:val="24"/>
        </w:rPr>
        <w:t xml:space="preserve"> reinforces the findings by Rivlin and Moore in his description of the Tiny House Movement, describing the movement as one which is “rooted in a sense of individualism,” explaining how making one’s home his or her own is important for establishing a feeling of ownership over one’s space.</w:t>
      </w:r>
      <w:r>
        <w:rPr>
          <w:rStyle w:val="FootnoteReference"/>
          <w:rFonts w:ascii="Bookman Old Style" w:hAnsi="Bookman Old Style"/>
          <w:sz w:val="24"/>
          <w:szCs w:val="24"/>
        </w:rPr>
        <w:footnoteReference w:id="177"/>
      </w:r>
      <w:r>
        <w:rPr>
          <w:rFonts w:ascii="Bookman Old Style" w:hAnsi="Bookman Old Style"/>
          <w:sz w:val="24"/>
          <w:szCs w:val="24"/>
        </w:rPr>
        <w:t xml:space="preserve"> However, he goes on to explain that despite the Tiny House Movement being largely about creating a space to feel like a home in a very customized and individual way, the Tiny House Movement actually p</w:t>
      </w:r>
      <w:r w:rsidR="00E74C99">
        <w:rPr>
          <w:rFonts w:ascii="Bookman Old Style" w:hAnsi="Bookman Old Style"/>
          <w:sz w:val="24"/>
          <w:szCs w:val="24"/>
        </w:rPr>
        <w:t xml:space="preserve">romotes a culture change from a self-centered mindset to a community-centered mindset. </w:t>
      </w:r>
      <w:r w:rsidR="00E74C99">
        <w:rPr>
          <w:rFonts w:ascii="Bookman Old Style" w:hAnsi="Bookman Old Style"/>
          <w:sz w:val="24"/>
          <w:szCs w:val="24"/>
        </w:rPr>
        <w:lastRenderedPageBreak/>
        <w:t xml:space="preserve">Being involved in a tiny house community offers more than just a house that can </w:t>
      </w:r>
      <w:proofErr w:type="gramStart"/>
      <w:r w:rsidR="00E74C99">
        <w:rPr>
          <w:rFonts w:ascii="Bookman Old Style" w:hAnsi="Bookman Old Style"/>
          <w:sz w:val="24"/>
          <w:szCs w:val="24"/>
        </w:rPr>
        <w:t>be tailored</w:t>
      </w:r>
      <w:proofErr w:type="gramEnd"/>
      <w:r w:rsidR="00E74C99">
        <w:rPr>
          <w:rFonts w:ascii="Bookman Old Style" w:hAnsi="Bookman Old Style"/>
          <w:sz w:val="24"/>
          <w:szCs w:val="24"/>
        </w:rPr>
        <w:t xml:space="preserve"> to suit one</w:t>
      </w:r>
      <w:r w:rsidR="001D0EDF">
        <w:rPr>
          <w:rFonts w:ascii="Bookman Old Style" w:hAnsi="Bookman Old Style"/>
          <w:sz w:val="24"/>
          <w:szCs w:val="24"/>
        </w:rPr>
        <w:t>’</w:t>
      </w:r>
      <w:r w:rsidR="00E74C99">
        <w:rPr>
          <w:rFonts w:ascii="Bookman Old Style" w:hAnsi="Bookman Old Style"/>
          <w:sz w:val="24"/>
          <w:szCs w:val="24"/>
        </w:rPr>
        <w:t>s needs, it offers a new culture in which people engage with each other and the natural environment in a way that is not often seen elsewhere. The freedom of having less house to pay for and maintain allows people to work less and enjoy society more,</w:t>
      </w:r>
      <w:r w:rsidR="00E74C99" w:rsidRPr="00E74C99">
        <w:rPr>
          <w:rStyle w:val="FootnoteReference"/>
          <w:rFonts w:ascii="Bookman Old Style" w:hAnsi="Bookman Old Style"/>
          <w:sz w:val="24"/>
          <w:szCs w:val="24"/>
        </w:rPr>
        <w:t xml:space="preserve"> </w:t>
      </w:r>
      <w:r w:rsidR="00E74C99">
        <w:rPr>
          <w:rStyle w:val="FootnoteReference"/>
          <w:rFonts w:ascii="Bookman Old Style" w:hAnsi="Bookman Old Style"/>
          <w:sz w:val="24"/>
          <w:szCs w:val="24"/>
        </w:rPr>
        <w:footnoteReference w:id="178"/>
      </w:r>
      <w:r w:rsidR="00E74C99">
        <w:rPr>
          <w:rFonts w:ascii="Bookman Old Style" w:hAnsi="Bookman Old Style"/>
          <w:sz w:val="24"/>
          <w:szCs w:val="24"/>
        </w:rPr>
        <w:t xml:space="preserve"> creating a fuller sense of what a home can be.</w:t>
      </w:r>
    </w:p>
    <w:p w14:paraId="0AE2C420" w14:textId="55FA0F35" w:rsidR="00E74C99" w:rsidRDefault="00E74C99" w:rsidP="003D132E">
      <w:pPr>
        <w:spacing w:line="480" w:lineRule="auto"/>
        <w:ind w:firstLine="720"/>
        <w:rPr>
          <w:rFonts w:ascii="Bookman Old Style" w:hAnsi="Bookman Old Style"/>
          <w:sz w:val="24"/>
          <w:szCs w:val="24"/>
        </w:rPr>
      </w:pPr>
      <w:proofErr w:type="spellStart"/>
      <w:r>
        <w:rPr>
          <w:rFonts w:ascii="Bookman Old Style" w:hAnsi="Bookman Old Style"/>
          <w:sz w:val="24"/>
          <w:szCs w:val="24"/>
        </w:rPr>
        <w:t>Kilman</w:t>
      </w:r>
      <w:proofErr w:type="spellEnd"/>
      <w:r>
        <w:rPr>
          <w:rFonts w:ascii="Bookman Old Style" w:hAnsi="Bookman Old Style"/>
          <w:sz w:val="24"/>
          <w:szCs w:val="24"/>
        </w:rPr>
        <w:t xml:space="preserve"> acknowledges the culture shift that would need to take place for the Tiny House Movement to become mainstream. </w:t>
      </w:r>
      <w:r w:rsidR="00293F78">
        <w:rPr>
          <w:rFonts w:ascii="Bookman Old Style" w:hAnsi="Bookman Old Style"/>
          <w:sz w:val="24"/>
          <w:szCs w:val="24"/>
        </w:rPr>
        <w:t>There are limitations to living tiny: the initial cost of a tiny house can be difficult to finance, as they are too inexpensive for traditional home loans and require specific classification in order to qualify for an RV loan, leaving residents to pay in cash or with unsecured personal loans; lack of privacy can be both physically and emotionally difficult; and many people often view a small home as symbolic of living in poverty.</w:t>
      </w:r>
      <w:r w:rsidR="00293F78">
        <w:rPr>
          <w:rStyle w:val="FootnoteReference"/>
          <w:rFonts w:ascii="Bookman Old Style" w:hAnsi="Bookman Old Style"/>
          <w:sz w:val="24"/>
          <w:szCs w:val="24"/>
        </w:rPr>
        <w:footnoteReference w:id="179"/>
      </w:r>
      <w:r w:rsidR="00293F78">
        <w:rPr>
          <w:rFonts w:ascii="Bookman Old Style" w:hAnsi="Bookman Old Style"/>
          <w:sz w:val="24"/>
          <w:szCs w:val="24"/>
        </w:rPr>
        <w:t xml:space="preserve"> While these barriers could be difficult to climb, housing subsidies could help finance tiny house loans and careful design can alleviate accessibility and privacy concerns, leaving nothing but a change in mindset standing between a tiny house and the average American.</w:t>
      </w:r>
      <w:r w:rsidR="000E24A9">
        <w:rPr>
          <w:rFonts w:ascii="Bookman Old Style" w:hAnsi="Bookman Old Style"/>
          <w:sz w:val="24"/>
          <w:szCs w:val="24"/>
        </w:rPr>
        <w:t xml:space="preserve"> </w:t>
      </w:r>
      <w:proofErr w:type="spellStart"/>
      <w:r w:rsidR="000E24A9">
        <w:rPr>
          <w:rFonts w:ascii="Bookman Old Style" w:hAnsi="Bookman Old Style"/>
          <w:sz w:val="24"/>
          <w:szCs w:val="24"/>
        </w:rPr>
        <w:t>Kilman</w:t>
      </w:r>
      <w:proofErr w:type="spellEnd"/>
      <w:r w:rsidR="000E24A9">
        <w:rPr>
          <w:rFonts w:ascii="Bookman Old Style" w:hAnsi="Bookman Old Style"/>
          <w:sz w:val="24"/>
          <w:szCs w:val="24"/>
        </w:rPr>
        <w:t xml:space="preserve"> goes on to explain how it is possible to have a tiny house lifestyle without committing to such extreme square footage</w:t>
      </w:r>
      <w:r w:rsidR="0055282A">
        <w:rPr>
          <w:rFonts w:ascii="Bookman Old Style" w:hAnsi="Bookman Old Style"/>
          <w:sz w:val="24"/>
          <w:szCs w:val="24"/>
        </w:rPr>
        <w:t xml:space="preserve"> simply by living deliberately, as Thoreau also suggests</w:t>
      </w:r>
      <w:r w:rsidR="000E24A9">
        <w:rPr>
          <w:rFonts w:ascii="Bookman Old Style" w:hAnsi="Bookman Old Style"/>
          <w:sz w:val="24"/>
          <w:szCs w:val="24"/>
        </w:rPr>
        <w:t xml:space="preserve">. Living in a home that is the </w:t>
      </w:r>
      <w:r w:rsidR="0055282A">
        <w:rPr>
          <w:rFonts w:ascii="Bookman Old Style" w:hAnsi="Bookman Old Style"/>
          <w:sz w:val="24"/>
          <w:szCs w:val="24"/>
        </w:rPr>
        <w:t>“</w:t>
      </w:r>
      <w:r w:rsidR="000E24A9">
        <w:rPr>
          <w:rFonts w:ascii="Bookman Old Style" w:hAnsi="Bookman Old Style"/>
          <w:sz w:val="24"/>
          <w:szCs w:val="24"/>
        </w:rPr>
        <w:t>right size</w:t>
      </w:r>
      <w:r w:rsidR="0055282A">
        <w:rPr>
          <w:rFonts w:ascii="Bookman Old Style" w:hAnsi="Bookman Old Style"/>
          <w:sz w:val="24"/>
          <w:szCs w:val="24"/>
        </w:rPr>
        <w:t>”</w:t>
      </w:r>
      <w:r w:rsidR="000E24A9">
        <w:rPr>
          <w:rFonts w:ascii="Bookman Old Style" w:hAnsi="Bookman Old Style"/>
          <w:sz w:val="24"/>
          <w:szCs w:val="24"/>
        </w:rPr>
        <w:t xml:space="preserve"> for one’s family can reduce </w:t>
      </w:r>
      <w:r w:rsidR="000E24A9">
        <w:rPr>
          <w:rFonts w:ascii="Bookman Old Style" w:hAnsi="Bookman Old Style"/>
          <w:sz w:val="24"/>
          <w:szCs w:val="24"/>
        </w:rPr>
        <w:lastRenderedPageBreak/>
        <w:t>cost of living, allowing better understanding of</w:t>
      </w:r>
      <w:r w:rsidR="0055282A">
        <w:rPr>
          <w:rFonts w:ascii="Bookman Old Style" w:hAnsi="Bookman Old Style"/>
          <w:sz w:val="24"/>
          <w:szCs w:val="24"/>
        </w:rPr>
        <w:t xml:space="preserve"> personal finances</w:t>
      </w:r>
      <w:r w:rsidR="000E24A9">
        <w:rPr>
          <w:rFonts w:ascii="Bookman Old Style" w:hAnsi="Bookman Old Style"/>
          <w:sz w:val="24"/>
          <w:szCs w:val="24"/>
        </w:rPr>
        <w:t>, environment</w:t>
      </w:r>
      <w:r w:rsidR="0055282A">
        <w:rPr>
          <w:rFonts w:ascii="Bookman Old Style" w:hAnsi="Bookman Old Style"/>
          <w:sz w:val="24"/>
          <w:szCs w:val="24"/>
        </w:rPr>
        <w:t>al contribution</w:t>
      </w:r>
      <w:r w:rsidR="000E24A9">
        <w:rPr>
          <w:rFonts w:ascii="Bookman Old Style" w:hAnsi="Bookman Old Style"/>
          <w:sz w:val="24"/>
          <w:szCs w:val="24"/>
        </w:rPr>
        <w:t xml:space="preserve">, and </w:t>
      </w:r>
      <w:r w:rsidR="0055282A">
        <w:rPr>
          <w:rFonts w:ascii="Bookman Old Style" w:hAnsi="Bookman Old Style"/>
          <w:sz w:val="24"/>
          <w:szCs w:val="24"/>
        </w:rPr>
        <w:t xml:space="preserve">the importance of </w:t>
      </w:r>
      <w:r w:rsidR="000E24A9">
        <w:rPr>
          <w:rFonts w:ascii="Bookman Old Style" w:hAnsi="Bookman Old Style"/>
          <w:sz w:val="24"/>
          <w:szCs w:val="24"/>
        </w:rPr>
        <w:t>community.</w:t>
      </w:r>
      <w:r w:rsidR="0055282A">
        <w:rPr>
          <w:rStyle w:val="FootnoteReference"/>
          <w:rFonts w:ascii="Bookman Old Style" w:hAnsi="Bookman Old Style"/>
          <w:sz w:val="24"/>
          <w:szCs w:val="24"/>
        </w:rPr>
        <w:footnoteReference w:id="180"/>
      </w:r>
      <w:r w:rsidR="000E24A9">
        <w:rPr>
          <w:rFonts w:ascii="Bookman Old Style" w:hAnsi="Bookman Old Style"/>
          <w:sz w:val="24"/>
          <w:szCs w:val="24"/>
        </w:rPr>
        <w:t xml:space="preserve"> </w:t>
      </w:r>
    </w:p>
    <w:p w14:paraId="75264788" w14:textId="77777777" w:rsidR="00C85533" w:rsidRPr="0014270C" w:rsidRDefault="00C85533" w:rsidP="003D132E">
      <w:pPr>
        <w:spacing w:line="480" w:lineRule="auto"/>
        <w:ind w:firstLine="720"/>
        <w:rPr>
          <w:rFonts w:ascii="Bookman Old Style" w:hAnsi="Bookman Old Style"/>
          <w:sz w:val="24"/>
          <w:szCs w:val="24"/>
        </w:rPr>
      </w:pPr>
    </w:p>
    <w:p w14:paraId="15CA2EC2" w14:textId="2163E4D6" w:rsidR="00073B3F" w:rsidRPr="0014270C" w:rsidRDefault="00D931E4" w:rsidP="00D931E4">
      <w:pPr>
        <w:pStyle w:val="THESISLVL2"/>
      </w:pPr>
      <w:bookmarkStart w:id="49" w:name="_Toc8062284"/>
      <w:r w:rsidRPr="0014270C">
        <w:t>2.</w:t>
      </w:r>
      <w:r w:rsidR="006574D3" w:rsidRPr="0014270C">
        <w:t>7</w:t>
      </w:r>
      <w:r w:rsidRPr="0014270C">
        <w:t xml:space="preserve"> </w:t>
      </w:r>
      <w:r w:rsidR="00D03366" w:rsidRPr="0014270C">
        <w:t>Summarizing the Literature</w:t>
      </w:r>
      <w:bookmarkEnd w:id="49"/>
    </w:p>
    <w:p w14:paraId="104E9F84" w14:textId="395BC3D7" w:rsidR="00B90720" w:rsidRPr="0014270C" w:rsidRDefault="00B90720" w:rsidP="00B90720">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Thoreau proposed that when the worries of affording more than the essentials </w:t>
      </w:r>
      <w:proofErr w:type="gramStart"/>
      <w:r w:rsidRPr="0014270C">
        <w:rPr>
          <w:rFonts w:ascii="Bookman Old Style" w:hAnsi="Bookman Old Style"/>
          <w:sz w:val="24"/>
          <w:szCs w:val="24"/>
        </w:rPr>
        <w:t>are stripped</w:t>
      </w:r>
      <w:proofErr w:type="gramEnd"/>
      <w:r w:rsidRPr="0014270C">
        <w:rPr>
          <w:rFonts w:ascii="Bookman Old Style" w:hAnsi="Bookman Old Style"/>
          <w:sz w:val="24"/>
          <w:szCs w:val="24"/>
        </w:rPr>
        <w:t xml:space="preserve"> away, a sense of self can begin to emerge. Impoverished people are often unable to pursue their passions because their focus is the “essential facts of life.” If the essentials </w:t>
      </w:r>
      <w:proofErr w:type="gramStart"/>
      <w:r w:rsidRPr="0014270C">
        <w:rPr>
          <w:rFonts w:ascii="Bookman Old Style" w:hAnsi="Bookman Old Style"/>
          <w:sz w:val="24"/>
          <w:szCs w:val="24"/>
        </w:rPr>
        <w:t>were provided</w:t>
      </w:r>
      <w:proofErr w:type="gramEnd"/>
      <w:r w:rsidRPr="0014270C">
        <w:rPr>
          <w:rFonts w:ascii="Bookman Old Style" w:hAnsi="Bookman Old Style"/>
          <w:sz w:val="24"/>
          <w:szCs w:val="24"/>
        </w:rPr>
        <w:t xml:space="preserve"> along with educational services and support systems, it may be possible that a person could transition from once poverty stricken and victimized by a hurricane to one who is contributing unique and valuable skills to society and living a more fulfilled and healthy life. While Thoreau’s intention with living in a tiny house had more to do with minimalism, self-development, and contribution to society, the research shows that there are several environmental benefits of tiny housing as well. The evaluation done by the Department of Environmental Quality in Oregon shows an overall reduction of environmental impact by reducing housing size, in addition to a recommendation of maintaining fewer possessions and avoiding wasteful material usage, supporting the practice of essentialism. Wilson and </w:t>
      </w:r>
      <w:proofErr w:type="spellStart"/>
      <w:r w:rsidRPr="0014270C">
        <w:rPr>
          <w:rFonts w:ascii="Bookman Old Style" w:hAnsi="Bookman Old Style"/>
          <w:sz w:val="24"/>
          <w:szCs w:val="24"/>
        </w:rPr>
        <w:t>Boehland</w:t>
      </w:r>
      <w:proofErr w:type="spellEnd"/>
      <w:r w:rsidRPr="0014270C">
        <w:rPr>
          <w:rFonts w:ascii="Bookman Old Style" w:hAnsi="Bookman Old Style"/>
          <w:sz w:val="24"/>
          <w:szCs w:val="24"/>
        </w:rPr>
        <w:t xml:space="preserve"> reinforce these findings by proving that even a smaller home with poor energy standards can out-perform a larger energy efficient home.</w:t>
      </w:r>
      <w:r w:rsidR="00C15917" w:rsidRPr="0014270C">
        <w:rPr>
          <w:rFonts w:ascii="Bookman Old Style" w:hAnsi="Bookman Old Style"/>
          <w:sz w:val="24"/>
          <w:szCs w:val="24"/>
        </w:rPr>
        <w:t xml:space="preserve"> </w:t>
      </w:r>
      <w:r w:rsidR="00FA17F1" w:rsidRPr="0014270C">
        <w:rPr>
          <w:rFonts w:ascii="Bookman Old Style" w:hAnsi="Bookman Old Style"/>
          <w:sz w:val="24"/>
          <w:szCs w:val="24"/>
        </w:rPr>
        <w:t xml:space="preserve">By </w:t>
      </w:r>
      <w:r w:rsidR="00743BD7" w:rsidRPr="0014270C">
        <w:rPr>
          <w:rFonts w:ascii="Bookman Old Style" w:hAnsi="Bookman Old Style"/>
          <w:sz w:val="24"/>
          <w:szCs w:val="24"/>
        </w:rPr>
        <w:t xml:space="preserve">designing a </w:t>
      </w:r>
      <w:r w:rsidR="00EF732D" w:rsidRPr="0014270C">
        <w:rPr>
          <w:rFonts w:ascii="Bookman Old Style" w:hAnsi="Bookman Old Style"/>
          <w:sz w:val="24"/>
          <w:szCs w:val="24"/>
        </w:rPr>
        <w:t>tiny house using t</w:t>
      </w:r>
      <w:r w:rsidR="00A978F4" w:rsidRPr="0014270C">
        <w:rPr>
          <w:rFonts w:ascii="Bookman Old Style" w:hAnsi="Bookman Old Style"/>
          <w:sz w:val="24"/>
          <w:szCs w:val="24"/>
        </w:rPr>
        <w:t>he off-grid technologies reviewed</w:t>
      </w:r>
      <w:r w:rsidR="00F72515" w:rsidRPr="0014270C">
        <w:rPr>
          <w:rFonts w:ascii="Bookman Old Style" w:hAnsi="Bookman Old Style"/>
          <w:sz w:val="24"/>
          <w:szCs w:val="24"/>
        </w:rPr>
        <w:t>,</w:t>
      </w:r>
      <w:r w:rsidR="00A978F4" w:rsidRPr="0014270C">
        <w:rPr>
          <w:rFonts w:ascii="Bookman Old Style" w:hAnsi="Bookman Old Style"/>
          <w:sz w:val="24"/>
          <w:szCs w:val="24"/>
        </w:rPr>
        <w:t xml:space="preserve"> such as passive design and </w:t>
      </w:r>
      <w:r w:rsidR="007A43B6" w:rsidRPr="0014270C">
        <w:rPr>
          <w:rFonts w:ascii="Bookman Old Style" w:hAnsi="Bookman Old Style"/>
          <w:sz w:val="24"/>
          <w:szCs w:val="24"/>
        </w:rPr>
        <w:t xml:space="preserve">a combination of RWH and </w:t>
      </w:r>
      <w:r w:rsidR="00A978F4" w:rsidRPr="0014270C">
        <w:rPr>
          <w:rFonts w:ascii="Bookman Old Style" w:hAnsi="Bookman Old Style"/>
          <w:sz w:val="24"/>
          <w:szCs w:val="24"/>
        </w:rPr>
        <w:t>NZGW reuse</w:t>
      </w:r>
      <w:r w:rsidR="00EF732D" w:rsidRPr="0014270C">
        <w:rPr>
          <w:rFonts w:ascii="Bookman Old Style" w:hAnsi="Bookman Old Style"/>
          <w:sz w:val="24"/>
          <w:szCs w:val="24"/>
        </w:rPr>
        <w:t>,</w:t>
      </w:r>
      <w:r w:rsidR="00A978F4" w:rsidRPr="0014270C">
        <w:rPr>
          <w:rFonts w:ascii="Bookman Old Style" w:hAnsi="Bookman Old Style"/>
          <w:sz w:val="24"/>
          <w:szCs w:val="24"/>
        </w:rPr>
        <w:t xml:space="preserve"> </w:t>
      </w:r>
      <w:r w:rsidR="002968CE" w:rsidRPr="0014270C">
        <w:rPr>
          <w:rFonts w:ascii="Bookman Old Style" w:hAnsi="Bookman Old Style"/>
          <w:sz w:val="24"/>
          <w:szCs w:val="24"/>
        </w:rPr>
        <w:lastRenderedPageBreak/>
        <w:t xml:space="preserve">the environmental impact of disaster relief housing could </w:t>
      </w:r>
      <w:proofErr w:type="gramStart"/>
      <w:r w:rsidR="002968CE" w:rsidRPr="0014270C">
        <w:rPr>
          <w:rFonts w:ascii="Bookman Old Style" w:hAnsi="Bookman Old Style"/>
          <w:sz w:val="24"/>
          <w:szCs w:val="24"/>
        </w:rPr>
        <w:t>be reduced</w:t>
      </w:r>
      <w:proofErr w:type="gramEnd"/>
      <w:r w:rsidR="002968CE" w:rsidRPr="0014270C">
        <w:rPr>
          <w:rFonts w:ascii="Bookman Old Style" w:hAnsi="Bookman Old Style"/>
          <w:sz w:val="24"/>
          <w:szCs w:val="24"/>
        </w:rPr>
        <w:t xml:space="preserve"> significantly</w:t>
      </w:r>
      <w:r w:rsidR="00FA17F1" w:rsidRPr="0014270C">
        <w:rPr>
          <w:rFonts w:ascii="Bookman Old Style" w:hAnsi="Bookman Old Style"/>
          <w:sz w:val="24"/>
          <w:szCs w:val="24"/>
        </w:rPr>
        <w:t>.</w:t>
      </w:r>
      <w:r w:rsidR="00A978F4" w:rsidRPr="0014270C">
        <w:rPr>
          <w:rFonts w:ascii="Bookman Old Style" w:hAnsi="Bookman Old Style"/>
          <w:sz w:val="24"/>
          <w:szCs w:val="24"/>
        </w:rPr>
        <w:t xml:space="preserve"> </w:t>
      </w:r>
      <w:r w:rsidRPr="0014270C">
        <w:rPr>
          <w:rFonts w:ascii="Bookman Old Style" w:hAnsi="Bookman Old Style"/>
          <w:sz w:val="24"/>
          <w:szCs w:val="24"/>
        </w:rPr>
        <w:t xml:space="preserve"> </w:t>
      </w:r>
    </w:p>
    <w:p w14:paraId="3CC9C3ED" w14:textId="49DA9A46" w:rsidR="008A1F15" w:rsidRPr="0014270C" w:rsidRDefault="008A1F15" w:rsidP="004D319B">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government’s handling of </w:t>
      </w:r>
      <w:r w:rsidR="00802E6C" w:rsidRPr="0014270C">
        <w:rPr>
          <w:rFonts w:ascii="Bookman Old Style" w:hAnsi="Bookman Old Style"/>
          <w:sz w:val="24"/>
          <w:szCs w:val="24"/>
        </w:rPr>
        <w:t xml:space="preserve">relief </w:t>
      </w:r>
      <w:r w:rsidRPr="0014270C">
        <w:rPr>
          <w:rFonts w:ascii="Bookman Old Style" w:hAnsi="Bookman Old Style"/>
          <w:sz w:val="24"/>
          <w:szCs w:val="24"/>
        </w:rPr>
        <w:t xml:space="preserve">housing after Hurricane Katrina suffered from a lack of planning and miscommunication between agencies involved, leaving FEMA scrambling to find a solution after the storm had already done its damage. After Harvey, the same issues presented themselves. Shaw and Nakagawa found in their research that communities with strong social capital were able to recover more quickly from disaster, regardless of income level. This suggests that were federal and local governments to have better relationships with local businesses and organizations, a more seamless recovery process could take place. Aldrich and Meyer reinforce the importance of social capital, citing the recovery of Village de </w:t>
      </w:r>
      <w:proofErr w:type="spellStart"/>
      <w:r w:rsidRPr="0014270C">
        <w:rPr>
          <w:rFonts w:ascii="Bookman Old Style" w:hAnsi="Bookman Old Style"/>
          <w:sz w:val="24"/>
          <w:szCs w:val="24"/>
        </w:rPr>
        <w:t>L’Est</w:t>
      </w:r>
      <w:proofErr w:type="spellEnd"/>
      <w:r w:rsidRPr="0014270C">
        <w:rPr>
          <w:rFonts w:ascii="Bookman Old Style" w:hAnsi="Bookman Old Style"/>
          <w:sz w:val="24"/>
          <w:szCs w:val="24"/>
        </w:rPr>
        <w:t xml:space="preserve">, a low-income neighborhood that was able to recover more effectively than wealthier areas that had suffered less damage, due to their strong internal connections with friends, neighbors, and their local church. The Make It Right Foundation’s efforts to sweep in with celebrity backing </w:t>
      </w:r>
      <w:proofErr w:type="gramStart"/>
      <w:r w:rsidRPr="0014270C">
        <w:rPr>
          <w:rFonts w:ascii="Bookman Old Style" w:hAnsi="Bookman Old Style"/>
          <w:sz w:val="24"/>
          <w:szCs w:val="24"/>
        </w:rPr>
        <w:t>was found</w:t>
      </w:r>
      <w:proofErr w:type="gramEnd"/>
      <w:r w:rsidRPr="0014270C">
        <w:rPr>
          <w:rFonts w:ascii="Bookman Old Style" w:hAnsi="Bookman Old Style"/>
          <w:sz w:val="24"/>
          <w:szCs w:val="24"/>
        </w:rPr>
        <w:t xml:space="preserve"> to be ineffective despite the amount of media attention and money that was put into the project. The community of </w:t>
      </w:r>
      <w:proofErr w:type="spellStart"/>
      <w:r w:rsidRPr="0014270C">
        <w:rPr>
          <w:rFonts w:ascii="Bookman Old Style" w:hAnsi="Bookman Old Style"/>
          <w:sz w:val="24"/>
          <w:szCs w:val="24"/>
        </w:rPr>
        <w:t>Lohana</w:t>
      </w:r>
      <w:proofErr w:type="spellEnd"/>
      <w:r w:rsidRPr="0014270C">
        <w:rPr>
          <w:rFonts w:ascii="Bookman Old Style" w:hAnsi="Bookman Old Style"/>
          <w:sz w:val="24"/>
          <w:szCs w:val="24"/>
        </w:rPr>
        <w:t xml:space="preserve"> in the Shaw and Nakagawa study had the same failures, showing that despite contributions from wealthy businesspeople, recovery is not as effective without trust in leadership and strong social capital. The organization with the most successful outcome in the Lower Ninth Ward was Lowernine.org, making use of community volunteers and local connections to rebuild.</w:t>
      </w:r>
      <w:r w:rsidR="004D319B" w:rsidRPr="0014270C">
        <w:rPr>
          <w:rFonts w:ascii="Bookman Old Style" w:hAnsi="Bookman Old Style"/>
          <w:sz w:val="24"/>
          <w:szCs w:val="24"/>
        </w:rPr>
        <w:t xml:space="preserve"> </w:t>
      </w:r>
      <w:r w:rsidR="00070C2B" w:rsidRPr="0014270C">
        <w:rPr>
          <w:rFonts w:ascii="Bookman Old Style" w:hAnsi="Bookman Old Style"/>
          <w:sz w:val="24"/>
          <w:szCs w:val="24"/>
        </w:rPr>
        <w:t xml:space="preserve">Much of the literature suggests that higher levels of social capital </w:t>
      </w:r>
      <w:proofErr w:type="gramStart"/>
      <w:r w:rsidR="00070C2B" w:rsidRPr="0014270C">
        <w:rPr>
          <w:rFonts w:ascii="Bookman Old Style" w:hAnsi="Bookman Old Style"/>
          <w:sz w:val="24"/>
          <w:szCs w:val="24"/>
        </w:rPr>
        <w:t>has</w:t>
      </w:r>
      <w:proofErr w:type="gramEnd"/>
      <w:r w:rsidR="00070C2B" w:rsidRPr="0014270C">
        <w:rPr>
          <w:rFonts w:ascii="Bookman Old Style" w:hAnsi="Bookman Old Style"/>
          <w:sz w:val="24"/>
          <w:szCs w:val="24"/>
        </w:rPr>
        <w:t xml:space="preserve"> </w:t>
      </w:r>
      <w:r w:rsidR="00070C2B" w:rsidRPr="0014270C">
        <w:rPr>
          <w:rFonts w:ascii="Bookman Old Style" w:hAnsi="Bookman Old Style"/>
          <w:sz w:val="24"/>
          <w:szCs w:val="24"/>
        </w:rPr>
        <w:lastRenderedPageBreak/>
        <w:t xml:space="preserve">positive effects on the overall wellbeing of a community, increasing economic growth, health, and effectiveness of leadership. </w:t>
      </w:r>
      <w:r w:rsidRPr="0014270C">
        <w:rPr>
          <w:rFonts w:ascii="Bookman Old Style" w:hAnsi="Bookman Old Style"/>
          <w:sz w:val="24"/>
          <w:szCs w:val="24"/>
        </w:rPr>
        <w:t>In th</w:t>
      </w:r>
      <w:r w:rsidR="00126818" w:rsidRPr="0014270C">
        <w:rPr>
          <w:rFonts w:ascii="Bookman Old Style" w:hAnsi="Bookman Old Style"/>
          <w:sz w:val="24"/>
          <w:szCs w:val="24"/>
        </w:rPr>
        <w:t>e follow</w:t>
      </w:r>
      <w:r w:rsidR="00F72515" w:rsidRPr="0014270C">
        <w:rPr>
          <w:rFonts w:ascii="Bookman Old Style" w:hAnsi="Bookman Old Style"/>
          <w:sz w:val="24"/>
          <w:szCs w:val="24"/>
        </w:rPr>
        <w:t>ing</w:t>
      </w:r>
      <w:r w:rsidR="00126818" w:rsidRPr="0014270C">
        <w:rPr>
          <w:rFonts w:ascii="Bookman Old Style" w:hAnsi="Bookman Old Style"/>
          <w:sz w:val="24"/>
          <w:szCs w:val="24"/>
        </w:rPr>
        <w:t xml:space="preserve"> chapter of this research</w:t>
      </w:r>
      <w:r w:rsidRPr="0014270C">
        <w:rPr>
          <w:rFonts w:ascii="Bookman Old Style" w:hAnsi="Bookman Old Style"/>
          <w:sz w:val="24"/>
          <w:szCs w:val="24"/>
        </w:rPr>
        <w:t xml:space="preserve">, </w:t>
      </w:r>
      <w:r w:rsidR="004D319B" w:rsidRPr="0014270C">
        <w:rPr>
          <w:rFonts w:ascii="Bookman Old Style" w:hAnsi="Bookman Old Style"/>
          <w:sz w:val="24"/>
          <w:szCs w:val="24"/>
        </w:rPr>
        <w:t xml:space="preserve">a sustainability framework </w:t>
      </w:r>
      <w:proofErr w:type="gramStart"/>
      <w:r w:rsidR="004D319B" w:rsidRPr="0014270C">
        <w:rPr>
          <w:rFonts w:ascii="Bookman Old Style" w:hAnsi="Bookman Old Style"/>
          <w:sz w:val="24"/>
          <w:szCs w:val="24"/>
        </w:rPr>
        <w:t>is used</w:t>
      </w:r>
      <w:proofErr w:type="gramEnd"/>
      <w:r w:rsidR="004D319B" w:rsidRPr="0014270C">
        <w:rPr>
          <w:rFonts w:ascii="Bookman Old Style" w:hAnsi="Bookman Old Style"/>
          <w:sz w:val="24"/>
          <w:szCs w:val="24"/>
        </w:rPr>
        <w:t xml:space="preserve"> to </w:t>
      </w:r>
      <w:r w:rsidR="00054970" w:rsidRPr="0014270C">
        <w:rPr>
          <w:rFonts w:ascii="Bookman Old Style" w:hAnsi="Bookman Old Style"/>
          <w:sz w:val="24"/>
          <w:szCs w:val="24"/>
        </w:rPr>
        <w:t xml:space="preserve">determine whether the </w:t>
      </w:r>
      <w:r w:rsidRPr="0014270C">
        <w:rPr>
          <w:rFonts w:ascii="Bookman Old Style" w:hAnsi="Bookman Old Style"/>
          <w:sz w:val="24"/>
          <w:szCs w:val="24"/>
        </w:rPr>
        <w:t>estimated calculations for a</w:t>
      </w:r>
      <w:r w:rsidR="001777C8" w:rsidRPr="0014270C">
        <w:rPr>
          <w:rFonts w:ascii="Bookman Old Style" w:hAnsi="Bookman Old Style"/>
          <w:sz w:val="24"/>
          <w:szCs w:val="24"/>
        </w:rPr>
        <w:t>n off-grid</w:t>
      </w:r>
      <w:r w:rsidRPr="0014270C">
        <w:rPr>
          <w:rFonts w:ascii="Bookman Old Style" w:hAnsi="Bookman Old Style"/>
          <w:sz w:val="24"/>
          <w:szCs w:val="24"/>
        </w:rPr>
        <w:t xml:space="preserve"> tiny house</w:t>
      </w:r>
      <w:r w:rsidR="001777C8" w:rsidRPr="0014270C">
        <w:rPr>
          <w:rFonts w:ascii="Bookman Old Style" w:hAnsi="Bookman Old Style"/>
          <w:sz w:val="24"/>
          <w:szCs w:val="24"/>
        </w:rPr>
        <w:t xml:space="preserve"> </w:t>
      </w:r>
      <w:r w:rsidR="00054970" w:rsidRPr="0014270C">
        <w:rPr>
          <w:rFonts w:ascii="Bookman Old Style" w:hAnsi="Bookman Old Style"/>
          <w:sz w:val="24"/>
          <w:szCs w:val="24"/>
        </w:rPr>
        <w:t xml:space="preserve">and strategies </w:t>
      </w:r>
      <w:r w:rsidR="001777C8" w:rsidRPr="0014270C">
        <w:rPr>
          <w:rFonts w:ascii="Bookman Old Style" w:hAnsi="Bookman Old Style"/>
          <w:sz w:val="24"/>
          <w:szCs w:val="24"/>
        </w:rPr>
        <w:t>for</w:t>
      </w:r>
      <w:r w:rsidR="00070C2B" w:rsidRPr="0014270C">
        <w:rPr>
          <w:rFonts w:ascii="Bookman Old Style" w:hAnsi="Bookman Old Style"/>
          <w:sz w:val="24"/>
          <w:szCs w:val="24"/>
        </w:rPr>
        <w:t xml:space="preserve"> </w:t>
      </w:r>
      <w:r w:rsidR="00757D07" w:rsidRPr="0014270C">
        <w:rPr>
          <w:rFonts w:ascii="Bookman Old Style" w:hAnsi="Bookman Old Style"/>
          <w:sz w:val="24"/>
          <w:szCs w:val="24"/>
        </w:rPr>
        <w:t>“</w:t>
      </w:r>
      <w:r w:rsidR="00070C2B" w:rsidRPr="0014270C">
        <w:rPr>
          <w:rFonts w:ascii="Bookman Old Style" w:hAnsi="Bookman Old Style"/>
          <w:sz w:val="24"/>
          <w:szCs w:val="24"/>
        </w:rPr>
        <w:t>clos</w:t>
      </w:r>
      <w:r w:rsidR="001777C8" w:rsidRPr="0014270C">
        <w:rPr>
          <w:rFonts w:ascii="Bookman Old Style" w:hAnsi="Bookman Old Style"/>
          <w:sz w:val="24"/>
          <w:szCs w:val="24"/>
        </w:rPr>
        <w:t>ing</w:t>
      </w:r>
      <w:r w:rsidR="00070C2B" w:rsidRPr="0014270C">
        <w:rPr>
          <w:rFonts w:ascii="Bookman Old Style" w:hAnsi="Bookman Old Style"/>
          <w:sz w:val="24"/>
          <w:szCs w:val="24"/>
        </w:rPr>
        <w:t xml:space="preserve"> the gap</w:t>
      </w:r>
      <w:r w:rsidR="00757D07" w:rsidRPr="0014270C">
        <w:rPr>
          <w:rFonts w:ascii="Bookman Old Style" w:hAnsi="Bookman Old Style"/>
          <w:sz w:val="24"/>
          <w:szCs w:val="24"/>
        </w:rPr>
        <w:t>”</w:t>
      </w:r>
      <w:r w:rsidR="00070C2B" w:rsidRPr="0014270C">
        <w:rPr>
          <w:rFonts w:ascii="Bookman Old Style" w:hAnsi="Bookman Old Style"/>
          <w:sz w:val="24"/>
          <w:szCs w:val="24"/>
        </w:rPr>
        <w:t xml:space="preserve"> between the provision of </w:t>
      </w:r>
      <w:r w:rsidR="00B84880">
        <w:rPr>
          <w:rFonts w:ascii="Bookman Old Style" w:hAnsi="Bookman Old Style"/>
          <w:sz w:val="24"/>
          <w:szCs w:val="24"/>
        </w:rPr>
        <w:t xml:space="preserve">relief </w:t>
      </w:r>
      <w:r w:rsidR="00070C2B" w:rsidRPr="0014270C">
        <w:rPr>
          <w:rFonts w:ascii="Bookman Old Style" w:hAnsi="Bookman Old Style"/>
          <w:sz w:val="24"/>
          <w:szCs w:val="24"/>
        </w:rPr>
        <w:t xml:space="preserve">housing and implementation of solutions </w:t>
      </w:r>
      <w:r w:rsidR="00054970" w:rsidRPr="0014270C">
        <w:rPr>
          <w:rFonts w:ascii="Bookman Old Style" w:hAnsi="Bookman Old Style"/>
          <w:sz w:val="24"/>
          <w:szCs w:val="24"/>
        </w:rPr>
        <w:t>cou</w:t>
      </w:r>
      <w:r w:rsidR="00ED56A5" w:rsidRPr="0014270C">
        <w:rPr>
          <w:rFonts w:ascii="Bookman Old Style" w:hAnsi="Bookman Old Style"/>
          <w:sz w:val="24"/>
          <w:szCs w:val="24"/>
        </w:rPr>
        <w:t>ld create a</w:t>
      </w:r>
      <w:r w:rsidR="007F02EF" w:rsidRPr="0014270C">
        <w:rPr>
          <w:rFonts w:ascii="Bookman Old Style" w:hAnsi="Bookman Old Style"/>
          <w:sz w:val="24"/>
          <w:szCs w:val="24"/>
        </w:rPr>
        <w:t xml:space="preserve">n effective system for </w:t>
      </w:r>
      <w:r w:rsidR="009B34AA">
        <w:rPr>
          <w:rFonts w:ascii="Bookman Old Style" w:hAnsi="Bookman Old Style"/>
          <w:sz w:val="24"/>
          <w:szCs w:val="24"/>
        </w:rPr>
        <w:t>long-term</w:t>
      </w:r>
      <w:r w:rsidR="007F02EF" w:rsidRPr="0014270C">
        <w:rPr>
          <w:rFonts w:ascii="Bookman Old Style" w:hAnsi="Bookman Old Style"/>
          <w:sz w:val="24"/>
          <w:szCs w:val="24"/>
        </w:rPr>
        <w:t xml:space="preserve"> recovery</w:t>
      </w:r>
      <w:r w:rsidRPr="0014270C">
        <w:rPr>
          <w:rFonts w:ascii="Bookman Old Style" w:hAnsi="Bookman Old Style"/>
          <w:sz w:val="24"/>
          <w:szCs w:val="24"/>
        </w:rPr>
        <w:t xml:space="preserve">. </w:t>
      </w:r>
    </w:p>
    <w:p w14:paraId="6B787B7A" w14:textId="7F848B36" w:rsidR="00D03366" w:rsidRPr="0014270C" w:rsidRDefault="00D03366" w:rsidP="00D03366">
      <w:pPr>
        <w:rPr>
          <w:rFonts w:ascii="Bookman Old Style" w:hAnsi="Bookman Old Style"/>
          <w:sz w:val="24"/>
          <w:szCs w:val="24"/>
        </w:rPr>
      </w:pPr>
    </w:p>
    <w:p w14:paraId="07BEC8BC" w14:textId="0D7AFF46" w:rsidR="00FC7D6C" w:rsidRPr="0014270C" w:rsidRDefault="00FC7D6C" w:rsidP="00620752">
      <w:pPr>
        <w:spacing w:line="480" w:lineRule="auto"/>
        <w:ind w:firstLine="720"/>
        <w:rPr>
          <w:rFonts w:ascii="Bookman Old Style" w:hAnsi="Bookman Old Style"/>
          <w:sz w:val="24"/>
          <w:szCs w:val="24"/>
        </w:rPr>
      </w:pPr>
      <w:r w:rsidRPr="0014270C">
        <w:rPr>
          <w:rFonts w:ascii="Bookman Old Style" w:hAnsi="Bookman Old Style"/>
          <w:sz w:val="24"/>
          <w:szCs w:val="24"/>
        </w:rPr>
        <w:br w:type="page"/>
      </w:r>
    </w:p>
    <w:p w14:paraId="626E797D" w14:textId="29DB4D2C" w:rsidR="00F82628" w:rsidRPr="0014270C" w:rsidRDefault="00224616" w:rsidP="001F4ED5">
      <w:pPr>
        <w:pStyle w:val="THESISLVL1"/>
      </w:pPr>
      <w:bookmarkStart w:id="50" w:name="_Toc8062285"/>
      <w:r w:rsidRPr="0014270C">
        <w:lastRenderedPageBreak/>
        <w:t>C</w:t>
      </w:r>
      <w:r w:rsidR="00025201" w:rsidRPr="0014270C">
        <w:t>HAPTER</w:t>
      </w:r>
      <w:r w:rsidRPr="0014270C">
        <w:t xml:space="preserve"> 3: M</w:t>
      </w:r>
      <w:r w:rsidR="00025201" w:rsidRPr="0014270C">
        <w:t>ETHODOLOGY</w:t>
      </w:r>
      <w:bookmarkEnd w:id="50"/>
      <w:r w:rsidR="00443CE5" w:rsidRPr="0014270C">
        <w:t xml:space="preserve"> </w:t>
      </w:r>
    </w:p>
    <w:p w14:paraId="2CE1FD96" w14:textId="77777777" w:rsidR="00C94A77" w:rsidRPr="0014270C" w:rsidRDefault="00C94A77" w:rsidP="00B93546">
      <w:pPr>
        <w:pStyle w:val="THESISLVL2"/>
      </w:pPr>
      <w:bookmarkStart w:id="51" w:name="_Toc8062286"/>
      <w:r w:rsidRPr="0014270C">
        <w:t>3.1 Research Overview</w:t>
      </w:r>
      <w:bookmarkEnd w:id="51"/>
    </w:p>
    <w:p w14:paraId="2DBE9A9B" w14:textId="38821EBD" w:rsidR="00890A4B" w:rsidRPr="0014270C" w:rsidRDefault="0083667E" w:rsidP="00307C15">
      <w:pPr>
        <w:spacing w:line="480" w:lineRule="auto"/>
        <w:ind w:firstLine="720"/>
        <w:rPr>
          <w:rFonts w:ascii="Bookman Old Style" w:hAnsi="Bookman Old Style"/>
          <w:sz w:val="24"/>
          <w:szCs w:val="24"/>
        </w:rPr>
      </w:pPr>
      <w:r w:rsidRPr="0014270C">
        <w:rPr>
          <w:rFonts w:ascii="Bookman Old Style" w:hAnsi="Bookman Old Style"/>
          <w:sz w:val="24"/>
          <w:szCs w:val="24"/>
        </w:rPr>
        <w:t>R</w:t>
      </w:r>
      <w:r w:rsidR="00C300F4" w:rsidRPr="0014270C">
        <w:rPr>
          <w:rFonts w:ascii="Bookman Old Style" w:hAnsi="Bookman Old Style"/>
          <w:sz w:val="24"/>
          <w:szCs w:val="24"/>
        </w:rPr>
        <w:t xml:space="preserve">elief housing </w:t>
      </w:r>
      <w:r w:rsidR="00D06C36" w:rsidRPr="0014270C">
        <w:rPr>
          <w:rFonts w:ascii="Bookman Old Style" w:hAnsi="Bookman Old Style"/>
          <w:sz w:val="24"/>
          <w:szCs w:val="24"/>
        </w:rPr>
        <w:t xml:space="preserve">continues to </w:t>
      </w:r>
      <w:r w:rsidR="0044535D" w:rsidRPr="0014270C">
        <w:rPr>
          <w:rFonts w:ascii="Bookman Old Style" w:hAnsi="Bookman Old Style"/>
          <w:sz w:val="24"/>
          <w:szCs w:val="24"/>
        </w:rPr>
        <w:t xml:space="preserve">be one of the </w:t>
      </w:r>
      <w:r w:rsidR="005746C2" w:rsidRPr="0014270C">
        <w:rPr>
          <w:rFonts w:ascii="Bookman Old Style" w:hAnsi="Bookman Old Style"/>
          <w:sz w:val="24"/>
          <w:szCs w:val="24"/>
        </w:rPr>
        <w:t>most complex</w:t>
      </w:r>
      <w:r w:rsidR="0044535D" w:rsidRPr="0014270C">
        <w:rPr>
          <w:rFonts w:ascii="Bookman Old Style" w:hAnsi="Bookman Old Style"/>
          <w:sz w:val="24"/>
          <w:szCs w:val="24"/>
        </w:rPr>
        <w:t xml:space="preserve"> aspects </w:t>
      </w:r>
      <w:r w:rsidR="00EC1422" w:rsidRPr="0014270C">
        <w:rPr>
          <w:rFonts w:ascii="Bookman Old Style" w:hAnsi="Bookman Old Style"/>
          <w:sz w:val="24"/>
          <w:szCs w:val="24"/>
        </w:rPr>
        <w:t xml:space="preserve">of </w:t>
      </w:r>
      <w:r w:rsidR="005746C2" w:rsidRPr="0014270C">
        <w:rPr>
          <w:rFonts w:ascii="Bookman Old Style" w:hAnsi="Bookman Old Style"/>
          <w:sz w:val="24"/>
          <w:szCs w:val="24"/>
        </w:rPr>
        <w:t>disaster response</w:t>
      </w:r>
      <w:r w:rsidR="00885B31" w:rsidRPr="0014270C">
        <w:rPr>
          <w:rFonts w:ascii="Bookman Old Style" w:hAnsi="Bookman Old Style"/>
          <w:sz w:val="24"/>
          <w:szCs w:val="24"/>
        </w:rPr>
        <w:t xml:space="preserve"> due to th</w:t>
      </w:r>
      <w:r w:rsidR="00682086" w:rsidRPr="0014270C">
        <w:rPr>
          <w:rFonts w:ascii="Bookman Old Style" w:hAnsi="Bookman Old Style"/>
          <w:sz w:val="24"/>
          <w:szCs w:val="24"/>
        </w:rPr>
        <w:t xml:space="preserve">e various challenges </w:t>
      </w:r>
      <w:r w:rsidR="001100E3" w:rsidRPr="0014270C">
        <w:rPr>
          <w:rFonts w:ascii="Bookman Old Style" w:hAnsi="Bookman Old Style"/>
          <w:sz w:val="24"/>
          <w:szCs w:val="24"/>
        </w:rPr>
        <w:t xml:space="preserve">presented to </w:t>
      </w:r>
      <w:r w:rsidR="00F87854" w:rsidRPr="0014270C">
        <w:rPr>
          <w:rFonts w:ascii="Bookman Old Style" w:hAnsi="Bookman Old Style"/>
          <w:sz w:val="24"/>
          <w:szCs w:val="24"/>
        </w:rPr>
        <w:t xml:space="preserve">society, </w:t>
      </w:r>
      <w:r w:rsidR="00890A4B" w:rsidRPr="0014270C">
        <w:rPr>
          <w:rFonts w:ascii="Bookman Old Style" w:hAnsi="Bookman Old Style"/>
          <w:sz w:val="24"/>
          <w:szCs w:val="24"/>
        </w:rPr>
        <w:t xml:space="preserve">the </w:t>
      </w:r>
      <w:r w:rsidR="00F87854" w:rsidRPr="0014270C">
        <w:rPr>
          <w:rFonts w:ascii="Bookman Old Style" w:hAnsi="Bookman Old Style"/>
          <w:sz w:val="24"/>
          <w:szCs w:val="24"/>
        </w:rPr>
        <w:t>environment, and the economy</w:t>
      </w:r>
      <w:r w:rsidR="005746C2" w:rsidRPr="0014270C">
        <w:rPr>
          <w:rFonts w:ascii="Bookman Old Style" w:hAnsi="Bookman Old Style"/>
          <w:sz w:val="24"/>
          <w:szCs w:val="24"/>
        </w:rPr>
        <w:t>.</w:t>
      </w:r>
      <w:r w:rsidR="00EC1422" w:rsidRPr="0014270C">
        <w:rPr>
          <w:rFonts w:ascii="Bookman Old Style" w:hAnsi="Bookman Old Style"/>
          <w:sz w:val="24"/>
          <w:szCs w:val="24"/>
        </w:rPr>
        <w:t xml:space="preserve"> </w:t>
      </w:r>
      <w:r w:rsidR="00890A4B" w:rsidRPr="0014270C">
        <w:rPr>
          <w:rFonts w:ascii="Bookman Old Style" w:hAnsi="Bookman Old Style"/>
          <w:sz w:val="24"/>
          <w:szCs w:val="24"/>
        </w:rPr>
        <w:t xml:space="preserve">Solutions have </w:t>
      </w:r>
      <w:proofErr w:type="gramStart"/>
      <w:r w:rsidR="00890A4B" w:rsidRPr="0014270C">
        <w:rPr>
          <w:rFonts w:ascii="Bookman Old Style" w:hAnsi="Bookman Old Style"/>
          <w:sz w:val="24"/>
          <w:szCs w:val="24"/>
        </w:rPr>
        <w:t>been proposed</w:t>
      </w:r>
      <w:proofErr w:type="gramEnd"/>
      <w:r w:rsidR="00890A4B" w:rsidRPr="0014270C">
        <w:rPr>
          <w:rFonts w:ascii="Bookman Old Style" w:hAnsi="Bookman Old Style"/>
          <w:sz w:val="24"/>
          <w:szCs w:val="24"/>
        </w:rPr>
        <w:t xml:space="preserve"> by countless </w:t>
      </w:r>
      <w:r w:rsidR="00B80DFD" w:rsidRPr="0014270C">
        <w:rPr>
          <w:rFonts w:ascii="Bookman Old Style" w:hAnsi="Bookman Old Style"/>
          <w:sz w:val="24"/>
          <w:szCs w:val="24"/>
        </w:rPr>
        <w:t>interdisciplinary teams</w:t>
      </w:r>
      <w:r w:rsidR="00890A4B" w:rsidRPr="0014270C">
        <w:rPr>
          <w:rFonts w:ascii="Bookman Old Style" w:hAnsi="Bookman Old Style"/>
          <w:sz w:val="24"/>
          <w:szCs w:val="24"/>
        </w:rPr>
        <w:t xml:space="preserve"> using </w:t>
      </w:r>
      <w:r w:rsidR="000F4253" w:rsidRPr="0014270C">
        <w:rPr>
          <w:rFonts w:ascii="Bookman Old Style" w:hAnsi="Bookman Old Style"/>
          <w:sz w:val="24"/>
          <w:szCs w:val="24"/>
        </w:rPr>
        <w:t>several</w:t>
      </w:r>
      <w:r w:rsidR="00890A4B" w:rsidRPr="0014270C">
        <w:rPr>
          <w:rFonts w:ascii="Bookman Old Style" w:hAnsi="Bookman Old Style"/>
          <w:sz w:val="24"/>
          <w:szCs w:val="24"/>
        </w:rPr>
        <w:t xml:space="preserve"> techniques to address </w:t>
      </w:r>
      <w:r w:rsidR="00635F51" w:rsidRPr="0014270C">
        <w:rPr>
          <w:rFonts w:ascii="Bookman Old Style" w:hAnsi="Bookman Old Style"/>
          <w:sz w:val="24"/>
          <w:szCs w:val="24"/>
        </w:rPr>
        <w:t>these</w:t>
      </w:r>
      <w:r w:rsidR="00890A4B" w:rsidRPr="0014270C">
        <w:rPr>
          <w:rFonts w:ascii="Bookman Old Style" w:hAnsi="Bookman Old Style"/>
          <w:sz w:val="24"/>
          <w:szCs w:val="24"/>
        </w:rPr>
        <w:t xml:space="preserve"> challenges.</w:t>
      </w:r>
      <w:r w:rsidR="00307C15" w:rsidRPr="0014270C">
        <w:rPr>
          <w:rFonts w:ascii="Bookman Old Style" w:hAnsi="Bookman Old Style"/>
          <w:sz w:val="24"/>
          <w:szCs w:val="24"/>
        </w:rPr>
        <w:t xml:space="preserve"> </w:t>
      </w:r>
      <w:r w:rsidR="00C85AEF" w:rsidRPr="0014270C">
        <w:rPr>
          <w:rFonts w:ascii="Bookman Old Style" w:hAnsi="Bookman Old Style"/>
          <w:sz w:val="24"/>
          <w:szCs w:val="24"/>
        </w:rPr>
        <w:t xml:space="preserve">This research </w:t>
      </w:r>
      <w:r w:rsidR="00F76C9B" w:rsidRPr="0014270C">
        <w:rPr>
          <w:rFonts w:ascii="Bookman Old Style" w:hAnsi="Bookman Old Style"/>
          <w:sz w:val="24"/>
          <w:szCs w:val="24"/>
        </w:rPr>
        <w:t>uses the currently available literature</w:t>
      </w:r>
      <w:r w:rsidR="00B865C7" w:rsidRPr="0014270C">
        <w:rPr>
          <w:rFonts w:ascii="Bookman Old Style" w:hAnsi="Bookman Old Style"/>
          <w:sz w:val="24"/>
          <w:szCs w:val="24"/>
        </w:rPr>
        <w:t xml:space="preserve"> </w:t>
      </w:r>
      <w:r w:rsidR="00C85AEF" w:rsidRPr="0014270C">
        <w:rPr>
          <w:rFonts w:ascii="Bookman Old Style" w:hAnsi="Bookman Old Style"/>
          <w:sz w:val="24"/>
          <w:szCs w:val="24"/>
        </w:rPr>
        <w:t xml:space="preserve">to </w:t>
      </w:r>
      <w:r w:rsidR="00A05FDD" w:rsidRPr="0014270C">
        <w:rPr>
          <w:rFonts w:ascii="Bookman Old Style" w:hAnsi="Bookman Old Style"/>
          <w:sz w:val="24"/>
          <w:szCs w:val="24"/>
        </w:rPr>
        <w:t xml:space="preserve">review </w:t>
      </w:r>
      <w:r w:rsidR="009D7BE0" w:rsidRPr="0014270C">
        <w:rPr>
          <w:rFonts w:ascii="Bookman Old Style" w:hAnsi="Bookman Old Style"/>
          <w:sz w:val="24"/>
          <w:szCs w:val="24"/>
        </w:rPr>
        <w:t>the</w:t>
      </w:r>
      <w:r w:rsidR="00A05FDD" w:rsidRPr="0014270C">
        <w:rPr>
          <w:rFonts w:ascii="Bookman Old Style" w:hAnsi="Bookman Old Style"/>
          <w:sz w:val="24"/>
          <w:szCs w:val="24"/>
        </w:rPr>
        <w:t xml:space="preserve"> most effective </w:t>
      </w:r>
      <w:r w:rsidR="00632EAD" w:rsidRPr="0014270C">
        <w:rPr>
          <w:rFonts w:ascii="Bookman Old Style" w:hAnsi="Bookman Old Style"/>
          <w:sz w:val="24"/>
          <w:szCs w:val="24"/>
        </w:rPr>
        <w:t>techniques</w:t>
      </w:r>
      <w:r w:rsidR="009711F5" w:rsidRPr="0014270C">
        <w:rPr>
          <w:rFonts w:ascii="Bookman Old Style" w:hAnsi="Bookman Old Style"/>
          <w:sz w:val="24"/>
          <w:szCs w:val="24"/>
        </w:rPr>
        <w:t xml:space="preserve"> for </w:t>
      </w:r>
      <w:r w:rsidR="00300127" w:rsidRPr="0014270C">
        <w:rPr>
          <w:rFonts w:ascii="Bookman Old Style" w:hAnsi="Bookman Old Style"/>
          <w:sz w:val="24"/>
          <w:szCs w:val="24"/>
        </w:rPr>
        <w:t>providing efficient, affordable relief housing</w:t>
      </w:r>
      <w:r w:rsidR="003C3AE7" w:rsidRPr="0014270C">
        <w:rPr>
          <w:rFonts w:ascii="Bookman Old Style" w:hAnsi="Bookman Old Style"/>
          <w:sz w:val="24"/>
          <w:szCs w:val="24"/>
        </w:rPr>
        <w:t xml:space="preserve"> and </w:t>
      </w:r>
      <w:r w:rsidR="006B3D70" w:rsidRPr="0014270C">
        <w:rPr>
          <w:rFonts w:ascii="Bookman Old Style" w:hAnsi="Bookman Old Style"/>
          <w:sz w:val="24"/>
          <w:szCs w:val="24"/>
        </w:rPr>
        <w:t>support</w:t>
      </w:r>
      <w:r w:rsidR="00300127" w:rsidRPr="0014270C">
        <w:rPr>
          <w:rFonts w:ascii="Bookman Old Style" w:hAnsi="Bookman Old Style"/>
          <w:sz w:val="24"/>
          <w:szCs w:val="24"/>
        </w:rPr>
        <w:t xml:space="preserve"> to displaced hurricane victims</w:t>
      </w:r>
      <w:r w:rsidR="009D7BE0" w:rsidRPr="0014270C">
        <w:rPr>
          <w:rFonts w:ascii="Bookman Old Style" w:hAnsi="Bookman Old Style"/>
          <w:sz w:val="24"/>
          <w:szCs w:val="24"/>
        </w:rPr>
        <w:t xml:space="preserve">, and determine if </w:t>
      </w:r>
      <w:r w:rsidR="00DE5614" w:rsidRPr="0014270C">
        <w:rPr>
          <w:rFonts w:ascii="Bookman Old Style" w:hAnsi="Bookman Old Style"/>
          <w:sz w:val="24"/>
          <w:szCs w:val="24"/>
        </w:rPr>
        <w:t>there is a more</w:t>
      </w:r>
      <w:r w:rsidR="009D7BE0" w:rsidRPr="0014270C">
        <w:rPr>
          <w:rFonts w:ascii="Bookman Old Style" w:hAnsi="Bookman Old Style"/>
          <w:sz w:val="24"/>
          <w:szCs w:val="24"/>
        </w:rPr>
        <w:t xml:space="preserve"> </w:t>
      </w:r>
      <w:r w:rsidR="00F87FF4" w:rsidRPr="0014270C">
        <w:rPr>
          <w:rFonts w:ascii="Bookman Old Style" w:hAnsi="Bookman Old Style"/>
          <w:sz w:val="24"/>
          <w:szCs w:val="24"/>
        </w:rPr>
        <w:t>sustainable</w:t>
      </w:r>
      <w:r w:rsidR="00DE5614" w:rsidRPr="0014270C">
        <w:rPr>
          <w:rFonts w:ascii="Bookman Old Style" w:hAnsi="Bookman Old Style"/>
          <w:sz w:val="24"/>
          <w:szCs w:val="24"/>
        </w:rPr>
        <w:t xml:space="preserve"> </w:t>
      </w:r>
      <w:r w:rsidR="00AE6502" w:rsidRPr="0014270C">
        <w:rPr>
          <w:rFonts w:ascii="Bookman Old Style" w:hAnsi="Bookman Old Style"/>
          <w:sz w:val="24"/>
          <w:szCs w:val="24"/>
        </w:rPr>
        <w:t>solution</w:t>
      </w:r>
      <w:r w:rsidR="00DE5614" w:rsidRPr="0014270C">
        <w:rPr>
          <w:rFonts w:ascii="Bookman Old Style" w:hAnsi="Bookman Old Style"/>
          <w:sz w:val="24"/>
          <w:szCs w:val="24"/>
        </w:rPr>
        <w:t xml:space="preserve"> for disaster relief housing than the trailers that have been used in the past and what can be done to implement the solutions that are found.</w:t>
      </w:r>
    </w:p>
    <w:p w14:paraId="4F68778D" w14:textId="4CAB230B" w:rsidR="002B34FD" w:rsidRPr="0014270C" w:rsidRDefault="0056652C" w:rsidP="00880485">
      <w:pPr>
        <w:spacing w:line="480" w:lineRule="auto"/>
        <w:ind w:firstLine="720"/>
        <w:rPr>
          <w:rFonts w:ascii="Bookman Old Style" w:hAnsi="Bookman Old Style"/>
          <w:sz w:val="24"/>
          <w:szCs w:val="24"/>
        </w:rPr>
      </w:pPr>
      <w:r w:rsidRPr="0014270C">
        <w:rPr>
          <w:rFonts w:ascii="Bookman Old Style" w:hAnsi="Bookman Old Style"/>
          <w:sz w:val="24"/>
          <w:szCs w:val="24"/>
        </w:rPr>
        <w:t>Due to the lack of transparency regarding expenditures, this research compares the handling of the situation between Hurricanes Katrina and Harvey rather than the exact unit costs and environmental impact</w:t>
      </w:r>
      <w:r w:rsidR="00D9088F" w:rsidRPr="0014270C">
        <w:rPr>
          <w:rFonts w:ascii="Bookman Old Style" w:hAnsi="Bookman Old Style"/>
          <w:sz w:val="24"/>
          <w:szCs w:val="24"/>
        </w:rPr>
        <w:t xml:space="preserve"> from one storm to the other</w:t>
      </w:r>
      <w:r w:rsidRPr="0014270C">
        <w:rPr>
          <w:rFonts w:ascii="Bookman Old Style" w:hAnsi="Bookman Old Style"/>
          <w:sz w:val="24"/>
          <w:szCs w:val="24"/>
        </w:rPr>
        <w:t xml:space="preserve">. </w:t>
      </w:r>
      <w:r w:rsidR="00E35242" w:rsidRPr="0014270C">
        <w:rPr>
          <w:rFonts w:ascii="Bookman Old Style" w:hAnsi="Bookman Old Style"/>
          <w:sz w:val="24"/>
          <w:szCs w:val="24"/>
        </w:rPr>
        <w:t xml:space="preserve">The figures used </w:t>
      </w:r>
      <w:r w:rsidR="00584EE6" w:rsidRPr="0014270C">
        <w:rPr>
          <w:rFonts w:ascii="Bookman Old Style" w:hAnsi="Bookman Old Style"/>
          <w:sz w:val="24"/>
          <w:szCs w:val="24"/>
        </w:rPr>
        <w:t xml:space="preserve">to determine the </w:t>
      </w:r>
      <w:r w:rsidR="00EF017B" w:rsidRPr="0014270C">
        <w:rPr>
          <w:rFonts w:ascii="Bookman Old Style" w:hAnsi="Bookman Old Style"/>
          <w:sz w:val="24"/>
          <w:szCs w:val="24"/>
        </w:rPr>
        <w:t xml:space="preserve">past </w:t>
      </w:r>
      <w:r w:rsidR="007935EF" w:rsidRPr="0014270C">
        <w:rPr>
          <w:rFonts w:ascii="Bookman Old Style" w:hAnsi="Bookman Old Style"/>
          <w:sz w:val="24"/>
          <w:szCs w:val="24"/>
        </w:rPr>
        <w:t>expense</w:t>
      </w:r>
      <w:r w:rsidR="00EF017B" w:rsidRPr="0014270C">
        <w:rPr>
          <w:rFonts w:ascii="Bookman Old Style" w:hAnsi="Bookman Old Style"/>
          <w:sz w:val="24"/>
          <w:szCs w:val="24"/>
        </w:rPr>
        <w:t>s</w:t>
      </w:r>
      <w:r w:rsidR="00584EE6" w:rsidRPr="0014270C">
        <w:rPr>
          <w:rFonts w:ascii="Bookman Old Style" w:hAnsi="Bookman Old Style"/>
          <w:sz w:val="24"/>
          <w:szCs w:val="24"/>
        </w:rPr>
        <w:t xml:space="preserve"> </w:t>
      </w:r>
      <w:r w:rsidR="00E35242" w:rsidRPr="0014270C">
        <w:rPr>
          <w:rFonts w:ascii="Bookman Old Style" w:hAnsi="Bookman Old Style"/>
          <w:sz w:val="24"/>
          <w:szCs w:val="24"/>
        </w:rPr>
        <w:t xml:space="preserve">are estimates based on </w:t>
      </w:r>
      <w:r w:rsidR="002B34FD" w:rsidRPr="0014270C">
        <w:rPr>
          <w:rFonts w:ascii="Bookman Old Style" w:hAnsi="Bookman Old Style"/>
          <w:sz w:val="24"/>
          <w:szCs w:val="24"/>
        </w:rPr>
        <w:t>available</w:t>
      </w:r>
      <w:r w:rsidR="00E35242" w:rsidRPr="0014270C">
        <w:rPr>
          <w:rFonts w:ascii="Bookman Old Style" w:hAnsi="Bookman Old Style"/>
          <w:sz w:val="24"/>
          <w:szCs w:val="24"/>
        </w:rPr>
        <w:t xml:space="preserve"> </w:t>
      </w:r>
      <w:r w:rsidR="00B940CF" w:rsidRPr="0014270C">
        <w:rPr>
          <w:rFonts w:ascii="Bookman Old Style" w:hAnsi="Bookman Old Style"/>
          <w:sz w:val="24"/>
          <w:szCs w:val="24"/>
        </w:rPr>
        <w:t>reports from the events that transpired post-disaster regarding housing</w:t>
      </w:r>
      <w:r w:rsidR="00FC5349" w:rsidRPr="0014270C">
        <w:rPr>
          <w:rFonts w:ascii="Bookman Old Style" w:hAnsi="Bookman Old Style"/>
          <w:sz w:val="24"/>
          <w:szCs w:val="24"/>
        </w:rPr>
        <w:t xml:space="preserve"> for displaced victims in Hurricane Katrina and Hurricane Harvey. </w:t>
      </w:r>
      <w:r w:rsidR="003B3CE8" w:rsidRPr="0014270C">
        <w:rPr>
          <w:rFonts w:ascii="Bookman Old Style" w:hAnsi="Bookman Old Style"/>
          <w:sz w:val="24"/>
          <w:szCs w:val="24"/>
        </w:rPr>
        <w:t xml:space="preserve">The </w:t>
      </w:r>
      <w:r w:rsidR="00C143FB" w:rsidRPr="0014270C">
        <w:rPr>
          <w:rFonts w:ascii="Bookman Old Style" w:hAnsi="Bookman Old Style"/>
          <w:sz w:val="24"/>
          <w:szCs w:val="24"/>
        </w:rPr>
        <w:t>average costs</w:t>
      </w:r>
      <w:r w:rsidR="003B3CE8" w:rsidRPr="0014270C">
        <w:rPr>
          <w:rFonts w:ascii="Bookman Old Style" w:hAnsi="Bookman Old Style"/>
          <w:sz w:val="24"/>
          <w:szCs w:val="24"/>
        </w:rPr>
        <w:t xml:space="preserve"> </w:t>
      </w:r>
      <w:r w:rsidR="00F23059" w:rsidRPr="0014270C">
        <w:rPr>
          <w:rFonts w:ascii="Bookman Old Style" w:hAnsi="Bookman Old Style"/>
          <w:sz w:val="24"/>
          <w:szCs w:val="24"/>
        </w:rPr>
        <w:t>of tiny housing and systems for off-grid function are</w:t>
      </w:r>
      <w:r w:rsidR="00067DE5" w:rsidRPr="0014270C">
        <w:rPr>
          <w:rFonts w:ascii="Bookman Old Style" w:hAnsi="Bookman Old Style"/>
          <w:sz w:val="24"/>
          <w:szCs w:val="24"/>
        </w:rPr>
        <w:t xml:space="preserve"> </w:t>
      </w:r>
      <w:r w:rsidR="00F23059" w:rsidRPr="0014270C">
        <w:rPr>
          <w:rFonts w:ascii="Bookman Old Style" w:hAnsi="Bookman Old Style"/>
          <w:sz w:val="24"/>
          <w:szCs w:val="24"/>
        </w:rPr>
        <w:t xml:space="preserve">based on </w:t>
      </w:r>
      <w:r w:rsidR="005C477F" w:rsidRPr="0014270C">
        <w:rPr>
          <w:rFonts w:ascii="Bookman Old Style" w:hAnsi="Bookman Old Style"/>
          <w:sz w:val="24"/>
          <w:szCs w:val="24"/>
        </w:rPr>
        <w:t>a review of projects from several builders, both do-it-yourself and professional.</w:t>
      </w:r>
      <w:r w:rsidR="00A869E5" w:rsidRPr="0014270C">
        <w:rPr>
          <w:rFonts w:ascii="Bookman Old Style" w:hAnsi="Bookman Old Style"/>
          <w:sz w:val="24"/>
          <w:szCs w:val="24"/>
        </w:rPr>
        <w:t xml:space="preserve"> It </w:t>
      </w:r>
      <w:proofErr w:type="gramStart"/>
      <w:r w:rsidR="00A869E5" w:rsidRPr="0014270C">
        <w:rPr>
          <w:rFonts w:ascii="Bookman Old Style" w:hAnsi="Bookman Old Style"/>
          <w:sz w:val="24"/>
          <w:szCs w:val="24"/>
        </w:rPr>
        <w:t>is noted</w:t>
      </w:r>
      <w:proofErr w:type="gramEnd"/>
      <w:r w:rsidR="00A869E5" w:rsidRPr="0014270C">
        <w:rPr>
          <w:rFonts w:ascii="Bookman Old Style" w:hAnsi="Bookman Old Style"/>
          <w:sz w:val="24"/>
          <w:szCs w:val="24"/>
        </w:rPr>
        <w:t xml:space="preserve"> that some technologies are not found to be currently available for </w:t>
      </w:r>
      <w:r w:rsidR="00C143FB" w:rsidRPr="0014270C">
        <w:rPr>
          <w:rFonts w:ascii="Bookman Old Style" w:hAnsi="Bookman Old Style"/>
          <w:sz w:val="24"/>
          <w:szCs w:val="24"/>
        </w:rPr>
        <w:t xml:space="preserve">residential </w:t>
      </w:r>
      <w:r w:rsidR="00A7651F" w:rsidRPr="0014270C">
        <w:rPr>
          <w:rFonts w:ascii="Bookman Old Style" w:hAnsi="Bookman Old Style"/>
          <w:sz w:val="24"/>
          <w:szCs w:val="24"/>
        </w:rPr>
        <w:t>or small</w:t>
      </w:r>
      <w:r w:rsidR="00B34750" w:rsidRPr="0014270C">
        <w:rPr>
          <w:rFonts w:ascii="Bookman Old Style" w:hAnsi="Bookman Old Style"/>
          <w:sz w:val="24"/>
          <w:szCs w:val="24"/>
        </w:rPr>
        <w:t>-</w:t>
      </w:r>
      <w:r w:rsidR="00A7651F" w:rsidRPr="0014270C">
        <w:rPr>
          <w:rFonts w:ascii="Bookman Old Style" w:hAnsi="Bookman Old Style"/>
          <w:sz w:val="24"/>
          <w:szCs w:val="24"/>
        </w:rPr>
        <w:t xml:space="preserve">scale </w:t>
      </w:r>
      <w:r w:rsidR="00A869E5" w:rsidRPr="0014270C">
        <w:rPr>
          <w:rFonts w:ascii="Bookman Old Style" w:hAnsi="Bookman Old Style"/>
          <w:sz w:val="24"/>
          <w:szCs w:val="24"/>
        </w:rPr>
        <w:t xml:space="preserve">use and </w:t>
      </w:r>
      <w:r w:rsidR="003B3CE8" w:rsidRPr="0014270C">
        <w:rPr>
          <w:rFonts w:ascii="Bookman Old Style" w:hAnsi="Bookman Old Style"/>
          <w:sz w:val="24"/>
          <w:szCs w:val="24"/>
        </w:rPr>
        <w:t>costs for these systems are estimated</w:t>
      </w:r>
      <w:r w:rsidR="003B2500" w:rsidRPr="0014270C">
        <w:rPr>
          <w:rFonts w:ascii="Bookman Old Style" w:hAnsi="Bookman Old Style"/>
          <w:sz w:val="24"/>
          <w:szCs w:val="24"/>
        </w:rPr>
        <w:t>.</w:t>
      </w:r>
    </w:p>
    <w:p w14:paraId="668AA30F" w14:textId="77777777" w:rsidR="003F34A1" w:rsidRPr="0014270C" w:rsidRDefault="003F34A1" w:rsidP="00B93546">
      <w:pPr>
        <w:pStyle w:val="THESISLVL2"/>
      </w:pPr>
    </w:p>
    <w:p w14:paraId="27F3B320" w14:textId="77777777" w:rsidR="003F34A1" w:rsidRPr="0014270C" w:rsidRDefault="003F34A1" w:rsidP="00B93546">
      <w:pPr>
        <w:pStyle w:val="THESISLVL2"/>
      </w:pPr>
    </w:p>
    <w:p w14:paraId="18E66BB2" w14:textId="6F9E536F" w:rsidR="005E6E2B" w:rsidRPr="0014270C" w:rsidRDefault="00861FCC" w:rsidP="00B93546">
      <w:pPr>
        <w:pStyle w:val="THESISLVL2"/>
      </w:pPr>
      <w:bookmarkStart w:id="52" w:name="_Toc8062287"/>
      <w:r w:rsidRPr="0014270C">
        <w:lastRenderedPageBreak/>
        <w:t xml:space="preserve">3.2 </w:t>
      </w:r>
      <w:r w:rsidR="00605A09" w:rsidRPr="0014270C">
        <w:t>Research Method</w:t>
      </w:r>
      <w:bookmarkEnd w:id="52"/>
    </w:p>
    <w:p w14:paraId="474EB9D6" w14:textId="0EC85048" w:rsidR="00967E58" w:rsidRPr="0014270C" w:rsidRDefault="009E148A" w:rsidP="009E148A">
      <w:pPr>
        <w:pStyle w:val="THESISLVL3"/>
      </w:pPr>
      <w:bookmarkStart w:id="53" w:name="_Toc8062288"/>
      <w:r w:rsidRPr="0014270C">
        <w:t>Sustainability Framework</w:t>
      </w:r>
      <w:bookmarkEnd w:id="53"/>
    </w:p>
    <w:p w14:paraId="1919B07A" w14:textId="77777777" w:rsidR="00F02F70" w:rsidRPr="0014270C" w:rsidRDefault="00F02F70" w:rsidP="00F02F70">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Evaluating the various technologies and findings that have </w:t>
      </w:r>
      <w:proofErr w:type="gramStart"/>
      <w:r w:rsidRPr="0014270C">
        <w:rPr>
          <w:rFonts w:ascii="Bookman Old Style" w:hAnsi="Bookman Old Style"/>
          <w:sz w:val="24"/>
          <w:szCs w:val="24"/>
        </w:rPr>
        <w:t>been reviewed</w:t>
      </w:r>
      <w:proofErr w:type="gramEnd"/>
      <w:r w:rsidRPr="0014270C">
        <w:rPr>
          <w:rFonts w:ascii="Bookman Old Style" w:hAnsi="Bookman Old Style"/>
          <w:sz w:val="24"/>
          <w:szCs w:val="24"/>
        </w:rPr>
        <w:t xml:space="preserve"> in this literature by using a framework such as the one established by Arc </w:t>
      </w:r>
      <w:proofErr w:type="spellStart"/>
      <w:r w:rsidRPr="0014270C">
        <w:rPr>
          <w:rFonts w:ascii="Bookman Old Style" w:hAnsi="Bookman Old Style"/>
          <w:sz w:val="24"/>
          <w:szCs w:val="24"/>
        </w:rPr>
        <w:t>Eziyi</w:t>
      </w:r>
      <w:proofErr w:type="spellEnd"/>
      <w:r w:rsidRPr="0014270C">
        <w:rPr>
          <w:rFonts w:ascii="Bookman Old Style" w:hAnsi="Bookman Old Style"/>
          <w:sz w:val="24"/>
          <w:szCs w:val="24"/>
        </w:rPr>
        <w:t xml:space="preserve"> O. </w:t>
      </w:r>
      <w:proofErr w:type="spellStart"/>
      <w:r w:rsidRPr="0014270C">
        <w:rPr>
          <w:rFonts w:ascii="Bookman Old Style" w:hAnsi="Bookman Old Style"/>
          <w:sz w:val="24"/>
          <w:szCs w:val="24"/>
        </w:rPr>
        <w:t>Ibem</w:t>
      </w:r>
      <w:proofErr w:type="spellEnd"/>
      <w:r w:rsidRPr="0014270C">
        <w:rPr>
          <w:rFonts w:ascii="Bookman Old Style" w:hAnsi="Bookman Old Style"/>
          <w:sz w:val="24"/>
          <w:szCs w:val="24"/>
        </w:rPr>
        <w:t xml:space="preserve"> and </w:t>
      </w:r>
      <w:proofErr w:type="spellStart"/>
      <w:r w:rsidRPr="0014270C">
        <w:rPr>
          <w:rFonts w:ascii="Bookman Old Style" w:hAnsi="Bookman Old Style"/>
          <w:sz w:val="24"/>
          <w:szCs w:val="24"/>
        </w:rPr>
        <w:t>Egidario</w:t>
      </w:r>
      <w:proofErr w:type="spellEnd"/>
      <w:r w:rsidRPr="0014270C">
        <w:rPr>
          <w:rFonts w:ascii="Bookman Old Style" w:hAnsi="Bookman Old Style"/>
          <w:sz w:val="24"/>
          <w:szCs w:val="24"/>
        </w:rPr>
        <w:t xml:space="preserve"> B. </w:t>
      </w:r>
      <w:proofErr w:type="spellStart"/>
      <w:r w:rsidRPr="0014270C">
        <w:rPr>
          <w:rFonts w:ascii="Bookman Old Style" w:hAnsi="Bookman Old Style"/>
          <w:sz w:val="24"/>
          <w:szCs w:val="24"/>
        </w:rPr>
        <w:t>Aduwo</w:t>
      </w:r>
      <w:proofErr w:type="spellEnd"/>
      <w:r w:rsidRPr="0014270C">
        <w:rPr>
          <w:rFonts w:ascii="Bookman Old Style" w:hAnsi="Bookman Old Style"/>
          <w:sz w:val="24"/>
          <w:szCs w:val="24"/>
        </w:rPr>
        <w:t xml:space="preserve"> for understanding sustainable housing could help to determine whether a system is truly sustainable. Their research reflects upon the importance of housing, acknowledging it as an integral part of sustainable development due to its role in such areas as economic development, employment, environmental impact, energy expenditure, and preparedness for natural disasters.</w:t>
      </w:r>
      <w:r w:rsidRPr="0014270C">
        <w:rPr>
          <w:rStyle w:val="FootnoteReference"/>
          <w:rFonts w:ascii="Bookman Old Style" w:hAnsi="Bookman Old Style"/>
          <w:sz w:val="24"/>
          <w:szCs w:val="24"/>
        </w:rPr>
        <w:footnoteReference w:id="181"/>
      </w:r>
      <w:r w:rsidRPr="0014270C">
        <w:rPr>
          <w:rFonts w:ascii="Bookman Old Style" w:hAnsi="Bookman Old Style"/>
          <w:sz w:val="24"/>
          <w:szCs w:val="24"/>
        </w:rPr>
        <w:t xml:space="preserve"> </w:t>
      </w:r>
    </w:p>
    <w:p w14:paraId="0993FAB6" w14:textId="49E7704D" w:rsidR="00F02F70" w:rsidRPr="0014270C" w:rsidRDefault="00F02F70" w:rsidP="00F02F70">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framework </w:t>
      </w:r>
      <w:proofErr w:type="spellStart"/>
      <w:r w:rsidRPr="0014270C">
        <w:rPr>
          <w:rFonts w:ascii="Bookman Old Style" w:hAnsi="Bookman Old Style"/>
          <w:sz w:val="24"/>
          <w:szCs w:val="24"/>
        </w:rPr>
        <w:t>Ibem</w:t>
      </w:r>
      <w:proofErr w:type="spellEnd"/>
      <w:r w:rsidRPr="0014270C">
        <w:rPr>
          <w:rFonts w:ascii="Bookman Old Style" w:hAnsi="Bookman Old Style"/>
          <w:sz w:val="24"/>
          <w:szCs w:val="24"/>
        </w:rPr>
        <w:t xml:space="preserve"> and </w:t>
      </w:r>
      <w:proofErr w:type="spellStart"/>
      <w:r w:rsidRPr="0014270C">
        <w:rPr>
          <w:rFonts w:ascii="Bookman Old Style" w:hAnsi="Bookman Old Style"/>
          <w:sz w:val="24"/>
          <w:szCs w:val="24"/>
        </w:rPr>
        <w:t>Aduwo</w:t>
      </w:r>
      <w:proofErr w:type="spellEnd"/>
      <w:r w:rsidRPr="0014270C">
        <w:rPr>
          <w:rFonts w:ascii="Bookman Old Style" w:hAnsi="Bookman Old Style"/>
          <w:sz w:val="24"/>
          <w:szCs w:val="24"/>
        </w:rPr>
        <w:t xml:space="preserve"> developed </w:t>
      </w:r>
      <w:proofErr w:type="gramStart"/>
      <w:r w:rsidRPr="0014270C">
        <w:rPr>
          <w:rFonts w:ascii="Bookman Old Style" w:hAnsi="Bookman Old Style"/>
          <w:sz w:val="24"/>
          <w:szCs w:val="24"/>
        </w:rPr>
        <w:t>is mapped</w:t>
      </w:r>
      <w:proofErr w:type="gramEnd"/>
      <w:r w:rsidRPr="0014270C">
        <w:rPr>
          <w:rFonts w:ascii="Bookman Old Style" w:hAnsi="Bookman Old Style"/>
          <w:sz w:val="24"/>
          <w:szCs w:val="24"/>
        </w:rPr>
        <w:t xml:space="preserve"> in Figure 3:</w:t>
      </w:r>
    </w:p>
    <w:p w14:paraId="0D05C90C" w14:textId="3B429D01" w:rsidR="00F02F70" w:rsidRPr="0014270C" w:rsidRDefault="00F02F70" w:rsidP="00F02F70">
      <w:pPr>
        <w:spacing w:line="480" w:lineRule="auto"/>
        <w:jc w:val="center"/>
        <w:rPr>
          <w:rFonts w:ascii="Bookman Old Style" w:hAnsi="Bookman Old Style"/>
          <w:sz w:val="24"/>
          <w:szCs w:val="24"/>
        </w:rPr>
      </w:pPr>
      <w:r w:rsidRPr="0014270C">
        <w:rPr>
          <w:rFonts w:ascii="Bookman Old Style" w:hAnsi="Bookman Old Style"/>
          <w:noProof/>
          <w:sz w:val="24"/>
          <w:szCs w:val="24"/>
        </w:rPr>
        <w:drawing>
          <wp:inline distT="0" distB="0" distL="0" distR="0" wp14:anchorId="306B2290" wp14:editId="67C0D5D9">
            <wp:extent cx="4933950" cy="25223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33950" cy="2522324"/>
                    </a:xfrm>
                    <a:prstGeom prst="rect">
                      <a:avLst/>
                    </a:prstGeom>
                    <a:noFill/>
                    <a:ln>
                      <a:noFill/>
                    </a:ln>
                  </pic:spPr>
                </pic:pic>
              </a:graphicData>
            </a:graphic>
          </wp:inline>
        </w:drawing>
      </w:r>
    </w:p>
    <w:p w14:paraId="31FE9C4A" w14:textId="0512B065" w:rsidR="00F02F70" w:rsidRPr="0014270C" w:rsidRDefault="00F02F70" w:rsidP="00F02F70">
      <w:pPr>
        <w:rPr>
          <w:rFonts w:ascii="Bookman Old Style" w:hAnsi="Bookman Old Style"/>
          <w:sz w:val="24"/>
          <w:szCs w:val="24"/>
        </w:rPr>
      </w:pPr>
      <w:bookmarkStart w:id="54" w:name="_Toc8062332"/>
      <w:r w:rsidRPr="0014270C">
        <w:rPr>
          <w:rStyle w:val="THESISFigureHeadChar"/>
        </w:rPr>
        <w:t>Figure 3. The Framework for understanding Sustainable Housing</w:t>
      </w:r>
      <w:bookmarkEnd w:id="54"/>
      <w:r w:rsidRPr="0014270C">
        <w:rPr>
          <w:rFonts w:ascii="Bookman Old Style" w:hAnsi="Bookman Old Style"/>
          <w:sz w:val="24"/>
          <w:szCs w:val="24"/>
        </w:rPr>
        <w:t xml:space="preserve">. </w:t>
      </w:r>
      <w:proofErr w:type="spellStart"/>
      <w:r w:rsidRPr="0014270C">
        <w:rPr>
          <w:rFonts w:ascii="Bookman Old Style" w:hAnsi="Bookman Old Style"/>
          <w:sz w:val="24"/>
          <w:szCs w:val="24"/>
        </w:rPr>
        <w:t>Ibem</w:t>
      </w:r>
      <w:proofErr w:type="spellEnd"/>
      <w:r w:rsidRPr="0014270C">
        <w:rPr>
          <w:rFonts w:ascii="Bookman Old Style" w:hAnsi="Bookman Old Style"/>
          <w:sz w:val="24"/>
          <w:szCs w:val="24"/>
        </w:rPr>
        <w:t xml:space="preserve"> and </w:t>
      </w:r>
      <w:proofErr w:type="spellStart"/>
      <w:r w:rsidRPr="0014270C">
        <w:rPr>
          <w:rFonts w:ascii="Bookman Old Style" w:hAnsi="Bookman Old Style"/>
          <w:sz w:val="24"/>
          <w:szCs w:val="24"/>
        </w:rPr>
        <w:t>Aduwo</w:t>
      </w:r>
      <w:proofErr w:type="spellEnd"/>
      <w:r w:rsidRPr="0014270C">
        <w:rPr>
          <w:rFonts w:ascii="Bookman Old Style" w:hAnsi="Bookman Old Style"/>
          <w:sz w:val="24"/>
          <w:szCs w:val="24"/>
        </w:rPr>
        <w:t>, A Framework for Understanding Sustainable Housing for Policy Development and Practical Actions, 2015, prepared for Architects Registration Council of Nigeria 6.</w:t>
      </w:r>
      <w:r w:rsidRPr="0014270C">
        <w:rPr>
          <w:rStyle w:val="FootnoteReference"/>
          <w:rFonts w:ascii="Bookman Old Style" w:hAnsi="Bookman Old Style"/>
          <w:sz w:val="24"/>
          <w:szCs w:val="24"/>
        </w:rPr>
        <w:footnoteReference w:id="182"/>
      </w:r>
    </w:p>
    <w:p w14:paraId="0FBE8EF0" w14:textId="0A6CDED0" w:rsidR="00F02F70" w:rsidRPr="0014270C" w:rsidRDefault="00F02F70" w:rsidP="00F02F70">
      <w:pPr>
        <w:spacing w:line="480" w:lineRule="auto"/>
        <w:ind w:firstLine="720"/>
        <w:rPr>
          <w:rStyle w:val="THESISLVL4Char"/>
          <w:u w:val="none"/>
        </w:rPr>
      </w:pPr>
      <w:r w:rsidRPr="0014270C">
        <w:rPr>
          <w:rFonts w:ascii="Bookman Old Style" w:hAnsi="Bookman Old Style"/>
          <w:sz w:val="24"/>
          <w:szCs w:val="24"/>
        </w:rPr>
        <w:lastRenderedPageBreak/>
        <w:t xml:space="preserve">The four dimensions </w:t>
      </w:r>
      <w:proofErr w:type="spellStart"/>
      <w:r w:rsidRPr="0014270C">
        <w:rPr>
          <w:rFonts w:ascii="Bookman Old Style" w:hAnsi="Bookman Old Style"/>
          <w:sz w:val="24"/>
          <w:szCs w:val="24"/>
        </w:rPr>
        <w:t>Ibem</w:t>
      </w:r>
      <w:proofErr w:type="spellEnd"/>
      <w:r w:rsidRPr="0014270C">
        <w:rPr>
          <w:rFonts w:ascii="Bookman Old Style" w:hAnsi="Bookman Old Style"/>
          <w:sz w:val="24"/>
          <w:szCs w:val="24"/>
        </w:rPr>
        <w:t xml:space="preserve"> and </w:t>
      </w:r>
      <w:proofErr w:type="spellStart"/>
      <w:r w:rsidRPr="0014270C">
        <w:rPr>
          <w:rFonts w:ascii="Bookman Old Style" w:hAnsi="Bookman Old Style"/>
          <w:sz w:val="24"/>
          <w:szCs w:val="24"/>
        </w:rPr>
        <w:t>Aduwo</w:t>
      </w:r>
      <w:proofErr w:type="spellEnd"/>
      <w:r w:rsidRPr="0014270C">
        <w:rPr>
          <w:rFonts w:ascii="Bookman Old Style" w:hAnsi="Bookman Old Style"/>
          <w:sz w:val="24"/>
          <w:szCs w:val="24"/>
        </w:rPr>
        <w:t xml:space="preserve"> define in their framework are</w:t>
      </w:r>
      <w:r w:rsidR="00262871" w:rsidRPr="0014270C">
        <w:rPr>
          <w:rFonts w:ascii="Bookman Old Style" w:hAnsi="Bookman Old Style"/>
          <w:sz w:val="24"/>
          <w:szCs w:val="24"/>
        </w:rPr>
        <w:t xml:space="preserve"> as follows:</w:t>
      </w:r>
    </w:p>
    <w:p w14:paraId="726AECD1" w14:textId="04462458" w:rsidR="001B12B8" w:rsidRPr="0014270C" w:rsidRDefault="001B12B8" w:rsidP="001B12B8">
      <w:pPr>
        <w:spacing w:line="480" w:lineRule="auto"/>
        <w:ind w:firstLine="720"/>
        <w:rPr>
          <w:rFonts w:ascii="Bookman Old Style" w:hAnsi="Bookman Old Style"/>
          <w:sz w:val="24"/>
          <w:szCs w:val="24"/>
        </w:rPr>
      </w:pPr>
      <w:bookmarkStart w:id="55" w:name="_Toc8062289"/>
      <w:r w:rsidRPr="0014270C">
        <w:rPr>
          <w:rStyle w:val="THESISLVL4Char"/>
        </w:rPr>
        <w:t>Economic</w:t>
      </w:r>
      <w:bookmarkEnd w:id="55"/>
      <w:r w:rsidRPr="0014270C">
        <w:rPr>
          <w:rFonts w:ascii="Bookman Old Style" w:hAnsi="Bookman Old Style"/>
          <w:sz w:val="24"/>
          <w:szCs w:val="24"/>
        </w:rPr>
        <w:t>. The two key elements highlighted for the economic dimension are accessibility and affordability. Accessibility focuses on providing housing regardless of income class, age, gender, or education, ensuring the fair treatment of people from all backgrounds.</w:t>
      </w:r>
      <w:r w:rsidRPr="0014270C">
        <w:rPr>
          <w:rStyle w:val="FootnoteReference"/>
          <w:rFonts w:ascii="Bookman Old Style" w:hAnsi="Bookman Old Style"/>
          <w:sz w:val="24"/>
          <w:szCs w:val="24"/>
        </w:rPr>
        <w:footnoteReference w:id="183"/>
      </w:r>
      <w:r w:rsidRPr="0014270C">
        <w:rPr>
          <w:rFonts w:ascii="Bookman Old Style" w:hAnsi="Bookman Old Style"/>
          <w:sz w:val="24"/>
          <w:szCs w:val="24"/>
        </w:rPr>
        <w:t xml:space="preserve"> The affordability of housing refers to ensuring the cost of housing does not put undue pressure on household income, leaving residents unable to afford the basic essentials of life.</w:t>
      </w:r>
      <w:r w:rsidRPr="0014270C">
        <w:rPr>
          <w:rStyle w:val="FootnoteReference"/>
          <w:rFonts w:ascii="Bookman Old Style" w:hAnsi="Bookman Old Style"/>
          <w:sz w:val="24"/>
          <w:szCs w:val="24"/>
        </w:rPr>
        <w:footnoteReference w:id="184"/>
      </w:r>
      <w:r w:rsidRPr="0014270C">
        <w:rPr>
          <w:rFonts w:ascii="Bookman Old Style" w:hAnsi="Bookman Old Style"/>
          <w:sz w:val="24"/>
          <w:szCs w:val="24"/>
        </w:rPr>
        <w:t xml:space="preserve"> </w:t>
      </w:r>
    </w:p>
    <w:p w14:paraId="11ECE82A" w14:textId="09701D8B" w:rsidR="001B12B8" w:rsidRPr="0014270C" w:rsidRDefault="001B12B8" w:rsidP="001B12B8">
      <w:pPr>
        <w:spacing w:line="480" w:lineRule="auto"/>
        <w:ind w:firstLine="720"/>
        <w:rPr>
          <w:rFonts w:ascii="Bookman Old Style" w:hAnsi="Bookman Old Style"/>
          <w:sz w:val="24"/>
          <w:szCs w:val="24"/>
        </w:rPr>
      </w:pPr>
      <w:bookmarkStart w:id="56" w:name="_Toc8062290"/>
      <w:r w:rsidRPr="0014270C">
        <w:rPr>
          <w:rStyle w:val="THESISLVL4Char"/>
        </w:rPr>
        <w:t>Environmental</w:t>
      </w:r>
      <w:bookmarkEnd w:id="56"/>
      <w:r w:rsidRPr="0014270C">
        <w:rPr>
          <w:rFonts w:ascii="Bookman Old Style" w:hAnsi="Bookman Old Style"/>
          <w:sz w:val="24"/>
          <w:szCs w:val="24"/>
        </w:rPr>
        <w:t xml:space="preserve">. The current focus in this dimension is energy efficiency, sustainably sourced building materials, reduction of waste, and water systems. This section mentions the utilization of passive energy saving techniques such as building orientation, </w:t>
      </w:r>
      <w:r w:rsidR="006A4CA6" w:rsidRPr="0014270C">
        <w:rPr>
          <w:rFonts w:ascii="Bookman Old Style" w:hAnsi="Bookman Old Style"/>
          <w:sz w:val="24"/>
          <w:szCs w:val="24"/>
        </w:rPr>
        <w:t>façade</w:t>
      </w:r>
      <w:r w:rsidRPr="0014270C">
        <w:rPr>
          <w:rFonts w:ascii="Bookman Old Style" w:hAnsi="Bookman Old Style"/>
          <w:sz w:val="24"/>
          <w:szCs w:val="24"/>
        </w:rPr>
        <w:t xml:space="preserve"> colors and textures, ventilation, and insulation as well as renewable energy generation and improving the efficiency of all utilities including water, for minimizing impact.</w:t>
      </w:r>
      <w:r w:rsidRPr="0014270C">
        <w:rPr>
          <w:rStyle w:val="FootnoteReference"/>
          <w:rFonts w:ascii="Bookman Old Style" w:hAnsi="Bookman Old Style"/>
          <w:sz w:val="24"/>
          <w:szCs w:val="24"/>
        </w:rPr>
        <w:footnoteReference w:id="185"/>
      </w:r>
      <w:r w:rsidRPr="0014270C">
        <w:rPr>
          <w:rFonts w:ascii="Bookman Old Style" w:hAnsi="Bookman Old Style"/>
          <w:sz w:val="24"/>
          <w:szCs w:val="24"/>
        </w:rPr>
        <w:t xml:space="preserve"> </w:t>
      </w:r>
    </w:p>
    <w:p w14:paraId="1C7E4EAD" w14:textId="77777777" w:rsidR="00F02F70" w:rsidRPr="0014270C" w:rsidRDefault="00F02F70" w:rsidP="00F02F70">
      <w:pPr>
        <w:spacing w:line="480" w:lineRule="auto"/>
        <w:ind w:firstLine="720"/>
        <w:rPr>
          <w:rFonts w:ascii="Bookman Old Style" w:hAnsi="Bookman Old Style"/>
          <w:sz w:val="24"/>
          <w:szCs w:val="24"/>
        </w:rPr>
      </w:pPr>
      <w:bookmarkStart w:id="57" w:name="_Toc8062291"/>
      <w:r w:rsidRPr="0014270C">
        <w:rPr>
          <w:rStyle w:val="THESISLVL4Char"/>
        </w:rPr>
        <w:t>Social</w:t>
      </w:r>
      <w:bookmarkEnd w:id="57"/>
      <w:r w:rsidRPr="0014270C">
        <w:rPr>
          <w:rFonts w:ascii="Bookman Old Style" w:hAnsi="Bookman Old Style"/>
          <w:sz w:val="24"/>
          <w:szCs w:val="24"/>
        </w:rPr>
        <w:t>. The social dimension involves healthy, decent, and safe housing, which are all important aspects for maintaining a high quality of life. Healthy housing includes maintaining air quality, protection against disease, and preventing threats to structural stability and other factors that could bring about physical harm.</w:t>
      </w:r>
      <w:r w:rsidRPr="0014270C">
        <w:rPr>
          <w:rStyle w:val="FootnoteReference"/>
          <w:rFonts w:ascii="Bookman Old Style" w:hAnsi="Bookman Old Style"/>
          <w:sz w:val="24"/>
          <w:szCs w:val="24"/>
        </w:rPr>
        <w:footnoteReference w:id="186"/>
      </w:r>
      <w:r w:rsidRPr="0014270C">
        <w:rPr>
          <w:rFonts w:ascii="Bookman Old Style" w:hAnsi="Bookman Old Style"/>
          <w:sz w:val="24"/>
          <w:szCs w:val="24"/>
        </w:rPr>
        <w:t xml:space="preserve"> They also mention the importance of building social capital by forming partnerships between government and the local community </w:t>
      </w:r>
      <w:r w:rsidRPr="0014270C">
        <w:rPr>
          <w:rFonts w:ascii="Bookman Old Style" w:hAnsi="Bookman Old Style"/>
          <w:sz w:val="24"/>
          <w:szCs w:val="24"/>
        </w:rPr>
        <w:lastRenderedPageBreak/>
        <w:t>and promoting the use of local services and materials for housing projects.</w:t>
      </w:r>
      <w:r w:rsidRPr="0014270C">
        <w:rPr>
          <w:rStyle w:val="FootnoteReference"/>
          <w:rFonts w:ascii="Bookman Old Style" w:hAnsi="Bookman Old Style"/>
          <w:sz w:val="24"/>
          <w:szCs w:val="24"/>
        </w:rPr>
        <w:footnoteReference w:id="187"/>
      </w:r>
      <w:r w:rsidRPr="0014270C">
        <w:rPr>
          <w:rFonts w:ascii="Bookman Old Style" w:hAnsi="Bookman Old Style"/>
          <w:sz w:val="24"/>
          <w:szCs w:val="24"/>
        </w:rPr>
        <w:t xml:space="preserve"> Decent housing includes modern accommodations (</w:t>
      </w:r>
      <w:proofErr w:type="spellStart"/>
      <w:r w:rsidRPr="0014270C">
        <w:rPr>
          <w:rFonts w:ascii="Bookman Old Style" w:hAnsi="Bookman Old Style"/>
          <w:sz w:val="24"/>
          <w:szCs w:val="24"/>
        </w:rPr>
        <w:t>eg.</w:t>
      </w:r>
      <w:proofErr w:type="spellEnd"/>
      <w:r w:rsidRPr="0014270C">
        <w:rPr>
          <w:rFonts w:ascii="Bookman Old Style" w:hAnsi="Bookman Old Style"/>
          <w:sz w:val="24"/>
          <w:szCs w:val="24"/>
        </w:rPr>
        <w:t xml:space="preserve"> kitchen, bathroom), a structurally sound building, and reasonable insulation which provides thermal regulation.</w:t>
      </w:r>
      <w:r w:rsidRPr="0014270C">
        <w:rPr>
          <w:rStyle w:val="FootnoteReference"/>
          <w:rFonts w:ascii="Bookman Old Style" w:hAnsi="Bookman Old Style"/>
          <w:sz w:val="24"/>
          <w:szCs w:val="24"/>
        </w:rPr>
        <w:footnoteReference w:id="188"/>
      </w:r>
      <w:r w:rsidRPr="0014270C">
        <w:rPr>
          <w:rFonts w:ascii="Bookman Old Style" w:hAnsi="Bookman Old Style"/>
          <w:sz w:val="24"/>
          <w:szCs w:val="24"/>
        </w:rPr>
        <w:t xml:space="preserve"> Safety refers to protection from both natural and human threats to the residents and their space.</w:t>
      </w:r>
      <w:r w:rsidRPr="0014270C">
        <w:rPr>
          <w:rStyle w:val="FootnoteReference"/>
          <w:rFonts w:ascii="Bookman Old Style" w:hAnsi="Bookman Old Style"/>
          <w:sz w:val="24"/>
          <w:szCs w:val="24"/>
        </w:rPr>
        <w:footnoteReference w:id="189"/>
      </w:r>
      <w:r w:rsidRPr="0014270C">
        <w:rPr>
          <w:rFonts w:ascii="Bookman Old Style" w:hAnsi="Bookman Old Style"/>
          <w:sz w:val="24"/>
          <w:szCs w:val="24"/>
        </w:rPr>
        <w:t xml:space="preserve"> </w:t>
      </w:r>
    </w:p>
    <w:p w14:paraId="292B0CC8" w14:textId="77777777" w:rsidR="009A656C" w:rsidRPr="0014270C" w:rsidRDefault="00F02F70" w:rsidP="0097339E">
      <w:pPr>
        <w:spacing w:line="480" w:lineRule="auto"/>
        <w:ind w:firstLine="720"/>
        <w:rPr>
          <w:rFonts w:ascii="Bookman Old Style" w:hAnsi="Bookman Old Style"/>
          <w:sz w:val="24"/>
          <w:szCs w:val="24"/>
        </w:rPr>
      </w:pPr>
      <w:bookmarkStart w:id="58" w:name="_Toc8062292"/>
      <w:r w:rsidRPr="0014270C">
        <w:rPr>
          <w:rStyle w:val="THESISLVL4Char"/>
        </w:rPr>
        <w:t>Cultural</w:t>
      </w:r>
      <w:bookmarkEnd w:id="58"/>
      <w:r w:rsidRPr="0014270C">
        <w:rPr>
          <w:rFonts w:ascii="Bookman Old Style" w:hAnsi="Bookman Old Style"/>
          <w:sz w:val="24"/>
          <w:szCs w:val="24"/>
        </w:rPr>
        <w:t>. Sustainability typically focuses on the three core pillars of economy, environment</w:t>
      </w:r>
      <w:r w:rsidR="00F77EE2" w:rsidRPr="0014270C">
        <w:rPr>
          <w:rFonts w:ascii="Bookman Old Style" w:hAnsi="Bookman Old Style"/>
          <w:sz w:val="24"/>
          <w:szCs w:val="24"/>
        </w:rPr>
        <w:t>, and society</w:t>
      </w:r>
      <w:r w:rsidRPr="0014270C">
        <w:rPr>
          <w:rFonts w:ascii="Bookman Old Style" w:hAnsi="Bookman Old Style"/>
          <w:sz w:val="24"/>
          <w:szCs w:val="24"/>
        </w:rPr>
        <w:t xml:space="preserve">; </w:t>
      </w:r>
      <w:proofErr w:type="spellStart"/>
      <w:r w:rsidRPr="0014270C">
        <w:rPr>
          <w:rFonts w:ascii="Bookman Old Style" w:hAnsi="Bookman Old Style"/>
          <w:sz w:val="24"/>
          <w:szCs w:val="24"/>
        </w:rPr>
        <w:t>Ibem</w:t>
      </w:r>
      <w:proofErr w:type="spellEnd"/>
      <w:r w:rsidRPr="0014270C">
        <w:rPr>
          <w:rFonts w:ascii="Bookman Old Style" w:hAnsi="Bookman Old Style"/>
          <w:sz w:val="24"/>
          <w:szCs w:val="24"/>
        </w:rPr>
        <w:t xml:space="preserve"> and </w:t>
      </w:r>
      <w:proofErr w:type="spellStart"/>
      <w:r w:rsidRPr="0014270C">
        <w:rPr>
          <w:rFonts w:ascii="Bookman Old Style" w:hAnsi="Bookman Old Style"/>
          <w:sz w:val="24"/>
          <w:szCs w:val="24"/>
        </w:rPr>
        <w:t>Aduwo</w:t>
      </w:r>
      <w:proofErr w:type="spellEnd"/>
      <w:r w:rsidRPr="0014270C">
        <w:rPr>
          <w:rFonts w:ascii="Bookman Old Style" w:hAnsi="Bookman Old Style"/>
          <w:sz w:val="24"/>
          <w:szCs w:val="24"/>
        </w:rPr>
        <w:t xml:space="preserve"> have added a fourth dimension, highlighting the importance of culture and what role it plays in sustainable development. The researchers argue that culture dictates lifestyle, values, traditions, and behaviors and that these things should </w:t>
      </w:r>
      <w:proofErr w:type="gramStart"/>
      <w:r w:rsidRPr="0014270C">
        <w:rPr>
          <w:rFonts w:ascii="Bookman Old Style" w:hAnsi="Bookman Old Style"/>
          <w:sz w:val="24"/>
          <w:szCs w:val="24"/>
        </w:rPr>
        <w:t>be considered</w:t>
      </w:r>
      <w:proofErr w:type="gramEnd"/>
      <w:r w:rsidRPr="0014270C">
        <w:rPr>
          <w:rFonts w:ascii="Bookman Old Style" w:hAnsi="Bookman Old Style"/>
          <w:sz w:val="24"/>
          <w:szCs w:val="24"/>
        </w:rPr>
        <w:t xml:space="preserve"> separately from the social dimension,</w:t>
      </w:r>
      <w:r w:rsidRPr="0014270C">
        <w:rPr>
          <w:rStyle w:val="FootnoteReference"/>
          <w:rFonts w:ascii="Bookman Old Style" w:hAnsi="Bookman Old Style"/>
          <w:sz w:val="24"/>
          <w:szCs w:val="24"/>
        </w:rPr>
        <w:footnoteReference w:id="190"/>
      </w:r>
      <w:r w:rsidRPr="0014270C">
        <w:rPr>
          <w:rFonts w:ascii="Bookman Old Style" w:hAnsi="Bookman Old Style"/>
          <w:sz w:val="24"/>
          <w:szCs w:val="24"/>
        </w:rPr>
        <w:t xml:space="preserve"> which focuses on safety and health.</w:t>
      </w:r>
      <w:r w:rsidR="0097339E" w:rsidRPr="0014270C">
        <w:rPr>
          <w:rFonts w:ascii="Bookman Old Style" w:hAnsi="Bookman Old Style"/>
          <w:sz w:val="24"/>
          <w:szCs w:val="24"/>
        </w:rPr>
        <w:t xml:space="preserve"> </w:t>
      </w:r>
    </w:p>
    <w:p w14:paraId="1CAF3BBE" w14:textId="4F0F706F" w:rsidR="009E148A" w:rsidRPr="0014270C" w:rsidRDefault="00D94128" w:rsidP="0097339E">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This framework </w:t>
      </w:r>
      <w:proofErr w:type="gramStart"/>
      <w:r w:rsidRPr="0014270C">
        <w:rPr>
          <w:rFonts w:ascii="Bookman Old Style" w:hAnsi="Bookman Old Style"/>
          <w:sz w:val="24"/>
          <w:szCs w:val="24"/>
        </w:rPr>
        <w:t>was chosen</w:t>
      </w:r>
      <w:proofErr w:type="gramEnd"/>
      <w:r w:rsidRPr="0014270C">
        <w:rPr>
          <w:rFonts w:ascii="Bookman Old Style" w:hAnsi="Bookman Old Style"/>
          <w:sz w:val="24"/>
          <w:szCs w:val="24"/>
        </w:rPr>
        <w:t xml:space="preserve"> because of its intentional separation of culture from the social dimension. </w:t>
      </w:r>
      <w:proofErr w:type="spellStart"/>
      <w:r w:rsidRPr="0014270C">
        <w:rPr>
          <w:rFonts w:ascii="Bookman Old Style" w:hAnsi="Bookman Old Style"/>
          <w:sz w:val="24"/>
          <w:szCs w:val="24"/>
        </w:rPr>
        <w:t>Ibem</w:t>
      </w:r>
      <w:proofErr w:type="spellEnd"/>
      <w:r w:rsidRPr="0014270C">
        <w:rPr>
          <w:rFonts w:ascii="Bookman Old Style" w:hAnsi="Bookman Old Style"/>
          <w:sz w:val="24"/>
          <w:szCs w:val="24"/>
        </w:rPr>
        <w:t xml:space="preserve"> and </w:t>
      </w:r>
      <w:proofErr w:type="spellStart"/>
      <w:r w:rsidRPr="0014270C">
        <w:rPr>
          <w:rFonts w:ascii="Bookman Old Style" w:hAnsi="Bookman Old Style"/>
          <w:sz w:val="24"/>
          <w:szCs w:val="24"/>
        </w:rPr>
        <w:t>Aduwo</w:t>
      </w:r>
      <w:proofErr w:type="spellEnd"/>
      <w:r w:rsidRPr="0014270C">
        <w:rPr>
          <w:rFonts w:ascii="Bookman Old Style" w:hAnsi="Bookman Old Style"/>
          <w:sz w:val="24"/>
          <w:szCs w:val="24"/>
        </w:rPr>
        <w:t xml:space="preserve"> mention that with an integrated approach to sustainable housing, accessibility opens up to people of every income class, addressing diverse needs determined by background, lifestyle, and fundamental values.</w:t>
      </w:r>
      <w:r w:rsidRPr="0014270C">
        <w:rPr>
          <w:rStyle w:val="FootnoteReference"/>
          <w:rFonts w:ascii="Bookman Old Style" w:hAnsi="Bookman Old Style"/>
          <w:sz w:val="24"/>
          <w:szCs w:val="24"/>
        </w:rPr>
        <w:footnoteReference w:id="191"/>
      </w:r>
      <w:r w:rsidRPr="0014270C">
        <w:rPr>
          <w:rFonts w:ascii="Bookman Old Style" w:hAnsi="Bookman Old Style"/>
          <w:sz w:val="24"/>
          <w:szCs w:val="24"/>
        </w:rPr>
        <w:t xml:space="preserve"> As Rivlin and Moore found in their study, allowing culture to be passed on through generations was an important factor in successful reintegration into society after being homeless. It is also important to understand culture for assessing populations to help determine key actions that can contribute to building social capital, as </w:t>
      </w:r>
      <w:proofErr w:type="gramStart"/>
      <w:r w:rsidRPr="0014270C">
        <w:rPr>
          <w:rFonts w:ascii="Bookman Old Style" w:hAnsi="Bookman Old Style"/>
          <w:sz w:val="24"/>
          <w:szCs w:val="24"/>
        </w:rPr>
        <w:t>was shown</w:t>
      </w:r>
      <w:proofErr w:type="gramEnd"/>
      <w:r w:rsidRPr="0014270C">
        <w:rPr>
          <w:rFonts w:ascii="Bookman Old Style" w:hAnsi="Bookman Old Style"/>
          <w:sz w:val="24"/>
          <w:szCs w:val="24"/>
        </w:rPr>
        <w:t xml:space="preserve"> in the </w:t>
      </w:r>
      <w:r w:rsidRPr="0014270C">
        <w:rPr>
          <w:rFonts w:ascii="Bookman Old Style" w:hAnsi="Bookman Old Style"/>
          <w:sz w:val="24"/>
          <w:szCs w:val="24"/>
        </w:rPr>
        <w:lastRenderedPageBreak/>
        <w:t xml:space="preserve">case study in Eastern Guatemala by John </w:t>
      </w:r>
      <w:proofErr w:type="spellStart"/>
      <w:r w:rsidRPr="0014270C">
        <w:rPr>
          <w:rFonts w:ascii="Bookman Old Style" w:hAnsi="Bookman Old Style"/>
          <w:sz w:val="24"/>
          <w:szCs w:val="24"/>
        </w:rPr>
        <w:t>Durston</w:t>
      </w:r>
      <w:proofErr w:type="spellEnd"/>
      <w:r w:rsidRPr="0014270C">
        <w:rPr>
          <w:rFonts w:ascii="Bookman Old Style" w:hAnsi="Bookman Old Style"/>
          <w:sz w:val="24"/>
          <w:szCs w:val="24"/>
        </w:rPr>
        <w:t xml:space="preserve">. </w:t>
      </w:r>
      <w:proofErr w:type="spellStart"/>
      <w:r w:rsidR="00F02F70" w:rsidRPr="0014270C">
        <w:rPr>
          <w:rFonts w:ascii="Bookman Old Style" w:hAnsi="Bookman Old Style"/>
          <w:sz w:val="24"/>
          <w:szCs w:val="24"/>
        </w:rPr>
        <w:t>Ibem</w:t>
      </w:r>
      <w:proofErr w:type="spellEnd"/>
      <w:r w:rsidR="00F02F70" w:rsidRPr="0014270C">
        <w:rPr>
          <w:rFonts w:ascii="Bookman Old Style" w:hAnsi="Bookman Old Style"/>
          <w:sz w:val="24"/>
          <w:szCs w:val="24"/>
        </w:rPr>
        <w:t xml:space="preserve"> and </w:t>
      </w:r>
      <w:proofErr w:type="spellStart"/>
      <w:r w:rsidR="00F02F70" w:rsidRPr="0014270C">
        <w:rPr>
          <w:rFonts w:ascii="Bookman Old Style" w:hAnsi="Bookman Old Style"/>
          <w:sz w:val="24"/>
          <w:szCs w:val="24"/>
        </w:rPr>
        <w:t>Aduwo</w:t>
      </w:r>
      <w:proofErr w:type="spellEnd"/>
      <w:r w:rsidR="00F02F70" w:rsidRPr="0014270C">
        <w:rPr>
          <w:rFonts w:ascii="Bookman Old Style" w:hAnsi="Bookman Old Style"/>
          <w:sz w:val="24"/>
          <w:szCs w:val="24"/>
        </w:rPr>
        <w:t xml:space="preserve"> regard each aspect of their framework important, noting that to achieve truly sustainable housing, the criteria of all four dimensions must </w:t>
      </w:r>
      <w:proofErr w:type="gramStart"/>
      <w:r w:rsidR="00F02F70" w:rsidRPr="0014270C">
        <w:rPr>
          <w:rFonts w:ascii="Bookman Old Style" w:hAnsi="Bookman Old Style"/>
          <w:sz w:val="24"/>
          <w:szCs w:val="24"/>
        </w:rPr>
        <w:t>be met</w:t>
      </w:r>
      <w:proofErr w:type="gramEnd"/>
      <w:r w:rsidR="00F02F70" w:rsidRPr="0014270C">
        <w:rPr>
          <w:rFonts w:ascii="Bookman Old Style" w:hAnsi="Bookman Old Style"/>
          <w:sz w:val="24"/>
          <w:szCs w:val="24"/>
        </w:rPr>
        <w:t xml:space="preserve">. This research seeks to use this framework as a tool to help determine </w:t>
      </w:r>
      <w:r w:rsidR="007C1467" w:rsidRPr="0014270C">
        <w:rPr>
          <w:rFonts w:ascii="Bookman Old Style" w:hAnsi="Bookman Old Style"/>
          <w:sz w:val="24"/>
          <w:szCs w:val="24"/>
        </w:rPr>
        <w:t>whether</w:t>
      </w:r>
      <w:r w:rsidR="00F02F70" w:rsidRPr="0014270C">
        <w:rPr>
          <w:rFonts w:ascii="Bookman Old Style" w:hAnsi="Bookman Old Style"/>
          <w:sz w:val="24"/>
          <w:szCs w:val="24"/>
        </w:rPr>
        <w:t xml:space="preserve"> the environmental, economic, social, and cultural dimensions have </w:t>
      </w:r>
      <w:proofErr w:type="gramStart"/>
      <w:r w:rsidR="00F02F70" w:rsidRPr="0014270C">
        <w:rPr>
          <w:rFonts w:ascii="Bookman Old Style" w:hAnsi="Bookman Old Style"/>
          <w:sz w:val="24"/>
          <w:szCs w:val="24"/>
        </w:rPr>
        <w:t>been met</w:t>
      </w:r>
      <w:proofErr w:type="gramEnd"/>
      <w:r w:rsidR="00F02F70" w:rsidRPr="0014270C">
        <w:rPr>
          <w:rFonts w:ascii="Bookman Old Style" w:hAnsi="Bookman Old Style"/>
          <w:sz w:val="24"/>
          <w:szCs w:val="24"/>
        </w:rPr>
        <w:t xml:space="preserve"> in order to achieve a sustainable system for housing those displaced after a hurricane. </w:t>
      </w:r>
    </w:p>
    <w:p w14:paraId="31B1DFFF" w14:textId="1540273A" w:rsidR="00567DD7" w:rsidRPr="0014270C" w:rsidRDefault="00CA39C2" w:rsidP="00B93546">
      <w:pPr>
        <w:pStyle w:val="THESISLVL3"/>
      </w:pPr>
      <w:bookmarkStart w:id="59" w:name="_Toc8062293"/>
      <w:r w:rsidRPr="0014270C">
        <w:t>Economic Dimension</w:t>
      </w:r>
      <w:bookmarkEnd w:id="59"/>
    </w:p>
    <w:p w14:paraId="51C056E1" w14:textId="5209C26E" w:rsidR="00015530" w:rsidRPr="0014270C" w:rsidRDefault="003635D2" w:rsidP="004E0598">
      <w:pPr>
        <w:spacing w:line="480" w:lineRule="auto"/>
        <w:ind w:firstLine="720"/>
        <w:rPr>
          <w:rFonts w:ascii="Bookman Old Style" w:hAnsi="Bookman Old Style"/>
          <w:sz w:val="24"/>
          <w:szCs w:val="24"/>
        </w:rPr>
      </w:pPr>
      <w:bookmarkStart w:id="60" w:name="_Toc8062294"/>
      <w:r w:rsidRPr="0014270C">
        <w:rPr>
          <w:rStyle w:val="THESISLVL4Char"/>
        </w:rPr>
        <w:t>Unit price</w:t>
      </w:r>
      <w:bookmarkEnd w:id="60"/>
      <w:r w:rsidRPr="0014270C">
        <w:rPr>
          <w:rFonts w:ascii="Bookman Old Style" w:hAnsi="Bookman Old Style"/>
          <w:sz w:val="24"/>
          <w:szCs w:val="24"/>
        </w:rPr>
        <w:t xml:space="preserve">. </w:t>
      </w:r>
      <w:r w:rsidR="00A300FD" w:rsidRPr="0014270C">
        <w:rPr>
          <w:rFonts w:ascii="Bookman Old Style" w:hAnsi="Bookman Old Style"/>
          <w:sz w:val="24"/>
          <w:szCs w:val="24"/>
        </w:rPr>
        <w:t>Information about u</w:t>
      </w:r>
      <w:r w:rsidR="000C7A0D" w:rsidRPr="0014270C">
        <w:rPr>
          <w:rFonts w:ascii="Bookman Old Style" w:hAnsi="Bookman Old Style"/>
          <w:sz w:val="24"/>
          <w:szCs w:val="24"/>
        </w:rPr>
        <w:t>nit prices</w:t>
      </w:r>
      <w:r w:rsidR="00CC7271" w:rsidRPr="0014270C">
        <w:rPr>
          <w:rFonts w:ascii="Bookman Old Style" w:hAnsi="Bookman Old Style"/>
          <w:sz w:val="24"/>
          <w:szCs w:val="24"/>
        </w:rPr>
        <w:t xml:space="preserve"> and size</w:t>
      </w:r>
      <w:r w:rsidR="000C7A0D" w:rsidRPr="0014270C">
        <w:rPr>
          <w:rFonts w:ascii="Bookman Old Style" w:hAnsi="Bookman Old Style"/>
          <w:sz w:val="24"/>
          <w:szCs w:val="24"/>
        </w:rPr>
        <w:t xml:space="preserve"> for individual </w:t>
      </w:r>
      <w:r w:rsidR="00A300FD" w:rsidRPr="0014270C">
        <w:rPr>
          <w:rFonts w:ascii="Bookman Old Style" w:hAnsi="Bookman Old Style"/>
          <w:sz w:val="24"/>
          <w:szCs w:val="24"/>
        </w:rPr>
        <w:t xml:space="preserve">FEMA trailers </w:t>
      </w:r>
      <w:proofErr w:type="gramStart"/>
      <w:r w:rsidR="00A300FD" w:rsidRPr="0014270C">
        <w:rPr>
          <w:rFonts w:ascii="Bookman Old Style" w:hAnsi="Bookman Old Style"/>
          <w:sz w:val="24"/>
          <w:szCs w:val="24"/>
        </w:rPr>
        <w:t xml:space="preserve">is </w:t>
      </w:r>
      <w:r w:rsidR="006A0B29" w:rsidRPr="0014270C">
        <w:rPr>
          <w:rFonts w:ascii="Bookman Old Style" w:hAnsi="Bookman Old Style"/>
          <w:sz w:val="24"/>
          <w:szCs w:val="24"/>
        </w:rPr>
        <w:t>retrieved</w:t>
      </w:r>
      <w:proofErr w:type="gramEnd"/>
      <w:r w:rsidR="006A0B29" w:rsidRPr="0014270C">
        <w:rPr>
          <w:rFonts w:ascii="Bookman Old Style" w:hAnsi="Bookman Old Style"/>
          <w:sz w:val="24"/>
          <w:szCs w:val="24"/>
        </w:rPr>
        <w:t xml:space="preserve"> from </w:t>
      </w:r>
      <w:r w:rsidR="002257B2" w:rsidRPr="0014270C">
        <w:rPr>
          <w:rFonts w:ascii="Bookman Old Style" w:hAnsi="Bookman Old Style"/>
          <w:sz w:val="24"/>
          <w:szCs w:val="24"/>
        </w:rPr>
        <w:t>various</w:t>
      </w:r>
      <w:r w:rsidR="006A0B29" w:rsidRPr="0014270C">
        <w:rPr>
          <w:rFonts w:ascii="Bookman Old Style" w:hAnsi="Bookman Old Style"/>
          <w:sz w:val="24"/>
          <w:szCs w:val="24"/>
        </w:rPr>
        <w:t xml:space="preserve"> sources including Congressional reports, </w:t>
      </w:r>
      <w:r w:rsidR="00E67666" w:rsidRPr="0014270C">
        <w:rPr>
          <w:rFonts w:ascii="Bookman Old Style" w:hAnsi="Bookman Old Style"/>
          <w:sz w:val="24"/>
          <w:szCs w:val="24"/>
        </w:rPr>
        <w:t xml:space="preserve">research done by the US </w:t>
      </w:r>
      <w:r w:rsidR="006A0B29" w:rsidRPr="0014270C">
        <w:rPr>
          <w:rFonts w:ascii="Bookman Old Style" w:hAnsi="Bookman Old Style"/>
          <w:sz w:val="24"/>
          <w:szCs w:val="24"/>
        </w:rPr>
        <w:t>Government</w:t>
      </w:r>
      <w:r w:rsidR="00E67666" w:rsidRPr="0014270C">
        <w:rPr>
          <w:rFonts w:ascii="Bookman Old Style" w:hAnsi="Bookman Old Style"/>
          <w:sz w:val="24"/>
          <w:szCs w:val="24"/>
        </w:rPr>
        <w:t xml:space="preserve"> Accountability Office</w:t>
      </w:r>
      <w:r w:rsidR="002257B2" w:rsidRPr="0014270C">
        <w:rPr>
          <w:rFonts w:ascii="Bookman Old Style" w:hAnsi="Bookman Old Style"/>
          <w:sz w:val="24"/>
          <w:szCs w:val="24"/>
        </w:rPr>
        <w:t>, and news outlets.</w:t>
      </w:r>
      <w:r w:rsidR="000D24F4" w:rsidRPr="0014270C">
        <w:rPr>
          <w:rFonts w:ascii="Bookman Old Style" w:hAnsi="Bookman Old Style"/>
          <w:sz w:val="24"/>
          <w:szCs w:val="24"/>
        </w:rPr>
        <w:t xml:space="preserve"> </w:t>
      </w:r>
      <w:r w:rsidR="00AB5795" w:rsidRPr="0014270C">
        <w:rPr>
          <w:rFonts w:ascii="Bookman Old Style" w:hAnsi="Bookman Old Style"/>
          <w:sz w:val="24"/>
          <w:szCs w:val="24"/>
        </w:rPr>
        <w:t>Costs</w:t>
      </w:r>
      <w:r w:rsidR="00167130" w:rsidRPr="0014270C">
        <w:rPr>
          <w:rFonts w:ascii="Bookman Old Style" w:hAnsi="Bookman Old Style"/>
          <w:sz w:val="24"/>
          <w:szCs w:val="24"/>
        </w:rPr>
        <w:t xml:space="preserve"> per unit</w:t>
      </w:r>
      <w:r w:rsidR="000D24F4" w:rsidRPr="0014270C">
        <w:rPr>
          <w:rFonts w:ascii="Bookman Old Style" w:hAnsi="Bookman Old Style"/>
          <w:sz w:val="24"/>
          <w:szCs w:val="24"/>
        </w:rPr>
        <w:t xml:space="preserve"> </w:t>
      </w:r>
      <w:proofErr w:type="gramStart"/>
      <w:r w:rsidR="00123E14" w:rsidRPr="0014270C">
        <w:rPr>
          <w:rFonts w:ascii="Bookman Old Style" w:hAnsi="Bookman Old Style"/>
          <w:sz w:val="24"/>
          <w:szCs w:val="24"/>
        </w:rPr>
        <w:t>were found</w:t>
      </w:r>
      <w:proofErr w:type="gramEnd"/>
      <w:r w:rsidR="000D24F4" w:rsidRPr="0014270C">
        <w:rPr>
          <w:rFonts w:ascii="Bookman Old Style" w:hAnsi="Bookman Old Style"/>
          <w:sz w:val="24"/>
          <w:szCs w:val="24"/>
        </w:rPr>
        <w:t xml:space="preserve"> to </w:t>
      </w:r>
      <w:r w:rsidR="00AB5795" w:rsidRPr="0014270C">
        <w:rPr>
          <w:rFonts w:ascii="Bookman Old Style" w:hAnsi="Bookman Old Style"/>
          <w:sz w:val="24"/>
          <w:szCs w:val="24"/>
        </w:rPr>
        <w:t xml:space="preserve">range between </w:t>
      </w:r>
      <w:r w:rsidR="00551C7C" w:rsidRPr="0014270C">
        <w:rPr>
          <w:rFonts w:ascii="Bookman Old Style" w:hAnsi="Bookman Old Style"/>
          <w:sz w:val="24"/>
          <w:szCs w:val="24"/>
        </w:rPr>
        <w:t xml:space="preserve">US$18,531.35 </w:t>
      </w:r>
      <w:r w:rsidR="00301384" w:rsidRPr="0014270C">
        <w:rPr>
          <w:rFonts w:ascii="Bookman Old Style" w:hAnsi="Bookman Old Style"/>
          <w:sz w:val="24"/>
          <w:szCs w:val="24"/>
        </w:rPr>
        <w:t xml:space="preserve">to </w:t>
      </w:r>
      <w:r w:rsidR="007C62F3" w:rsidRPr="0014270C">
        <w:rPr>
          <w:rFonts w:ascii="Bookman Old Style" w:hAnsi="Bookman Old Style"/>
          <w:sz w:val="24"/>
          <w:szCs w:val="24"/>
        </w:rPr>
        <w:t>$229</w:t>
      </w:r>
      <w:r w:rsidR="00AB5795" w:rsidRPr="0014270C">
        <w:rPr>
          <w:rFonts w:ascii="Bookman Old Style" w:hAnsi="Bookman Old Style"/>
          <w:sz w:val="24"/>
          <w:szCs w:val="24"/>
        </w:rPr>
        <w:t>,000, in 2005 dollars.</w:t>
      </w:r>
      <w:r w:rsidR="006A0B29" w:rsidRPr="0014270C">
        <w:rPr>
          <w:rFonts w:ascii="Bookman Old Style" w:hAnsi="Bookman Old Style"/>
          <w:sz w:val="24"/>
          <w:szCs w:val="24"/>
        </w:rPr>
        <w:t xml:space="preserve"> </w:t>
      </w:r>
      <w:r w:rsidR="00E97FC8" w:rsidRPr="0014270C">
        <w:rPr>
          <w:rFonts w:ascii="Bookman Old Style" w:hAnsi="Bookman Old Style"/>
          <w:sz w:val="24"/>
          <w:szCs w:val="24"/>
        </w:rPr>
        <w:t>The lowest amount found</w:t>
      </w:r>
      <w:r w:rsidR="00167130" w:rsidRPr="0014270C">
        <w:rPr>
          <w:rFonts w:ascii="Bookman Old Style" w:hAnsi="Bookman Old Style"/>
          <w:sz w:val="24"/>
          <w:szCs w:val="24"/>
        </w:rPr>
        <w:t xml:space="preserve"> adjusted for inflation</w:t>
      </w:r>
      <w:r w:rsidR="00123E14" w:rsidRPr="0014270C">
        <w:rPr>
          <w:rFonts w:ascii="Bookman Old Style" w:hAnsi="Bookman Old Style"/>
          <w:sz w:val="24"/>
          <w:szCs w:val="24"/>
        </w:rPr>
        <w:t xml:space="preserve"> is</w:t>
      </w:r>
      <w:r w:rsidR="00E97FC8" w:rsidRPr="0014270C">
        <w:rPr>
          <w:rFonts w:ascii="Bookman Old Style" w:hAnsi="Bookman Old Style"/>
          <w:sz w:val="24"/>
          <w:szCs w:val="24"/>
        </w:rPr>
        <w:t xml:space="preserve"> US$24,161.68.</w:t>
      </w:r>
      <w:r w:rsidR="00E97FC8" w:rsidRPr="0014270C">
        <w:rPr>
          <w:rStyle w:val="FootnoteReference"/>
          <w:rFonts w:ascii="Bookman Old Style" w:hAnsi="Bookman Old Style"/>
          <w:sz w:val="24"/>
          <w:szCs w:val="24"/>
        </w:rPr>
        <w:footnoteReference w:id="192"/>
      </w:r>
    </w:p>
    <w:p w14:paraId="3488F805" w14:textId="2E12E8B7" w:rsidR="00885CFA" w:rsidRPr="0014270C" w:rsidRDefault="002257B2" w:rsidP="00885CFA">
      <w:pPr>
        <w:spacing w:line="480" w:lineRule="auto"/>
        <w:ind w:firstLine="720"/>
        <w:rPr>
          <w:rFonts w:ascii="Bookman Old Style" w:hAnsi="Bookman Old Style"/>
          <w:sz w:val="24"/>
          <w:szCs w:val="24"/>
        </w:rPr>
      </w:pPr>
      <w:r w:rsidRPr="0014270C">
        <w:rPr>
          <w:rFonts w:ascii="Bookman Old Style" w:hAnsi="Bookman Old Style"/>
          <w:sz w:val="24"/>
          <w:szCs w:val="24"/>
        </w:rPr>
        <w:t>T</w:t>
      </w:r>
      <w:r w:rsidR="00EE0189" w:rsidRPr="0014270C">
        <w:rPr>
          <w:rFonts w:ascii="Bookman Old Style" w:hAnsi="Bookman Old Style"/>
          <w:sz w:val="24"/>
          <w:szCs w:val="24"/>
        </w:rPr>
        <w:t xml:space="preserve">he </w:t>
      </w:r>
      <w:r w:rsidR="00CA2460" w:rsidRPr="0014270C">
        <w:rPr>
          <w:rFonts w:ascii="Bookman Old Style" w:hAnsi="Bookman Old Style"/>
          <w:sz w:val="24"/>
          <w:szCs w:val="24"/>
        </w:rPr>
        <w:t>price</w:t>
      </w:r>
      <w:r w:rsidR="00EE0189" w:rsidRPr="0014270C">
        <w:rPr>
          <w:rFonts w:ascii="Bookman Old Style" w:hAnsi="Bookman Old Style"/>
          <w:sz w:val="24"/>
          <w:szCs w:val="24"/>
        </w:rPr>
        <w:t xml:space="preserve"> of </w:t>
      </w:r>
      <w:r w:rsidR="00A92F96" w:rsidRPr="0014270C">
        <w:rPr>
          <w:rFonts w:ascii="Bookman Old Style" w:hAnsi="Bookman Old Style"/>
          <w:sz w:val="24"/>
          <w:szCs w:val="24"/>
        </w:rPr>
        <w:t xml:space="preserve">an individual tiny house </w:t>
      </w:r>
      <w:proofErr w:type="gramStart"/>
      <w:r w:rsidR="00A92F96" w:rsidRPr="0014270C">
        <w:rPr>
          <w:rFonts w:ascii="Bookman Old Style" w:hAnsi="Bookman Old Style"/>
          <w:sz w:val="24"/>
          <w:szCs w:val="24"/>
        </w:rPr>
        <w:t>is calculated</w:t>
      </w:r>
      <w:proofErr w:type="gramEnd"/>
      <w:r w:rsidR="00A92F96" w:rsidRPr="0014270C">
        <w:rPr>
          <w:rFonts w:ascii="Bookman Old Style" w:hAnsi="Bookman Old Style"/>
          <w:sz w:val="24"/>
          <w:szCs w:val="24"/>
        </w:rPr>
        <w:t xml:space="preserve"> by averaging the cost of </w:t>
      </w:r>
      <w:r w:rsidR="003B2500" w:rsidRPr="0014270C">
        <w:rPr>
          <w:rFonts w:ascii="Bookman Old Style" w:hAnsi="Bookman Old Style"/>
          <w:sz w:val="24"/>
          <w:szCs w:val="24"/>
        </w:rPr>
        <w:t>10</w:t>
      </w:r>
      <w:r w:rsidR="00E57FEA" w:rsidRPr="0014270C">
        <w:rPr>
          <w:rFonts w:ascii="Bookman Old Style" w:hAnsi="Bookman Old Style"/>
          <w:sz w:val="24"/>
          <w:szCs w:val="24"/>
        </w:rPr>
        <w:t xml:space="preserve"> randomly selected</w:t>
      </w:r>
      <w:r w:rsidR="009B0F24" w:rsidRPr="0014270C">
        <w:rPr>
          <w:rFonts w:ascii="Bookman Old Style" w:hAnsi="Bookman Old Style"/>
          <w:sz w:val="24"/>
          <w:szCs w:val="24"/>
        </w:rPr>
        <w:t xml:space="preserve"> </w:t>
      </w:r>
      <w:r w:rsidR="00E57FEA" w:rsidRPr="0014270C">
        <w:rPr>
          <w:rFonts w:ascii="Bookman Old Style" w:hAnsi="Bookman Old Style"/>
          <w:sz w:val="24"/>
          <w:szCs w:val="24"/>
        </w:rPr>
        <w:t>projects</w:t>
      </w:r>
      <w:r w:rsidR="009877F3" w:rsidRPr="0014270C">
        <w:rPr>
          <w:rFonts w:ascii="Bookman Old Style" w:hAnsi="Bookman Old Style"/>
          <w:sz w:val="24"/>
          <w:szCs w:val="24"/>
        </w:rPr>
        <w:t xml:space="preserve">. </w:t>
      </w:r>
      <w:r w:rsidR="00885CFA" w:rsidRPr="0014270C">
        <w:rPr>
          <w:rFonts w:ascii="Bookman Old Style" w:hAnsi="Bookman Old Style"/>
          <w:sz w:val="24"/>
          <w:szCs w:val="24"/>
        </w:rPr>
        <w:t xml:space="preserve">As shown in Figure </w:t>
      </w:r>
      <w:r w:rsidR="00F02F70" w:rsidRPr="0014270C">
        <w:rPr>
          <w:rFonts w:ascii="Bookman Old Style" w:hAnsi="Bookman Old Style"/>
          <w:sz w:val="24"/>
          <w:szCs w:val="24"/>
        </w:rPr>
        <w:t>4</w:t>
      </w:r>
      <w:r w:rsidR="00885CFA" w:rsidRPr="0014270C">
        <w:rPr>
          <w:rFonts w:ascii="Bookman Old Style" w:hAnsi="Bookman Old Style"/>
          <w:sz w:val="24"/>
          <w:szCs w:val="24"/>
        </w:rPr>
        <w:t xml:space="preserve">, this research found the average price of a 240 square foot (22.3 square </w:t>
      </w:r>
      <w:r w:rsidR="00885CFA" w:rsidRPr="0014270C">
        <w:rPr>
          <w:rFonts w:ascii="Bookman Old Style" w:hAnsi="Bookman Old Style"/>
          <w:noProof/>
          <w:sz w:val="24"/>
          <w:szCs w:val="24"/>
        </w:rPr>
        <w:t>meter</w:t>
      </w:r>
      <w:r w:rsidR="00885CFA" w:rsidRPr="0014270C">
        <w:rPr>
          <w:rFonts w:ascii="Bookman Old Style" w:hAnsi="Bookman Old Style"/>
          <w:sz w:val="24"/>
          <w:szCs w:val="24"/>
        </w:rPr>
        <w:t>) tiny house to be US$14,023.02, with the cost per square foot amounting to US$58.43.</w:t>
      </w:r>
    </w:p>
    <w:p w14:paraId="315C9245" w14:textId="7CD0EE18" w:rsidR="00A82E0F" w:rsidRPr="0014270C" w:rsidRDefault="00DA3D51" w:rsidP="00A82E0F">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builders </w:t>
      </w:r>
      <w:r w:rsidR="00E64BDB" w:rsidRPr="0014270C">
        <w:rPr>
          <w:rFonts w:ascii="Bookman Old Style" w:hAnsi="Bookman Old Style"/>
          <w:sz w:val="24"/>
          <w:szCs w:val="24"/>
        </w:rPr>
        <w:t xml:space="preserve">and their projects </w:t>
      </w:r>
      <w:proofErr w:type="gramStart"/>
      <w:r w:rsidR="009824F9" w:rsidRPr="0014270C">
        <w:rPr>
          <w:rFonts w:ascii="Bookman Old Style" w:hAnsi="Bookman Old Style"/>
          <w:sz w:val="24"/>
          <w:szCs w:val="24"/>
        </w:rPr>
        <w:t>are listed</w:t>
      </w:r>
      <w:proofErr w:type="gramEnd"/>
      <w:r w:rsidR="009824F9" w:rsidRPr="0014270C">
        <w:rPr>
          <w:rFonts w:ascii="Bookman Old Style" w:hAnsi="Bookman Old Style"/>
          <w:sz w:val="24"/>
          <w:szCs w:val="24"/>
        </w:rPr>
        <w:t xml:space="preserve"> below</w:t>
      </w:r>
      <w:r w:rsidR="00E64BDB" w:rsidRPr="0014270C">
        <w:rPr>
          <w:rFonts w:ascii="Bookman Old Style" w:hAnsi="Bookman Old Style"/>
          <w:sz w:val="24"/>
          <w:szCs w:val="24"/>
        </w:rPr>
        <w:t xml:space="preserve">: </w:t>
      </w:r>
    </w:p>
    <w:p w14:paraId="01D44FD0" w14:textId="2A679E8C" w:rsidR="00E64BDB" w:rsidRPr="0014270C" w:rsidRDefault="00C76241" w:rsidP="00C76241">
      <w:pPr>
        <w:pStyle w:val="ListParagraph"/>
        <w:numPr>
          <w:ilvl w:val="0"/>
          <w:numId w:val="4"/>
        </w:numPr>
        <w:spacing w:line="480" w:lineRule="auto"/>
        <w:rPr>
          <w:rFonts w:ascii="Bookman Old Style" w:hAnsi="Bookman Old Style"/>
          <w:sz w:val="24"/>
          <w:szCs w:val="24"/>
        </w:rPr>
      </w:pPr>
      <w:proofErr w:type="spellStart"/>
      <w:r w:rsidRPr="0014270C">
        <w:rPr>
          <w:rFonts w:ascii="Bookman Old Style" w:hAnsi="Bookman Old Style"/>
          <w:sz w:val="24"/>
          <w:szCs w:val="24"/>
        </w:rPr>
        <w:t>MiniMotives</w:t>
      </w:r>
      <w:proofErr w:type="spellEnd"/>
      <w:r w:rsidR="00EA2C26" w:rsidRPr="0014270C">
        <w:rPr>
          <w:rFonts w:ascii="Bookman Old Style" w:hAnsi="Bookman Old Style"/>
          <w:sz w:val="24"/>
          <w:szCs w:val="24"/>
        </w:rPr>
        <w:t xml:space="preserve"> by Macy Miller</w:t>
      </w:r>
      <w:r w:rsidR="00EA2C26" w:rsidRPr="0014270C">
        <w:rPr>
          <w:rStyle w:val="FootnoteReference"/>
          <w:rFonts w:ascii="Bookman Old Style" w:hAnsi="Bookman Old Style"/>
          <w:sz w:val="24"/>
          <w:szCs w:val="24"/>
        </w:rPr>
        <w:footnoteReference w:id="193"/>
      </w:r>
    </w:p>
    <w:p w14:paraId="7035B835" w14:textId="1128BE72" w:rsidR="00C76241" w:rsidRPr="0014270C" w:rsidRDefault="00C76241" w:rsidP="00C76241">
      <w:pPr>
        <w:pStyle w:val="ListParagraph"/>
        <w:numPr>
          <w:ilvl w:val="0"/>
          <w:numId w:val="4"/>
        </w:numPr>
        <w:spacing w:line="480" w:lineRule="auto"/>
        <w:rPr>
          <w:rFonts w:ascii="Bookman Old Style" w:hAnsi="Bookman Old Style"/>
          <w:sz w:val="24"/>
          <w:szCs w:val="24"/>
        </w:rPr>
      </w:pPr>
      <w:proofErr w:type="spellStart"/>
      <w:r w:rsidRPr="0014270C">
        <w:rPr>
          <w:rFonts w:ascii="Bookman Old Style" w:hAnsi="Bookman Old Style"/>
          <w:sz w:val="24"/>
          <w:szCs w:val="24"/>
        </w:rPr>
        <w:lastRenderedPageBreak/>
        <w:t>MotivatedMontanan</w:t>
      </w:r>
      <w:proofErr w:type="spellEnd"/>
      <w:r w:rsidR="0091746A" w:rsidRPr="0014270C">
        <w:rPr>
          <w:rStyle w:val="FootnoteReference"/>
          <w:rFonts w:ascii="Bookman Old Style" w:hAnsi="Bookman Old Style"/>
          <w:sz w:val="24"/>
          <w:szCs w:val="24"/>
        </w:rPr>
        <w:footnoteReference w:id="194"/>
      </w:r>
    </w:p>
    <w:p w14:paraId="36CBAFB1" w14:textId="781FAF84" w:rsidR="00C76241" w:rsidRPr="0014270C" w:rsidRDefault="00C76241" w:rsidP="00C76241">
      <w:pPr>
        <w:pStyle w:val="ListParagraph"/>
        <w:numPr>
          <w:ilvl w:val="0"/>
          <w:numId w:val="4"/>
        </w:numPr>
        <w:spacing w:line="480" w:lineRule="auto"/>
        <w:rPr>
          <w:rFonts w:ascii="Bookman Old Style" w:hAnsi="Bookman Old Style"/>
          <w:sz w:val="24"/>
          <w:szCs w:val="24"/>
        </w:rPr>
      </w:pPr>
      <w:r w:rsidRPr="0014270C">
        <w:rPr>
          <w:rFonts w:ascii="Bookman Old Style" w:hAnsi="Bookman Old Style"/>
          <w:sz w:val="24"/>
          <w:szCs w:val="24"/>
        </w:rPr>
        <w:t>Half-Tree House</w:t>
      </w:r>
      <w:r w:rsidR="002933D0" w:rsidRPr="0014270C">
        <w:rPr>
          <w:rFonts w:ascii="Bookman Old Style" w:hAnsi="Bookman Old Style"/>
          <w:sz w:val="24"/>
          <w:szCs w:val="24"/>
        </w:rPr>
        <w:t xml:space="preserve"> by </w:t>
      </w:r>
      <w:proofErr w:type="spellStart"/>
      <w:r w:rsidR="002933D0" w:rsidRPr="0014270C">
        <w:rPr>
          <w:rFonts w:ascii="Bookman Old Style" w:hAnsi="Bookman Old Style"/>
          <w:sz w:val="24"/>
          <w:szCs w:val="24"/>
        </w:rPr>
        <w:t>JacobsChang</w:t>
      </w:r>
      <w:proofErr w:type="spellEnd"/>
      <w:r w:rsidR="00504862" w:rsidRPr="0014270C">
        <w:rPr>
          <w:rStyle w:val="FootnoteReference"/>
          <w:rFonts w:ascii="Bookman Old Style" w:hAnsi="Bookman Old Style"/>
          <w:sz w:val="24"/>
          <w:szCs w:val="24"/>
        </w:rPr>
        <w:footnoteReference w:id="195"/>
      </w:r>
    </w:p>
    <w:p w14:paraId="34E600BC" w14:textId="74800AA4" w:rsidR="00C76241" w:rsidRPr="0014270C" w:rsidRDefault="00875AF5" w:rsidP="00C76241">
      <w:pPr>
        <w:pStyle w:val="ListParagraph"/>
        <w:numPr>
          <w:ilvl w:val="0"/>
          <w:numId w:val="4"/>
        </w:numPr>
        <w:spacing w:line="480" w:lineRule="auto"/>
        <w:rPr>
          <w:rFonts w:ascii="Bookman Old Style" w:hAnsi="Bookman Old Style"/>
          <w:sz w:val="24"/>
          <w:szCs w:val="24"/>
        </w:rPr>
      </w:pPr>
      <w:r w:rsidRPr="0014270C">
        <w:rPr>
          <w:rFonts w:ascii="Bookman Old Style" w:hAnsi="Bookman Old Style"/>
          <w:sz w:val="24"/>
          <w:szCs w:val="24"/>
        </w:rPr>
        <w:t>Springtown</w:t>
      </w:r>
      <w:r w:rsidR="00304E6D" w:rsidRPr="0014270C">
        <w:rPr>
          <w:rFonts w:ascii="Bookman Old Style" w:hAnsi="Bookman Old Style"/>
          <w:sz w:val="24"/>
          <w:szCs w:val="24"/>
        </w:rPr>
        <w:t>,</w:t>
      </w:r>
      <w:r w:rsidRPr="0014270C">
        <w:rPr>
          <w:rFonts w:ascii="Bookman Old Style" w:hAnsi="Bookman Old Style"/>
          <w:sz w:val="24"/>
          <w:szCs w:val="24"/>
        </w:rPr>
        <w:t xml:space="preserve"> </w:t>
      </w:r>
      <w:r w:rsidR="00304E6D" w:rsidRPr="0014270C">
        <w:rPr>
          <w:rFonts w:ascii="Bookman Old Style" w:hAnsi="Bookman Old Style"/>
          <w:sz w:val="24"/>
          <w:szCs w:val="24"/>
        </w:rPr>
        <w:t>Texas Tiny House</w:t>
      </w:r>
      <w:r w:rsidR="00185ED7" w:rsidRPr="0014270C">
        <w:rPr>
          <w:rStyle w:val="FootnoteReference"/>
          <w:rFonts w:ascii="Bookman Old Style" w:hAnsi="Bookman Old Style"/>
          <w:sz w:val="24"/>
          <w:szCs w:val="24"/>
        </w:rPr>
        <w:footnoteReference w:id="196"/>
      </w:r>
    </w:p>
    <w:p w14:paraId="3D8C263E" w14:textId="00C33BEB" w:rsidR="00C76241" w:rsidRPr="0014270C" w:rsidRDefault="004249C7" w:rsidP="00C76241">
      <w:pPr>
        <w:pStyle w:val="ListParagraph"/>
        <w:numPr>
          <w:ilvl w:val="0"/>
          <w:numId w:val="4"/>
        </w:numPr>
        <w:spacing w:line="480" w:lineRule="auto"/>
        <w:rPr>
          <w:rFonts w:ascii="Bookman Old Style" w:hAnsi="Bookman Old Style"/>
          <w:sz w:val="24"/>
          <w:szCs w:val="24"/>
        </w:rPr>
      </w:pPr>
      <w:r w:rsidRPr="0014270C">
        <w:rPr>
          <w:rFonts w:ascii="Bookman Old Style" w:hAnsi="Bookman Old Style"/>
          <w:sz w:val="24"/>
          <w:szCs w:val="24"/>
        </w:rPr>
        <w:t>Dual Lofts</w:t>
      </w:r>
      <w:r w:rsidR="006C467F" w:rsidRPr="0014270C">
        <w:rPr>
          <w:rFonts w:ascii="Bookman Old Style" w:hAnsi="Bookman Old Style"/>
          <w:sz w:val="24"/>
          <w:szCs w:val="24"/>
        </w:rPr>
        <w:t xml:space="preserve"> </w:t>
      </w:r>
      <w:r w:rsidR="00C74D92" w:rsidRPr="0014270C">
        <w:rPr>
          <w:rFonts w:ascii="Bookman Old Style" w:hAnsi="Bookman Old Style"/>
          <w:sz w:val="24"/>
          <w:szCs w:val="24"/>
        </w:rPr>
        <w:t>in Baton Rouge, Louisiana</w:t>
      </w:r>
      <w:r w:rsidR="00593E02" w:rsidRPr="0014270C">
        <w:rPr>
          <w:rStyle w:val="FootnoteReference"/>
          <w:rFonts w:ascii="Bookman Old Style" w:hAnsi="Bookman Old Style"/>
          <w:sz w:val="24"/>
          <w:szCs w:val="24"/>
        </w:rPr>
        <w:footnoteReference w:id="197"/>
      </w:r>
    </w:p>
    <w:p w14:paraId="1E9FC913" w14:textId="459DF1F0" w:rsidR="00C76241" w:rsidRPr="0014270C" w:rsidRDefault="00C76241" w:rsidP="00C76241">
      <w:pPr>
        <w:pStyle w:val="ListParagraph"/>
        <w:numPr>
          <w:ilvl w:val="0"/>
          <w:numId w:val="4"/>
        </w:numPr>
        <w:spacing w:line="480" w:lineRule="auto"/>
        <w:rPr>
          <w:rFonts w:ascii="Bookman Old Style" w:hAnsi="Bookman Old Style"/>
          <w:sz w:val="24"/>
          <w:szCs w:val="24"/>
        </w:rPr>
      </w:pPr>
      <w:r w:rsidRPr="0014270C">
        <w:rPr>
          <w:rFonts w:ascii="Bookman Old Style" w:hAnsi="Bookman Old Style"/>
          <w:sz w:val="24"/>
          <w:szCs w:val="24"/>
        </w:rPr>
        <w:t>Tiny Maison</w:t>
      </w:r>
      <w:r w:rsidR="00F30B5C" w:rsidRPr="0014270C">
        <w:rPr>
          <w:rFonts w:ascii="Bookman Old Style" w:hAnsi="Bookman Old Style"/>
          <w:sz w:val="24"/>
          <w:szCs w:val="24"/>
        </w:rPr>
        <w:t xml:space="preserve"> by Sicily </w:t>
      </w:r>
      <w:proofErr w:type="spellStart"/>
      <w:r w:rsidR="00F30B5C" w:rsidRPr="0014270C">
        <w:rPr>
          <w:rFonts w:ascii="Bookman Old Style" w:hAnsi="Bookman Old Style"/>
          <w:sz w:val="24"/>
          <w:szCs w:val="24"/>
        </w:rPr>
        <w:t>Kolbeck</w:t>
      </w:r>
      <w:proofErr w:type="spellEnd"/>
      <w:r w:rsidR="00EE1511" w:rsidRPr="0014270C">
        <w:rPr>
          <w:rStyle w:val="FootnoteReference"/>
          <w:rFonts w:ascii="Bookman Old Style" w:hAnsi="Bookman Old Style"/>
          <w:sz w:val="24"/>
          <w:szCs w:val="24"/>
        </w:rPr>
        <w:footnoteReference w:id="198"/>
      </w:r>
      <w:r w:rsidR="00EE1511" w:rsidRPr="0014270C">
        <w:rPr>
          <w:rFonts w:ascii="Bookman Old Style" w:hAnsi="Bookman Old Style"/>
          <w:sz w:val="24"/>
          <w:szCs w:val="24"/>
        </w:rPr>
        <w:t xml:space="preserve"> </w:t>
      </w:r>
      <w:r w:rsidR="00EE1511" w:rsidRPr="0014270C">
        <w:rPr>
          <w:rStyle w:val="FootnoteReference"/>
          <w:rFonts w:ascii="Bookman Old Style" w:hAnsi="Bookman Old Style"/>
          <w:sz w:val="24"/>
          <w:szCs w:val="24"/>
        </w:rPr>
        <w:footnoteReference w:id="199"/>
      </w:r>
    </w:p>
    <w:p w14:paraId="6641718A" w14:textId="6516AB8F" w:rsidR="00C76241" w:rsidRPr="0014270C" w:rsidRDefault="00EC0C90" w:rsidP="00C76241">
      <w:pPr>
        <w:pStyle w:val="ListParagraph"/>
        <w:numPr>
          <w:ilvl w:val="0"/>
          <w:numId w:val="4"/>
        </w:numPr>
        <w:spacing w:line="480" w:lineRule="auto"/>
        <w:rPr>
          <w:rFonts w:ascii="Bookman Old Style" w:hAnsi="Bookman Old Style"/>
          <w:sz w:val="24"/>
          <w:szCs w:val="24"/>
        </w:rPr>
      </w:pPr>
      <w:proofErr w:type="spellStart"/>
      <w:r w:rsidRPr="0014270C">
        <w:rPr>
          <w:rFonts w:ascii="Bookman Old Style" w:hAnsi="Bookman Old Style"/>
          <w:sz w:val="24"/>
          <w:szCs w:val="24"/>
        </w:rPr>
        <w:t>Berzin</w:t>
      </w:r>
      <w:proofErr w:type="spellEnd"/>
      <w:r w:rsidR="00C76241" w:rsidRPr="0014270C">
        <w:rPr>
          <w:rFonts w:ascii="Bookman Old Style" w:hAnsi="Bookman Old Style"/>
          <w:sz w:val="24"/>
          <w:szCs w:val="24"/>
        </w:rPr>
        <w:t xml:space="preserve"> Tiny House</w:t>
      </w:r>
      <w:r w:rsidR="00384464" w:rsidRPr="0014270C">
        <w:rPr>
          <w:rStyle w:val="FootnoteReference"/>
          <w:rFonts w:ascii="Bookman Old Style" w:hAnsi="Bookman Old Style"/>
          <w:sz w:val="24"/>
          <w:szCs w:val="24"/>
        </w:rPr>
        <w:footnoteReference w:id="200"/>
      </w:r>
    </w:p>
    <w:p w14:paraId="1D9FB16E" w14:textId="5ACD3862" w:rsidR="00C76241" w:rsidRPr="0014270C" w:rsidRDefault="00C76241" w:rsidP="00C76241">
      <w:pPr>
        <w:pStyle w:val="ListParagraph"/>
        <w:numPr>
          <w:ilvl w:val="0"/>
          <w:numId w:val="4"/>
        </w:numPr>
        <w:spacing w:line="480" w:lineRule="auto"/>
        <w:rPr>
          <w:rFonts w:ascii="Bookman Old Style" w:hAnsi="Bookman Old Style"/>
          <w:sz w:val="24"/>
          <w:szCs w:val="24"/>
        </w:rPr>
      </w:pPr>
      <w:proofErr w:type="spellStart"/>
      <w:r w:rsidRPr="0014270C">
        <w:rPr>
          <w:rFonts w:ascii="Bookman Old Style" w:hAnsi="Bookman Old Style"/>
          <w:sz w:val="24"/>
          <w:szCs w:val="24"/>
        </w:rPr>
        <w:t>Apis</w:t>
      </w:r>
      <w:proofErr w:type="spellEnd"/>
      <w:r w:rsidRPr="0014270C">
        <w:rPr>
          <w:rFonts w:ascii="Bookman Old Style" w:hAnsi="Bookman Old Style"/>
          <w:sz w:val="24"/>
          <w:szCs w:val="24"/>
        </w:rPr>
        <w:t xml:space="preserve"> Cor</w:t>
      </w:r>
      <w:r w:rsidR="002B4187" w:rsidRPr="0014270C">
        <w:rPr>
          <w:rStyle w:val="FootnoteReference"/>
          <w:rFonts w:ascii="Bookman Old Style" w:hAnsi="Bookman Old Style"/>
          <w:sz w:val="24"/>
          <w:szCs w:val="24"/>
        </w:rPr>
        <w:footnoteReference w:id="201"/>
      </w:r>
    </w:p>
    <w:p w14:paraId="4809D463" w14:textId="2B38A5DC" w:rsidR="00C76241" w:rsidRPr="0014270C" w:rsidRDefault="00315EDA" w:rsidP="00C76241">
      <w:pPr>
        <w:pStyle w:val="ListParagraph"/>
        <w:numPr>
          <w:ilvl w:val="0"/>
          <w:numId w:val="4"/>
        </w:numPr>
        <w:spacing w:line="480" w:lineRule="auto"/>
        <w:rPr>
          <w:rFonts w:ascii="Bookman Old Style" w:hAnsi="Bookman Old Style"/>
          <w:sz w:val="24"/>
          <w:szCs w:val="24"/>
        </w:rPr>
      </w:pPr>
      <w:r w:rsidRPr="0014270C">
        <w:rPr>
          <w:rFonts w:ascii="Bookman Old Style" w:hAnsi="Bookman Old Style"/>
          <w:sz w:val="24"/>
          <w:szCs w:val="24"/>
        </w:rPr>
        <w:t>Soleil</w:t>
      </w:r>
      <w:r w:rsidR="000A3E2C" w:rsidRPr="0014270C">
        <w:rPr>
          <w:rFonts w:ascii="Bookman Old Style" w:hAnsi="Bookman Old Style"/>
          <w:sz w:val="24"/>
          <w:szCs w:val="24"/>
        </w:rPr>
        <w:t xml:space="preserve"> by </w:t>
      </w:r>
      <w:r w:rsidR="00783CCC" w:rsidRPr="0014270C">
        <w:rPr>
          <w:rFonts w:ascii="Bookman Old Style" w:hAnsi="Bookman Old Style"/>
          <w:sz w:val="24"/>
          <w:szCs w:val="24"/>
        </w:rPr>
        <w:t xml:space="preserve">Erin and </w:t>
      </w:r>
      <w:proofErr w:type="spellStart"/>
      <w:r w:rsidR="00783CCC" w:rsidRPr="0014270C">
        <w:rPr>
          <w:rFonts w:ascii="Bookman Old Style" w:hAnsi="Bookman Old Style"/>
          <w:sz w:val="24"/>
          <w:szCs w:val="24"/>
        </w:rPr>
        <w:t>Don</w:t>
      </w:r>
      <w:r w:rsidR="00554662" w:rsidRPr="0014270C">
        <w:rPr>
          <w:rFonts w:ascii="Bookman Old Style" w:hAnsi="Bookman Old Style"/>
          <w:sz w:val="24"/>
          <w:szCs w:val="24"/>
        </w:rPr>
        <w:t>di</w:t>
      </w:r>
      <w:proofErr w:type="spellEnd"/>
      <w:r w:rsidR="00A82E0F" w:rsidRPr="0014270C">
        <w:rPr>
          <w:rStyle w:val="FootnoteReference"/>
          <w:rFonts w:ascii="Bookman Old Style" w:hAnsi="Bookman Old Style"/>
          <w:sz w:val="24"/>
          <w:szCs w:val="24"/>
        </w:rPr>
        <w:footnoteReference w:id="202"/>
      </w:r>
    </w:p>
    <w:p w14:paraId="31FA87AC" w14:textId="2FA974E1" w:rsidR="00F0603D" w:rsidRPr="0014270C" w:rsidRDefault="00B02479" w:rsidP="00B03B31">
      <w:pPr>
        <w:pStyle w:val="ListParagraph"/>
        <w:numPr>
          <w:ilvl w:val="0"/>
          <w:numId w:val="4"/>
        </w:numPr>
        <w:spacing w:line="480" w:lineRule="auto"/>
        <w:rPr>
          <w:rFonts w:ascii="Bookman Old Style" w:hAnsi="Bookman Old Style"/>
          <w:sz w:val="24"/>
          <w:szCs w:val="24"/>
        </w:rPr>
      </w:pPr>
      <w:r w:rsidRPr="0014270C">
        <w:rPr>
          <w:rFonts w:ascii="Bookman Old Style" w:hAnsi="Bookman Old Style"/>
          <w:sz w:val="24"/>
          <w:szCs w:val="24"/>
        </w:rPr>
        <w:t>The Big Tiny</w:t>
      </w:r>
      <w:r w:rsidR="004A7BB2" w:rsidRPr="0014270C">
        <w:rPr>
          <w:rFonts w:ascii="Bookman Old Style" w:hAnsi="Bookman Old Style"/>
          <w:sz w:val="24"/>
          <w:szCs w:val="24"/>
        </w:rPr>
        <w:t xml:space="preserve"> by </w:t>
      </w:r>
      <w:r w:rsidRPr="0014270C">
        <w:rPr>
          <w:rFonts w:ascii="Bookman Old Style" w:hAnsi="Bookman Old Style"/>
          <w:sz w:val="24"/>
          <w:szCs w:val="24"/>
        </w:rPr>
        <w:t>Dee Williams</w:t>
      </w:r>
      <w:r w:rsidR="00204F77" w:rsidRPr="0014270C">
        <w:rPr>
          <w:rStyle w:val="FootnoteReference"/>
          <w:rFonts w:ascii="Bookman Old Style" w:hAnsi="Bookman Old Style"/>
          <w:sz w:val="24"/>
          <w:szCs w:val="24"/>
        </w:rPr>
        <w:footnoteReference w:id="203"/>
      </w:r>
    </w:p>
    <w:p w14:paraId="25F8B9B3" w14:textId="7672F955" w:rsidR="006C7992" w:rsidRPr="0014270C" w:rsidRDefault="00A82E0F" w:rsidP="00E64BDB">
      <w:pPr>
        <w:spacing w:line="480" w:lineRule="auto"/>
        <w:jc w:val="center"/>
        <w:rPr>
          <w:rFonts w:ascii="Bookman Old Style" w:hAnsi="Bookman Old Style"/>
          <w:sz w:val="24"/>
          <w:szCs w:val="24"/>
        </w:rPr>
      </w:pPr>
      <w:r w:rsidRPr="0014270C">
        <w:rPr>
          <w:rFonts w:ascii="Bookman Old Style" w:hAnsi="Bookman Old Style"/>
          <w:noProof/>
          <w:sz w:val="24"/>
          <w:szCs w:val="24"/>
        </w:rPr>
        <w:lastRenderedPageBreak/>
        <w:drawing>
          <wp:inline distT="0" distB="0" distL="0" distR="0" wp14:anchorId="6F2B494E" wp14:editId="7DB311E5">
            <wp:extent cx="3788840" cy="2489624"/>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ny house cost.png"/>
                    <pic:cNvPicPr/>
                  </pic:nvPicPr>
                  <pic:blipFill>
                    <a:blip r:embed="rId17">
                      <a:extLst>
                        <a:ext uri="{28A0092B-C50C-407E-A947-70E740481C1C}">
                          <a14:useLocalDpi xmlns:a14="http://schemas.microsoft.com/office/drawing/2010/main" val="0"/>
                        </a:ext>
                      </a:extLst>
                    </a:blip>
                    <a:stretch>
                      <a:fillRect/>
                    </a:stretch>
                  </pic:blipFill>
                  <pic:spPr>
                    <a:xfrm>
                      <a:off x="0" y="0"/>
                      <a:ext cx="3788840" cy="2489624"/>
                    </a:xfrm>
                    <a:prstGeom prst="rect">
                      <a:avLst/>
                    </a:prstGeom>
                  </pic:spPr>
                </pic:pic>
              </a:graphicData>
            </a:graphic>
          </wp:inline>
        </w:drawing>
      </w:r>
    </w:p>
    <w:p w14:paraId="33D438FA" w14:textId="592DA413" w:rsidR="00F0603D" w:rsidRPr="0014270C" w:rsidRDefault="007860B2" w:rsidP="007860B2">
      <w:pPr>
        <w:pStyle w:val="THESISFigureHead"/>
      </w:pPr>
      <w:bookmarkStart w:id="61" w:name="_Toc8062333"/>
      <w:r w:rsidRPr="0014270C">
        <w:t xml:space="preserve">Figure </w:t>
      </w:r>
      <w:r w:rsidR="00F02F70" w:rsidRPr="0014270C">
        <w:t>4</w:t>
      </w:r>
      <w:r w:rsidRPr="0014270C">
        <w:t xml:space="preserve">. </w:t>
      </w:r>
      <w:r w:rsidR="00295E2E" w:rsidRPr="0014270C">
        <w:t>Average cost and size of a tiny house</w:t>
      </w:r>
      <w:r w:rsidR="00312A0A" w:rsidRPr="0014270C">
        <w:t>.</w:t>
      </w:r>
      <w:bookmarkEnd w:id="61"/>
    </w:p>
    <w:p w14:paraId="54E86903" w14:textId="4E089EEE" w:rsidR="000B745F" w:rsidRPr="0014270C" w:rsidRDefault="007E61E5" w:rsidP="007860B2">
      <w:pPr>
        <w:spacing w:line="480" w:lineRule="auto"/>
        <w:ind w:firstLine="720"/>
        <w:rPr>
          <w:rFonts w:ascii="Bookman Old Style" w:hAnsi="Bookman Old Style"/>
          <w:sz w:val="24"/>
          <w:szCs w:val="24"/>
        </w:rPr>
      </w:pPr>
      <w:bookmarkStart w:id="62" w:name="_Toc8062295"/>
      <w:r w:rsidRPr="0014270C">
        <w:rPr>
          <w:rStyle w:val="THESISLVL4Char"/>
        </w:rPr>
        <w:t>Energy</w:t>
      </w:r>
      <w:bookmarkEnd w:id="62"/>
      <w:r w:rsidR="00AC2F84" w:rsidRPr="0014270C">
        <w:rPr>
          <w:rFonts w:ascii="Bookman Old Style" w:hAnsi="Bookman Old Style"/>
          <w:sz w:val="24"/>
          <w:szCs w:val="24"/>
        </w:rPr>
        <w:t>.</w:t>
      </w:r>
      <w:r w:rsidR="00124527" w:rsidRPr="0014270C">
        <w:rPr>
          <w:rFonts w:ascii="Bookman Old Style" w:hAnsi="Bookman Old Style"/>
          <w:sz w:val="24"/>
          <w:szCs w:val="24"/>
        </w:rPr>
        <w:t xml:space="preserve"> According </w:t>
      </w:r>
      <w:r w:rsidR="007C0C88" w:rsidRPr="0014270C">
        <w:rPr>
          <w:rFonts w:ascii="Bookman Old Style" w:hAnsi="Bookman Old Style"/>
          <w:sz w:val="24"/>
          <w:szCs w:val="24"/>
        </w:rPr>
        <w:t>to the summary for annual household consumption by the E</w:t>
      </w:r>
      <w:r w:rsidR="006A5213" w:rsidRPr="0014270C">
        <w:rPr>
          <w:rFonts w:ascii="Bookman Old Style" w:hAnsi="Bookman Old Style"/>
          <w:sz w:val="24"/>
          <w:szCs w:val="24"/>
        </w:rPr>
        <w:t xml:space="preserve">nergy </w:t>
      </w:r>
      <w:r w:rsidR="007C0C88" w:rsidRPr="0014270C">
        <w:rPr>
          <w:rFonts w:ascii="Bookman Old Style" w:hAnsi="Bookman Old Style"/>
          <w:sz w:val="24"/>
          <w:szCs w:val="24"/>
        </w:rPr>
        <w:t>I</w:t>
      </w:r>
      <w:r w:rsidR="006A5213" w:rsidRPr="0014270C">
        <w:rPr>
          <w:rFonts w:ascii="Bookman Old Style" w:hAnsi="Bookman Old Style"/>
          <w:sz w:val="24"/>
          <w:szCs w:val="24"/>
        </w:rPr>
        <w:t xml:space="preserve">nformation </w:t>
      </w:r>
      <w:r w:rsidR="007C0C88" w:rsidRPr="0014270C">
        <w:rPr>
          <w:rFonts w:ascii="Bookman Old Style" w:hAnsi="Bookman Old Style"/>
          <w:sz w:val="24"/>
          <w:szCs w:val="24"/>
        </w:rPr>
        <w:t>A</w:t>
      </w:r>
      <w:r w:rsidR="006A5213" w:rsidRPr="0014270C">
        <w:rPr>
          <w:rFonts w:ascii="Bookman Old Style" w:hAnsi="Bookman Old Style"/>
          <w:sz w:val="24"/>
          <w:szCs w:val="24"/>
        </w:rPr>
        <w:t>dministration</w:t>
      </w:r>
      <w:r w:rsidR="007C0C88" w:rsidRPr="0014270C">
        <w:rPr>
          <w:rFonts w:ascii="Bookman Old Style" w:hAnsi="Bookman Old Style"/>
          <w:sz w:val="24"/>
          <w:szCs w:val="24"/>
        </w:rPr>
        <w:t xml:space="preserve"> for 2015, the monthly utility bill for a 240 square foot (22.3 square </w:t>
      </w:r>
      <w:r w:rsidR="007C0C88" w:rsidRPr="0014270C">
        <w:rPr>
          <w:rFonts w:ascii="Bookman Old Style" w:hAnsi="Bookman Old Style"/>
          <w:noProof/>
          <w:sz w:val="24"/>
          <w:szCs w:val="24"/>
        </w:rPr>
        <w:t>meter</w:t>
      </w:r>
      <w:r w:rsidR="007C0C88" w:rsidRPr="0014270C">
        <w:rPr>
          <w:rFonts w:ascii="Bookman Old Style" w:hAnsi="Bookman Old Style"/>
          <w:sz w:val="24"/>
          <w:szCs w:val="24"/>
        </w:rPr>
        <w:t>) mobile home is an average of US$29.20</w:t>
      </w:r>
      <w:r w:rsidR="00996CB1" w:rsidRPr="0014270C">
        <w:rPr>
          <w:rFonts w:ascii="Bookman Old Style" w:hAnsi="Bookman Old Style"/>
          <w:sz w:val="24"/>
          <w:szCs w:val="24"/>
        </w:rPr>
        <w:t>.</w:t>
      </w:r>
      <w:r w:rsidR="00996CB1" w:rsidRPr="0014270C">
        <w:rPr>
          <w:rStyle w:val="FootnoteReference"/>
          <w:rFonts w:ascii="Bookman Old Style" w:hAnsi="Bookman Old Style"/>
          <w:sz w:val="24"/>
          <w:szCs w:val="24"/>
        </w:rPr>
        <w:footnoteReference w:id="204"/>
      </w:r>
      <w:r w:rsidR="00996CB1" w:rsidRPr="0014270C">
        <w:rPr>
          <w:rFonts w:ascii="Bookman Old Style" w:hAnsi="Bookman Old Style"/>
          <w:sz w:val="24"/>
          <w:szCs w:val="24"/>
        </w:rPr>
        <w:t xml:space="preserve"> </w:t>
      </w:r>
      <w:r w:rsidR="00A47A8B" w:rsidRPr="0014270C">
        <w:rPr>
          <w:rFonts w:ascii="Bookman Old Style" w:hAnsi="Bookman Old Style"/>
          <w:sz w:val="24"/>
          <w:szCs w:val="24"/>
        </w:rPr>
        <w:t>It is reasonable to assume a trailer of this size would cost approximately the same amount due to similar insulation and use</w:t>
      </w:r>
      <w:r w:rsidR="00124527" w:rsidRPr="0014270C">
        <w:rPr>
          <w:rFonts w:ascii="Bookman Old Style" w:hAnsi="Bookman Old Style"/>
          <w:sz w:val="24"/>
          <w:szCs w:val="24"/>
        </w:rPr>
        <w:t xml:space="preserve">. </w:t>
      </w:r>
    </w:p>
    <w:p w14:paraId="2F6B7CF6" w14:textId="7A14EE74" w:rsidR="000B745F" w:rsidRPr="0014270C" w:rsidRDefault="000B745F" w:rsidP="00B15004">
      <w:pPr>
        <w:spacing w:line="480" w:lineRule="auto"/>
        <w:jc w:val="center"/>
        <w:rPr>
          <w:rFonts w:ascii="Bookman Old Style" w:hAnsi="Bookman Old Style"/>
          <w:sz w:val="24"/>
          <w:szCs w:val="24"/>
        </w:rPr>
      </w:pPr>
      <w:r w:rsidRPr="0014270C">
        <w:rPr>
          <w:rFonts w:ascii="Bookman Old Style" w:hAnsi="Bookman Old Style"/>
          <w:noProof/>
          <w:sz w:val="24"/>
          <w:szCs w:val="24"/>
        </w:rPr>
        <w:drawing>
          <wp:inline distT="0" distB="0" distL="0" distR="0" wp14:anchorId="5794DCF9" wp14:editId="5F1217A9">
            <wp:extent cx="5295900" cy="1917149"/>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ad calculator.PNG"/>
                    <pic:cNvPicPr/>
                  </pic:nvPicPr>
                  <pic:blipFill>
                    <a:blip r:embed="rId18">
                      <a:extLst>
                        <a:ext uri="{28A0092B-C50C-407E-A947-70E740481C1C}">
                          <a14:useLocalDpi xmlns:a14="http://schemas.microsoft.com/office/drawing/2010/main" val="0"/>
                        </a:ext>
                      </a:extLst>
                    </a:blip>
                    <a:stretch>
                      <a:fillRect/>
                    </a:stretch>
                  </pic:blipFill>
                  <pic:spPr>
                    <a:xfrm>
                      <a:off x="0" y="0"/>
                      <a:ext cx="5350200" cy="1936806"/>
                    </a:xfrm>
                    <a:prstGeom prst="rect">
                      <a:avLst/>
                    </a:prstGeom>
                  </pic:spPr>
                </pic:pic>
              </a:graphicData>
            </a:graphic>
          </wp:inline>
        </w:drawing>
      </w:r>
    </w:p>
    <w:p w14:paraId="27950FEB" w14:textId="46FC5C19" w:rsidR="000B745F" w:rsidRPr="0014270C" w:rsidRDefault="007860B2" w:rsidP="000B745F">
      <w:pPr>
        <w:spacing w:line="480" w:lineRule="auto"/>
        <w:rPr>
          <w:rFonts w:ascii="Bookman Old Style" w:hAnsi="Bookman Old Style"/>
          <w:sz w:val="24"/>
          <w:szCs w:val="24"/>
        </w:rPr>
      </w:pPr>
      <w:bookmarkStart w:id="63" w:name="_Toc8062334"/>
      <w:r w:rsidRPr="0014270C">
        <w:rPr>
          <w:rStyle w:val="THESISFigureHeadChar"/>
        </w:rPr>
        <w:t xml:space="preserve">Figure </w:t>
      </w:r>
      <w:r w:rsidR="00F02F70" w:rsidRPr="0014270C">
        <w:rPr>
          <w:rStyle w:val="THESISFigureHeadChar"/>
        </w:rPr>
        <w:t>5</w:t>
      </w:r>
      <w:r w:rsidRPr="0014270C">
        <w:rPr>
          <w:rStyle w:val="THESISFigureHeadChar"/>
        </w:rPr>
        <w:t>. Load calculator.</w:t>
      </w:r>
      <w:bookmarkEnd w:id="63"/>
      <w:r w:rsidRPr="0014270C">
        <w:rPr>
          <w:rStyle w:val="THESISFigureHeadChar"/>
        </w:rPr>
        <w:t xml:space="preserve"> </w:t>
      </w:r>
      <w:r w:rsidR="000B745F" w:rsidRPr="0014270C">
        <w:rPr>
          <w:rFonts w:ascii="Bookman Old Style" w:hAnsi="Bookman Old Style"/>
          <w:sz w:val="24"/>
          <w:szCs w:val="24"/>
        </w:rPr>
        <w:t xml:space="preserve">Wholesale Solar, </w:t>
      </w:r>
      <w:r w:rsidR="000B745F" w:rsidRPr="0014270C">
        <w:rPr>
          <w:rFonts w:ascii="Bookman Old Style" w:hAnsi="Bookman Old Style"/>
          <w:i/>
          <w:sz w:val="24"/>
          <w:szCs w:val="24"/>
        </w:rPr>
        <w:t>Load Calculator</w:t>
      </w:r>
      <w:r w:rsidR="00312A0A" w:rsidRPr="0014270C">
        <w:rPr>
          <w:rFonts w:ascii="Bookman Old Style" w:hAnsi="Bookman Old Style"/>
          <w:sz w:val="24"/>
          <w:szCs w:val="24"/>
        </w:rPr>
        <w:t>.</w:t>
      </w:r>
      <w:r w:rsidR="000B745F" w:rsidRPr="0014270C">
        <w:rPr>
          <w:rFonts w:ascii="Bookman Old Style" w:hAnsi="Bookman Old Style"/>
          <w:sz w:val="24"/>
          <w:szCs w:val="24"/>
        </w:rPr>
        <w:footnoteReference w:id="205"/>
      </w:r>
    </w:p>
    <w:p w14:paraId="064C4DDD" w14:textId="5A65F3D6" w:rsidR="00D21665" w:rsidRPr="0014270C" w:rsidRDefault="00D21665" w:rsidP="00D21665">
      <w:pPr>
        <w:spacing w:line="480" w:lineRule="auto"/>
        <w:ind w:firstLine="720"/>
        <w:rPr>
          <w:rFonts w:ascii="Bookman Old Style" w:hAnsi="Bookman Old Style"/>
          <w:sz w:val="24"/>
          <w:szCs w:val="24"/>
        </w:rPr>
      </w:pPr>
      <w:r w:rsidRPr="0014270C">
        <w:rPr>
          <w:rFonts w:ascii="Bookman Old Style" w:hAnsi="Bookman Old Style"/>
          <w:sz w:val="24"/>
          <w:szCs w:val="24"/>
        </w:rPr>
        <w:lastRenderedPageBreak/>
        <w:t xml:space="preserve">Planning for off-grid energy usage requires the calculation of how many kilowatt-hours per day would </w:t>
      </w:r>
      <w:proofErr w:type="gramStart"/>
      <w:r w:rsidRPr="0014270C">
        <w:rPr>
          <w:rFonts w:ascii="Bookman Old Style" w:hAnsi="Bookman Old Style"/>
          <w:sz w:val="24"/>
          <w:szCs w:val="24"/>
        </w:rPr>
        <w:t>be needed</w:t>
      </w:r>
      <w:proofErr w:type="gramEnd"/>
      <w:r w:rsidRPr="0014270C">
        <w:rPr>
          <w:rFonts w:ascii="Bookman Old Style" w:hAnsi="Bookman Old Style"/>
          <w:sz w:val="24"/>
          <w:szCs w:val="24"/>
        </w:rPr>
        <w:t xml:space="preserve">. Using a </w:t>
      </w:r>
      <w:r w:rsidRPr="0014270C">
        <w:rPr>
          <w:rFonts w:ascii="Bookman Old Style" w:hAnsi="Bookman Old Style"/>
          <w:noProof/>
          <w:sz w:val="24"/>
          <w:szCs w:val="24"/>
        </w:rPr>
        <w:t>load</w:t>
      </w:r>
      <w:r w:rsidRPr="0014270C">
        <w:rPr>
          <w:rFonts w:ascii="Bookman Old Style" w:hAnsi="Bookman Old Style"/>
          <w:sz w:val="24"/>
          <w:szCs w:val="24"/>
        </w:rPr>
        <w:t xml:space="preserve"> calculator, as shown in Figure </w:t>
      </w:r>
      <w:r w:rsidR="00F02F70" w:rsidRPr="0014270C">
        <w:rPr>
          <w:rFonts w:ascii="Bookman Old Style" w:hAnsi="Bookman Old Style"/>
          <w:sz w:val="24"/>
          <w:szCs w:val="24"/>
        </w:rPr>
        <w:t>5</w:t>
      </w:r>
      <w:r w:rsidRPr="0014270C">
        <w:rPr>
          <w:rFonts w:ascii="Bookman Old Style" w:hAnsi="Bookman Old Style"/>
          <w:sz w:val="24"/>
          <w:szCs w:val="24"/>
        </w:rPr>
        <w:t>, it was found that as little as 1,683 watt-hours per day can provide a comfortable life with access to amenities such as internet, kitchen appliances, and morning routine essentials while relying entirely on a small photovoltaic (PV) system used in conjunction with passive design techniques for heating and cooling.</w:t>
      </w:r>
      <w:r w:rsidRPr="0014270C">
        <w:rPr>
          <w:rStyle w:val="FootnoteReference"/>
          <w:rFonts w:ascii="Bookman Old Style" w:hAnsi="Bookman Old Style"/>
          <w:sz w:val="24"/>
          <w:szCs w:val="24"/>
        </w:rPr>
        <w:footnoteReference w:id="206"/>
      </w:r>
      <w:r w:rsidRPr="0014270C">
        <w:rPr>
          <w:rFonts w:ascii="Bookman Old Style" w:hAnsi="Bookman Old Style"/>
          <w:sz w:val="24"/>
          <w:szCs w:val="24"/>
        </w:rPr>
        <w:t xml:space="preserve"> </w:t>
      </w:r>
      <w:r w:rsidRPr="0014270C">
        <w:rPr>
          <w:rStyle w:val="FootnoteReference"/>
          <w:rFonts w:ascii="Bookman Old Style" w:hAnsi="Bookman Old Style"/>
          <w:sz w:val="24"/>
          <w:szCs w:val="24"/>
        </w:rPr>
        <w:footnoteReference w:id="207"/>
      </w:r>
      <w:r w:rsidRPr="0014270C">
        <w:rPr>
          <w:rFonts w:ascii="Bookman Old Style" w:hAnsi="Bookman Old Style"/>
          <w:sz w:val="24"/>
          <w:szCs w:val="24"/>
        </w:rPr>
        <w:t xml:space="preserve"> </w:t>
      </w:r>
    </w:p>
    <w:p w14:paraId="37CA1537" w14:textId="2D449130" w:rsidR="009278DF" w:rsidRPr="0014270C" w:rsidRDefault="00CC3755" w:rsidP="002D5437">
      <w:pPr>
        <w:spacing w:line="480" w:lineRule="auto"/>
        <w:ind w:firstLine="720"/>
        <w:rPr>
          <w:rFonts w:ascii="Bookman Old Style" w:hAnsi="Bookman Old Style"/>
          <w:sz w:val="24"/>
          <w:szCs w:val="24"/>
        </w:rPr>
      </w:pPr>
      <w:r w:rsidRPr="0014270C">
        <w:rPr>
          <w:rFonts w:ascii="Bookman Old Style" w:hAnsi="Bookman Old Style"/>
          <w:sz w:val="24"/>
          <w:szCs w:val="24"/>
        </w:rPr>
        <w:t>PV panels can provide electricity for lighting and appliances, eliminating the need for grid connection. In 2010, residential PV system cost was around US$7.24 per watt, according to a report by the National Renewable Energy Laboratory.</w:t>
      </w:r>
      <w:r w:rsidRPr="0014270C">
        <w:rPr>
          <w:rStyle w:val="FootnoteReference"/>
          <w:rFonts w:ascii="Bookman Old Style" w:hAnsi="Bookman Old Style"/>
          <w:sz w:val="24"/>
          <w:szCs w:val="24"/>
        </w:rPr>
        <w:footnoteReference w:id="208"/>
      </w:r>
      <w:r w:rsidRPr="0014270C">
        <w:rPr>
          <w:rFonts w:ascii="Bookman Old Style" w:hAnsi="Bookman Old Style"/>
          <w:sz w:val="24"/>
          <w:szCs w:val="24"/>
        </w:rPr>
        <w:t xml:space="preserve"> The price of PV systems has dropped significantly due to greater demand in the market, averaging US$1.11 per watt in 2017 for a one-axis-tracking-utility-scale system,</w:t>
      </w:r>
      <w:r w:rsidRPr="0014270C">
        <w:rPr>
          <w:rStyle w:val="FootnoteReference"/>
          <w:rFonts w:ascii="Bookman Old Style" w:hAnsi="Bookman Old Style"/>
          <w:sz w:val="24"/>
          <w:szCs w:val="24"/>
        </w:rPr>
        <w:footnoteReference w:id="209"/>
      </w:r>
      <w:r w:rsidRPr="0014270C">
        <w:rPr>
          <w:rFonts w:ascii="Bookman Old Style" w:hAnsi="Bookman Old Style"/>
          <w:sz w:val="24"/>
          <w:szCs w:val="24"/>
        </w:rPr>
        <w:t xml:space="preserve"> making a </w:t>
      </w:r>
      <w:r w:rsidR="001D3F59" w:rsidRPr="0014270C">
        <w:rPr>
          <w:rFonts w:ascii="Bookman Old Style" w:hAnsi="Bookman Old Style"/>
          <w:noProof/>
          <w:sz w:val="24"/>
          <w:szCs w:val="24"/>
        </w:rPr>
        <w:t>1</w:t>
      </w:r>
      <w:r w:rsidRPr="0014270C">
        <w:rPr>
          <w:rFonts w:ascii="Bookman Old Style" w:hAnsi="Bookman Old Style"/>
          <w:noProof/>
          <w:sz w:val="24"/>
          <w:szCs w:val="24"/>
        </w:rPr>
        <w:t>,</w:t>
      </w:r>
      <w:r w:rsidR="006518A2" w:rsidRPr="0014270C">
        <w:rPr>
          <w:rFonts w:ascii="Bookman Old Style" w:hAnsi="Bookman Old Style"/>
          <w:noProof/>
          <w:sz w:val="24"/>
          <w:szCs w:val="24"/>
        </w:rPr>
        <w:t>683</w:t>
      </w:r>
      <w:r w:rsidR="001D3F59" w:rsidRPr="0014270C">
        <w:rPr>
          <w:rFonts w:ascii="Bookman Old Style" w:hAnsi="Bookman Old Style"/>
          <w:noProof/>
          <w:sz w:val="24"/>
          <w:szCs w:val="24"/>
        </w:rPr>
        <w:t xml:space="preserve"> </w:t>
      </w:r>
      <w:r w:rsidRPr="0014270C">
        <w:rPr>
          <w:rFonts w:ascii="Bookman Old Style" w:hAnsi="Bookman Old Style"/>
          <w:noProof/>
          <w:sz w:val="24"/>
          <w:szCs w:val="24"/>
        </w:rPr>
        <w:t>watt</w:t>
      </w:r>
      <w:r w:rsidRPr="0014270C">
        <w:rPr>
          <w:rFonts w:ascii="Bookman Old Style" w:hAnsi="Bookman Old Style"/>
          <w:sz w:val="24"/>
          <w:szCs w:val="24"/>
        </w:rPr>
        <w:t xml:space="preserve"> system cost US$</w:t>
      </w:r>
      <w:r w:rsidR="00C5720B" w:rsidRPr="0014270C">
        <w:rPr>
          <w:rFonts w:ascii="Bookman Old Style" w:hAnsi="Bookman Old Style"/>
          <w:sz w:val="24"/>
          <w:szCs w:val="24"/>
        </w:rPr>
        <w:t>1</w:t>
      </w:r>
      <w:r w:rsidRPr="0014270C">
        <w:rPr>
          <w:rFonts w:ascii="Bookman Old Style" w:hAnsi="Bookman Old Style"/>
          <w:sz w:val="24"/>
          <w:szCs w:val="24"/>
        </w:rPr>
        <w:t>,</w:t>
      </w:r>
      <w:r w:rsidR="00C5720B" w:rsidRPr="0014270C">
        <w:rPr>
          <w:rFonts w:ascii="Bookman Old Style" w:hAnsi="Bookman Old Style"/>
          <w:sz w:val="24"/>
          <w:szCs w:val="24"/>
        </w:rPr>
        <w:t>868</w:t>
      </w:r>
      <w:r w:rsidRPr="0014270C">
        <w:rPr>
          <w:rFonts w:ascii="Bookman Old Style" w:hAnsi="Bookman Old Style"/>
          <w:sz w:val="24"/>
          <w:szCs w:val="24"/>
        </w:rPr>
        <w:t>.</w:t>
      </w:r>
      <w:r w:rsidR="00C5720B" w:rsidRPr="0014270C">
        <w:rPr>
          <w:rFonts w:ascii="Bookman Old Style" w:hAnsi="Bookman Old Style"/>
          <w:sz w:val="24"/>
          <w:szCs w:val="24"/>
        </w:rPr>
        <w:t>13</w:t>
      </w:r>
      <w:r w:rsidRPr="0014270C">
        <w:rPr>
          <w:rFonts w:ascii="Bookman Old Style" w:hAnsi="Bookman Old Style"/>
          <w:sz w:val="24"/>
          <w:szCs w:val="24"/>
        </w:rPr>
        <w:t xml:space="preserve">. </w:t>
      </w:r>
      <w:r w:rsidR="009278DF" w:rsidRPr="0014270C">
        <w:rPr>
          <w:rFonts w:ascii="Bookman Old Style" w:hAnsi="Bookman Old Style"/>
          <w:sz w:val="24"/>
          <w:szCs w:val="24"/>
        </w:rPr>
        <w:t>Relying on electricity from solar power requires a</w:t>
      </w:r>
      <w:r w:rsidR="009278DF" w:rsidRPr="0014270C">
        <w:rPr>
          <w:rFonts w:ascii="Bookman Old Style" w:hAnsi="Bookman Old Style"/>
          <w:noProof/>
          <w:sz w:val="24"/>
          <w:szCs w:val="24"/>
        </w:rPr>
        <w:t xml:space="preserve"> battery</w:t>
      </w:r>
      <w:r w:rsidR="009278DF" w:rsidRPr="0014270C">
        <w:rPr>
          <w:rFonts w:ascii="Bookman Old Style" w:hAnsi="Bookman Old Style"/>
          <w:sz w:val="24"/>
          <w:szCs w:val="24"/>
        </w:rPr>
        <w:t xml:space="preserve"> backup to store for use at night</w:t>
      </w:r>
      <w:r w:rsidR="002C303C" w:rsidRPr="0014270C">
        <w:rPr>
          <w:rFonts w:ascii="Bookman Old Style" w:hAnsi="Bookman Old Style"/>
          <w:sz w:val="24"/>
          <w:szCs w:val="24"/>
        </w:rPr>
        <w:t xml:space="preserve"> or days with cloud cover</w:t>
      </w:r>
      <w:r w:rsidR="009278DF" w:rsidRPr="0014270C">
        <w:rPr>
          <w:rFonts w:ascii="Bookman Old Style" w:hAnsi="Bookman Old Style"/>
          <w:sz w:val="24"/>
          <w:szCs w:val="24"/>
        </w:rPr>
        <w:t>. Given that most US hurricanes impact coastal cities in the Gulf of Mexico or southern Atlantic</w:t>
      </w:r>
      <w:r w:rsidR="009278DF" w:rsidRPr="0014270C">
        <w:rPr>
          <w:rStyle w:val="FootnoteReference"/>
          <w:rFonts w:ascii="Bookman Old Style" w:hAnsi="Bookman Old Style"/>
          <w:sz w:val="24"/>
          <w:szCs w:val="24"/>
        </w:rPr>
        <w:footnoteReference w:id="210"/>
      </w:r>
      <w:r w:rsidR="009278DF" w:rsidRPr="0014270C">
        <w:rPr>
          <w:rFonts w:ascii="Bookman Old Style" w:hAnsi="Bookman Old Style"/>
          <w:sz w:val="24"/>
          <w:szCs w:val="24"/>
        </w:rPr>
        <w:t xml:space="preserve"> where sunlight is abundant, a tiny house for use in this scenario would require a much smaller battery than would one in the north where cloud cover is of more concern (and </w:t>
      </w:r>
      <w:r w:rsidR="009278DF" w:rsidRPr="0014270C">
        <w:rPr>
          <w:rFonts w:ascii="Bookman Old Style" w:hAnsi="Bookman Old Style"/>
          <w:sz w:val="24"/>
          <w:szCs w:val="24"/>
        </w:rPr>
        <w:lastRenderedPageBreak/>
        <w:t>the use of a backup generator may be necessary). New Orleans has an average of 57% possible sunshine,</w:t>
      </w:r>
      <w:r w:rsidR="009278DF" w:rsidRPr="0014270C">
        <w:rPr>
          <w:rStyle w:val="FootnoteReference"/>
          <w:rFonts w:ascii="Bookman Old Style" w:hAnsi="Bookman Old Style"/>
          <w:sz w:val="24"/>
          <w:szCs w:val="24"/>
        </w:rPr>
        <w:footnoteReference w:id="211"/>
      </w:r>
      <w:r w:rsidR="009278DF" w:rsidRPr="0014270C">
        <w:rPr>
          <w:rFonts w:ascii="Bookman Old Style" w:hAnsi="Bookman Old Style"/>
          <w:sz w:val="24"/>
          <w:szCs w:val="24"/>
        </w:rPr>
        <w:t xml:space="preserve"> experiencing 101 clear days, 118 partly cloudy days, and 146 cloudy days for an average of 219 days with sun.</w:t>
      </w:r>
      <w:r w:rsidR="009278DF" w:rsidRPr="0014270C">
        <w:rPr>
          <w:rStyle w:val="FootnoteReference"/>
          <w:rFonts w:ascii="Bookman Old Style" w:hAnsi="Bookman Old Style"/>
          <w:sz w:val="24"/>
          <w:szCs w:val="24"/>
        </w:rPr>
        <w:footnoteReference w:id="212"/>
      </w:r>
      <w:r w:rsidR="009278DF" w:rsidRPr="0014270C">
        <w:rPr>
          <w:rFonts w:ascii="Bookman Old Style" w:hAnsi="Bookman Old Style"/>
          <w:sz w:val="24"/>
          <w:szCs w:val="24"/>
        </w:rPr>
        <w:t xml:space="preserve"> Daylight hours vary throughout the year, though the city experiences an average of 12 hours and eight minutes</w:t>
      </w:r>
      <w:r w:rsidR="00F64ABD" w:rsidRPr="0014270C">
        <w:rPr>
          <w:rFonts w:ascii="Bookman Old Style" w:hAnsi="Bookman Old Style"/>
          <w:sz w:val="24"/>
          <w:szCs w:val="24"/>
        </w:rPr>
        <w:t xml:space="preserve"> daily</w:t>
      </w:r>
      <w:r w:rsidR="009278DF" w:rsidRPr="0014270C">
        <w:rPr>
          <w:rFonts w:ascii="Bookman Old Style" w:hAnsi="Bookman Old Style"/>
          <w:sz w:val="24"/>
          <w:szCs w:val="24"/>
        </w:rPr>
        <w:t>. The longest day is June 21 with 14 hours and five minutes of daylight, while December 21 is the shortest day with 10 hours and 13 minutes.</w:t>
      </w:r>
      <w:r w:rsidR="009278DF" w:rsidRPr="0014270C">
        <w:rPr>
          <w:rStyle w:val="FootnoteReference"/>
          <w:rFonts w:ascii="Bookman Old Style" w:hAnsi="Bookman Old Style"/>
          <w:sz w:val="24"/>
          <w:szCs w:val="24"/>
        </w:rPr>
        <w:footnoteReference w:id="213"/>
      </w:r>
      <w:r w:rsidR="009278DF" w:rsidRPr="0014270C">
        <w:rPr>
          <w:rFonts w:ascii="Bookman Old Style" w:hAnsi="Bookman Old Style"/>
          <w:sz w:val="24"/>
          <w:szCs w:val="24"/>
        </w:rPr>
        <w:t xml:space="preserve"> </w:t>
      </w:r>
      <w:r w:rsidR="00171543" w:rsidRPr="0014270C">
        <w:rPr>
          <w:rFonts w:ascii="Bookman Old Style" w:hAnsi="Bookman Old Style"/>
          <w:sz w:val="24"/>
          <w:szCs w:val="24"/>
        </w:rPr>
        <w:t>A single gel cell battery should p</w:t>
      </w:r>
      <w:r w:rsidR="009278DF" w:rsidRPr="0014270C">
        <w:rPr>
          <w:rFonts w:ascii="Bookman Old Style" w:hAnsi="Bookman Old Style"/>
          <w:sz w:val="24"/>
          <w:szCs w:val="24"/>
        </w:rPr>
        <w:t>rovid</w:t>
      </w:r>
      <w:r w:rsidR="00171543" w:rsidRPr="0014270C">
        <w:rPr>
          <w:rFonts w:ascii="Bookman Old Style" w:hAnsi="Bookman Old Style"/>
          <w:sz w:val="24"/>
          <w:szCs w:val="24"/>
        </w:rPr>
        <w:t>e</w:t>
      </w:r>
      <w:r w:rsidR="005B2131" w:rsidRPr="0014270C">
        <w:rPr>
          <w:rFonts w:ascii="Bookman Old Style" w:hAnsi="Bookman Old Style"/>
          <w:sz w:val="24"/>
          <w:szCs w:val="24"/>
        </w:rPr>
        <w:t xml:space="preserve"> enough of a backup for</w:t>
      </w:r>
      <w:r w:rsidR="009278DF" w:rsidRPr="0014270C">
        <w:rPr>
          <w:rFonts w:ascii="Bookman Old Style" w:hAnsi="Bookman Old Style"/>
          <w:sz w:val="24"/>
          <w:szCs w:val="24"/>
        </w:rPr>
        <w:t xml:space="preserve"> a </w:t>
      </w:r>
      <w:r w:rsidR="005B2131" w:rsidRPr="0014270C">
        <w:rPr>
          <w:rFonts w:ascii="Bookman Old Style" w:hAnsi="Bookman Old Style"/>
          <w:noProof/>
          <w:sz w:val="24"/>
          <w:szCs w:val="24"/>
        </w:rPr>
        <w:t>2</w:t>
      </w:r>
      <w:r w:rsidR="009278DF" w:rsidRPr="0014270C">
        <w:rPr>
          <w:rFonts w:ascii="Bookman Old Style" w:hAnsi="Bookman Old Style"/>
          <w:noProof/>
          <w:sz w:val="24"/>
          <w:szCs w:val="24"/>
        </w:rPr>
        <w:t xml:space="preserve"> </w:t>
      </w:r>
      <w:r w:rsidR="005B2131" w:rsidRPr="0014270C">
        <w:rPr>
          <w:rFonts w:ascii="Bookman Old Style" w:hAnsi="Bookman Old Style"/>
          <w:noProof/>
          <w:sz w:val="24"/>
          <w:szCs w:val="24"/>
        </w:rPr>
        <w:t>kilo</w:t>
      </w:r>
      <w:r w:rsidR="009278DF" w:rsidRPr="0014270C">
        <w:rPr>
          <w:rFonts w:ascii="Bookman Old Style" w:hAnsi="Bookman Old Style"/>
          <w:noProof/>
          <w:sz w:val="24"/>
          <w:szCs w:val="24"/>
        </w:rPr>
        <w:t>watt-hour</w:t>
      </w:r>
      <w:r w:rsidR="009278DF" w:rsidRPr="0014270C">
        <w:rPr>
          <w:rFonts w:ascii="Bookman Old Style" w:hAnsi="Bookman Old Style"/>
          <w:sz w:val="24"/>
          <w:szCs w:val="24"/>
        </w:rPr>
        <w:t xml:space="preserve"> system </w:t>
      </w:r>
      <w:r w:rsidR="001D3039" w:rsidRPr="0014270C">
        <w:rPr>
          <w:rFonts w:ascii="Bookman Old Style" w:hAnsi="Bookman Old Style"/>
          <w:sz w:val="24"/>
          <w:szCs w:val="24"/>
        </w:rPr>
        <w:t>that</w:t>
      </w:r>
      <w:r w:rsidR="009278DF" w:rsidRPr="0014270C">
        <w:rPr>
          <w:rFonts w:ascii="Bookman Old Style" w:hAnsi="Bookman Old Style"/>
          <w:sz w:val="24"/>
          <w:szCs w:val="24"/>
        </w:rPr>
        <w:t xml:space="preserve"> would cost approximately US$</w:t>
      </w:r>
      <w:r w:rsidR="00691E85" w:rsidRPr="0014270C">
        <w:rPr>
          <w:rFonts w:ascii="Bookman Old Style" w:hAnsi="Bookman Old Style"/>
          <w:sz w:val="24"/>
          <w:szCs w:val="24"/>
        </w:rPr>
        <w:t>583</w:t>
      </w:r>
      <w:r w:rsidR="009278DF" w:rsidRPr="0014270C">
        <w:rPr>
          <w:rFonts w:ascii="Bookman Old Style" w:hAnsi="Bookman Old Style"/>
          <w:sz w:val="24"/>
          <w:szCs w:val="24"/>
        </w:rPr>
        <w:t>.</w:t>
      </w:r>
      <w:r w:rsidR="009278DF" w:rsidRPr="0014270C">
        <w:rPr>
          <w:rStyle w:val="FootnoteReference"/>
          <w:rFonts w:ascii="Bookman Old Style" w:hAnsi="Bookman Old Style"/>
          <w:sz w:val="24"/>
          <w:szCs w:val="24"/>
        </w:rPr>
        <w:footnoteReference w:id="214"/>
      </w:r>
      <w:r w:rsidR="009278DF" w:rsidRPr="0014270C">
        <w:rPr>
          <w:rFonts w:ascii="Bookman Old Style" w:hAnsi="Bookman Old Style"/>
          <w:sz w:val="24"/>
          <w:szCs w:val="24"/>
        </w:rPr>
        <w:t xml:space="preserve"> The total initial cost of off-grid energy would be approximately US$</w:t>
      </w:r>
      <w:bookmarkStart w:id="64" w:name="_Hlk3137684"/>
      <w:r w:rsidR="005B4F1B" w:rsidRPr="0014270C">
        <w:rPr>
          <w:rFonts w:ascii="Bookman Old Style" w:hAnsi="Bookman Old Style"/>
          <w:sz w:val="24"/>
          <w:szCs w:val="24"/>
        </w:rPr>
        <w:t>2</w:t>
      </w:r>
      <w:r w:rsidR="009278DF" w:rsidRPr="0014270C">
        <w:rPr>
          <w:rFonts w:ascii="Bookman Old Style" w:hAnsi="Bookman Old Style"/>
          <w:sz w:val="24"/>
          <w:szCs w:val="24"/>
        </w:rPr>
        <w:t>,</w:t>
      </w:r>
      <w:r w:rsidR="005B4F1B" w:rsidRPr="0014270C">
        <w:rPr>
          <w:rFonts w:ascii="Bookman Old Style" w:hAnsi="Bookman Old Style"/>
          <w:sz w:val="24"/>
          <w:szCs w:val="24"/>
        </w:rPr>
        <w:t>451.13</w:t>
      </w:r>
      <w:bookmarkEnd w:id="64"/>
      <w:r w:rsidR="009278DF" w:rsidRPr="0014270C">
        <w:rPr>
          <w:rFonts w:ascii="Bookman Old Style" w:hAnsi="Bookman Old Style"/>
          <w:sz w:val="24"/>
          <w:szCs w:val="24"/>
        </w:rPr>
        <w:t>.</w:t>
      </w:r>
    </w:p>
    <w:p w14:paraId="6F0F6E15" w14:textId="4DE5B844" w:rsidR="00AE46BE" w:rsidRPr="0014270C" w:rsidRDefault="00933414" w:rsidP="0097339E">
      <w:pPr>
        <w:spacing w:line="480" w:lineRule="auto"/>
        <w:ind w:firstLine="720"/>
        <w:rPr>
          <w:rFonts w:ascii="Bookman Old Style" w:hAnsi="Bookman Old Style"/>
          <w:sz w:val="24"/>
          <w:szCs w:val="24"/>
        </w:rPr>
      </w:pPr>
      <w:bookmarkStart w:id="65" w:name="_Toc8062296"/>
      <w:r w:rsidRPr="0014270C">
        <w:rPr>
          <w:rStyle w:val="THESISLVL4Char"/>
        </w:rPr>
        <w:t>Water</w:t>
      </w:r>
      <w:r w:rsidR="00A17785" w:rsidRPr="0014270C">
        <w:rPr>
          <w:rStyle w:val="THESISLVL4Char"/>
        </w:rPr>
        <w:t xml:space="preserve"> retrieval</w:t>
      </w:r>
      <w:bookmarkEnd w:id="65"/>
      <w:r w:rsidR="008B30C5" w:rsidRPr="0014270C">
        <w:rPr>
          <w:rFonts w:ascii="Bookman Old Style" w:hAnsi="Bookman Old Style"/>
          <w:sz w:val="24"/>
          <w:szCs w:val="24"/>
        </w:rPr>
        <w:t xml:space="preserve">. </w:t>
      </w:r>
      <w:r w:rsidR="00F3255B" w:rsidRPr="0014270C">
        <w:rPr>
          <w:rFonts w:ascii="Bookman Old Style" w:hAnsi="Bookman Old Style"/>
          <w:sz w:val="24"/>
          <w:szCs w:val="24"/>
        </w:rPr>
        <w:t>A monthly</w:t>
      </w:r>
      <w:r w:rsidR="0050791C" w:rsidRPr="0014270C">
        <w:rPr>
          <w:rFonts w:ascii="Bookman Old Style" w:hAnsi="Bookman Old Style"/>
          <w:sz w:val="24"/>
          <w:szCs w:val="24"/>
        </w:rPr>
        <w:t xml:space="preserve"> water bill for the average </w:t>
      </w:r>
      <w:r w:rsidR="008F4701" w:rsidRPr="0014270C">
        <w:rPr>
          <w:rFonts w:ascii="Bookman Old Style" w:hAnsi="Bookman Old Style"/>
          <w:sz w:val="24"/>
          <w:szCs w:val="24"/>
        </w:rPr>
        <w:t>New Orleans</w:t>
      </w:r>
      <w:r w:rsidR="0087138C" w:rsidRPr="0014270C">
        <w:rPr>
          <w:rStyle w:val="FootnoteReference"/>
          <w:rFonts w:ascii="Bookman Old Style" w:hAnsi="Bookman Old Style"/>
          <w:sz w:val="24"/>
          <w:szCs w:val="24"/>
        </w:rPr>
        <w:footnoteReference w:id="215"/>
      </w:r>
      <w:r w:rsidR="0087138C" w:rsidRPr="0014270C">
        <w:rPr>
          <w:rFonts w:ascii="Bookman Old Style" w:hAnsi="Bookman Old Style"/>
          <w:sz w:val="24"/>
          <w:szCs w:val="24"/>
        </w:rPr>
        <w:t xml:space="preserve"> </w:t>
      </w:r>
      <w:r w:rsidR="008F4701" w:rsidRPr="0014270C">
        <w:rPr>
          <w:rFonts w:ascii="Bookman Old Style" w:hAnsi="Bookman Old Style"/>
          <w:sz w:val="24"/>
          <w:szCs w:val="24"/>
        </w:rPr>
        <w:t xml:space="preserve"> family</w:t>
      </w:r>
      <w:r w:rsidR="0087138C" w:rsidRPr="0014270C">
        <w:rPr>
          <w:rFonts w:ascii="Bookman Old Style" w:hAnsi="Bookman Old Style"/>
          <w:sz w:val="24"/>
          <w:szCs w:val="24"/>
        </w:rPr>
        <w:t xml:space="preserve"> </w:t>
      </w:r>
      <w:r w:rsidR="008F4701" w:rsidRPr="0014270C">
        <w:rPr>
          <w:rFonts w:ascii="Bookman Old Style" w:hAnsi="Bookman Old Style"/>
          <w:sz w:val="24"/>
          <w:szCs w:val="24"/>
        </w:rPr>
        <w:t>of three</w:t>
      </w:r>
      <w:r w:rsidR="0050791C" w:rsidRPr="0014270C">
        <w:rPr>
          <w:rFonts w:ascii="Bookman Old Style" w:hAnsi="Bookman Old Style"/>
          <w:sz w:val="24"/>
          <w:szCs w:val="24"/>
        </w:rPr>
        <w:t xml:space="preserve"> </w:t>
      </w:r>
      <w:proofErr w:type="gramStart"/>
      <w:r w:rsidR="0050791C" w:rsidRPr="0014270C">
        <w:rPr>
          <w:rFonts w:ascii="Bookman Old Style" w:hAnsi="Bookman Old Style"/>
          <w:sz w:val="24"/>
          <w:szCs w:val="24"/>
        </w:rPr>
        <w:t>is estimated</w:t>
      </w:r>
      <w:proofErr w:type="gramEnd"/>
      <w:r w:rsidR="0050791C" w:rsidRPr="0014270C">
        <w:rPr>
          <w:rFonts w:ascii="Bookman Old Style" w:hAnsi="Bookman Old Style"/>
          <w:sz w:val="24"/>
          <w:szCs w:val="24"/>
        </w:rPr>
        <w:t xml:space="preserve"> to be US$</w:t>
      </w:r>
      <w:r w:rsidR="00AE57A3" w:rsidRPr="0014270C">
        <w:rPr>
          <w:rFonts w:ascii="Bookman Old Style" w:hAnsi="Bookman Old Style"/>
          <w:sz w:val="24"/>
          <w:szCs w:val="24"/>
        </w:rPr>
        <w:t>2</w:t>
      </w:r>
      <w:r w:rsidR="00E57601" w:rsidRPr="0014270C">
        <w:rPr>
          <w:rFonts w:ascii="Bookman Old Style" w:hAnsi="Bookman Old Style"/>
          <w:sz w:val="24"/>
          <w:szCs w:val="24"/>
        </w:rPr>
        <w:t>4.11</w:t>
      </w:r>
      <w:r w:rsidR="00B029BF" w:rsidRPr="0014270C">
        <w:rPr>
          <w:rFonts w:ascii="Bookman Old Style" w:hAnsi="Bookman Old Style"/>
          <w:sz w:val="24"/>
          <w:szCs w:val="24"/>
        </w:rPr>
        <w:t xml:space="preserve">, assuming 23.3 gallons </w:t>
      </w:r>
      <w:r w:rsidR="004C3D96" w:rsidRPr="0014270C">
        <w:rPr>
          <w:rFonts w:ascii="Bookman Old Style" w:hAnsi="Bookman Old Style"/>
          <w:sz w:val="24"/>
          <w:szCs w:val="24"/>
        </w:rPr>
        <w:t xml:space="preserve">(88.2 liters) </w:t>
      </w:r>
      <w:r w:rsidR="00B029BF" w:rsidRPr="0014270C">
        <w:rPr>
          <w:rFonts w:ascii="Bookman Old Style" w:hAnsi="Bookman Old Style"/>
          <w:sz w:val="24"/>
          <w:szCs w:val="24"/>
        </w:rPr>
        <w:t>of water usage from daily activities</w:t>
      </w:r>
      <w:r w:rsidR="009162DA" w:rsidRPr="0014270C">
        <w:rPr>
          <w:rFonts w:ascii="Bookman Old Style" w:hAnsi="Bookman Old Style"/>
          <w:sz w:val="24"/>
          <w:szCs w:val="24"/>
        </w:rPr>
        <w:t xml:space="preserve"> per person</w:t>
      </w:r>
      <w:r w:rsidR="00F3255B" w:rsidRPr="0014270C">
        <w:rPr>
          <w:rFonts w:ascii="Bookman Old Style" w:hAnsi="Bookman Old Style"/>
          <w:sz w:val="24"/>
          <w:szCs w:val="24"/>
        </w:rPr>
        <w:t>,</w:t>
      </w:r>
      <w:r w:rsidR="00AD572F" w:rsidRPr="0014270C">
        <w:rPr>
          <w:rFonts w:ascii="Bookman Old Style" w:hAnsi="Bookman Old Style"/>
          <w:sz w:val="24"/>
          <w:szCs w:val="24"/>
        </w:rPr>
        <w:t xml:space="preserve"> </w:t>
      </w:r>
      <w:r w:rsidR="00F3255B" w:rsidRPr="0014270C">
        <w:rPr>
          <w:rFonts w:ascii="Bookman Old Style" w:hAnsi="Bookman Old Style"/>
          <w:sz w:val="24"/>
          <w:szCs w:val="24"/>
        </w:rPr>
        <w:t xml:space="preserve">which are </w:t>
      </w:r>
      <w:r w:rsidR="00AD572F" w:rsidRPr="0014270C">
        <w:rPr>
          <w:rFonts w:ascii="Bookman Old Style" w:hAnsi="Bookman Old Style"/>
          <w:sz w:val="24"/>
          <w:szCs w:val="24"/>
        </w:rPr>
        <w:t>defined</w:t>
      </w:r>
      <w:r w:rsidR="00F3255B" w:rsidRPr="0014270C">
        <w:rPr>
          <w:rFonts w:ascii="Bookman Old Style" w:hAnsi="Bookman Old Style"/>
          <w:sz w:val="24"/>
          <w:szCs w:val="24"/>
        </w:rPr>
        <w:t xml:space="preserve"> in this methodology. </w:t>
      </w:r>
      <w:r w:rsidR="005C585A" w:rsidRPr="0014270C">
        <w:rPr>
          <w:rFonts w:ascii="Bookman Old Style" w:hAnsi="Bookman Old Style"/>
          <w:sz w:val="24"/>
          <w:szCs w:val="24"/>
        </w:rPr>
        <w:t>Although the cost of a</w:t>
      </w:r>
      <w:r w:rsidR="0047693D" w:rsidRPr="0014270C">
        <w:rPr>
          <w:rFonts w:ascii="Bookman Old Style" w:hAnsi="Bookman Old Style"/>
          <w:sz w:val="24"/>
          <w:szCs w:val="24"/>
        </w:rPr>
        <w:t xml:space="preserve"> residential</w:t>
      </w:r>
      <w:r w:rsidR="005C585A" w:rsidRPr="0014270C">
        <w:rPr>
          <w:rFonts w:ascii="Bookman Old Style" w:hAnsi="Bookman Old Style"/>
          <w:sz w:val="24"/>
          <w:szCs w:val="24"/>
        </w:rPr>
        <w:t xml:space="preserve"> </w:t>
      </w:r>
      <w:r w:rsidR="0089237F" w:rsidRPr="0014270C">
        <w:rPr>
          <w:rFonts w:ascii="Bookman Old Style" w:hAnsi="Bookman Old Style"/>
          <w:sz w:val="24"/>
          <w:szCs w:val="24"/>
        </w:rPr>
        <w:t>net-zero greywater</w:t>
      </w:r>
      <w:r w:rsidR="005C585A" w:rsidRPr="0014270C">
        <w:rPr>
          <w:rFonts w:ascii="Bookman Old Style" w:hAnsi="Bookman Old Style"/>
          <w:sz w:val="24"/>
          <w:szCs w:val="24"/>
        </w:rPr>
        <w:t xml:space="preserve"> reuse </w:t>
      </w:r>
      <w:r w:rsidR="00A245D2" w:rsidRPr="0014270C">
        <w:rPr>
          <w:rFonts w:ascii="Bookman Old Style" w:hAnsi="Bookman Old Style"/>
          <w:sz w:val="24"/>
          <w:szCs w:val="24"/>
        </w:rPr>
        <w:t xml:space="preserve">system </w:t>
      </w:r>
      <w:r w:rsidR="0047693D" w:rsidRPr="0014270C">
        <w:rPr>
          <w:rFonts w:ascii="Bookman Old Style" w:hAnsi="Bookman Old Style"/>
          <w:sz w:val="24"/>
          <w:szCs w:val="24"/>
        </w:rPr>
        <w:t>is una</w:t>
      </w:r>
      <w:r w:rsidR="00020317" w:rsidRPr="0014270C">
        <w:rPr>
          <w:rFonts w:ascii="Bookman Old Style" w:hAnsi="Bookman Old Style"/>
          <w:sz w:val="24"/>
          <w:szCs w:val="24"/>
        </w:rPr>
        <w:t>ble to be attained</w:t>
      </w:r>
      <w:r w:rsidR="0047693D" w:rsidRPr="0014270C">
        <w:rPr>
          <w:rFonts w:ascii="Bookman Old Style" w:hAnsi="Bookman Old Style"/>
          <w:sz w:val="24"/>
          <w:szCs w:val="24"/>
        </w:rPr>
        <w:t>,</w:t>
      </w:r>
      <w:r w:rsidR="00F15AFF" w:rsidRPr="0014270C">
        <w:rPr>
          <w:rFonts w:ascii="Bookman Old Style" w:hAnsi="Bookman Old Style"/>
          <w:sz w:val="24"/>
          <w:szCs w:val="24"/>
        </w:rPr>
        <w:t xml:space="preserve"> </w:t>
      </w:r>
      <w:r w:rsidR="007215C7" w:rsidRPr="0014270C">
        <w:rPr>
          <w:rFonts w:ascii="Bookman Old Style" w:hAnsi="Bookman Old Style"/>
          <w:sz w:val="24"/>
          <w:szCs w:val="24"/>
        </w:rPr>
        <w:t>the Orbital Systems</w:t>
      </w:r>
      <w:r w:rsidR="00C007AD" w:rsidRPr="0014270C">
        <w:rPr>
          <w:rFonts w:ascii="Bookman Old Style" w:hAnsi="Bookman Old Style"/>
          <w:sz w:val="24"/>
          <w:szCs w:val="24"/>
        </w:rPr>
        <w:t xml:space="preserve"> closed-loop</w:t>
      </w:r>
      <w:r w:rsidR="000B3896" w:rsidRPr="0014270C">
        <w:rPr>
          <w:rFonts w:ascii="Bookman Old Style" w:hAnsi="Bookman Old Style"/>
          <w:sz w:val="24"/>
          <w:szCs w:val="24"/>
        </w:rPr>
        <w:t xml:space="preserve"> shower</w:t>
      </w:r>
      <w:r w:rsidR="00BE20DA" w:rsidRPr="0014270C">
        <w:rPr>
          <w:rFonts w:ascii="Bookman Old Style" w:hAnsi="Bookman Old Style"/>
          <w:sz w:val="24"/>
          <w:szCs w:val="24"/>
        </w:rPr>
        <w:t>,</w:t>
      </w:r>
      <w:r w:rsidR="00F15AFF" w:rsidRPr="0014270C">
        <w:rPr>
          <w:rFonts w:ascii="Bookman Old Style" w:hAnsi="Bookman Old Style"/>
          <w:sz w:val="24"/>
          <w:szCs w:val="24"/>
        </w:rPr>
        <w:t xml:space="preserve"> which uses the same technology that would be </w:t>
      </w:r>
      <w:r w:rsidR="00BE20DA" w:rsidRPr="0014270C">
        <w:rPr>
          <w:rFonts w:ascii="Bookman Old Style" w:hAnsi="Bookman Old Style"/>
          <w:sz w:val="24"/>
          <w:szCs w:val="24"/>
        </w:rPr>
        <w:t>needed to treat and reuse water in a tiny house,</w:t>
      </w:r>
      <w:r w:rsidR="000B3896" w:rsidRPr="0014270C">
        <w:rPr>
          <w:rFonts w:ascii="Bookman Old Style" w:hAnsi="Bookman Old Style"/>
          <w:sz w:val="24"/>
          <w:szCs w:val="24"/>
        </w:rPr>
        <w:t xml:space="preserve"> was found to </w:t>
      </w:r>
      <w:r w:rsidR="004E184F" w:rsidRPr="0014270C">
        <w:rPr>
          <w:rFonts w:ascii="Bookman Old Style" w:hAnsi="Bookman Old Style"/>
          <w:sz w:val="24"/>
          <w:szCs w:val="24"/>
        </w:rPr>
        <w:t xml:space="preserve">cost approximately </w:t>
      </w:r>
      <w:r w:rsidR="000B3896" w:rsidRPr="0014270C">
        <w:rPr>
          <w:rFonts w:ascii="Bookman Old Style" w:hAnsi="Bookman Old Style"/>
          <w:sz w:val="24"/>
          <w:szCs w:val="24"/>
        </w:rPr>
        <w:t>US$5,900.</w:t>
      </w:r>
      <w:r w:rsidR="00750D4E" w:rsidRPr="0014270C">
        <w:rPr>
          <w:rStyle w:val="FootnoteReference"/>
          <w:rFonts w:ascii="Bookman Old Style" w:hAnsi="Bookman Old Style"/>
          <w:sz w:val="24"/>
          <w:szCs w:val="24"/>
        </w:rPr>
        <w:footnoteReference w:id="216"/>
      </w:r>
      <w:r w:rsidR="000B3896" w:rsidRPr="0014270C">
        <w:rPr>
          <w:rFonts w:ascii="Bookman Old Style" w:hAnsi="Bookman Old Style"/>
          <w:sz w:val="24"/>
          <w:szCs w:val="24"/>
        </w:rPr>
        <w:t xml:space="preserve"> </w:t>
      </w:r>
      <w:r w:rsidR="007E3EE9" w:rsidRPr="0014270C">
        <w:rPr>
          <w:rFonts w:ascii="Bookman Old Style" w:hAnsi="Bookman Old Style"/>
          <w:sz w:val="24"/>
          <w:szCs w:val="24"/>
        </w:rPr>
        <w:t>From th</w:t>
      </w:r>
      <w:r w:rsidR="00BE20DA" w:rsidRPr="0014270C">
        <w:rPr>
          <w:rFonts w:ascii="Bookman Old Style" w:hAnsi="Bookman Old Style"/>
          <w:sz w:val="24"/>
          <w:szCs w:val="24"/>
        </w:rPr>
        <w:t xml:space="preserve">is </w:t>
      </w:r>
      <w:r w:rsidR="00750D4E" w:rsidRPr="0014270C">
        <w:rPr>
          <w:rFonts w:ascii="Bookman Old Style" w:hAnsi="Bookman Old Style"/>
          <w:sz w:val="24"/>
          <w:szCs w:val="24"/>
        </w:rPr>
        <w:t>available</w:t>
      </w:r>
      <w:r w:rsidR="00BE20DA" w:rsidRPr="0014270C">
        <w:rPr>
          <w:rFonts w:ascii="Bookman Old Style" w:hAnsi="Bookman Old Style"/>
          <w:sz w:val="24"/>
          <w:szCs w:val="24"/>
        </w:rPr>
        <w:t xml:space="preserve"> </w:t>
      </w:r>
      <w:r w:rsidR="00750D4E" w:rsidRPr="0014270C">
        <w:rPr>
          <w:rFonts w:ascii="Bookman Old Style" w:hAnsi="Bookman Old Style"/>
          <w:sz w:val="24"/>
          <w:szCs w:val="24"/>
        </w:rPr>
        <w:lastRenderedPageBreak/>
        <w:t>information, it</w:t>
      </w:r>
      <w:r w:rsidR="000B3896" w:rsidRPr="0014270C">
        <w:rPr>
          <w:rFonts w:ascii="Bookman Old Style" w:hAnsi="Bookman Old Style"/>
          <w:sz w:val="24"/>
          <w:szCs w:val="24"/>
        </w:rPr>
        <w:t xml:space="preserve"> is assume</w:t>
      </w:r>
      <w:r w:rsidR="00E54C14" w:rsidRPr="0014270C">
        <w:rPr>
          <w:rFonts w:ascii="Bookman Old Style" w:hAnsi="Bookman Old Style"/>
          <w:sz w:val="24"/>
          <w:szCs w:val="24"/>
        </w:rPr>
        <w:t>d that</w:t>
      </w:r>
      <w:r w:rsidR="000B3896" w:rsidRPr="0014270C">
        <w:rPr>
          <w:rFonts w:ascii="Bookman Old Style" w:hAnsi="Bookman Old Style"/>
          <w:sz w:val="24"/>
          <w:szCs w:val="24"/>
        </w:rPr>
        <w:t xml:space="preserve"> </w:t>
      </w:r>
      <w:r w:rsidR="00CF1705" w:rsidRPr="0014270C">
        <w:rPr>
          <w:rFonts w:ascii="Bookman Old Style" w:hAnsi="Bookman Old Style"/>
          <w:noProof/>
          <w:sz w:val="24"/>
          <w:szCs w:val="24"/>
        </w:rPr>
        <w:t>a NZGW</w:t>
      </w:r>
      <w:r w:rsidR="00CF1705" w:rsidRPr="0014270C">
        <w:rPr>
          <w:rFonts w:ascii="Bookman Old Style" w:hAnsi="Bookman Old Style"/>
          <w:sz w:val="24"/>
          <w:szCs w:val="24"/>
        </w:rPr>
        <w:t xml:space="preserve"> reuse system would </w:t>
      </w:r>
      <w:r w:rsidR="007E3EE9" w:rsidRPr="0014270C">
        <w:rPr>
          <w:rFonts w:ascii="Bookman Old Style" w:hAnsi="Bookman Old Style"/>
          <w:sz w:val="24"/>
          <w:szCs w:val="24"/>
        </w:rPr>
        <w:t>be able to be designed at this price point.</w:t>
      </w:r>
      <w:r w:rsidR="004D428B" w:rsidRPr="0014270C">
        <w:rPr>
          <w:rFonts w:ascii="Bookman Old Style" w:hAnsi="Bookman Old Style"/>
          <w:sz w:val="24"/>
          <w:szCs w:val="24"/>
        </w:rPr>
        <w:t xml:space="preserve"> </w:t>
      </w:r>
      <w:r w:rsidR="006E73B4" w:rsidRPr="0014270C">
        <w:rPr>
          <w:rFonts w:ascii="Bookman Old Style" w:hAnsi="Bookman Old Style"/>
          <w:sz w:val="24"/>
          <w:szCs w:val="24"/>
        </w:rPr>
        <w:t xml:space="preserve">There are no monthly expenses associated with a </w:t>
      </w:r>
      <w:r w:rsidR="004775BA" w:rsidRPr="0014270C">
        <w:rPr>
          <w:rFonts w:ascii="Bookman Old Style" w:hAnsi="Bookman Old Style"/>
          <w:sz w:val="24"/>
          <w:szCs w:val="24"/>
        </w:rPr>
        <w:t xml:space="preserve">greywater recycling system apart from occasional maintenance such as filters, which </w:t>
      </w:r>
      <w:proofErr w:type="gramStart"/>
      <w:r w:rsidR="007E4839" w:rsidRPr="0014270C">
        <w:rPr>
          <w:rFonts w:ascii="Bookman Old Style" w:hAnsi="Bookman Old Style"/>
          <w:sz w:val="24"/>
          <w:szCs w:val="24"/>
        </w:rPr>
        <w:t>are</w:t>
      </w:r>
      <w:r w:rsidR="004775BA" w:rsidRPr="0014270C">
        <w:rPr>
          <w:rFonts w:ascii="Bookman Old Style" w:hAnsi="Bookman Old Style"/>
          <w:sz w:val="24"/>
          <w:szCs w:val="24"/>
        </w:rPr>
        <w:t xml:space="preserve"> not </w:t>
      </w:r>
      <w:r w:rsidR="007E4839" w:rsidRPr="0014270C">
        <w:rPr>
          <w:rFonts w:ascii="Bookman Old Style" w:hAnsi="Bookman Old Style"/>
          <w:sz w:val="24"/>
          <w:szCs w:val="24"/>
        </w:rPr>
        <w:t>included</w:t>
      </w:r>
      <w:proofErr w:type="gramEnd"/>
      <w:r w:rsidR="004775BA" w:rsidRPr="0014270C">
        <w:rPr>
          <w:rFonts w:ascii="Bookman Old Style" w:hAnsi="Bookman Old Style"/>
          <w:sz w:val="24"/>
          <w:szCs w:val="24"/>
        </w:rPr>
        <w:t xml:space="preserve"> in this estimate.</w:t>
      </w:r>
    </w:p>
    <w:p w14:paraId="7519B774" w14:textId="32EE571A" w:rsidR="00567DD7" w:rsidRPr="0014270C" w:rsidRDefault="00B535BC" w:rsidP="00B93546">
      <w:pPr>
        <w:pStyle w:val="THESISLVL3"/>
      </w:pPr>
      <w:bookmarkStart w:id="66" w:name="_Toc8062297"/>
      <w:r w:rsidRPr="0014270C">
        <w:t xml:space="preserve">Environmental </w:t>
      </w:r>
      <w:r w:rsidR="00CA39C2" w:rsidRPr="0014270C">
        <w:t>Dimension</w:t>
      </w:r>
      <w:bookmarkEnd w:id="66"/>
    </w:p>
    <w:p w14:paraId="290D1FCF" w14:textId="4F785444" w:rsidR="00974AF1" w:rsidRPr="0014270C" w:rsidRDefault="00A1672C" w:rsidP="00F33AFE">
      <w:pPr>
        <w:spacing w:line="480" w:lineRule="auto"/>
        <w:ind w:firstLine="720"/>
        <w:rPr>
          <w:rFonts w:ascii="Bookman Old Style" w:hAnsi="Bookman Old Style"/>
          <w:sz w:val="24"/>
          <w:szCs w:val="24"/>
        </w:rPr>
      </w:pPr>
      <w:bookmarkStart w:id="67" w:name="_Toc8062298"/>
      <w:r w:rsidRPr="0014270C">
        <w:rPr>
          <w:rStyle w:val="THESISLVL4Char"/>
        </w:rPr>
        <w:t>Energy</w:t>
      </w:r>
      <w:r w:rsidR="006622B0" w:rsidRPr="0014270C">
        <w:rPr>
          <w:rStyle w:val="THESISLVL4Char"/>
        </w:rPr>
        <w:t xml:space="preserve"> consumption</w:t>
      </w:r>
      <w:bookmarkEnd w:id="67"/>
      <w:r w:rsidRPr="0014270C">
        <w:rPr>
          <w:rFonts w:ascii="Bookman Old Style" w:hAnsi="Bookman Old Style"/>
          <w:sz w:val="24"/>
          <w:szCs w:val="24"/>
        </w:rPr>
        <w:t>.</w:t>
      </w:r>
      <w:r w:rsidR="006622B0" w:rsidRPr="0014270C">
        <w:rPr>
          <w:rFonts w:ascii="Bookman Old Style" w:hAnsi="Bookman Old Style"/>
          <w:sz w:val="24"/>
          <w:szCs w:val="24"/>
        </w:rPr>
        <w:t xml:space="preserve"> </w:t>
      </w:r>
      <w:r w:rsidR="00190CC7" w:rsidRPr="0014270C">
        <w:rPr>
          <w:rFonts w:ascii="Bookman Old Style" w:hAnsi="Bookman Old Style"/>
          <w:sz w:val="24"/>
          <w:szCs w:val="24"/>
        </w:rPr>
        <w:t xml:space="preserve">Using </w:t>
      </w:r>
      <w:r w:rsidR="00AE70CA" w:rsidRPr="0014270C">
        <w:rPr>
          <w:rFonts w:ascii="Bookman Old Style" w:hAnsi="Bookman Old Style"/>
          <w:sz w:val="24"/>
          <w:szCs w:val="24"/>
        </w:rPr>
        <w:t xml:space="preserve">the basic </w:t>
      </w:r>
      <w:r w:rsidR="00190CC7" w:rsidRPr="0014270C">
        <w:rPr>
          <w:rFonts w:ascii="Bookman Old Style" w:hAnsi="Bookman Old Style"/>
          <w:sz w:val="24"/>
          <w:szCs w:val="24"/>
        </w:rPr>
        <w:t>carbon footprint calculator</w:t>
      </w:r>
      <w:r w:rsidR="002E5DB5" w:rsidRPr="0014270C">
        <w:rPr>
          <w:rFonts w:ascii="Bookman Old Style" w:hAnsi="Bookman Old Style"/>
          <w:sz w:val="24"/>
          <w:szCs w:val="24"/>
        </w:rPr>
        <w:t xml:space="preserve"> provided by the Environmental Protection Agency</w:t>
      </w:r>
      <w:r w:rsidR="00190CC7" w:rsidRPr="0014270C">
        <w:rPr>
          <w:rFonts w:ascii="Bookman Old Style" w:hAnsi="Bookman Old Style"/>
          <w:sz w:val="24"/>
          <w:szCs w:val="24"/>
        </w:rPr>
        <w:t xml:space="preserve">, </w:t>
      </w:r>
      <w:r w:rsidR="00F24060" w:rsidRPr="0014270C">
        <w:rPr>
          <w:rFonts w:ascii="Bookman Old Style" w:hAnsi="Bookman Old Style"/>
          <w:sz w:val="24"/>
          <w:szCs w:val="24"/>
        </w:rPr>
        <w:t xml:space="preserve">it was found </w:t>
      </w:r>
      <w:r w:rsidR="00914F49" w:rsidRPr="0014270C">
        <w:rPr>
          <w:rFonts w:ascii="Bookman Old Style" w:hAnsi="Bookman Old Style"/>
          <w:sz w:val="24"/>
          <w:szCs w:val="24"/>
        </w:rPr>
        <w:t xml:space="preserve">that a </w:t>
      </w:r>
      <w:r w:rsidR="00432280" w:rsidRPr="0014270C">
        <w:rPr>
          <w:rFonts w:ascii="Bookman Old Style" w:hAnsi="Bookman Old Style"/>
          <w:sz w:val="24"/>
          <w:szCs w:val="24"/>
        </w:rPr>
        <w:t xml:space="preserve">small </w:t>
      </w:r>
      <w:r w:rsidR="00F522B6" w:rsidRPr="0014270C">
        <w:rPr>
          <w:rFonts w:ascii="Bookman Old Style" w:hAnsi="Bookman Old Style"/>
          <w:sz w:val="24"/>
          <w:szCs w:val="24"/>
        </w:rPr>
        <w:t>household</w:t>
      </w:r>
      <w:r w:rsidR="00DA5A7E" w:rsidRPr="0014270C">
        <w:rPr>
          <w:rFonts w:ascii="Bookman Old Style" w:hAnsi="Bookman Old Style"/>
          <w:sz w:val="24"/>
          <w:szCs w:val="24"/>
        </w:rPr>
        <w:t xml:space="preserve"> in the Lower Ninth Ward in New Orleans</w:t>
      </w:r>
      <w:r w:rsidR="00914F49" w:rsidRPr="0014270C">
        <w:rPr>
          <w:rFonts w:ascii="Bookman Old Style" w:hAnsi="Bookman Old Style"/>
          <w:sz w:val="24"/>
          <w:szCs w:val="24"/>
        </w:rPr>
        <w:t xml:space="preserve"> </w:t>
      </w:r>
      <w:r w:rsidR="00AE70CA" w:rsidRPr="0014270C">
        <w:rPr>
          <w:rFonts w:ascii="Bookman Old Style" w:hAnsi="Bookman Old Style"/>
          <w:sz w:val="24"/>
          <w:szCs w:val="24"/>
        </w:rPr>
        <w:t>spending US$</w:t>
      </w:r>
      <w:r w:rsidR="00681C2A" w:rsidRPr="0014270C">
        <w:rPr>
          <w:rFonts w:ascii="Bookman Old Style" w:hAnsi="Bookman Old Style"/>
          <w:sz w:val="24"/>
          <w:szCs w:val="24"/>
        </w:rPr>
        <w:t>29.20</w:t>
      </w:r>
      <w:r w:rsidR="00AE70CA" w:rsidRPr="0014270C">
        <w:rPr>
          <w:rFonts w:ascii="Bookman Old Style" w:hAnsi="Bookman Old Style"/>
          <w:sz w:val="24"/>
          <w:szCs w:val="24"/>
        </w:rPr>
        <w:t xml:space="preserve"> on electricity</w:t>
      </w:r>
      <w:r w:rsidR="00642F26" w:rsidRPr="0014270C">
        <w:rPr>
          <w:rFonts w:ascii="Bookman Old Style" w:hAnsi="Bookman Old Style"/>
          <w:sz w:val="24"/>
          <w:szCs w:val="24"/>
        </w:rPr>
        <w:t xml:space="preserve"> </w:t>
      </w:r>
      <w:r w:rsidR="00026314" w:rsidRPr="0014270C">
        <w:rPr>
          <w:rFonts w:ascii="Bookman Old Style" w:hAnsi="Bookman Old Style"/>
          <w:sz w:val="24"/>
          <w:szCs w:val="24"/>
        </w:rPr>
        <w:t>produces</w:t>
      </w:r>
      <w:r w:rsidR="00706D84" w:rsidRPr="0014270C">
        <w:rPr>
          <w:rFonts w:ascii="Bookman Old Style" w:hAnsi="Bookman Old Style"/>
          <w:sz w:val="24"/>
          <w:szCs w:val="24"/>
        </w:rPr>
        <w:t xml:space="preserve"> an estimated</w:t>
      </w:r>
      <w:r w:rsidR="00AE70CA" w:rsidRPr="0014270C">
        <w:rPr>
          <w:rFonts w:ascii="Bookman Old Style" w:hAnsi="Bookman Old Style"/>
          <w:sz w:val="24"/>
          <w:szCs w:val="24"/>
        </w:rPr>
        <w:t xml:space="preserve"> </w:t>
      </w:r>
      <w:r w:rsidR="00681C2A" w:rsidRPr="0014270C">
        <w:rPr>
          <w:rFonts w:ascii="Bookman Old Style" w:hAnsi="Bookman Old Style"/>
          <w:sz w:val="24"/>
          <w:szCs w:val="24"/>
        </w:rPr>
        <w:t>3</w:t>
      </w:r>
      <w:r w:rsidR="00AE70CA" w:rsidRPr="0014270C">
        <w:rPr>
          <w:rFonts w:ascii="Bookman Old Style" w:hAnsi="Bookman Old Style"/>
          <w:sz w:val="24"/>
          <w:szCs w:val="24"/>
        </w:rPr>
        <w:t>,</w:t>
      </w:r>
      <w:r w:rsidR="00681C2A" w:rsidRPr="0014270C">
        <w:rPr>
          <w:rFonts w:ascii="Bookman Old Style" w:hAnsi="Bookman Old Style"/>
          <w:sz w:val="24"/>
          <w:szCs w:val="24"/>
        </w:rPr>
        <w:t>049</w:t>
      </w:r>
      <w:r w:rsidR="00AE70CA" w:rsidRPr="0014270C">
        <w:rPr>
          <w:rFonts w:ascii="Bookman Old Style" w:hAnsi="Bookman Old Style"/>
          <w:sz w:val="24"/>
          <w:szCs w:val="24"/>
        </w:rPr>
        <w:t xml:space="preserve"> </w:t>
      </w:r>
      <w:proofErr w:type="spellStart"/>
      <w:r w:rsidR="00026314" w:rsidRPr="0014270C">
        <w:rPr>
          <w:rFonts w:ascii="Bookman Old Style" w:hAnsi="Bookman Old Style"/>
          <w:sz w:val="24"/>
          <w:szCs w:val="24"/>
        </w:rPr>
        <w:t>lbs</w:t>
      </w:r>
      <w:proofErr w:type="spellEnd"/>
      <w:r w:rsidR="00026314" w:rsidRPr="0014270C">
        <w:rPr>
          <w:rFonts w:ascii="Bookman Old Style" w:hAnsi="Bookman Old Style"/>
          <w:sz w:val="24"/>
          <w:szCs w:val="24"/>
        </w:rPr>
        <w:t xml:space="preserve"> </w:t>
      </w:r>
      <w:r w:rsidR="006F0DAC" w:rsidRPr="0014270C">
        <w:rPr>
          <w:rFonts w:ascii="Bookman Old Style" w:hAnsi="Bookman Old Style"/>
          <w:sz w:val="24"/>
          <w:szCs w:val="24"/>
        </w:rPr>
        <w:t xml:space="preserve">(1.4 metric tons) </w:t>
      </w:r>
      <w:r w:rsidR="00026314" w:rsidRPr="0014270C">
        <w:rPr>
          <w:rFonts w:ascii="Bookman Old Style" w:hAnsi="Bookman Old Style"/>
          <w:sz w:val="24"/>
          <w:szCs w:val="24"/>
        </w:rPr>
        <w:t>of</w:t>
      </w:r>
      <w:r w:rsidR="00393EDA" w:rsidRPr="0014270C">
        <w:rPr>
          <w:rFonts w:ascii="Bookman Old Style" w:hAnsi="Bookman Old Style"/>
          <w:sz w:val="24"/>
          <w:szCs w:val="24"/>
        </w:rPr>
        <w:t xml:space="preserve"> CO</w:t>
      </w:r>
      <w:r w:rsidR="00393EDA" w:rsidRPr="0014270C">
        <w:rPr>
          <w:rFonts w:ascii="Bookman Old Style" w:hAnsi="Bookman Old Style"/>
          <w:sz w:val="24"/>
          <w:szCs w:val="24"/>
          <w:vertAlign w:val="subscript"/>
        </w:rPr>
        <w:t>2</w:t>
      </w:r>
      <w:r w:rsidR="00393EDA" w:rsidRPr="0014270C">
        <w:rPr>
          <w:rFonts w:ascii="Bookman Old Style" w:hAnsi="Bookman Old Style"/>
          <w:sz w:val="24"/>
          <w:szCs w:val="24"/>
        </w:rPr>
        <w:t xml:space="preserve"> </w:t>
      </w:r>
      <w:r w:rsidR="00026314" w:rsidRPr="0014270C">
        <w:rPr>
          <w:rFonts w:ascii="Bookman Old Style" w:hAnsi="Bookman Old Style"/>
          <w:sz w:val="24"/>
          <w:szCs w:val="24"/>
        </w:rPr>
        <w:t>annually</w:t>
      </w:r>
      <w:r w:rsidR="00AE70CA" w:rsidRPr="0014270C">
        <w:rPr>
          <w:rFonts w:ascii="Bookman Old Style" w:hAnsi="Bookman Old Style"/>
          <w:sz w:val="24"/>
          <w:szCs w:val="24"/>
        </w:rPr>
        <w:t>.</w:t>
      </w:r>
      <w:r w:rsidR="00C270D8" w:rsidRPr="0014270C">
        <w:rPr>
          <w:rStyle w:val="FootnoteReference"/>
          <w:rFonts w:ascii="Bookman Old Style" w:hAnsi="Bookman Old Style"/>
          <w:sz w:val="24"/>
          <w:szCs w:val="24"/>
        </w:rPr>
        <w:footnoteReference w:id="217"/>
      </w:r>
      <w:r w:rsidR="00F33AFE" w:rsidRPr="0014270C">
        <w:rPr>
          <w:rFonts w:ascii="Bookman Old Style" w:hAnsi="Bookman Old Style"/>
          <w:sz w:val="24"/>
          <w:szCs w:val="24"/>
        </w:rPr>
        <w:t xml:space="preserve"> </w:t>
      </w:r>
      <w:r w:rsidR="00974AF1" w:rsidRPr="0014270C">
        <w:rPr>
          <w:rFonts w:ascii="Bookman Old Style" w:hAnsi="Bookman Old Style"/>
          <w:sz w:val="24"/>
          <w:szCs w:val="24"/>
        </w:rPr>
        <w:t xml:space="preserve">It is agreed that the average tiny house produces an estimated 2,000 </w:t>
      </w:r>
      <w:proofErr w:type="spellStart"/>
      <w:r w:rsidR="00974AF1" w:rsidRPr="0014270C">
        <w:rPr>
          <w:rFonts w:ascii="Bookman Old Style" w:hAnsi="Bookman Old Style"/>
          <w:sz w:val="24"/>
          <w:szCs w:val="24"/>
        </w:rPr>
        <w:t>lbs</w:t>
      </w:r>
      <w:proofErr w:type="spellEnd"/>
      <w:r w:rsidR="00974AF1" w:rsidRPr="0014270C">
        <w:rPr>
          <w:rFonts w:ascii="Bookman Old Style" w:hAnsi="Bookman Old Style"/>
          <w:sz w:val="24"/>
          <w:szCs w:val="24"/>
        </w:rPr>
        <w:t xml:space="preserve"> (0.9 metric tons) of CO</w:t>
      </w:r>
      <w:r w:rsidR="00974AF1" w:rsidRPr="0014270C">
        <w:rPr>
          <w:rFonts w:ascii="Bookman Old Style" w:hAnsi="Bookman Old Style"/>
          <w:sz w:val="24"/>
          <w:szCs w:val="24"/>
          <w:vertAlign w:val="subscript"/>
        </w:rPr>
        <w:t>2</w:t>
      </w:r>
      <w:r w:rsidR="00974AF1" w:rsidRPr="0014270C">
        <w:rPr>
          <w:rFonts w:ascii="Bookman Old Style" w:hAnsi="Bookman Old Style"/>
          <w:sz w:val="24"/>
          <w:szCs w:val="24"/>
        </w:rPr>
        <w:t xml:space="preserve"> annually: 1,144 </w:t>
      </w:r>
      <w:proofErr w:type="spellStart"/>
      <w:r w:rsidR="00974AF1" w:rsidRPr="0014270C">
        <w:rPr>
          <w:rFonts w:ascii="Bookman Old Style" w:hAnsi="Bookman Old Style"/>
          <w:sz w:val="24"/>
          <w:szCs w:val="24"/>
        </w:rPr>
        <w:t>lbs</w:t>
      </w:r>
      <w:proofErr w:type="spellEnd"/>
      <w:r w:rsidR="00974AF1" w:rsidRPr="0014270C">
        <w:rPr>
          <w:rFonts w:ascii="Bookman Old Style" w:hAnsi="Bookman Old Style"/>
          <w:sz w:val="24"/>
          <w:szCs w:val="24"/>
        </w:rPr>
        <w:t xml:space="preserve"> (0.52 metric tons) from electricity, 558 </w:t>
      </w:r>
      <w:proofErr w:type="spellStart"/>
      <w:r w:rsidR="00974AF1" w:rsidRPr="0014270C">
        <w:rPr>
          <w:rFonts w:ascii="Bookman Old Style" w:hAnsi="Bookman Old Style"/>
          <w:sz w:val="24"/>
          <w:szCs w:val="24"/>
        </w:rPr>
        <w:t>lbs</w:t>
      </w:r>
      <w:proofErr w:type="spellEnd"/>
      <w:r w:rsidR="00974AF1" w:rsidRPr="0014270C">
        <w:rPr>
          <w:rFonts w:ascii="Bookman Old Style" w:hAnsi="Bookman Old Style"/>
          <w:sz w:val="24"/>
          <w:szCs w:val="24"/>
        </w:rPr>
        <w:t xml:space="preserve"> (0.25 metric tons) from heating, and 286 </w:t>
      </w:r>
      <w:proofErr w:type="spellStart"/>
      <w:r w:rsidR="00974AF1" w:rsidRPr="0014270C">
        <w:rPr>
          <w:rFonts w:ascii="Bookman Old Style" w:hAnsi="Bookman Old Style"/>
          <w:sz w:val="24"/>
          <w:szCs w:val="24"/>
        </w:rPr>
        <w:t>lbs</w:t>
      </w:r>
      <w:proofErr w:type="spellEnd"/>
      <w:r w:rsidR="00974AF1" w:rsidRPr="0014270C">
        <w:rPr>
          <w:rFonts w:ascii="Bookman Old Style" w:hAnsi="Bookman Old Style"/>
          <w:sz w:val="24"/>
          <w:szCs w:val="24"/>
        </w:rPr>
        <w:t xml:space="preserve"> (0.13 metric tons) from cooling.</w:t>
      </w:r>
      <w:r w:rsidR="00974AF1" w:rsidRPr="0014270C">
        <w:rPr>
          <w:rStyle w:val="FootnoteReference"/>
          <w:rFonts w:ascii="Bookman Old Style" w:hAnsi="Bookman Old Style"/>
          <w:sz w:val="24"/>
          <w:szCs w:val="24"/>
        </w:rPr>
        <w:footnoteReference w:id="218"/>
      </w:r>
      <w:r w:rsidR="00974AF1" w:rsidRPr="0014270C">
        <w:rPr>
          <w:rFonts w:ascii="Bookman Old Style" w:hAnsi="Bookman Old Style"/>
          <w:sz w:val="24"/>
          <w:szCs w:val="24"/>
        </w:rPr>
        <w:t xml:space="preserve"> </w:t>
      </w:r>
      <w:r w:rsidR="00974AF1" w:rsidRPr="0014270C">
        <w:rPr>
          <w:rStyle w:val="FootnoteReference"/>
          <w:rFonts w:ascii="Bookman Old Style" w:hAnsi="Bookman Old Style"/>
          <w:sz w:val="24"/>
          <w:szCs w:val="24"/>
        </w:rPr>
        <w:footnoteReference w:id="219"/>
      </w:r>
      <w:r w:rsidR="00974AF1" w:rsidRPr="0014270C">
        <w:rPr>
          <w:rFonts w:ascii="Bookman Old Style" w:hAnsi="Bookman Old Style"/>
          <w:sz w:val="24"/>
          <w:szCs w:val="24"/>
        </w:rPr>
        <w:t xml:space="preserve"> </w:t>
      </w:r>
      <w:r w:rsidR="00974AF1" w:rsidRPr="0014270C">
        <w:rPr>
          <w:rStyle w:val="FootnoteReference"/>
          <w:rFonts w:ascii="Bookman Old Style" w:hAnsi="Bookman Old Style"/>
          <w:sz w:val="24"/>
          <w:szCs w:val="24"/>
        </w:rPr>
        <w:footnoteReference w:id="220"/>
      </w:r>
      <w:r w:rsidR="00E75779" w:rsidRPr="0014270C">
        <w:rPr>
          <w:rFonts w:ascii="Bookman Old Style" w:hAnsi="Bookman Old Style"/>
          <w:sz w:val="24"/>
          <w:szCs w:val="24"/>
        </w:rPr>
        <w:t xml:space="preserve"> However, u</w:t>
      </w:r>
      <w:r w:rsidR="00974AF1" w:rsidRPr="0014270C">
        <w:rPr>
          <w:rFonts w:ascii="Bookman Old Style" w:hAnsi="Bookman Old Style"/>
          <w:sz w:val="24"/>
          <w:szCs w:val="24"/>
        </w:rPr>
        <w:t xml:space="preserve">sing off-grid </w:t>
      </w:r>
      <w:r w:rsidR="00C270D8" w:rsidRPr="0014270C">
        <w:rPr>
          <w:rFonts w:ascii="Bookman Old Style" w:hAnsi="Bookman Old Style"/>
          <w:sz w:val="24"/>
          <w:szCs w:val="24"/>
        </w:rPr>
        <w:t xml:space="preserve">and passive </w:t>
      </w:r>
      <w:r w:rsidR="00974AF1" w:rsidRPr="0014270C">
        <w:rPr>
          <w:rFonts w:ascii="Bookman Old Style" w:hAnsi="Bookman Old Style"/>
          <w:sz w:val="24"/>
          <w:szCs w:val="24"/>
        </w:rPr>
        <w:t>technologies, carbon emissions generated by</w:t>
      </w:r>
      <w:r w:rsidR="00DB7826" w:rsidRPr="0014270C">
        <w:rPr>
          <w:rFonts w:ascii="Bookman Old Style" w:hAnsi="Bookman Old Style"/>
          <w:sz w:val="24"/>
          <w:szCs w:val="24"/>
        </w:rPr>
        <w:t xml:space="preserve"> </w:t>
      </w:r>
      <w:r w:rsidR="00785116" w:rsidRPr="0014270C">
        <w:rPr>
          <w:rFonts w:ascii="Bookman Old Style" w:hAnsi="Bookman Old Style"/>
          <w:sz w:val="24"/>
          <w:szCs w:val="24"/>
        </w:rPr>
        <w:t>energy demand</w:t>
      </w:r>
      <w:r w:rsidR="00974AF1" w:rsidRPr="0014270C">
        <w:rPr>
          <w:rFonts w:ascii="Bookman Old Style" w:hAnsi="Bookman Old Style"/>
          <w:sz w:val="24"/>
          <w:szCs w:val="24"/>
        </w:rPr>
        <w:t xml:space="preserve"> can be negated entirely.</w:t>
      </w:r>
    </w:p>
    <w:p w14:paraId="69E5C60A" w14:textId="3BFCB010" w:rsidR="001A4BB5" w:rsidRPr="0014270C" w:rsidRDefault="00352CD0" w:rsidP="00604DF8">
      <w:pPr>
        <w:spacing w:line="480" w:lineRule="auto"/>
        <w:ind w:firstLine="720"/>
        <w:rPr>
          <w:rFonts w:ascii="Bookman Old Style" w:hAnsi="Bookman Old Style"/>
          <w:sz w:val="24"/>
          <w:szCs w:val="24"/>
        </w:rPr>
      </w:pPr>
      <w:bookmarkStart w:id="68" w:name="_Toc8062299"/>
      <w:r w:rsidRPr="0014270C">
        <w:rPr>
          <w:rStyle w:val="THESISLVL4Char"/>
        </w:rPr>
        <w:t>Water consumption</w:t>
      </w:r>
      <w:bookmarkEnd w:id="68"/>
      <w:r w:rsidRPr="0014270C">
        <w:rPr>
          <w:rFonts w:ascii="Bookman Old Style" w:hAnsi="Bookman Old Style"/>
          <w:sz w:val="24"/>
          <w:szCs w:val="24"/>
        </w:rPr>
        <w:t xml:space="preserve">. </w:t>
      </w:r>
      <w:r w:rsidR="00632725" w:rsidRPr="0014270C">
        <w:rPr>
          <w:rFonts w:ascii="Bookman Old Style" w:hAnsi="Bookman Old Style"/>
          <w:sz w:val="24"/>
          <w:szCs w:val="24"/>
        </w:rPr>
        <w:t xml:space="preserve">The recommended water intake according to WebMD is between half of one ounce and one ounce per each pound of body weight. According to the CDC, an average male living in the US weighs approximately 195.7 </w:t>
      </w:r>
      <w:proofErr w:type="spellStart"/>
      <w:r w:rsidR="00632725" w:rsidRPr="0014270C">
        <w:rPr>
          <w:rFonts w:ascii="Bookman Old Style" w:hAnsi="Bookman Old Style"/>
          <w:sz w:val="24"/>
          <w:szCs w:val="24"/>
        </w:rPr>
        <w:t>lbs</w:t>
      </w:r>
      <w:proofErr w:type="spellEnd"/>
      <w:r w:rsidR="00632725" w:rsidRPr="0014270C">
        <w:rPr>
          <w:rFonts w:ascii="Bookman Old Style" w:hAnsi="Bookman Old Style"/>
          <w:sz w:val="24"/>
          <w:szCs w:val="24"/>
        </w:rPr>
        <w:t xml:space="preserve"> </w:t>
      </w:r>
      <w:r w:rsidR="00406C18" w:rsidRPr="0014270C">
        <w:rPr>
          <w:rFonts w:ascii="Bookman Old Style" w:hAnsi="Bookman Old Style"/>
          <w:sz w:val="24"/>
          <w:szCs w:val="24"/>
        </w:rPr>
        <w:t xml:space="preserve">(88.8 kilograms) </w:t>
      </w:r>
      <w:r w:rsidR="00632725" w:rsidRPr="0014270C">
        <w:rPr>
          <w:rFonts w:ascii="Bookman Old Style" w:hAnsi="Bookman Old Style"/>
          <w:sz w:val="24"/>
          <w:szCs w:val="24"/>
        </w:rPr>
        <w:t xml:space="preserve">and would need between 97.5 and </w:t>
      </w:r>
      <w:r w:rsidR="00632725" w:rsidRPr="0014270C">
        <w:rPr>
          <w:rFonts w:ascii="Bookman Old Style" w:hAnsi="Bookman Old Style"/>
          <w:sz w:val="24"/>
          <w:szCs w:val="24"/>
        </w:rPr>
        <w:lastRenderedPageBreak/>
        <w:t xml:space="preserve">195.7 ounces </w:t>
      </w:r>
      <w:r w:rsidR="00AF366E" w:rsidRPr="0014270C">
        <w:rPr>
          <w:rFonts w:ascii="Bookman Old Style" w:hAnsi="Bookman Old Style"/>
          <w:sz w:val="24"/>
          <w:szCs w:val="24"/>
        </w:rPr>
        <w:t>(</w:t>
      </w:r>
      <w:r w:rsidR="00883C51" w:rsidRPr="0014270C">
        <w:rPr>
          <w:rFonts w:ascii="Bookman Old Style" w:hAnsi="Bookman Old Style"/>
          <w:sz w:val="24"/>
          <w:szCs w:val="24"/>
        </w:rPr>
        <w:t xml:space="preserve">2.9-5.8 liters) </w:t>
      </w:r>
      <w:r w:rsidR="00632725" w:rsidRPr="0014270C">
        <w:rPr>
          <w:rFonts w:ascii="Bookman Old Style" w:hAnsi="Bookman Old Style"/>
          <w:sz w:val="24"/>
          <w:szCs w:val="24"/>
        </w:rPr>
        <w:t xml:space="preserve">of water, an average of 146.6 ounces </w:t>
      </w:r>
      <w:r w:rsidR="00A73D39" w:rsidRPr="0014270C">
        <w:rPr>
          <w:rFonts w:ascii="Bookman Old Style" w:hAnsi="Bookman Old Style"/>
          <w:sz w:val="24"/>
          <w:szCs w:val="24"/>
        </w:rPr>
        <w:t xml:space="preserve">(4.3 liters) </w:t>
      </w:r>
      <w:r w:rsidR="00632725" w:rsidRPr="0014270C">
        <w:rPr>
          <w:rFonts w:ascii="Bookman Old Style" w:hAnsi="Bookman Old Style"/>
          <w:sz w:val="24"/>
          <w:szCs w:val="24"/>
        </w:rPr>
        <w:t>per day.</w:t>
      </w:r>
      <w:r w:rsidR="00E0195B" w:rsidRPr="0014270C">
        <w:rPr>
          <w:rFonts w:ascii="Bookman Old Style" w:hAnsi="Bookman Old Style"/>
          <w:sz w:val="24"/>
          <w:szCs w:val="24"/>
        </w:rPr>
        <w:t xml:space="preserve"> </w:t>
      </w:r>
      <w:r w:rsidR="00632725" w:rsidRPr="0014270C">
        <w:rPr>
          <w:rFonts w:ascii="Bookman Old Style" w:hAnsi="Bookman Old Style"/>
          <w:sz w:val="24"/>
          <w:szCs w:val="24"/>
        </w:rPr>
        <w:t xml:space="preserve">An average female living in the US weighs approximately 168.5 </w:t>
      </w:r>
      <w:proofErr w:type="spellStart"/>
      <w:r w:rsidR="00632725" w:rsidRPr="0014270C">
        <w:rPr>
          <w:rFonts w:ascii="Bookman Old Style" w:hAnsi="Bookman Old Style"/>
          <w:sz w:val="24"/>
          <w:szCs w:val="24"/>
        </w:rPr>
        <w:t>lbs</w:t>
      </w:r>
      <w:proofErr w:type="spellEnd"/>
      <w:r w:rsidR="00632725" w:rsidRPr="0014270C">
        <w:rPr>
          <w:rFonts w:ascii="Bookman Old Style" w:hAnsi="Bookman Old Style"/>
          <w:sz w:val="24"/>
          <w:szCs w:val="24"/>
        </w:rPr>
        <w:t xml:space="preserve"> </w:t>
      </w:r>
      <w:r w:rsidR="00F148F7" w:rsidRPr="0014270C">
        <w:rPr>
          <w:rFonts w:ascii="Bookman Old Style" w:hAnsi="Bookman Old Style"/>
          <w:sz w:val="24"/>
          <w:szCs w:val="24"/>
        </w:rPr>
        <w:t xml:space="preserve">(76.4 kilograms) </w:t>
      </w:r>
      <w:r w:rsidR="00632725" w:rsidRPr="0014270C">
        <w:rPr>
          <w:rFonts w:ascii="Bookman Old Style" w:hAnsi="Bookman Old Style"/>
          <w:sz w:val="24"/>
          <w:szCs w:val="24"/>
        </w:rPr>
        <w:t>and would need between 84.</w:t>
      </w:r>
      <w:r w:rsidR="0071767C" w:rsidRPr="0014270C">
        <w:rPr>
          <w:rFonts w:ascii="Bookman Old Style" w:hAnsi="Bookman Old Style"/>
          <w:sz w:val="24"/>
          <w:szCs w:val="24"/>
        </w:rPr>
        <w:t>3</w:t>
      </w:r>
      <w:r w:rsidR="00632725" w:rsidRPr="0014270C">
        <w:rPr>
          <w:rFonts w:ascii="Bookman Old Style" w:hAnsi="Bookman Old Style"/>
          <w:sz w:val="24"/>
          <w:szCs w:val="24"/>
        </w:rPr>
        <w:t xml:space="preserve"> and 168.5 ounces </w:t>
      </w:r>
      <w:r w:rsidR="00240AF4" w:rsidRPr="0014270C">
        <w:rPr>
          <w:rFonts w:ascii="Bookman Old Style" w:hAnsi="Bookman Old Style"/>
          <w:sz w:val="24"/>
          <w:szCs w:val="24"/>
        </w:rPr>
        <w:t xml:space="preserve">(2.5-5 liters) </w:t>
      </w:r>
      <w:r w:rsidR="00632725" w:rsidRPr="0014270C">
        <w:rPr>
          <w:rFonts w:ascii="Bookman Old Style" w:hAnsi="Bookman Old Style"/>
          <w:sz w:val="24"/>
          <w:szCs w:val="24"/>
        </w:rPr>
        <w:t>of water, an average of 126.</w:t>
      </w:r>
      <w:r w:rsidR="0071767C" w:rsidRPr="0014270C">
        <w:rPr>
          <w:rFonts w:ascii="Bookman Old Style" w:hAnsi="Bookman Old Style"/>
          <w:sz w:val="24"/>
          <w:szCs w:val="24"/>
        </w:rPr>
        <w:t>4</w:t>
      </w:r>
      <w:r w:rsidR="00632725" w:rsidRPr="0014270C">
        <w:rPr>
          <w:rFonts w:ascii="Bookman Old Style" w:hAnsi="Bookman Old Style"/>
          <w:sz w:val="24"/>
          <w:szCs w:val="24"/>
        </w:rPr>
        <w:t xml:space="preserve"> ounces </w:t>
      </w:r>
      <w:r w:rsidR="003C2DE1" w:rsidRPr="0014270C">
        <w:rPr>
          <w:rFonts w:ascii="Bookman Old Style" w:hAnsi="Bookman Old Style"/>
          <w:sz w:val="24"/>
          <w:szCs w:val="24"/>
        </w:rPr>
        <w:t xml:space="preserve">(3.7 liters) </w:t>
      </w:r>
      <w:r w:rsidR="00632725" w:rsidRPr="0014270C">
        <w:rPr>
          <w:rFonts w:ascii="Bookman Old Style" w:hAnsi="Bookman Old Style"/>
          <w:sz w:val="24"/>
          <w:szCs w:val="24"/>
        </w:rPr>
        <w:t>per day. The average amount of water needed per person per day is 136.</w:t>
      </w:r>
      <w:r w:rsidR="0071767C" w:rsidRPr="0014270C">
        <w:rPr>
          <w:rFonts w:ascii="Bookman Old Style" w:hAnsi="Bookman Old Style"/>
          <w:sz w:val="24"/>
          <w:szCs w:val="24"/>
        </w:rPr>
        <w:t>5</w:t>
      </w:r>
      <w:r w:rsidR="00632725" w:rsidRPr="0014270C">
        <w:rPr>
          <w:rFonts w:ascii="Bookman Old Style" w:hAnsi="Bookman Old Style"/>
          <w:sz w:val="24"/>
          <w:szCs w:val="24"/>
        </w:rPr>
        <w:t xml:space="preserve"> ounces</w:t>
      </w:r>
      <w:r w:rsidR="00F9100C" w:rsidRPr="0014270C">
        <w:rPr>
          <w:rFonts w:ascii="Bookman Old Style" w:hAnsi="Bookman Old Style"/>
          <w:sz w:val="24"/>
          <w:szCs w:val="24"/>
        </w:rPr>
        <w:t xml:space="preserve">, </w:t>
      </w:r>
      <w:r w:rsidR="00B471EE" w:rsidRPr="0014270C">
        <w:rPr>
          <w:rFonts w:ascii="Bookman Old Style" w:hAnsi="Bookman Old Style"/>
          <w:sz w:val="24"/>
          <w:szCs w:val="24"/>
        </w:rPr>
        <w:t>or just over one gallon</w:t>
      </w:r>
      <w:r w:rsidR="00295A8F" w:rsidRPr="0014270C">
        <w:rPr>
          <w:rFonts w:ascii="Bookman Old Style" w:hAnsi="Bookman Old Style"/>
          <w:sz w:val="24"/>
          <w:szCs w:val="24"/>
        </w:rPr>
        <w:t xml:space="preserve"> (</w:t>
      </w:r>
      <w:r w:rsidR="00C210C7" w:rsidRPr="0014270C">
        <w:rPr>
          <w:rFonts w:ascii="Bookman Old Style" w:hAnsi="Bookman Old Style"/>
          <w:sz w:val="24"/>
          <w:szCs w:val="24"/>
        </w:rPr>
        <w:t>3.8</w:t>
      </w:r>
      <w:r w:rsidR="00295A8F" w:rsidRPr="0014270C">
        <w:rPr>
          <w:rFonts w:ascii="Bookman Old Style" w:hAnsi="Bookman Old Style"/>
          <w:sz w:val="24"/>
          <w:szCs w:val="24"/>
        </w:rPr>
        <w:t xml:space="preserve"> liters)</w:t>
      </w:r>
      <w:r w:rsidR="00632725" w:rsidRPr="0014270C">
        <w:rPr>
          <w:rFonts w:ascii="Bookman Old Style" w:hAnsi="Bookman Old Style"/>
          <w:sz w:val="24"/>
          <w:szCs w:val="24"/>
        </w:rPr>
        <w:t>.</w:t>
      </w:r>
      <w:r w:rsidR="00604DF8" w:rsidRPr="0014270C">
        <w:rPr>
          <w:rFonts w:ascii="Bookman Old Style" w:hAnsi="Bookman Old Style"/>
          <w:sz w:val="24"/>
          <w:szCs w:val="24"/>
        </w:rPr>
        <w:t xml:space="preserve"> </w:t>
      </w:r>
      <w:r w:rsidR="00274FD9" w:rsidRPr="0014270C">
        <w:rPr>
          <w:rFonts w:ascii="Bookman Old Style" w:hAnsi="Bookman Old Style"/>
          <w:sz w:val="24"/>
          <w:szCs w:val="24"/>
        </w:rPr>
        <w:t xml:space="preserve">The average American </w:t>
      </w:r>
      <w:r w:rsidR="00082F1F" w:rsidRPr="0014270C">
        <w:rPr>
          <w:rFonts w:ascii="Bookman Old Style" w:hAnsi="Bookman Old Style"/>
          <w:sz w:val="24"/>
          <w:szCs w:val="24"/>
        </w:rPr>
        <w:t>takes an 8.2</w:t>
      </w:r>
      <w:r w:rsidR="003956F9" w:rsidRPr="0014270C">
        <w:rPr>
          <w:rFonts w:ascii="Bookman Old Style" w:hAnsi="Bookman Old Style"/>
          <w:sz w:val="24"/>
          <w:szCs w:val="24"/>
        </w:rPr>
        <w:t>-</w:t>
      </w:r>
      <w:r w:rsidR="00082F1F" w:rsidRPr="0014270C">
        <w:rPr>
          <w:rFonts w:ascii="Bookman Old Style" w:hAnsi="Bookman Old Style"/>
          <w:sz w:val="24"/>
          <w:szCs w:val="24"/>
        </w:rPr>
        <w:t>minute shower</w:t>
      </w:r>
      <w:r w:rsidR="0071767C" w:rsidRPr="0014270C">
        <w:rPr>
          <w:rFonts w:ascii="Bookman Old Style" w:hAnsi="Bookman Old Style"/>
          <w:sz w:val="24"/>
          <w:szCs w:val="24"/>
        </w:rPr>
        <w:t xml:space="preserve">, using 17.2 gallons </w:t>
      </w:r>
      <w:r w:rsidR="00EA79ED" w:rsidRPr="0014270C">
        <w:rPr>
          <w:rFonts w:ascii="Bookman Old Style" w:hAnsi="Bookman Old Style"/>
          <w:sz w:val="24"/>
          <w:szCs w:val="24"/>
        </w:rPr>
        <w:t xml:space="preserve">(65.1 liters) </w:t>
      </w:r>
      <w:r w:rsidR="0071767C" w:rsidRPr="0014270C">
        <w:rPr>
          <w:rFonts w:ascii="Bookman Old Style" w:hAnsi="Bookman Old Style"/>
          <w:sz w:val="24"/>
          <w:szCs w:val="24"/>
        </w:rPr>
        <w:t xml:space="preserve">of </w:t>
      </w:r>
      <w:r w:rsidR="007F7748" w:rsidRPr="0014270C">
        <w:rPr>
          <w:rFonts w:ascii="Bookman Old Style" w:hAnsi="Bookman Old Style"/>
          <w:sz w:val="24"/>
          <w:szCs w:val="24"/>
        </w:rPr>
        <w:t>water</w:t>
      </w:r>
      <w:r w:rsidR="00CA0013" w:rsidRPr="0014270C">
        <w:rPr>
          <w:rFonts w:ascii="Bookman Old Style" w:hAnsi="Bookman Old Style"/>
          <w:sz w:val="24"/>
          <w:szCs w:val="24"/>
        </w:rPr>
        <w:t xml:space="preserve"> at a flow of 2.1 gallons</w:t>
      </w:r>
      <w:r w:rsidR="00591323" w:rsidRPr="0014270C">
        <w:rPr>
          <w:rFonts w:ascii="Bookman Old Style" w:hAnsi="Bookman Old Style"/>
          <w:sz w:val="24"/>
          <w:szCs w:val="24"/>
        </w:rPr>
        <w:t xml:space="preserve"> (7.9 liters)</w:t>
      </w:r>
      <w:r w:rsidR="00CA0013" w:rsidRPr="0014270C">
        <w:rPr>
          <w:rFonts w:ascii="Bookman Old Style" w:hAnsi="Bookman Old Style"/>
          <w:sz w:val="24"/>
          <w:szCs w:val="24"/>
        </w:rPr>
        <w:t xml:space="preserve"> per minute.</w:t>
      </w:r>
      <w:r w:rsidR="008A5CE6" w:rsidRPr="0014270C">
        <w:rPr>
          <w:rStyle w:val="FootnoteReference"/>
          <w:rFonts w:ascii="Bookman Old Style" w:hAnsi="Bookman Old Style"/>
          <w:sz w:val="24"/>
          <w:szCs w:val="24"/>
        </w:rPr>
        <w:footnoteReference w:id="221"/>
      </w:r>
      <w:r w:rsidR="00CA0013" w:rsidRPr="0014270C">
        <w:rPr>
          <w:rFonts w:ascii="Bookman Old Style" w:hAnsi="Bookman Old Style"/>
          <w:sz w:val="24"/>
          <w:szCs w:val="24"/>
        </w:rPr>
        <w:t xml:space="preserve"> Using a 1.5 gallon </w:t>
      </w:r>
      <w:r w:rsidR="00591323" w:rsidRPr="0014270C">
        <w:rPr>
          <w:rFonts w:ascii="Bookman Old Style" w:hAnsi="Bookman Old Style"/>
          <w:sz w:val="24"/>
          <w:szCs w:val="24"/>
        </w:rPr>
        <w:t xml:space="preserve">(5.7 </w:t>
      </w:r>
      <w:r w:rsidR="00591323" w:rsidRPr="0014270C">
        <w:rPr>
          <w:rFonts w:ascii="Bookman Old Style" w:hAnsi="Bookman Old Style"/>
          <w:noProof/>
          <w:sz w:val="24"/>
          <w:szCs w:val="24"/>
        </w:rPr>
        <w:t>liter</w:t>
      </w:r>
      <w:r w:rsidR="00591323" w:rsidRPr="0014270C">
        <w:rPr>
          <w:rFonts w:ascii="Bookman Old Style" w:hAnsi="Bookman Old Style"/>
          <w:sz w:val="24"/>
          <w:szCs w:val="24"/>
        </w:rPr>
        <w:t xml:space="preserve">) </w:t>
      </w:r>
      <w:r w:rsidR="00CA0013" w:rsidRPr="0014270C">
        <w:rPr>
          <w:rFonts w:ascii="Bookman Old Style" w:hAnsi="Bookman Old Style"/>
          <w:sz w:val="24"/>
          <w:szCs w:val="24"/>
        </w:rPr>
        <w:t>per minute showerhead can reduce this amount to 12.3 gallons</w:t>
      </w:r>
      <w:r w:rsidR="0045475E" w:rsidRPr="0014270C">
        <w:rPr>
          <w:rFonts w:ascii="Bookman Old Style" w:hAnsi="Bookman Old Style"/>
          <w:sz w:val="24"/>
          <w:szCs w:val="24"/>
        </w:rPr>
        <w:t xml:space="preserve"> </w:t>
      </w:r>
      <w:r w:rsidR="00295A8F" w:rsidRPr="0014270C">
        <w:rPr>
          <w:rFonts w:ascii="Bookman Old Style" w:hAnsi="Bookman Old Style"/>
          <w:sz w:val="24"/>
          <w:szCs w:val="24"/>
        </w:rPr>
        <w:t xml:space="preserve">(46.6 liters) </w:t>
      </w:r>
      <w:r w:rsidR="0045475E" w:rsidRPr="0014270C">
        <w:rPr>
          <w:rFonts w:ascii="Bookman Old Style" w:hAnsi="Bookman Old Style"/>
          <w:sz w:val="24"/>
          <w:szCs w:val="24"/>
        </w:rPr>
        <w:t>per day.</w:t>
      </w:r>
      <w:r w:rsidR="00604DF8" w:rsidRPr="0014270C">
        <w:rPr>
          <w:rFonts w:ascii="Bookman Old Style" w:hAnsi="Bookman Old Style"/>
          <w:sz w:val="24"/>
          <w:szCs w:val="24"/>
        </w:rPr>
        <w:t xml:space="preserve"> </w:t>
      </w:r>
      <w:r w:rsidR="00802795" w:rsidRPr="0014270C">
        <w:rPr>
          <w:rFonts w:ascii="Bookman Old Style" w:hAnsi="Bookman Old Style"/>
          <w:sz w:val="24"/>
          <w:szCs w:val="24"/>
        </w:rPr>
        <w:t>According to Olivia</w:t>
      </w:r>
      <w:r w:rsidR="009F3B16" w:rsidRPr="0014270C">
        <w:rPr>
          <w:rFonts w:ascii="Bookman Old Style" w:hAnsi="Bookman Old Style"/>
          <w:sz w:val="24"/>
          <w:szCs w:val="24"/>
        </w:rPr>
        <w:t xml:space="preserve"> Rose-Innes, a</w:t>
      </w:r>
      <w:r w:rsidR="00913049" w:rsidRPr="0014270C">
        <w:rPr>
          <w:rFonts w:ascii="Bookman Old Style" w:hAnsi="Bookman Old Style"/>
          <w:sz w:val="24"/>
          <w:szCs w:val="24"/>
        </w:rPr>
        <w:t>n</w:t>
      </w:r>
      <w:r w:rsidR="009F3B16" w:rsidRPr="0014270C">
        <w:rPr>
          <w:rFonts w:ascii="Bookman Old Style" w:hAnsi="Bookman Old Style"/>
          <w:sz w:val="24"/>
          <w:szCs w:val="24"/>
        </w:rPr>
        <w:t xml:space="preserve"> </w:t>
      </w:r>
      <w:proofErr w:type="spellStart"/>
      <w:r w:rsidR="009F3B16" w:rsidRPr="0014270C">
        <w:rPr>
          <w:rFonts w:ascii="Bookman Old Style" w:hAnsi="Bookman Old Style"/>
          <w:sz w:val="24"/>
          <w:szCs w:val="24"/>
        </w:rPr>
        <w:t>EnviroHealth</w:t>
      </w:r>
      <w:proofErr w:type="spellEnd"/>
      <w:r w:rsidR="009F3B16" w:rsidRPr="0014270C">
        <w:rPr>
          <w:rFonts w:ascii="Bookman Old Style" w:hAnsi="Bookman Old Style"/>
          <w:sz w:val="24"/>
          <w:szCs w:val="24"/>
        </w:rPr>
        <w:t xml:space="preserve"> expert, general hygiene activities such as brushing one</w:t>
      </w:r>
      <w:r w:rsidR="00913049" w:rsidRPr="0014270C">
        <w:rPr>
          <w:rFonts w:ascii="Bookman Old Style" w:hAnsi="Bookman Old Style"/>
          <w:sz w:val="24"/>
          <w:szCs w:val="24"/>
        </w:rPr>
        <w:t>’</w:t>
      </w:r>
      <w:r w:rsidR="009F3B16" w:rsidRPr="0014270C">
        <w:rPr>
          <w:rFonts w:ascii="Bookman Old Style" w:hAnsi="Bookman Old Style"/>
          <w:sz w:val="24"/>
          <w:szCs w:val="24"/>
        </w:rPr>
        <w:t>s teeth and washing one</w:t>
      </w:r>
      <w:r w:rsidR="00913049" w:rsidRPr="0014270C">
        <w:rPr>
          <w:rFonts w:ascii="Bookman Old Style" w:hAnsi="Bookman Old Style"/>
          <w:sz w:val="24"/>
          <w:szCs w:val="24"/>
        </w:rPr>
        <w:t>’</w:t>
      </w:r>
      <w:r w:rsidR="009F3B16" w:rsidRPr="0014270C">
        <w:rPr>
          <w:rFonts w:ascii="Bookman Old Style" w:hAnsi="Bookman Old Style"/>
          <w:sz w:val="24"/>
          <w:szCs w:val="24"/>
        </w:rPr>
        <w:t xml:space="preserve">s hands use an </w:t>
      </w:r>
      <w:r w:rsidR="00CE71A6" w:rsidRPr="0014270C">
        <w:rPr>
          <w:rFonts w:ascii="Bookman Old Style" w:hAnsi="Bookman Old Style"/>
          <w:sz w:val="24"/>
          <w:szCs w:val="24"/>
        </w:rPr>
        <w:t xml:space="preserve">average of </w:t>
      </w:r>
      <w:r w:rsidR="0039410A" w:rsidRPr="0014270C">
        <w:rPr>
          <w:rFonts w:ascii="Bookman Old Style" w:hAnsi="Bookman Old Style"/>
          <w:sz w:val="24"/>
          <w:szCs w:val="24"/>
        </w:rPr>
        <w:t>8.1 gallons (</w:t>
      </w:r>
      <w:r w:rsidR="00CE71A6" w:rsidRPr="0014270C">
        <w:rPr>
          <w:rFonts w:ascii="Bookman Old Style" w:hAnsi="Bookman Old Style"/>
          <w:sz w:val="24"/>
          <w:szCs w:val="24"/>
        </w:rPr>
        <w:t>30.8 liters</w:t>
      </w:r>
      <w:r w:rsidR="0039410A" w:rsidRPr="0014270C">
        <w:rPr>
          <w:rFonts w:ascii="Bookman Old Style" w:hAnsi="Bookman Old Style"/>
          <w:sz w:val="24"/>
          <w:szCs w:val="24"/>
        </w:rPr>
        <w:t>)</w:t>
      </w:r>
      <w:r w:rsidR="00CE71A6" w:rsidRPr="0014270C">
        <w:rPr>
          <w:rFonts w:ascii="Bookman Old Style" w:hAnsi="Bookman Old Style"/>
          <w:sz w:val="24"/>
          <w:szCs w:val="24"/>
        </w:rPr>
        <w:t xml:space="preserve"> per week, calculated to be </w:t>
      </w:r>
      <w:r w:rsidR="00413446" w:rsidRPr="0014270C">
        <w:rPr>
          <w:rFonts w:ascii="Bookman Old Style" w:hAnsi="Bookman Old Style"/>
          <w:sz w:val="24"/>
          <w:szCs w:val="24"/>
        </w:rPr>
        <w:t xml:space="preserve">1.2 gallons </w:t>
      </w:r>
      <w:r w:rsidR="00F63801" w:rsidRPr="0014270C">
        <w:rPr>
          <w:rFonts w:ascii="Bookman Old Style" w:hAnsi="Bookman Old Style"/>
          <w:sz w:val="24"/>
          <w:szCs w:val="24"/>
        </w:rPr>
        <w:t xml:space="preserve">(4.5 liters) </w:t>
      </w:r>
      <w:r w:rsidR="00413446" w:rsidRPr="0014270C">
        <w:rPr>
          <w:rFonts w:ascii="Bookman Old Style" w:hAnsi="Bookman Old Style"/>
          <w:sz w:val="24"/>
          <w:szCs w:val="24"/>
        </w:rPr>
        <w:t xml:space="preserve">per day. She also </w:t>
      </w:r>
      <w:r w:rsidR="005279D0" w:rsidRPr="0014270C">
        <w:rPr>
          <w:rFonts w:ascii="Bookman Old Style" w:hAnsi="Bookman Old Style"/>
          <w:sz w:val="24"/>
          <w:szCs w:val="24"/>
        </w:rPr>
        <w:t xml:space="preserve">found the average amount of water used in hand-washing dishes to be </w:t>
      </w:r>
      <w:r w:rsidR="00E600CC" w:rsidRPr="0014270C">
        <w:rPr>
          <w:rFonts w:ascii="Bookman Old Style" w:hAnsi="Bookman Old Style"/>
          <w:sz w:val="24"/>
          <w:szCs w:val="24"/>
        </w:rPr>
        <w:t>16.6 gallons (</w:t>
      </w:r>
      <w:r w:rsidR="005279D0" w:rsidRPr="0014270C">
        <w:rPr>
          <w:rFonts w:ascii="Bookman Old Style" w:hAnsi="Bookman Old Style"/>
          <w:sz w:val="24"/>
          <w:szCs w:val="24"/>
        </w:rPr>
        <w:t>63 liters</w:t>
      </w:r>
      <w:r w:rsidR="00E600CC" w:rsidRPr="0014270C">
        <w:rPr>
          <w:rFonts w:ascii="Bookman Old Style" w:hAnsi="Bookman Old Style"/>
          <w:sz w:val="24"/>
          <w:szCs w:val="24"/>
        </w:rPr>
        <w:t>)</w:t>
      </w:r>
      <w:r w:rsidR="005279D0" w:rsidRPr="0014270C">
        <w:rPr>
          <w:rFonts w:ascii="Bookman Old Style" w:hAnsi="Bookman Old Style"/>
          <w:sz w:val="24"/>
          <w:szCs w:val="24"/>
        </w:rPr>
        <w:t xml:space="preserve"> per </w:t>
      </w:r>
      <w:r w:rsidR="005279D0" w:rsidRPr="0014270C">
        <w:rPr>
          <w:rFonts w:ascii="Bookman Old Style" w:hAnsi="Bookman Old Style"/>
          <w:noProof/>
          <w:sz w:val="24"/>
          <w:szCs w:val="24"/>
        </w:rPr>
        <w:t>week</w:t>
      </w:r>
      <w:r w:rsidR="005279D0" w:rsidRPr="0014270C">
        <w:rPr>
          <w:rFonts w:ascii="Bookman Old Style" w:hAnsi="Bookman Old Style"/>
          <w:sz w:val="24"/>
          <w:szCs w:val="24"/>
        </w:rPr>
        <w:t xml:space="preserve"> or 2.4 gallons </w:t>
      </w:r>
      <w:r w:rsidR="00F63801" w:rsidRPr="0014270C">
        <w:rPr>
          <w:rFonts w:ascii="Bookman Old Style" w:hAnsi="Bookman Old Style"/>
          <w:sz w:val="24"/>
          <w:szCs w:val="24"/>
        </w:rPr>
        <w:t xml:space="preserve">(9 liters) </w:t>
      </w:r>
      <w:r w:rsidR="005279D0" w:rsidRPr="0014270C">
        <w:rPr>
          <w:rFonts w:ascii="Bookman Old Style" w:hAnsi="Bookman Old Style"/>
          <w:sz w:val="24"/>
          <w:szCs w:val="24"/>
        </w:rPr>
        <w:t>per day.</w:t>
      </w:r>
      <w:r w:rsidR="005279D0" w:rsidRPr="0014270C">
        <w:rPr>
          <w:rStyle w:val="FootnoteReference"/>
          <w:rFonts w:ascii="Bookman Old Style" w:hAnsi="Bookman Old Style"/>
          <w:sz w:val="24"/>
          <w:szCs w:val="24"/>
        </w:rPr>
        <w:footnoteReference w:id="222"/>
      </w:r>
      <w:r w:rsidR="00C84FFF" w:rsidRPr="0014270C">
        <w:rPr>
          <w:rFonts w:ascii="Bookman Old Style" w:hAnsi="Bookman Old Style"/>
          <w:sz w:val="24"/>
          <w:szCs w:val="24"/>
        </w:rPr>
        <w:t xml:space="preserve"> </w:t>
      </w:r>
      <w:r w:rsidR="00333E43" w:rsidRPr="0014270C">
        <w:rPr>
          <w:rFonts w:ascii="Bookman Old Style" w:hAnsi="Bookman Old Style"/>
          <w:sz w:val="24"/>
          <w:szCs w:val="24"/>
        </w:rPr>
        <w:t>This research assumes the resident visit</w:t>
      </w:r>
      <w:r w:rsidR="002237BE" w:rsidRPr="0014270C">
        <w:rPr>
          <w:rFonts w:ascii="Bookman Old Style" w:hAnsi="Bookman Old Style"/>
          <w:sz w:val="24"/>
          <w:szCs w:val="24"/>
        </w:rPr>
        <w:t>s</w:t>
      </w:r>
      <w:r w:rsidR="00333E43" w:rsidRPr="0014270C">
        <w:rPr>
          <w:rFonts w:ascii="Bookman Old Style" w:hAnsi="Bookman Old Style"/>
          <w:sz w:val="24"/>
          <w:szCs w:val="24"/>
        </w:rPr>
        <w:t xml:space="preserve"> a laundromat to wash clothing.</w:t>
      </w:r>
      <w:r w:rsidR="00604DF8" w:rsidRPr="0014270C">
        <w:rPr>
          <w:rFonts w:ascii="Bookman Old Style" w:hAnsi="Bookman Old Style"/>
          <w:sz w:val="24"/>
          <w:szCs w:val="24"/>
        </w:rPr>
        <w:t xml:space="preserve"> </w:t>
      </w:r>
      <w:r w:rsidR="00EC02CA" w:rsidRPr="0014270C">
        <w:rPr>
          <w:rFonts w:ascii="Bookman Old Style" w:hAnsi="Bookman Old Style"/>
          <w:sz w:val="24"/>
          <w:szCs w:val="24"/>
        </w:rPr>
        <w:t xml:space="preserve">The most significant difference </w:t>
      </w:r>
      <w:r w:rsidR="004E3D7E" w:rsidRPr="0014270C">
        <w:rPr>
          <w:rFonts w:ascii="Bookman Old Style" w:hAnsi="Bookman Old Style"/>
          <w:sz w:val="24"/>
          <w:szCs w:val="24"/>
        </w:rPr>
        <w:t xml:space="preserve">in water usage </w:t>
      </w:r>
      <w:r w:rsidR="00EC02CA" w:rsidRPr="0014270C">
        <w:rPr>
          <w:rFonts w:ascii="Bookman Old Style" w:hAnsi="Bookman Old Style"/>
          <w:sz w:val="24"/>
          <w:szCs w:val="24"/>
        </w:rPr>
        <w:t xml:space="preserve">between a </w:t>
      </w:r>
      <w:r w:rsidR="004B473F" w:rsidRPr="0014270C">
        <w:rPr>
          <w:rFonts w:ascii="Bookman Old Style" w:hAnsi="Bookman Old Style"/>
          <w:sz w:val="24"/>
          <w:szCs w:val="24"/>
        </w:rPr>
        <w:t>trailer on a grid connection</w:t>
      </w:r>
      <w:r w:rsidR="00EC02CA" w:rsidRPr="0014270C">
        <w:rPr>
          <w:rFonts w:ascii="Bookman Old Style" w:hAnsi="Bookman Old Style"/>
          <w:sz w:val="24"/>
          <w:szCs w:val="24"/>
        </w:rPr>
        <w:t xml:space="preserve"> and a</w:t>
      </w:r>
      <w:r w:rsidR="00CA3A0C" w:rsidRPr="0014270C">
        <w:rPr>
          <w:rFonts w:ascii="Bookman Old Style" w:hAnsi="Bookman Old Style"/>
          <w:sz w:val="24"/>
          <w:szCs w:val="24"/>
        </w:rPr>
        <w:t>n off-grid</w:t>
      </w:r>
      <w:r w:rsidR="00EC02CA" w:rsidRPr="0014270C">
        <w:rPr>
          <w:rFonts w:ascii="Bookman Old Style" w:hAnsi="Bookman Old Style"/>
          <w:sz w:val="24"/>
          <w:szCs w:val="24"/>
        </w:rPr>
        <w:t xml:space="preserve"> tiny home </w:t>
      </w:r>
      <w:r w:rsidR="00CE7231" w:rsidRPr="0014270C">
        <w:rPr>
          <w:rFonts w:ascii="Bookman Old Style" w:hAnsi="Bookman Old Style"/>
          <w:sz w:val="24"/>
          <w:szCs w:val="24"/>
        </w:rPr>
        <w:t xml:space="preserve">is the gallons used to flush a toilet. This research assumes the off-grid tiny home will use a composting toilet, where the </w:t>
      </w:r>
      <w:r w:rsidR="00EE135A" w:rsidRPr="0014270C">
        <w:rPr>
          <w:rFonts w:ascii="Bookman Old Style" w:hAnsi="Bookman Old Style"/>
          <w:noProof/>
          <w:sz w:val="24"/>
          <w:szCs w:val="24"/>
        </w:rPr>
        <w:t>grid</w:t>
      </w:r>
      <w:r w:rsidR="00391736" w:rsidRPr="0014270C">
        <w:rPr>
          <w:rFonts w:ascii="Bookman Old Style" w:hAnsi="Bookman Old Style"/>
          <w:noProof/>
          <w:sz w:val="24"/>
          <w:szCs w:val="24"/>
        </w:rPr>
        <w:t>-</w:t>
      </w:r>
      <w:r w:rsidR="00EE135A" w:rsidRPr="0014270C">
        <w:rPr>
          <w:rFonts w:ascii="Bookman Old Style" w:hAnsi="Bookman Old Style"/>
          <w:noProof/>
          <w:sz w:val="24"/>
          <w:szCs w:val="24"/>
        </w:rPr>
        <w:t>connect</w:t>
      </w:r>
      <w:r w:rsidR="00F23C29" w:rsidRPr="0014270C">
        <w:rPr>
          <w:rFonts w:ascii="Bookman Old Style" w:hAnsi="Bookman Old Style"/>
          <w:noProof/>
          <w:sz w:val="24"/>
          <w:szCs w:val="24"/>
        </w:rPr>
        <w:t>ed</w:t>
      </w:r>
      <w:r w:rsidR="00F23C29" w:rsidRPr="0014270C">
        <w:rPr>
          <w:rFonts w:ascii="Bookman Old Style" w:hAnsi="Bookman Old Style"/>
          <w:sz w:val="24"/>
          <w:szCs w:val="24"/>
        </w:rPr>
        <w:t xml:space="preserve"> trailer</w:t>
      </w:r>
      <w:r w:rsidR="00CE7231" w:rsidRPr="0014270C">
        <w:rPr>
          <w:rFonts w:ascii="Bookman Old Style" w:hAnsi="Bookman Old Style"/>
          <w:sz w:val="24"/>
          <w:szCs w:val="24"/>
        </w:rPr>
        <w:t xml:space="preserve"> </w:t>
      </w:r>
      <w:r w:rsidR="00C94FDA" w:rsidRPr="0014270C">
        <w:rPr>
          <w:rFonts w:ascii="Bookman Old Style" w:hAnsi="Bookman Old Style"/>
          <w:sz w:val="24"/>
          <w:szCs w:val="24"/>
        </w:rPr>
        <w:t>uses</w:t>
      </w:r>
      <w:r w:rsidR="00CE7231" w:rsidRPr="0014270C">
        <w:rPr>
          <w:rFonts w:ascii="Bookman Old Style" w:hAnsi="Bookman Old Style"/>
          <w:sz w:val="24"/>
          <w:szCs w:val="24"/>
        </w:rPr>
        <w:t xml:space="preserve"> a standard toilet that consumes an average of </w:t>
      </w:r>
      <w:r w:rsidR="00916690" w:rsidRPr="0014270C">
        <w:rPr>
          <w:rFonts w:ascii="Bookman Old Style" w:hAnsi="Bookman Old Style"/>
          <w:sz w:val="24"/>
          <w:szCs w:val="24"/>
        </w:rPr>
        <w:t>6.4 gallons</w:t>
      </w:r>
      <w:r w:rsidR="00547E5D" w:rsidRPr="0014270C">
        <w:rPr>
          <w:rFonts w:ascii="Bookman Old Style" w:hAnsi="Bookman Old Style"/>
          <w:sz w:val="24"/>
          <w:szCs w:val="24"/>
        </w:rPr>
        <w:t xml:space="preserve"> (</w:t>
      </w:r>
      <w:r w:rsidR="00C94FDA" w:rsidRPr="0014270C">
        <w:rPr>
          <w:rFonts w:ascii="Bookman Old Style" w:hAnsi="Bookman Old Style"/>
          <w:sz w:val="24"/>
          <w:szCs w:val="24"/>
        </w:rPr>
        <w:t xml:space="preserve">24.2 </w:t>
      </w:r>
      <w:r w:rsidR="00547E5D" w:rsidRPr="0014270C">
        <w:rPr>
          <w:rFonts w:ascii="Bookman Old Style" w:hAnsi="Bookman Old Style"/>
          <w:sz w:val="24"/>
          <w:szCs w:val="24"/>
        </w:rPr>
        <w:t xml:space="preserve">liters) assuming five flushes per day </w:t>
      </w:r>
      <w:r w:rsidR="00547E5D" w:rsidRPr="0014270C">
        <w:rPr>
          <w:rFonts w:ascii="Bookman Old Style" w:hAnsi="Bookman Old Style"/>
          <w:sz w:val="24"/>
          <w:szCs w:val="24"/>
        </w:rPr>
        <w:lastRenderedPageBreak/>
        <w:t>using a low-flow 1.</w:t>
      </w:r>
      <w:r w:rsidR="00C94FDA" w:rsidRPr="0014270C">
        <w:rPr>
          <w:rFonts w:ascii="Bookman Old Style" w:hAnsi="Bookman Old Style"/>
          <w:sz w:val="24"/>
          <w:szCs w:val="24"/>
        </w:rPr>
        <w:t>3</w:t>
      </w:r>
      <w:r w:rsidR="00547E5D" w:rsidRPr="0014270C">
        <w:rPr>
          <w:rFonts w:ascii="Bookman Old Style" w:hAnsi="Bookman Old Style"/>
          <w:sz w:val="24"/>
          <w:szCs w:val="24"/>
        </w:rPr>
        <w:t xml:space="preserve"> gallon</w:t>
      </w:r>
      <w:r w:rsidR="00C94FDA" w:rsidRPr="0014270C">
        <w:rPr>
          <w:rFonts w:ascii="Bookman Old Style" w:hAnsi="Bookman Old Style"/>
          <w:sz w:val="24"/>
          <w:szCs w:val="24"/>
        </w:rPr>
        <w:t xml:space="preserve"> (4.9 </w:t>
      </w:r>
      <w:r w:rsidR="00C94FDA" w:rsidRPr="0014270C">
        <w:rPr>
          <w:rFonts w:ascii="Bookman Old Style" w:hAnsi="Bookman Old Style"/>
          <w:noProof/>
          <w:sz w:val="24"/>
          <w:szCs w:val="24"/>
        </w:rPr>
        <w:t>liter</w:t>
      </w:r>
      <w:r w:rsidR="00C94FDA" w:rsidRPr="0014270C">
        <w:rPr>
          <w:rFonts w:ascii="Bookman Old Style" w:hAnsi="Bookman Old Style"/>
          <w:sz w:val="24"/>
          <w:szCs w:val="24"/>
        </w:rPr>
        <w:t>)</w:t>
      </w:r>
      <w:r w:rsidR="00547E5D" w:rsidRPr="0014270C">
        <w:rPr>
          <w:rFonts w:ascii="Bookman Old Style" w:hAnsi="Bookman Old Style"/>
          <w:sz w:val="24"/>
          <w:szCs w:val="24"/>
        </w:rPr>
        <w:t xml:space="preserve"> per flush toilet.</w:t>
      </w:r>
      <w:r w:rsidR="00B177AF" w:rsidRPr="0014270C">
        <w:rPr>
          <w:rStyle w:val="FootnoteReference"/>
          <w:rFonts w:ascii="Bookman Old Style" w:hAnsi="Bookman Old Style"/>
          <w:sz w:val="24"/>
          <w:szCs w:val="24"/>
        </w:rPr>
        <w:footnoteReference w:id="223"/>
      </w:r>
      <w:r w:rsidR="00AD572F" w:rsidRPr="0014270C">
        <w:rPr>
          <w:rFonts w:ascii="Bookman Old Style" w:hAnsi="Bookman Old Style"/>
          <w:sz w:val="24"/>
          <w:szCs w:val="24"/>
        </w:rPr>
        <w:t xml:space="preserve"> This brings the total daily water consumption per person for a </w:t>
      </w:r>
      <w:r w:rsidR="00F23C29" w:rsidRPr="0014270C">
        <w:rPr>
          <w:rFonts w:ascii="Bookman Old Style" w:hAnsi="Bookman Old Style"/>
          <w:sz w:val="24"/>
          <w:szCs w:val="24"/>
        </w:rPr>
        <w:t xml:space="preserve">trailer </w:t>
      </w:r>
      <w:r w:rsidR="00AD572F" w:rsidRPr="0014270C">
        <w:rPr>
          <w:rFonts w:ascii="Bookman Old Style" w:hAnsi="Bookman Old Style"/>
          <w:sz w:val="24"/>
          <w:szCs w:val="24"/>
        </w:rPr>
        <w:t>to 23.3 gallons (</w:t>
      </w:r>
      <w:r w:rsidR="004C3D96" w:rsidRPr="0014270C">
        <w:rPr>
          <w:rFonts w:ascii="Bookman Old Style" w:hAnsi="Bookman Old Style"/>
          <w:sz w:val="24"/>
          <w:szCs w:val="24"/>
        </w:rPr>
        <w:t>88.2 liters).</w:t>
      </w:r>
    </w:p>
    <w:p w14:paraId="79059579" w14:textId="7C9045FA" w:rsidR="00B14A2F" w:rsidRPr="0014270C" w:rsidRDefault="00DD0D77" w:rsidP="007860B2">
      <w:pPr>
        <w:spacing w:line="480" w:lineRule="auto"/>
        <w:ind w:firstLine="720"/>
        <w:rPr>
          <w:rFonts w:ascii="Bookman Old Style" w:hAnsi="Bookman Old Style"/>
          <w:b/>
          <w:sz w:val="24"/>
          <w:szCs w:val="24"/>
        </w:rPr>
      </w:pPr>
      <w:r w:rsidRPr="0014270C">
        <w:rPr>
          <w:rFonts w:ascii="Bookman Old Style" w:hAnsi="Bookman Old Style"/>
          <w:sz w:val="24"/>
          <w:szCs w:val="24"/>
        </w:rPr>
        <w:t xml:space="preserve">Determining the amount of water necessary to sustain a household is critical to the viability of an off-grid home. The average water consumption of an adult living in a tiny house varies, though it can </w:t>
      </w:r>
      <w:proofErr w:type="gramStart"/>
      <w:r w:rsidRPr="0014270C">
        <w:rPr>
          <w:rFonts w:ascii="Bookman Old Style" w:hAnsi="Bookman Old Style"/>
          <w:sz w:val="24"/>
          <w:szCs w:val="24"/>
        </w:rPr>
        <w:t>be estimated</w:t>
      </w:r>
      <w:proofErr w:type="gramEnd"/>
      <w:r w:rsidRPr="0014270C">
        <w:rPr>
          <w:rFonts w:ascii="Bookman Old Style" w:hAnsi="Bookman Old Style"/>
          <w:sz w:val="24"/>
          <w:szCs w:val="24"/>
        </w:rPr>
        <w:t xml:space="preserve"> to be 16.9 gallons (64 liters) per adult per day while living comfortably</w:t>
      </w:r>
      <w:r w:rsidR="002E0701" w:rsidRPr="0014270C">
        <w:rPr>
          <w:rFonts w:ascii="Bookman Old Style" w:hAnsi="Bookman Old Style"/>
          <w:sz w:val="24"/>
          <w:szCs w:val="24"/>
        </w:rPr>
        <w:t xml:space="preserve">, as shown in Figure </w:t>
      </w:r>
      <w:r w:rsidR="00F02F70" w:rsidRPr="0014270C">
        <w:rPr>
          <w:rFonts w:ascii="Bookman Old Style" w:hAnsi="Bookman Old Style"/>
          <w:sz w:val="24"/>
          <w:szCs w:val="24"/>
        </w:rPr>
        <w:t>6</w:t>
      </w:r>
      <w:r w:rsidRPr="0014270C">
        <w:rPr>
          <w:rFonts w:ascii="Bookman Old Style" w:hAnsi="Bookman Old Style"/>
          <w:sz w:val="24"/>
          <w:szCs w:val="24"/>
        </w:rPr>
        <w:t>. Over the course of a year, a single adult would use approximately 6,168.5 gallons (23,350.3 liters) of water.</w:t>
      </w:r>
      <w:r w:rsidRPr="0014270C">
        <w:rPr>
          <w:rFonts w:ascii="Bookman Old Style" w:hAnsi="Bookman Old Style"/>
          <w:b/>
          <w:sz w:val="24"/>
          <w:szCs w:val="24"/>
        </w:rPr>
        <w:t xml:space="preserve"> </w:t>
      </w:r>
    </w:p>
    <w:p w14:paraId="53DBF730" w14:textId="3EABC55C" w:rsidR="00DD0D77" w:rsidRPr="0014270C" w:rsidRDefault="00DD0D77" w:rsidP="00DD0D77">
      <w:pPr>
        <w:spacing w:line="480" w:lineRule="auto"/>
        <w:jc w:val="center"/>
        <w:rPr>
          <w:rFonts w:ascii="Bookman Old Style" w:hAnsi="Bookman Old Style"/>
          <w:sz w:val="24"/>
          <w:szCs w:val="24"/>
        </w:rPr>
      </w:pPr>
      <w:r w:rsidRPr="0014270C">
        <w:rPr>
          <w:rFonts w:ascii="Bookman Old Style" w:hAnsi="Bookman Old Style"/>
          <w:noProof/>
          <w:sz w:val="24"/>
          <w:szCs w:val="24"/>
        </w:rPr>
        <w:drawing>
          <wp:inline distT="0" distB="0" distL="0" distR="0" wp14:anchorId="70D7E60C" wp14:editId="25A15FCF">
            <wp:extent cx="3895725" cy="13380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er.png"/>
                    <pic:cNvPicPr/>
                  </pic:nvPicPr>
                  <pic:blipFill>
                    <a:blip r:embed="rId19">
                      <a:extLst>
                        <a:ext uri="{28A0092B-C50C-407E-A947-70E740481C1C}">
                          <a14:useLocalDpi xmlns:a14="http://schemas.microsoft.com/office/drawing/2010/main" val="0"/>
                        </a:ext>
                      </a:extLst>
                    </a:blip>
                    <a:stretch>
                      <a:fillRect/>
                    </a:stretch>
                  </pic:blipFill>
                  <pic:spPr>
                    <a:xfrm>
                      <a:off x="0" y="0"/>
                      <a:ext cx="3969977" cy="1363568"/>
                    </a:xfrm>
                    <a:prstGeom prst="rect">
                      <a:avLst/>
                    </a:prstGeom>
                  </pic:spPr>
                </pic:pic>
              </a:graphicData>
            </a:graphic>
          </wp:inline>
        </w:drawing>
      </w:r>
    </w:p>
    <w:p w14:paraId="44C22D9F" w14:textId="45D9773D" w:rsidR="008B3510" w:rsidRPr="0014270C" w:rsidRDefault="007860B2" w:rsidP="007860B2">
      <w:pPr>
        <w:pStyle w:val="THESISFigureHead"/>
      </w:pPr>
      <w:bookmarkStart w:id="69" w:name="_Toc8062335"/>
      <w:r w:rsidRPr="0014270C">
        <w:t xml:space="preserve">Figure </w:t>
      </w:r>
      <w:r w:rsidR="00F02F70" w:rsidRPr="0014270C">
        <w:t>6</w:t>
      </w:r>
      <w:r w:rsidRPr="0014270C">
        <w:t xml:space="preserve">. </w:t>
      </w:r>
      <w:r w:rsidR="00B14A2F" w:rsidRPr="0014270C">
        <w:t>Average water usage in an off-grid tiny house.</w:t>
      </w:r>
      <w:bookmarkEnd w:id="69"/>
    </w:p>
    <w:p w14:paraId="7C16C3F6" w14:textId="63ECFFF2" w:rsidR="00567DD7" w:rsidRPr="0014270C" w:rsidRDefault="007A7F03" w:rsidP="00B93546">
      <w:pPr>
        <w:pStyle w:val="THESISLVL3"/>
      </w:pPr>
      <w:bookmarkStart w:id="70" w:name="_Toc8062300"/>
      <w:r w:rsidRPr="0014270C">
        <w:t xml:space="preserve">Social </w:t>
      </w:r>
      <w:r w:rsidR="00CA39C2" w:rsidRPr="0014270C">
        <w:t>Dimension</w:t>
      </w:r>
      <w:bookmarkEnd w:id="70"/>
    </w:p>
    <w:p w14:paraId="7E7FB13F" w14:textId="74C16352" w:rsidR="00045328" w:rsidRPr="0014270C" w:rsidRDefault="00045328" w:rsidP="00A44129">
      <w:pPr>
        <w:spacing w:line="480" w:lineRule="auto"/>
        <w:ind w:firstLine="720"/>
        <w:rPr>
          <w:rFonts w:ascii="Bookman Old Style" w:hAnsi="Bookman Old Style"/>
          <w:sz w:val="24"/>
          <w:szCs w:val="24"/>
        </w:rPr>
      </w:pPr>
      <w:bookmarkStart w:id="71" w:name="_Toc8062301"/>
      <w:r w:rsidRPr="0014270C">
        <w:rPr>
          <w:rStyle w:val="THESISLVL4Char"/>
        </w:rPr>
        <w:t>Formaldehyde exposure</w:t>
      </w:r>
      <w:bookmarkEnd w:id="71"/>
      <w:r w:rsidRPr="0014270C">
        <w:rPr>
          <w:rFonts w:ascii="Bookman Old Style" w:hAnsi="Bookman Old Style"/>
          <w:sz w:val="24"/>
          <w:szCs w:val="24"/>
        </w:rPr>
        <w:t xml:space="preserve">. As of 2012, the CDC, among other health organizations such as the </w:t>
      </w:r>
      <w:r w:rsidR="006B14F3" w:rsidRPr="0014270C">
        <w:rPr>
          <w:rFonts w:ascii="Bookman Old Style" w:hAnsi="Bookman Old Style"/>
          <w:sz w:val="24"/>
          <w:szCs w:val="24"/>
        </w:rPr>
        <w:t>World Health Organization</w:t>
      </w:r>
      <w:r w:rsidRPr="0014270C">
        <w:rPr>
          <w:rFonts w:ascii="Bookman Old Style" w:hAnsi="Bookman Old Style"/>
          <w:sz w:val="24"/>
          <w:szCs w:val="24"/>
        </w:rPr>
        <w:t xml:space="preserve">, recognize 40 parts per billion (ppb) to be a level at which formaldehyde can cause acute symptoms such as nose bleeds, headaches, and dizziness in sensitive individuals, particularly children or the elderly. Intermediate levels of exposure can occur at 30 ppb, while chronic conditions can occur at levels as low as eight ppb. This </w:t>
      </w:r>
      <w:r w:rsidRPr="0014270C">
        <w:rPr>
          <w:rFonts w:ascii="Bookman Old Style" w:hAnsi="Bookman Old Style"/>
          <w:sz w:val="24"/>
          <w:szCs w:val="24"/>
        </w:rPr>
        <w:lastRenderedPageBreak/>
        <w:t>suggests that no level above eight ppb of formaldehyde exposure is safe for an extended duration.</w:t>
      </w:r>
      <w:r w:rsidRPr="0014270C">
        <w:rPr>
          <w:rStyle w:val="FootnoteReference"/>
          <w:rFonts w:ascii="Bookman Old Style" w:hAnsi="Bookman Old Style"/>
          <w:sz w:val="24"/>
          <w:szCs w:val="24"/>
        </w:rPr>
        <w:footnoteReference w:id="224"/>
      </w:r>
      <w:r w:rsidRPr="0014270C">
        <w:rPr>
          <w:rFonts w:ascii="Bookman Old Style" w:hAnsi="Bookman Old Style"/>
          <w:sz w:val="24"/>
          <w:szCs w:val="24"/>
        </w:rPr>
        <w:t xml:space="preserve"> In 2006, Gulf Stream conducted testing for the carcinogen on a sampling of their occupied and unoccupied trailers. Despite knowledge of toxic levels of formaldehyde found in those inspections, the company kept quiet on this matter. It </w:t>
      </w:r>
      <w:proofErr w:type="gramStart"/>
      <w:r w:rsidRPr="0014270C">
        <w:rPr>
          <w:rFonts w:ascii="Bookman Old Style" w:hAnsi="Bookman Old Style"/>
          <w:sz w:val="24"/>
          <w:szCs w:val="24"/>
        </w:rPr>
        <w:t>was later discovered</w:t>
      </w:r>
      <w:proofErr w:type="gramEnd"/>
      <w:r w:rsidRPr="0014270C">
        <w:rPr>
          <w:rFonts w:ascii="Bookman Old Style" w:hAnsi="Bookman Old Style"/>
          <w:sz w:val="24"/>
          <w:szCs w:val="24"/>
        </w:rPr>
        <w:t xml:space="preserve"> that their results revealed CH</w:t>
      </w:r>
      <w:r w:rsidRPr="0014270C">
        <w:rPr>
          <w:rFonts w:ascii="Bookman Old Style" w:hAnsi="Bookman Old Style"/>
          <w:sz w:val="24"/>
          <w:szCs w:val="24"/>
          <w:vertAlign w:val="subscript"/>
        </w:rPr>
        <w:t>2</w:t>
      </w:r>
      <w:r w:rsidRPr="0014270C">
        <w:rPr>
          <w:rFonts w:ascii="Bookman Old Style" w:hAnsi="Bookman Old Style"/>
          <w:sz w:val="24"/>
          <w:szCs w:val="24"/>
        </w:rPr>
        <w:t>O levels over 100 ppb in every trailer tested, with some trailers testing as high as 4,000 ppb.</w:t>
      </w:r>
      <w:r w:rsidRPr="0014270C">
        <w:rPr>
          <w:rStyle w:val="FootnoteReference"/>
          <w:rFonts w:ascii="Bookman Old Style" w:hAnsi="Bookman Old Style"/>
          <w:sz w:val="24"/>
          <w:szCs w:val="24"/>
        </w:rPr>
        <w:footnoteReference w:id="225"/>
      </w:r>
      <w:r w:rsidRPr="0014270C">
        <w:rPr>
          <w:rFonts w:ascii="Bookman Old Style" w:hAnsi="Bookman Old Style"/>
          <w:sz w:val="24"/>
          <w:szCs w:val="24"/>
        </w:rPr>
        <w:t xml:space="preserve"> </w:t>
      </w:r>
    </w:p>
    <w:p w14:paraId="78195285" w14:textId="132AD08D" w:rsidR="00045328" w:rsidRPr="0014270C" w:rsidRDefault="00045328" w:rsidP="00A44129">
      <w:pPr>
        <w:spacing w:line="480" w:lineRule="auto"/>
        <w:ind w:firstLine="720"/>
        <w:rPr>
          <w:rFonts w:ascii="Bookman Old Style" w:hAnsi="Bookman Old Style"/>
          <w:sz w:val="24"/>
          <w:szCs w:val="24"/>
        </w:rPr>
      </w:pPr>
      <w:bookmarkStart w:id="72" w:name="_Toc8062302"/>
      <w:r w:rsidRPr="0014270C">
        <w:rPr>
          <w:rStyle w:val="THESISLVL4Char"/>
        </w:rPr>
        <w:t>Indoor environment</w:t>
      </w:r>
      <w:bookmarkEnd w:id="72"/>
      <w:r w:rsidRPr="0014270C">
        <w:rPr>
          <w:rFonts w:ascii="Bookman Old Style" w:hAnsi="Bookman Old Style"/>
          <w:sz w:val="24"/>
          <w:szCs w:val="24"/>
        </w:rPr>
        <w:t xml:space="preserve">. A field test done on the units by Yan Wang et al. showed indoor air temperature was consistently higher than outdoor temperature, showing a maximum difference of 27 degrees Fahrenheit (15 degrees Celsius), compared to a 16.2-degree Fahrenheit (9-degree Celsius) difference when </w:t>
      </w:r>
      <w:r w:rsidR="00A44129" w:rsidRPr="0014270C">
        <w:rPr>
          <w:rFonts w:ascii="Bookman Old Style" w:hAnsi="Bookman Old Style"/>
          <w:sz w:val="24"/>
          <w:szCs w:val="24"/>
        </w:rPr>
        <w:t xml:space="preserve">allowing </w:t>
      </w:r>
      <w:r w:rsidRPr="0014270C">
        <w:rPr>
          <w:rFonts w:ascii="Bookman Old Style" w:hAnsi="Bookman Old Style"/>
          <w:noProof/>
          <w:sz w:val="24"/>
          <w:szCs w:val="24"/>
        </w:rPr>
        <w:t>airflow</w:t>
      </w:r>
      <w:r w:rsidRPr="0014270C">
        <w:rPr>
          <w:rFonts w:ascii="Bookman Old Style" w:hAnsi="Bookman Old Style"/>
          <w:sz w:val="24"/>
          <w:szCs w:val="24"/>
        </w:rPr>
        <w:t xml:space="preserve"> via open windows and doors.</w:t>
      </w:r>
      <w:r w:rsidRPr="0014270C">
        <w:rPr>
          <w:rStyle w:val="FootnoteReference"/>
          <w:rFonts w:ascii="Bookman Old Style" w:hAnsi="Bookman Old Style"/>
          <w:sz w:val="24"/>
          <w:szCs w:val="24"/>
        </w:rPr>
        <w:footnoteReference w:id="226"/>
      </w:r>
      <w:r w:rsidR="00A44129" w:rsidRPr="0014270C">
        <w:rPr>
          <w:rFonts w:ascii="Bookman Old Style" w:hAnsi="Bookman Old Style"/>
          <w:sz w:val="24"/>
          <w:szCs w:val="24"/>
        </w:rPr>
        <w:t xml:space="preserve"> </w:t>
      </w:r>
      <w:r w:rsidRPr="0014270C">
        <w:rPr>
          <w:rFonts w:ascii="Bookman Old Style" w:hAnsi="Bookman Old Style"/>
          <w:sz w:val="24"/>
          <w:szCs w:val="24"/>
        </w:rPr>
        <w:t xml:space="preserve">The same study provided a questionnaire for victims, asking them to rate their sleep quality and mental state. The results of the 300 returned surveys showed 50% experiencing lower sleep quality after moving into the prefabricated relief housing </w:t>
      </w:r>
      <w:r w:rsidR="00AE0908" w:rsidRPr="0014270C">
        <w:rPr>
          <w:rFonts w:ascii="Bookman Old Style" w:hAnsi="Bookman Old Style"/>
          <w:sz w:val="24"/>
          <w:szCs w:val="24"/>
        </w:rPr>
        <w:t>possibly</w:t>
      </w:r>
      <w:r w:rsidRPr="0014270C">
        <w:rPr>
          <w:rFonts w:ascii="Bookman Old Style" w:hAnsi="Bookman Old Style"/>
          <w:sz w:val="24"/>
          <w:szCs w:val="24"/>
        </w:rPr>
        <w:t xml:space="preserve"> contribut</w:t>
      </w:r>
      <w:r w:rsidR="00AE0908" w:rsidRPr="0014270C">
        <w:rPr>
          <w:rFonts w:ascii="Bookman Old Style" w:hAnsi="Bookman Old Style"/>
          <w:sz w:val="24"/>
          <w:szCs w:val="24"/>
        </w:rPr>
        <w:t>ing</w:t>
      </w:r>
      <w:r w:rsidRPr="0014270C">
        <w:rPr>
          <w:rFonts w:ascii="Bookman Old Style" w:hAnsi="Bookman Old Style"/>
          <w:sz w:val="24"/>
          <w:szCs w:val="24"/>
        </w:rPr>
        <w:t xml:space="preserve"> to a worsening mental state, something that was reported in over 80% of victims’ responses.</w:t>
      </w:r>
      <w:r w:rsidRPr="0014270C">
        <w:rPr>
          <w:rStyle w:val="FootnoteReference"/>
          <w:rFonts w:ascii="Bookman Old Style" w:hAnsi="Bookman Old Style"/>
          <w:sz w:val="24"/>
          <w:szCs w:val="24"/>
        </w:rPr>
        <w:footnoteReference w:id="227"/>
      </w:r>
      <w:r w:rsidRPr="0014270C">
        <w:rPr>
          <w:rFonts w:ascii="Bookman Old Style" w:hAnsi="Bookman Old Style"/>
          <w:sz w:val="24"/>
          <w:szCs w:val="24"/>
        </w:rPr>
        <w:t xml:space="preserve"> Additionally, the study shows that 58.6% of victims noted a loss of body weight. Increase in body temperature </w:t>
      </w:r>
      <w:r w:rsidRPr="0014270C">
        <w:rPr>
          <w:rFonts w:ascii="Bookman Old Style" w:hAnsi="Bookman Old Style"/>
          <w:sz w:val="24"/>
          <w:szCs w:val="24"/>
        </w:rPr>
        <w:lastRenderedPageBreak/>
        <w:t xml:space="preserve">has </w:t>
      </w:r>
      <w:proofErr w:type="gramStart"/>
      <w:r w:rsidRPr="0014270C">
        <w:rPr>
          <w:rFonts w:ascii="Bookman Old Style" w:hAnsi="Bookman Old Style"/>
          <w:sz w:val="24"/>
          <w:szCs w:val="24"/>
        </w:rPr>
        <w:t>been demonstrated</w:t>
      </w:r>
      <w:proofErr w:type="gramEnd"/>
      <w:r w:rsidRPr="0014270C">
        <w:rPr>
          <w:rFonts w:ascii="Bookman Old Style" w:hAnsi="Bookman Old Style"/>
          <w:sz w:val="24"/>
          <w:szCs w:val="24"/>
        </w:rPr>
        <w:t xml:space="preserve"> to suppress appetite;</w:t>
      </w:r>
      <w:r w:rsidRPr="0014270C">
        <w:rPr>
          <w:rStyle w:val="FootnoteReference"/>
          <w:rFonts w:ascii="Bookman Old Style" w:hAnsi="Bookman Old Style"/>
          <w:sz w:val="24"/>
          <w:szCs w:val="24"/>
        </w:rPr>
        <w:footnoteReference w:id="228"/>
      </w:r>
      <w:r w:rsidRPr="0014270C">
        <w:rPr>
          <w:rFonts w:ascii="Bookman Old Style" w:hAnsi="Bookman Old Style"/>
          <w:sz w:val="24"/>
          <w:szCs w:val="24"/>
        </w:rPr>
        <w:t xml:space="preserve"> consequently, the researchers concluded that victim weight loss was due to the indoor air temperature leading to a loss of appetite, which was reported in 54.5% of victims.</w:t>
      </w:r>
      <w:r w:rsidRPr="0014270C">
        <w:rPr>
          <w:rStyle w:val="FootnoteReference"/>
          <w:rFonts w:ascii="Bookman Old Style" w:hAnsi="Bookman Old Style"/>
          <w:sz w:val="24"/>
          <w:szCs w:val="24"/>
        </w:rPr>
        <w:footnoteReference w:id="229"/>
      </w:r>
      <w:r w:rsidRPr="0014270C">
        <w:rPr>
          <w:rFonts w:ascii="Bookman Old Style" w:hAnsi="Bookman Old Style"/>
          <w:sz w:val="24"/>
          <w:szCs w:val="24"/>
        </w:rPr>
        <w:t xml:space="preserve"> Sickness was also reported to have increased. The study shows that 44.4% of disaster victims visited their doctors more often after moving into relief housing due to cold, fever, heatstroke, diarrhea, and dyspepsia.</w:t>
      </w:r>
      <w:r w:rsidRPr="0014270C">
        <w:rPr>
          <w:rStyle w:val="FootnoteReference"/>
          <w:rFonts w:ascii="Bookman Old Style" w:hAnsi="Bookman Old Style"/>
          <w:sz w:val="24"/>
          <w:szCs w:val="24"/>
        </w:rPr>
        <w:footnoteReference w:id="230"/>
      </w:r>
      <w:r w:rsidRPr="0014270C">
        <w:rPr>
          <w:rFonts w:ascii="Bookman Old Style" w:hAnsi="Bookman Old Style"/>
          <w:sz w:val="24"/>
          <w:szCs w:val="24"/>
        </w:rPr>
        <w:t xml:space="preserve"> </w:t>
      </w:r>
    </w:p>
    <w:p w14:paraId="419496FF" w14:textId="1E457612" w:rsidR="00810769" w:rsidRPr="0014270C" w:rsidRDefault="00045328" w:rsidP="00567DD7">
      <w:pPr>
        <w:spacing w:line="480" w:lineRule="auto"/>
        <w:ind w:firstLine="720"/>
        <w:rPr>
          <w:rFonts w:ascii="Bookman Old Style" w:hAnsi="Bookman Old Style"/>
          <w:sz w:val="24"/>
          <w:szCs w:val="24"/>
        </w:rPr>
      </w:pPr>
      <w:bookmarkStart w:id="73" w:name="_Toc8062303"/>
      <w:r w:rsidRPr="0014270C">
        <w:rPr>
          <w:rStyle w:val="THESISLVL4Char"/>
        </w:rPr>
        <w:t>Social capital</w:t>
      </w:r>
      <w:bookmarkEnd w:id="73"/>
      <w:r w:rsidRPr="0014270C">
        <w:rPr>
          <w:rFonts w:ascii="Bookman Old Style" w:hAnsi="Bookman Old Style"/>
          <w:sz w:val="24"/>
          <w:szCs w:val="24"/>
        </w:rPr>
        <w:t xml:space="preserve">. </w:t>
      </w:r>
      <w:r w:rsidR="00F03192" w:rsidRPr="0014270C">
        <w:rPr>
          <w:rFonts w:ascii="Bookman Old Style" w:hAnsi="Bookman Old Style"/>
          <w:sz w:val="24"/>
          <w:szCs w:val="24"/>
        </w:rPr>
        <w:t>T</w:t>
      </w:r>
      <w:r w:rsidR="00D10BDC" w:rsidRPr="0014270C">
        <w:rPr>
          <w:rFonts w:ascii="Bookman Old Style" w:hAnsi="Bookman Old Style"/>
          <w:sz w:val="24"/>
          <w:szCs w:val="24"/>
        </w:rPr>
        <w:t xml:space="preserve">hrough networking and building trust </w:t>
      </w:r>
      <w:r w:rsidR="00C57413" w:rsidRPr="0014270C">
        <w:rPr>
          <w:rFonts w:ascii="Bookman Old Style" w:hAnsi="Bookman Old Style"/>
          <w:sz w:val="24"/>
          <w:szCs w:val="24"/>
        </w:rPr>
        <w:t xml:space="preserve">between </w:t>
      </w:r>
      <w:proofErr w:type="gramStart"/>
      <w:r w:rsidR="00C57413" w:rsidRPr="0014270C">
        <w:rPr>
          <w:rFonts w:ascii="Bookman Old Style" w:hAnsi="Bookman Old Style"/>
          <w:sz w:val="24"/>
          <w:szCs w:val="24"/>
        </w:rPr>
        <w:t>local residents</w:t>
      </w:r>
      <w:proofErr w:type="gramEnd"/>
      <w:r w:rsidR="00C57413" w:rsidRPr="0014270C">
        <w:rPr>
          <w:rFonts w:ascii="Bookman Old Style" w:hAnsi="Bookman Old Style"/>
          <w:sz w:val="24"/>
          <w:szCs w:val="24"/>
        </w:rPr>
        <w:t>, businesses, organizations, and governments, strong social capital can be established</w:t>
      </w:r>
      <w:r w:rsidR="000747EB" w:rsidRPr="0014270C">
        <w:rPr>
          <w:rFonts w:ascii="Bookman Old Style" w:hAnsi="Bookman Old Style"/>
          <w:sz w:val="24"/>
          <w:szCs w:val="24"/>
        </w:rPr>
        <w:t xml:space="preserve">. </w:t>
      </w:r>
      <w:r w:rsidR="0066741B" w:rsidRPr="0014270C">
        <w:rPr>
          <w:rFonts w:ascii="Bookman Old Style" w:hAnsi="Bookman Old Style"/>
          <w:sz w:val="24"/>
          <w:szCs w:val="24"/>
        </w:rPr>
        <w:t>According to</w:t>
      </w:r>
      <w:r w:rsidR="00BD07BE" w:rsidRPr="0014270C">
        <w:rPr>
          <w:rFonts w:ascii="Bookman Old Style" w:hAnsi="Bookman Old Style"/>
          <w:sz w:val="24"/>
          <w:szCs w:val="24"/>
        </w:rPr>
        <w:t xml:space="preserve"> Shaw and Nakagawa, this conn</w:t>
      </w:r>
      <w:r w:rsidR="00152E9A" w:rsidRPr="0014270C">
        <w:rPr>
          <w:rFonts w:ascii="Bookman Old Style" w:hAnsi="Bookman Old Style"/>
          <w:sz w:val="24"/>
          <w:szCs w:val="24"/>
        </w:rPr>
        <w:t>ection provides a pivotal role in disaster recovery</w:t>
      </w:r>
      <w:r w:rsidR="00514088" w:rsidRPr="0014270C">
        <w:rPr>
          <w:rFonts w:ascii="Bookman Old Style" w:hAnsi="Bookman Old Style"/>
          <w:sz w:val="24"/>
          <w:szCs w:val="24"/>
        </w:rPr>
        <w:t>, demonstrating in their study</w:t>
      </w:r>
      <w:r w:rsidR="00237EC5" w:rsidRPr="0014270C">
        <w:rPr>
          <w:rFonts w:ascii="Bookman Old Style" w:hAnsi="Bookman Old Style"/>
          <w:sz w:val="24"/>
          <w:szCs w:val="24"/>
        </w:rPr>
        <w:t xml:space="preserve"> that communities with</w:t>
      </w:r>
      <w:r w:rsidR="007476D2" w:rsidRPr="0014270C">
        <w:rPr>
          <w:rFonts w:ascii="Bookman Old Style" w:hAnsi="Bookman Old Style"/>
          <w:sz w:val="24"/>
          <w:szCs w:val="24"/>
        </w:rPr>
        <w:t xml:space="preserve"> strong social capital </w:t>
      </w:r>
      <w:proofErr w:type="gramStart"/>
      <w:r w:rsidR="007476D2" w:rsidRPr="0014270C">
        <w:rPr>
          <w:rFonts w:ascii="Bookman Old Style" w:hAnsi="Bookman Old Style"/>
          <w:sz w:val="24"/>
          <w:szCs w:val="24"/>
        </w:rPr>
        <w:t>are able to</w:t>
      </w:r>
      <w:proofErr w:type="gramEnd"/>
      <w:r w:rsidR="007476D2" w:rsidRPr="0014270C">
        <w:rPr>
          <w:rFonts w:ascii="Bookman Old Style" w:hAnsi="Bookman Old Style"/>
          <w:sz w:val="24"/>
          <w:szCs w:val="24"/>
        </w:rPr>
        <w:t xml:space="preserve"> recover</w:t>
      </w:r>
      <w:r w:rsidR="00237EC5" w:rsidRPr="0014270C">
        <w:rPr>
          <w:rFonts w:ascii="Bookman Old Style" w:hAnsi="Bookman Old Style"/>
          <w:sz w:val="24"/>
          <w:szCs w:val="24"/>
        </w:rPr>
        <w:t xml:space="preserve"> faster</w:t>
      </w:r>
      <w:r w:rsidR="007476D2" w:rsidRPr="0014270C">
        <w:rPr>
          <w:rFonts w:ascii="Bookman Old Style" w:hAnsi="Bookman Old Style"/>
          <w:sz w:val="24"/>
          <w:szCs w:val="24"/>
        </w:rPr>
        <w:t xml:space="preserve"> and </w:t>
      </w:r>
      <w:r w:rsidR="00237EC5" w:rsidRPr="0014270C">
        <w:rPr>
          <w:rFonts w:ascii="Bookman Old Style" w:hAnsi="Bookman Old Style"/>
          <w:sz w:val="24"/>
          <w:szCs w:val="24"/>
        </w:rPr>
        <w:t>more effective</w:t>
      </w:r>
      <w:r w:rsidR="007476D2" w:rsidRPr="0014270C">
        <w:rPr>
          <w:rFonts w:ascii="Bookman Old Style" w:hAnsi="Bookman Old Style"/>
          <w:sz w:val="24"/>
          <w:szCs w:val="24"/>
        </w:rPr>
        <w:t>ly, regardless of income.</w:t>
      </w:r>
      <w:r w:rsidR="00F03192" w:rsidRPr="0014270C">
        <w:rPr>
          <w:rFonts w:ascii="Bookman Old Style" w:hAnsi="Bookman Old Style"/>
          <w:sz w:val="24"/>
          <w:szCs w:val="24"/>
        </w:rPr>
        <w:t xml:space="preserve"> The literature </w:t>
      </w:r>
      <w:proofErr w:type="gramStart"/>
      <w:r w:rsidR="00F03192" w:rsidRPr="0014270C">
        <w:rPr>
          <w:rFonts w:ascii="Bookman Old Style" w:hAnsi="Bookman Old Style"/>
          <w:sz w:val="24"/>
          <w:szCs w:val="24"/>
        </w:rPr>
        <w:t>is reviewed</w:t>
      </w:r>
      <w:proofErr w:type="gramEnd"/>
      <w:r w:rsidR="00F03192" w:rsidRPr="0014270C">
        <w:rPr>
          <w:rFonts w:ascii="Bookman Old Style" w:hAnsi="Bookman Old Style"/>
          <w:sz w:val="24"/>
          <w:szCs w:val="24"/>
        </w:rPr>
        <w:t xml:space="preserve"> to gain an understanding of </w:t>
      </w:r>
      <w:r w:rsidR="00E93981" w:rsidRPr="0014270C">
        <w:rPr>
          <w:rFonts w:ascii="Bookman Old Style" w:hAnsi="Bookman Old Style"/>
          <w:sz w:val="24"/>
          <w:szCs w:val="24"/>
        </w:rPr>
        <w:t xml:space="preserve">the ways in which </w:t>
      </w:r>
      <w:r w:rsidR="00F03192" w:rsidRPr="0014270C">
        <w:rPr>
          <w:rFonts w:ascii="Bookman Old Style" w:hAnsi="Bookman Old Style"/>
          <w:sz w:val="24"/>
          <w:szCs w:val="24"/>
        </w:rPr>
        <w:t>healthy, decent, and safe housing can be established</w:t>
      </w:r>
      <w:r w:rsidR="00A3760E" w:rsidRPr="0014270C">
        <w:rPr>
          <w:rFonts w:ascii="Bookman Old Style" w:hAnsi="Bookman Old Style"/>
          <w:sz w:val="24"/>
          <w:szCs w:val="24"/>
        </w:rPr>
        <w:t xml:space="preserve">. </w:t>
      </w:r>
      <w:r w:rsidR="00C91C18" w:rsidRPr="0014270C">
        <w:rPr>
          <w:rFonts w:ascii="Bookman Old Style" w:hAnsi="Bookman Old Style"/>
          <w:sz w:val="24"/>
          <w:szCs w:val="24"/>
        </w:rPr>
        <w:t xml:space="preserve">Further, </w:t>
      </w:r>
      <w:r w:rsidR="0077733B" w:rsidRPr="0014270C">
        <w:rPr>
          <w:rFonts w:ascii="Bookman Old Style" w:hAnsi="Bookman Old Style"/>
          <w:sz w:val="24"/>
          <w:szCs w:val="24"/>
        </w:rPr>
        <w:t>it is</w:t>
      </w:r>
      <w:r w:rsidR="00C91C18" w:rsidRPr="0014270C">
        <w:rPr>
          <w:rFonts w:ascii="Bookman Old Style" w:hAnsi="Bookman Old Style"/>
          <w:sz w:val="24"/>
          <w:szCs w:val="24"/>
        </w:rPr>
        <w:t xml:space="preserve"> determine</w:t>
      </w:r>
      <w:r w:rsidR="0077733B" w:rsidRPr="0014270C">
        <w:rPr>
          <w:rFonts w:ascii="Bookman Old Style" w:hAnsi="Bookman Old Style"/>
          <w:sz w:val="24"/>
          <w:szCs w:val="24"/>
        </w:rPr>
        <w:t xml:space="preserve">d whether social capital </w:t>
      </w:r>
      <w:r w:rsidR="00F03192" w:rsidRPr="0014270C">
        <w:rPr>
          <w:rFonts w:ascii="Bookman Old Style" w:hAnsi="Bookman Old Style"/>
          <w:sz w:val="24"/>
          <w:szCs w:val="24"/>
        </w:rPr>
        <w:t xml:space="preserve">can assist with the implementation of a lasting solution for housing victims after a hurricane. </w:t>
      </w:r>
      <w:r w:rsidR="009B3259" w:rsidRPr="0014270C">
        <w:rPr>
          <w:rFonts w:ascii="Bookman Old Style" w:hAnsi="Bookman Old Style"/>
          <w:sz w:val="24"/>
          <w:szCs w:val="24"/>
        </w:rPr>
        <w:t xml:space="preserve"> </w:t>
      </w:r>
    </w:p>
    <w:p w14:paraId="3A681649" w14:textId="77777777" w:rsidR="0097339E" w:rsidRPr="0014270C" w:rsidRDefault="00CA39C2" w:rsidP="003F34A1">
      <w:pPr>
        <w:pStyle w:val="THESISbody"/>
      </w:pPr>
      <w:bookmarkStart w:id="74" w:name="_Toc8062304"/>
      <w:r w:rsidRPr="0014270C">
        <w:rPr>
          <w:rStyle w:val="THESISLVL3Char"/>
        </w:rPr>
        <w:t>Cultural Dimension</w:t>
      </w:r>
      <w:bookmarkEnd w:id="74"/>
      <w:r w:rsidR="00EF19E8" w:rsidRPr="0014270C">
        <w:tab/>
      </w:r>
    </w:p>
    <w:p w14:paraId="7CED66ED" w14:textId="6DEB99FB" w:rsidR="00E94C2B" w:rsidRPr="0014270C" w:rsidRDefault="006E39A5" w:rsidP="0097339E">
      <w:pPr>
        <w:pStyle w:val="THESISbody"/>
        <w:ind w:firstLine="720"/>
      </w:pPr>
      <w:r w:rsidRPr="0014270C">
        <w:t>I</w:t>
      </w:r>
      <w:r w:rsidR="005E1244" w:rsidRPr="0014270C">
        <w:t xml:space="preserve">nterpreting the cultural dimension of the sustainable housing framework, </w:t>
      </w:r>
      <w:proofErr w:type="gramStart"/>
      <w:r w:rsidR="006B7CE8" w:rsidRPr="0014270C">
        <w:t>home-making</w:t>
      </w:r>
      <w:proofErr w:type="gramEnd"/>
      <w:r w:rsidR="006B7CE8" w:rsidRPr="0014270C">
        <w:t xml:space="preserve"> </w:t>
      </w:r>
      <w:r w:rsidR="00182F5E" w:rsidRPr="0014270C">
        <w:t xml:space="preserve">is considered as a potential key factor </w:t>
      </w:r>
      <w:r w:rsidR="006B7CE8" w:rsidRPr="0014270C">
        <w:t xml:space="preserve">to provide for more than the basic necessities of life. </w:t>
      </w:r>
      <w:r w:rsidR="00CA419D" w:rsidRPr="0014270C">
        <w:t xml:space="preserve">Services such as job training and access </w:t>
      </w:r>
      <w:r w:rsidR="00CA419D" w:rsidRPr="0014270C">
        <w:lastRenderedPageBreak/>
        <w:t xml:space="preserve">to gathering places </w:t>
      </w:r>
      <w:proofErr w:type="gramStart"/>
      <w:r w:rsidR="00701570" w:rsidRPr="0014270C">
        <w:t>are</w:t>
      </w:r>
      <w:r w:rsidR="00CA419D" w:rsidRPr="0014270C">
        <w:t xml:space="preserve"> also considered</w:t>
      </w:r>
      <w:proofErr w:type="gramEnd"/>
      <w:r w:rsidR="00CA419D" w:rsidRPr="0014270C">
        <w:t xml:space="preserve"> as important factors </w:t>
      </w:r>
      <w:r w:rsidR="00701570" w:rsidRPr="0014270C">
        <w:t>for</w:t>
      </w:r>
      <w:r w:rsidR="00CA419D" w:rsidRPr="0014270C">
        <w:t xml:space="preserve"> developing a resilient system. </w:t>
      </w:r>
      <w:r w:rsidR="004C72EC" w:rsidRPr="0014270C">
        <w:t xml:space="preserve">The Lower Ninth Ward and </w:t>
      </w:r>
      <w:proofErr w:type="spellStart"/>
      <w:r w:rsidR="004C72EC" w:rsidRPr="0014270C">
        <w:t>Kashmere</w:t>
      </w:r>
      <w:proofErr w:type="spellEnd"/>
      <w:r w:rsidR="004C72EC" w:rsidRPr="0014270C">
        <w:t xml:space="preserve"> Gardens were two </w:t>
      </w:r>
      <w:r w:rsidR="0069084B" w:rsidRPr="0014270C">
        <w:t>of the neighborhoods reviewed</w:t>
      </w:r>
      <w:r w:rsidR="00112173" w:rsidRPr="0014270C">
        <w:t xml:space="preserve"> to gain an</w:t>
      </w:r>
      <w:r w:rsidR="0069084B" w:rsidRPr="0014270C">
        <w:t xml:space="preserve"> understanding </w:t>
      </w:r>
      <w:r w:rsidR="00112173" w:rsidRPr="0014270C">
        <w:t xml:space="preserve">of </w:t>
      </w:r>
      <w:r w:rsidR="0069084B" w:rsidRPr="0014270C">
        <w:t xml:space="preserve">the background and social connections </w:t>
      </w:r>
      <w:r w:rsidR="00422364" w:rsidRPr="0014270C">
        <w:t>in</w:t>
      </w:r>
      <w:r w:rsidR="0069084B" w:rsidRPr="0014270C">
        <w:t xml:space="preserve"> the areas</w:t>
      </w:r>
      <w:r w:rsidR="00701570" w:rsidRPr="0014270C">
        <w:t xml:space="preserve"> impacted most </w:t>
      </w:r>
      <w:r w:rsidR="00427AF4" w:rsidRPr="0014270C">
        <w:t>from Hurricanes Katrina and Harvey</w:t>
      </w:r>
      <w:r w:rsidR="00FC791C" w:rsidRPr="0014270C">
        <w:t xml:space="preserve">. It </w:t>
      </w:r>
      <w:proofErr w:type="gramStart"/>
      <w:r w:rsidR="00FC791C" w:rsidRPr="0014270C">
        <w:t xml:space="preserve">is </w:t>
      </w:r>
      <w:r w:rsidR="00871582">
        <w:t>noted</w:t>
      </w:r>
      <w:proofErr w:type="gramEnd"/>
      <w:r w:rsidR="00E55FD6" w:rsidRPr="0014270C">
        <w:t xml:space="preserve"> how nurturing the cultural necessities of </w:t>
      </w:r>
      <w:r w:rsidR="00422364" w:rsidRPr="0014270C">
        <w:t>affected</w:t>
      </w:r>
      <w:r w:rsidR="00E55FD6" w:rsidRPr="0014270C">
        <w:t xml:space="preserve"> </w:t>
      </w:r>
      <w:r w:rsidR="00CA419D" w:rsidRPr="0014270C">
        <w:t xml:space="preserve">communities could improve post-hurricane recovery. </w:t>
      </w:r>
      <w:r w:rsidR="009B0C29" w:rsidRPr="0014270C">
        <w:t xml:space="preserve"> </w:t>
      </w:r>
    </w:p>
    <w:p w14:paraId="5E1D0B23" w14:textId="5A50EC16" w:rsidR="006B3D3F" w:rsidRPr="0014270C" w:rsidRDefault="006B3D3F" w:rsidP="00324DE7">
      <w:pPr>
        <w:pStyle w:val="THESISbody"/>
        <w:ind w:firstLine="720"/>
      </w:pPr>
      <w:r w:rsidRPr="0014270C">
        <w:t xml:space="preserve">The following analysis provides a critical evaluation of </w:t>
      </w:r>
      <w:r w:rsidR="00EF3A4E" w:rsidRPr="0014270C">
        <w:t xml:space="preserve">design strategies </w:t>
      </w:r>
      <w:r w:rsidR="003E5E25" w:rsidRPr="0014270C">
        <w:t xml:space="preserve">to </w:t>
      </w:r>
      <w:r w:rsidRPr="0014270C">
        <w:t>determine if they could contribute to a more resilient system.</w:t>
      </w:r>
      <w:r w:rsidR="00FF4668" w:rsidRPr="0014270C">
        <w:t xml:space="preserve"> By </w:t>
      </w:r>
      <w:r w:rsidR="009426B7" w:rsidRPr="0014270C">
        <w:t>assessing the studies and technologies</w:t>
      </w:r>
      <w:r w:rsidR="00EF3A4E" w:rsidRPr="0014270C">
        <w:t xml:space="preserve"> reviewed in the literature and applying them to the framework provided by </w:t>
      </w:r>
      <w:proofErr w:type="spellStart"/>
      <w:r w:rsidR="00EF3A4E" w:rsidRPr="0014270C">
        <w:t>Ibem</w:t>
      </w:r>
      <w:proofErr w:type="spellEnd"/>
      <w:r w:rsidR="00EF3A4E" w:rsidRPr="0014270C">
        <w:t xml:space="preserve"> and </w:t>
      </w:r>
      <w:proofErr w:type="spellStart"/>
      <w:r w:rsidR="00245BF3" w:rsidRPr="0014270C">
        <w:t>Aduwo</w:t>
      </w:r>
      <w:proofErr w:type="spellEnd"/>
      <w:r w:rsidR="00245BF3" w:rsidRPr="0014270C">
        <w:t xml:space="preserve">, </w:t>
      </w:r>
      <w:r w:rsidR="00B70B7F" w:rsidRPr="0014270C">
        <w:t xml:space="preserve">an understanding of sustainable housing can </w:t>
      </w:r>
      <w:proofErr w:type="gramStart"/>
      <w:r w:rsidR="00B70B7F" w:rsidRPr="0014270C">
        <w:t>be gaine</w:t>
      </w:r>
      <w:r w:rsidR="005E7ED5" w:rsidRPr="0014270C">
        <w:t>d</w:t>
      </w:r>
      <w:proofErr w:type="gramEnd"/>
      <w:r w:rsidR="005E7ED5" w:rsidRPr="0014270C">
        <w:t xml:space="preserve">. </w:t>
      </w:r>
      <w:r w:rsidR="00D1392F" w:rsidRPr="0014270C">
        <w:t>This</w:t>
      </w:r>
      <w:r w:rsidR="005E7ED5" w:rsidRPr="0014270C">
        <w:t xml:space="preserve"> understanding of the dimensions</w:t>
      </w:r>
      <w:r w:rsidR="007F31E3" w:rsidRPr="0014270C">
        <w:t>, processes, and technologies that go into creating sustainable housing</w:t>
      </w:r>
      <w:r w:rsidR="00D1392F" w:rsidRPr="0014270C">
        <w:t xml:space="preserve"> can assist in answering whether there is a more sustainable solution for disaster relief housing than the trailers that have </w:t>
      </w:r>
      <w:proofErr w:type="gramStart"/>
      <w:r w:rsidR="00D1392F" w:rsidRPr="0014270C">
        <w:t>been used</w:t>
      </w:r>
      <w:proofErr w:type="gramEnd"/>
      <w:r w:rsidR="00D1392F" w:rsidRPr="0014270C">
        <w:t xml:space="preserve"> in the past</w:t>
      </w:r>
      <w:r w:rsidR="00286A2D" w:rsidRPr="0014270C">
        <w:t xml:space="preserve">. </w:t>
      </w:r>
      <w:r w:rsidR="008B6A48" w:rsidRPr="0014270C">
        <w:t xml:space="preserve">Once an answer to that question </w:t>
      </w:r>
      <w:proofErr w:type="gramStart"/>
      <w:r w:rsidR="00042199" w:rsidRPr="0014270C">
        <w:t>is able to</w:t>
      </w:r>
      <w:proofErr w:type="gramEnd"/>
      <w:r w:rsidR="008B6A48" w:rsidRPr="0014270C">
        <w:t xml:space="preserve"> be established, the implementation of the solution </w:t>
      </w:r>
      <w:r w:rsidR="00042199" w:rsidRPr="0014270C">
        <w:t>can be discussed.</w:t>
      </w:r>
    </w:p>
    <w:p w14:paraId="51FD0754" w14:textId="77777777" w:rsidR="0070087C" w:rsidRPr="0014270C" w:rsidRDefault="0070087C" w:rsidP="007646E5">
      <w:pPr>
        <w:spacing w:line="480" w:lineRule="auto"/>
        <w:rPr>
          <w:rFonts w:ascii="Bookman Old Style" w:hAnsi="Bookman Old Style"/>
          <w:sz w:val="24"/>
          <w:szCs w:val="24"/>
        </w:rPr>
      </w:pPr>
    </w:p>
    <w:p w14:paraId="1020EB67" w14:textId="1C0756E6" w:rsidR="00540C08" w:rsidRPr="0014270C" w:rsidRDefault="00540C08" w:rsidP="0098227C">
      <w:pPr>
        <w:spacing w:line="480" w:lineRule="auto"/>
        <w:rPr>
          <w:rFonts w:ascii="Bookman Old Style" w:hAnsi="Bookman Old Style"/>
          <w:sz w:val="24"/>
          <w:szCs w:val="24"/>
        </w:rPr>
      </w:pPr>
      <w:r w:rsidRPr="0014270C">
        <w:rPr>
          <w:rFonts w:ascii="Bookman Old Style" w:hAnsi="Bookman Old Style"/>
          <w:sz w:val="24"/>
          <w:szCs w:val="24"/>
        </w:rPr>
        <w:br w:type="page"/>
      </w:r>
    </w:p>
    <w:p w14:paraId="17C15EEA" w14:textId="508674F1" w:rsidR="003F77D8" w:rsidRPr="0014270C" w:rsidRDefault="0045778D" w:rsidP="001F4ED5">
      <w:pPr>
        <w:pStyle w:val="THESISLVL1"/>
      </w:pPr>
      <w:bookmarkStart w:id="75" w:name="_Toc8062305"/>
      <w:r w:rsidRPr="0014270C">
        <w:lastRenderedPageBreak/>
        <w:t>C</w:t>
      </w:r>
      <w:r w:rsidR="00085A40" w:rsidRPr="0014270C">
        <w:t>HAPTER</w:t>
      </w:r>
      <w:r w:rsidRPr="0014270C">
        <w:t xml:space="preserve"> 4: </w:t>
      </w:r>
      <w:r w:rsidR="001A2ABC" w:rsidRPr="0014270C">
        <w:t>A</w:t>
      </w:r>
      <w:r w:rsidR="00085A40" w:rsidRPr="0014270C">
        <w:t>NALYSIS</w:t>
      </w:r>
      <w:bookmarkEnd w:id="75"/>
    </w:p>
    <w:p w14:paraId="3DCF477B" w14:textId="61843ACF" w:rsidR="00A064A3" w:rsidRPr="0014270C" w:rsidRDefault="00A064A3" w:rsidP="00B93546">
      <w:pPr>
        <w:pStyle w:val="THESISLVL2"/>
      </w:pPr>
      <w:bookmarkStart w:id="76" w:name="_Toc8062306"/>
      <w:r w:rsidRPr="0014270C">
        <w:t>4.</w:t>
      </w:r>
      <w:r w:rsidR="00537981" w:rsidRPr="0014270C">
        <w:t>1</w:t>
      </w:r>
      <w:r w:rsidRPr="0014270C">
        <w:t xml:space="preserve"> </w:t>
      </w:r>
      <w:r w:rsidR="001526EF" w:rsidRPr="0014270C">
        <w:t>Financial</w:t>
      </w:r>
      <w:r w:rsidR="00AB5104" w:rsidRPr="0014270C">
        <w:t xml:space="preserve"> Costs</w:t>
      </w:r>
      <w:r w:rsidR="001526EF" w:rsidRPr="0014270C">
        <w:t xml:space="preserve"> of Relief Housing</w:t>
      </w:r>
      <w:bookmarkEnd w:id="76"/>
    </w:p>
    <w:p w14:paraId="0C0B3A1A" w14:textId="356C2238" w:rsidR="00DE2EAC" w:rsidRPr="0014270C" w:rsidRDefault="00F864B9" w:rsidP="00B93546">
      <w:pPr>
        <w:pStyle w:val="THESISLVL3"/>
      </w:pPr>
      <w:bookmarkStart w:id="77" w:name="_Toc8062307"/>
      <w:r w:rsidRPr="0014270C">
        <w:t xml:space="preserve">Unit </w:t>
      </w:r>
      <w:r w:rsidR="00567DD7" w:rsidRPr="0014270C">
        <w:t>C</w:t>
      </w:r>
      <w:r w:rsidRPr="0014270C">
        <w:t>ost</w:t>
      </w:r>
      <w:bookmarkEnd w:id="77"/>
      <w:r w:rsidR="00DE2EAC" w:rsidRPr="0014270C">
        <w:t xml:space="preserve"> </w:t>
      </w:r>
    </w:p>
    <w:p w14:paraId="4DFCBAEF" w14:textId="4C8442A4" w:rsidR="00DE2EAC" w:rsidRPr="0014270C" w:rsidRDefault="00AB777A" w:rsidP="00F76791">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w:t>
      </w:r>
      <w:r w:rsidR="00FE18FD" w:rsidRPr="0014270C">
        <w:rPr>
          <w:rFonts w:ascii="Bookman Old Style" w:hAnsi="Bookman Old Style"/>
          <w:sz w:val="24"/>
          <w:szCs w:val="24"/>
        </w:rPr>
        <w:t>GAO</w:t>
      </w:r>
      <w:r w:rsidRPr="0014270C">
        <w:rPr>
          <w:rFonts w:ascii="Bookman Old Style" w:hAnsi="Bookman Old Style"/>
          <w:sz w:val="24"/>
          <w:szCs w:val="24"/>
        </w:rPr>
        <w:t xml:space="preserve"> provided a report in</w:t>
      </w:r>
      <w:r w:rsidR="00FE18FD" w:rsidRPr="0014270C">
        <w:rPr>
          <w:rFonts w:ascii="Bookman Old Style" w:hAnsi="Bookman Old Style"/>
          <w:sz w:val="24"/>
          <w:szCs w:val="24"/>
        </w:rPr>
        <w:t xml:space="preserve"> 2007 concerning the cost of a selection of individual FEMA trailers at group sites used in Mississippi. </w:t>
      </w:r>
      <w:r w:rsidR="00DE2EAC" w:rsidRPr="0014270C">
        <w:rPr>
          <w:rFonts w:ascii="Bookman Old Style" w:hAnsi="Bookman Old Style"/>
          <w:sz w:val="24"/>
          <w:szCs w:val="24"/>
        </w:rPr>
        <w:t>The unit price at the Port of Bienville Park, one of the group sites researched, included a breakdown of the expense for individual trailers, transport and installation, construction, and maintenance; with the added cost of these services, the figures were well into six digits per trailer, amounting to as much as US$229,000,</w:t>
      </w:r>
      <w:r w:rsidR="00DE2EAC" w:rsidRPr="0014270C">
        <w:rPr>
          <w:rStyle w:val="FootnoteReference"/>
          <w:rFonts w:ascii="Bookman Old Style" w:hAnsi="Bookman Old Style"/>
          <w:sz w:val="24"/>
          <w:szCs w:val="24"/>
        </w:rPr>
        <w:footnoteReference w:id="231"/>
      </w:r>
      <w:r w:rsidR="00DE2EAC" w:rsidRPr="0014270C">
        <w:rPr>
          <w:rFonts w:ascii="Bookman Old Style" w:hAnsi="Bookman Old Style"/>
          <w:sz w:val="24"/>
          <w:szCs w:val="24"/>
        </w:rPr>
        <w:t xml:space="preserve"> which could afford a three bedroom, 1,400 square foot (130 square </w:t>
      </w:r>
      <w:r w:rsidR="00DE2EAC" w:rsidRPr="0014270C">
        <w:rPr>
          <w:rFonts w:ascii="Bookman Old Style" w:hAnsi="Bookman Old Style"/>
          <w:noProof/>
          <w:sz w:val="24"/>
          <w:szCs w:val="24"/>
        </w:rPr>
        <w:t>meter</w:t>
      </w:r>
      <w:r w:rsidR="00DE2EAC" w:rsidRPr="0014270C">
        <w:rPr>
          <w:rFonts w:ascii="Bookman Old Style" w:hAnsi="Bookman Old Style"/>
          <w:sz w:val="24"/>
          <w:szCs w:val="24"/>
        </w:rPr>
        <w:t>) house in New Orleans in 2018.</w:t>
      </w:r>
      <w:r w:rsidR="00DE2EAC" w:rsidRPr="0014270C">
        <w:rPr>
          <w:rStyle w:val="FootnoteReference"/>
          <w:rFonts w:ascii="Bookman Old Style" w:hAnsi="Bookman Old Style"/>
          <w:sz w:val="24"/>
          <w:szCs w:val="24"/>
        </w:rPr>
        <w:footnoteReference w:id="232"/>
      </w:r>
      <w:r w:rsidR="00DE2EAC" w:rsidRPr="0014270C">
        <w:rPr>
          <w:rFonts w:ascii="Bookman Old Style" w:hAnsi="Bookman Old Style"/>
          <w:sz w:val="24"/>
          <w:szCs w:val="24"/>
        </w:rPr>
        <w:t xml:space="preserve"> The expense for supplying trailers was unquestionably higher than using existing rental housing, and in many cases, the repairs made to victims’ residences would have been cheaper than keeping the victims in trailers.</w:t>
      </w:r>
      <w:r w:rsidR="00DE2EAC" w:rsidRPr="0014270C">
        <w:rPr>
          <w:rStyle w:val="FootnoteReference"/>
          <w:rFonts w:ascii="Bookman Old Style" w:hAnsi="Bookman Old Style"/>
          <w:sz w:val="24"/>
          <w:szCs w:val="24"/>
        </w:rPr>
        <w:footnoteReference w:id="233"/>
      </w:r>
      <w:r w:rsidR="00F76791" w:rsidRPr="0014270C">
        <w:rPr>
          <w:rFonts w:ascii="Bookman Old Style" w:hAnsi="Bookman Old Style"/>
          <w:sz w:val="24"/>
          <w:szCs w:val="24"/>
        </w:rPr>
        <w:t xml:space="preserve"> </w:t>
      </w:r>
      <w:r w:rsidR="00DE2EAC" w:rsidRPr="0014270C">
        <w:rPr>
          <w:rFonts w:ascii="Bookman Old Style" w:hAnsi="Bookman Old Style"/>
          <w:sz w:val="24"/>
          <w:szCs w:val="24"/>
        </w:rPr>
        <w:t>The</w:t>
      </w:r>
      <w:r w:rsidR="00FE18FD" w:rsidRPr="0014270C">
        <w:rPr>
          <w:rFonts w:ascii="Bookman Old Style" w:hAnsi="Bookman Old Style"/>
          <w:sz w:val="24"/>
          <w:szCs w:val="24"/>
        </w:rPr>
        <w:t xml:space="preserve"> GAO</w:t>
      </w:r>
      <w:r w:rsidR="00DE2EAC" w:rsidRPr="0014270C">
        <w:rPr>
          <w:rFonts w:ascii="Bookman Old Style" w:hAnsi="Bookman Old Style"/>
          <w:sz w:val="24"/>
          <w:szCs w:val="24"/>
        </w:rPr>
        <w:t xml:space="preserve"> report found that FEMA was spending up to US$72,000 annually on maintenance fees alone per each of the eight trailers sited at Bienville Park because of mismanaged group</w:t>
      </w:r>
      <w:r w:rsidR="006278F4" w:rsidRPr="0014270C">
        <w:rPr>
          <w:rFonts w:ascii="Bookman Old Style" w:hAnsi="Bookman Old Style"/>
          <w:noProof/>
          <w:sz w:val="24"/>
          <w:szCs w:val="24"/>
        </w:rPr>
        <w:t>-</w:t>
      </w:r>
      <w:r w:rsidR="00DE2EAC" w:rsidRPr="0014270C">
        <w:rPr>
          <w:rFonts w:ascii="Bookman Old Style" w:hAnsi="Bookman Old Style"/>
          <w:noProof/>
          <w:sz w:val="24"/>
          <w:szCs w:val="24"/>
        </w:rPr>
        <w:t>siting</w:t>
      </w:r>
      <w:r w:rsidR="00DE2EAC" w:rsidRPr="0014270C">
        <w:rPr>
          <w:rFonts w:ascii="Bookman Old Style" w:hAnsi="Bookman Old Style"/>
          <w:sz w:val="24"/>
          <w:szCs w:val="24"/>
        </w:rPr>
        <w:t>.</w:t>
      </w:r>
      <w:r w:rsidR="00DE2EAC" w:rsidRPr="0014270C">
        <w:rPr>
          <w:rStyle w:val="FootnoteReference"/>
          <w:rFonts w:ascii="Bookman Old Style" w:hAnsi="Bookman Old Style"/>
          <w:sz w:val="24"/>
          <w:szCs w:val="24"/>
        </w:rPr>
        <w:footnoteReference w:id="234"/>
      </w:r>
      <w:r w:rsidR="00DE2EAC" w:rsidRPr="0014270C">
        <w:rPr>
          <w:rFonts w:ascii="Bookman Old Style" w:hAnsi="Bookman Old Style"/>
          <w:sz w:val="24"/>
          <w:szCs w:val="24"/>
        </w:rPr>
        <w:t xml:space="preserve"> Group sites such as Bienville Park operate with fixed rates regardless of the </w:t>
      </w:r>
      <w:r w:rsidR="006278F4" w:rsidRPr="0014270C">
        <w:rPr>
          <w:rFonts w:ascii="Bookman Old Style" w:hAnsi="Bookman Old Style"/>
          <w:noProof/>
          <w:sz w:val="24"/>
          <w:szCs w:val="24"/>
        </w:rPr>
        <w:lastRenderedPageBreak/>
        <w:t>number</w:t>
      </w:r>
      <w:r w:rsidR="00DE2EAC" w:rsidRPr="0014270C">
        <w:rPr>
          <w:rFonts w:ascii="Bookman Old Style" w:hAnsi="Bookman Old Style"/>
          <w:sz w:val="24"/>
          <w:szCs w:val="24"/>
        </w:rPr>
        <w:t xml:space="preserve"> of units placed; with better management of the operation, this expense could have been reduced drastically. </w:t>
      </w:r>
      <w:r w:rsidR="002F01FA" w:rsidRPr="0014270C">
        <w:rPr>
          <w:rFonts w:ascii="Bookman Old Style" w:hAnsi="Bookman Old Style"/>
          <w:sz w:val="24"/>
          <w:szCs w:val="24"/>
        </w:rPr>
        <w:t xml:space="preserve">The report found that FEMA spent US$4.4 million for utilities at </w:t>
      </w:r>
      <w:r w:rsidR="00BA24FB">
        <w:rPr>
          <w:rFonts w:ascii="Bookman Old Style" w:hAnsi="Bookman Old Style"/>
          <w:sz w:val="24"/>
          <w:szCs w:val="24"/>
        </w:rPr>
        <w:t xml:space="preserve">some of these </w:t>
      </w:r>
      <w:r w:rsidR="002F01FA" w:rsidRPr="0014270C">
        <w:rPr>
          <w:rFonts w:ascii="Bookman Old Style" w:hAnsi="Bookman Old Style"/>
          <w:sz w:val="24"/>
          <w:szCs w:val="24"/>
        </w:rPr>
        <w:t>group sites.</w:t>
      </w:r>
      <w:r w:rsidR="002F01FA" w:rsidRPr="0014270C">
        <w:rPr>
          <w:rStyle w:val="FootnoteReference"/>
          <w:rFonts w:ascii="Bookman Old Style" w:hAnsi="Bookman Old Style"/>
          <w:sz w:val="24"/>
          <w:szCs w:val="24"/>
        </w:rPr>
        <w:footnoteReference w:id="235"/>
      </w:r>
      <w:r w:rsidR="002F01FA" w:rsidRPr="0014270C">
        <w:rPr>
          <w:rFonts w:ascii="Bookman Old Style" w:hAnsi="Bookman Old Style"/>
          <w:sz w:val="24"/>
          <w:szCs w:val="24"/>
        </w:rPr>
        <w:t xml:space="preserve"> It </w:t>
      </w:r>
      <w:proofErr w:type="gramStart"/>
      <w:r w:rsidR="002F01FA" w:rsidRPr="0014270C">
        <w:rPr>
          <w:rFonts w:ascii="Bookman Old Style" w:hAnsi="Bookman Old Style"/>
          <w:sz w:val="24"/>
          <w:szCs w:val="24"/>
        </w:rPr>
        <w:t>was found</w:t>
      </w:r>
      <w:proofErr w:type="gramEnd"/>
      <w:r w:rsidR="002F01FA" w:rsidRPr="0014270C">
        <w:rPr>
          <w:rFonts w:ascii="Bookman Old Style" w:hAnsi="Bookman Old Style"/>
          <w:sz w:val="24"/>
          <w:szCs w:val="24"/>
        </w:rPr>
        <w:t xml:space="preserve"> that a contractor at a commercial site charged FEMA US$245 for septic service to be performed every other day on 61 trailers. The report acknowledges that the agency “could have saved US$1.5 million by reassigning the septic cleaning services to a cheaper company, but it did not exercise this option.”</w:t>
      </w:r>
      <w:r w:rsidR="002F01FA" w:rsidRPr="0014270C">
        <w:rPr>
          <w:rStyle w:val="FootnoteReference"/>
          <w:rFonts w:ascii="Bookman Old Style" w:hAnsi="Bookman Old Style"/>
          <w:sz w:val="24"/>
          <w:szCs w:val="24"/>
        </w:rPr>
        <w:footnoteReference w:id="236"/>
      </w:r>
      <w:r w:rsidR="002F01FA" w:rsidRPr="0014270C">
        <w:rPr>
          <w:rFonts w:ascii="Bookman Old Style" w:hAnsi="Bookman Old Style"/>
          <w:sz w:val="24"/>
          <w:szCs w:val="24"/>
        </w:rPr>
        <w:t xml:space="preserve"> </w:t>
      </w:r>
      <w:r w:rsidR="00DE2EAC" w:rsidRPr="0014270C">
        <w:rPr>
          <w:rFonts w:ascii="Bookman Old Style" w:hAnsi="Bookman Old Style"/>
          <w:sz w:val="24"/>
          <w:szCs w:val="24"/>
        </w:rPr>
        <w:t>The case studies referenced are from research done on contracts in Mississippi, however, it is noted in the report that similar contracts were awarded in Louisiana.</w:t>
      </w:r>
      <w:r w:rsidR="00DE2EAC" w:rsidRPr="0014270C">
        <w:rPr>
          <w:rStyle w:val="FootnoteReference"/>
          <w:rFonts w:ascii="Bookman Old Style" w:hAnsi="Bookman Old Style"/>
          <w:sz w:val="24"/>
          <w:szCs w:val="24"/>
        </w:rPr>
        <w:footnoteReference w:id="237"/>
      </w:r>
      <w:r w:rsidR="00DE2EAC" w:rsidRPr="0014270C">
        <w:rPr>
          <w:rFonts w:ascii="Bookman Old Style" w:hAnsi="Bookman Old Style"/>
          <w:sz w:val="24"/>
          <w:szCs w:val="24"/>
        </w:rPr>
        <w:t xml:space="preserve"> </w:t>
      </w:r>
    </w:p>
    <w:p w14:paraId="79CE4727" w14:textId="52F205BA" w:rsidR="00F148A0" w:rsidRPr="0014270C" w:rsidRDefault="00DE2EAC" w:rsidP="00830C3F">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According to Katherine Browne, author of </w:t>
      </w:r>
      <w:r w:rsidR="00F13273" w:rsidRPr="0014270C">
        <w:rPr>
          <w:rFonts w:ascii="Bookman Old Style" w:hAnsi="Bookman Old Style"/>
          <w:sz w:val="24"/>
          <w:szCs w:val="24"/>
        </w:rPr>
        <w:t>“</w:t>
      </w:r>
      <w:r w:rsidRPr="0014270C">
        <w:rPr>
          <w:rFonts w:ascii="Bookman Old Style" w:hAnsi="Bookman Old Style"/>
          <w:sz w:val="24"/>
          <w:szCs w:val="24"/>
        </w:rPr>
        <w:t>Standing in the Need: Culture, Comfort, and Coming Home After Katrina,</w:t>
      </w:r>
      <w:r w:rsidR="00F13273" w:rsidRPr="0014270C">
        <w:rPr>
          <w:rFonts w:ascii="Bookman Old Style" w:hAnsi="Bookman Old Style"/>
          <w:sz w:val="24"/>
          <w:szCs w:val="24"/>
        </w:rPr>
        <w:t>”</w:t>
      </w:r>
      <w:r w:rsidRPr="0014270C">
        <w:rPr>
          <w:rFonts w:ascii="Bookman Old Style" w:hAnsi="Bookman Old Style"/>
          <w:sz w:val="24"/>
          <w:szCs w:val="24"/>
        </w:rPr>
        <w:t xml:space="preserve"> the initial wave of 240 square foot (22.3 square </w:t>
      </w:r>
      <w:r w:rsidRPr="0014270C">
        <w:rPr>
          <w:rFonts w:ascii="Bookman Old Style" w:hAnsi="Bookman Old Style"/>
          <w:noProof/>
          <w:sz w:val="24"/>
          <w:szCs w:val="24"/>
        </w:rPr>
        <w:t>meter</w:t>
      </w:r>
      <w:r w:rsidRPr="0014270C">
        <w:rPr>
          <w:rFonts w:ascii="Bookman Old Style" w:hAnsi="Bookman Old Style"/>
          <w:sz w:val="24"/>
          <w:szCs w:val="24"/>
        </w:rPr>
        <w:t>) trailers used across the affected states cost an average of US$75,000.</w:t>
      </w:r>
      <w:r w:rsidRPr="0014270C">
        <w:rPr>
          <w:rStyle w:val="FootnoteReference"/>
          <w:rFonts w:ascii="Bookman Old Style" w:hAnsi="Bookman Old Style"/>
          <w:sz w:val="24"/>
          <w:szCs w:val="24"/>
        </w:rPr>
        <w:footnoteReference w:id="238"/>
      </w:r>
      <w:r w:rsidRPr="0014270C">
        <w:rPr>
          <w:rFonts w:ascii="Bookman Old Style" w:hAnsi="Bookman Old Style"/>
          <w:sz w:val="24"/>
          <w:szCs w:val="24"/>
        </w:rPr>
        <w:t xml:space="preserve"> After the formaldehyde issue created demand for action, new trailers were issued by FEMA and tested to meet safety standards; these models were reported to have cost between US$45,000 and $75,000 per trailer.</w:t>
      </w:r>
      <w:r w:rsidRPr="0014270C">
        <w:rPr>
          <w:rStyle w:val="FootnoteReference"/>
          <w:rFonts w:ascii="Bookman Old Style" w:hAnsi="Bookman Old Style"/>
          <w:sz w:val="24"/>
          <w:szCs w:val="24"/>
        </w:rPr>
        <w:footnoteReference w:id="239"/>
      </w:r>
      <w:r w:rsidRPr="0014270C">
        <w:rPr>
          <w:rFonts w:ascii="Bookman Old Style" w:hAnsi="Bookman Old Style"/>
          <w:sz w:val="24"/>
          <w:szCs w:val="24"/>
        </w:rPr>
        <w:t xml:space="preserve"> The amount spent on relief housing post-Katrina is not agreed upon</w:t>
      </w:r>
      <w:r w:rsidR="00E57C44" w:rsidRPr="0014270C">
        <w:rPr>
          <w:rFonts w:ascii="Bookman Old Style" w:hAnsi="Bookman Old Style"/>
          <w:sz w:val="24"/>
          <w:szCs w:val="24"/>
        </w:rPr>
        <w:t>, though s</w:t>
      </w:r>
      <w:r w:rsidRPr="0014270C">
        <w:rPr>
          <w:rFonts w:ascii="Bookman Old Style" w:hAnsi="Bookman Old Style"/>
          <w:sz w:val="24"/>
          <w:szCs w:val="24"/>
        </w:rPr>
        <w:t xml:space="preserve">everal sources report average unit price to be approximately </w:t>
      </w:r>
      <w:r w:rsidRPr="0014270C">
        <w:rPr>
          <w:rFonts w:ascii="Bookman Old Style" w:hAnsi="Bookman Old Style"/>
          <w:sz w:val="24"/>
          <w:szCs w:val="24"/>
        </w:rPr>
        <w:lastRenderedPageBreak/>
        <w:t>US$75,000</w:t>
      </w:r>
      <w:r w:rsidR="00E57C44" w:rsidRPr="0014270C">
        <w:rPr>
          <w:rFonts w:ascii="Bookman Old Style" w:hAnsi="Bookman Old Style"/>
          <w:sz w:val="24"/>
          <w:szCs w:val="24"/>
        </w:rPr>
        <w:t>.</w:t>
      </w:r>
      <w:r w:rsidRPr="0014270C">
        <w:rPr>
          <w:rFonts w:ascii="Bookman Old Style" w:hAnsi="Bookman Old Style"/>
          <w:sz w:val="24"/>
          <w:szCs w:val="24"/>
        </w:rPr>
        <w:t xml:space="preserve"> </w:t>
      </w:r>
      <w:r w:rsidR="00290DE5" w:rsidRPr="0014270C">
        <w:rPr>
          <w:rFonts w:ascii="Bookman Old Style" w:hAnsi="Bookman Old Style"/>
          <w:sz w:val="24"/>
          <w:szCs w:val="24"/>
        </w:rPr>
        <w:t xml:space="preserve">In addition to disagreements about cost per unit, similar disagreements </w:t>
      </w:r>
      <w:proofErr w:type="gramStart"/>
      <w:r w:rsidR="00290DE5" w:rsidRPr="0014270C">
        <w:rPr>
          <w:rFonts w:ascii="Bookman Old Style" w:hAnsi="Bookman Old Style"/>
          <w:sz w:val="24"/>
          <w:szCs w:val="24"/>
        </w:rPr>
        <w:t>are had</w:t>
      </w:r>
      <w:proofErr w:type="gramEnd"/>
      <w:r w:rsidR="00290DE5" w:rsidRPr="0014270C">
        <w:rPr>
          <w:rFonts w:ascii="Bookman Old Style" w:hAnsi="Bookman Old Style"/>
          <w:sz w:val="24"/>
          <w:szCs w:val="24"/>
        </w:rPr>
        <w:t xml:space="preserve"> about the number of units provided</w:t>
      </w:r>
      <w:r w:rsidRPr="0014270C">
        <w:rPr>
          <w:rFonts w:ascii="Bookman Old Style" w:hAnsi="Bookman Old Style"/>
          <w:sz w:val="24"/>
          <w:szCs w:val="24"/>
        </w:rPr>
        <w:t xml:space="preserve">. </w:t>
      </w:r>
    </w:p>
    <w:p w14:paraId="4E5D5EF0" w14:textId="43EE7695" w:rsidR="00DE2EAC" w:rsidRPr="0014270C" w:rsidRDefault="00F40644" w:rsidP="00C253E0">
      <w:pPr>
        <w:spacing w:line="480" w:lineRule="auto"/>
        <w:ind w:firstLine="720"/>
        <w:rPr>
          <w:rFonts w:ascii="Bookman Old Style" w:hAnsi="Bookman Old Style"/>
          <w:sz w:val="24"/>
          <w:szCs w:val="24"/>
        </w:rPr>
      </w:pPr>
      <w:r w:rsidRPr="0014270C">
        <w:rPr>
          <w:rFonts w:ascii="Bookman Old Style" w:hAnsi="Bookman Old Style"/>
          <w:sz w:val="24"/>
          <w:szCs w:val="24"/>
        </w:rPr>
        <w:t>Representative Jeff Flake in a 2005 C-Span interview in response to issues brought about by Hurricane Katrina, stated FEMA had already spent US$3.3 billion to buy and manufacture housing for victims.</w:t>
      </w:r>
      <w:r w:rsidRPr="0014270C">
        <w:rPr>
          <w:rStyle w:val="FootnoteReference"/>
          <w:rFonts w:ascii="Bookman Old Style" w:hAnsi="Bookman Old Style"/>
          <w:sz w:val="24"/>
          <w:szCs w:val="24"/>
        </w:rPr>
        <w:footnoteReference w:id="240"/>
      </w:r>
      <w:r w:rsidR="007F1FCD" w:rsidRPr="0014270C">
        <w:rPr>
          <w:rFonts w:ascii="Bookman Old Style" w:hAnsi="Bookman Old Style"/>
          <w:sz w:val="24"/>
          <w:szCs w:val="24"/>
        </w:rPr>
        <w:t xml:space="preserve"> Further</w:t>
      </w:r>
      <w:r w:rsidR="00065D92" w:rsidRPr="0014270C">
        <w:rPr>
          <w:rFonts w:ascii="Bookman Old Style" w:hAnsi="Bookman Old Style"/>
          <w:sz w:val="24"/>
          <w:szCs w:val="24"/>
        </w:rPr>
        <w:t xml:space="preserve">, </w:t>
      </w:r>
      <w:r w:rsidR="007F1FCD" w:rsidRPr="0014270C">
        <w:rPr>
          <w:rFonts w:ascii="Bookman Old Style" w:hAnsi="Bookman Old Style"/>
          <w:sz w:val="24"/>
          <w:szCs w:val="24"/>
        </w:rPr>
        <w:t>in</w:t>
      </w:r>
      <w:r w:rsidR="00DE2EAC" w:rsidRPr="0014270C">
        <w:rPr>
          <w:rFonts w:ascii="Bookman Old Style" w:hAnsi="Bookman Old Style"/>
          <w:sz w:val="24"/>
          <w:szCs w:val="24"/>
        </w:rPr>
        <w:t xml:space="preserve"> a statement given by Deputy Inspector General for Disaster Assistance Oversight, Matt </w:t>
      </w:r>
      <w:proofErr w:type="spellStart"/>
      <w:r w:rsidR="00DE2EAC" w:rsidRPr="0014270C">
        <w:rPr>
          <w:rFonts w:ascii="Bookman Old Style" w:hAnsi="Bookman Old Style"/>
          <w:sz w:val="24"/>
          <w:szCs w:val="24"/>
        </w:rPr>
        <w:t>Jadacki</w:t>
      </w:r>
      <w:proofErr w:type="spellEnd"/>
      <w:r w:rsidR="00DE2EAC" w:rsidRPr="0014270C">
        <w:rPr>
          <w:rFonts w:ascii="Bookman Old Style" w:hAnsi="Bookman Old Style"/>
          <w:sz w:val="24"/>
          <w:szCs w:val="24"/>
        </w:rPr>
        <w:t>, before the House of Representatives in 2007, it was noted that FEMA purchased 1</w:t>
      </w:r>
      <w:r w:rsidR="007C60C5" w:rsidRPr="0014270C">
        <w:rPr>
          <w:rFonts w:ascii="Bookman Old Style" w:hAnsi="Bookman Old Style"/>
          <w:sz w:val="24"/>
          <w:szCs w:val="24"/>
        </w:rPr>
        <w:t>43</w:t>
      </w:r>
      <w:r w:rsidR="00DE2EAC" w:rsidRPr="0014270C">
        <w:rPr>
          <w:rFonts w:ascii="Bookman Old Style" w:hAnsi="Bookman Old Style"/>
          <w:sz w:val="24"/>
          <w:szCs w:val="24"/>
        </w:rPr>
        <w:t xml:space="preserve">,000 </w:t>
      </w:r>
      <w:r w:rsidR="007C60C5" w:rsidRPr="0014270C">
        <w:rPr>
          <w:rFonts w:ascii="Bookman Old Style" w:hAnsi="Bookman Old Style"/>
          <w:sz w:val="24"/>
          <w:szCs w:val="24"/>
        </w:rPr>
        <w:t>travel trailers</w:t>
      </w:r>
      <w:r w:rsidR="00DE2EAC" w:rsidRPr="0014270C">
        <w:rPr>
          <w:rFonts w:ascii="Bookman Old Style" w:hAnsi="Bookman Old Style"/>
          <w:sz w:val="24"/>
          <w:szCs w:val="24"/>
        </w:rPr>
        <w:t xml:space="preserve"> in response to Hurricane Katrina,</w:t>
      </w:r>
      <w:r w:rsidR="00DE2EAC" w:rsidRPr="0014270C">
        <w:rPr>
          <w:rStyle w:val="FootnoteReference"/>
          <w:rFonts w:ascii="Bookman Old Style" w:hAnsi="Bookman Old Style"/>
          <w:sz w:val="24"/>
          <w:szCs w:val="24"/>
        </w:rPr>
        <w:footnoteReference w:id="241"/>
      </w:r>
      <w:r w:rsidR="00DE2EAC" w:rsidRPr="0014270C">
        <w:rPr>
          <w:rFonts w:ascii="Bookman Old Style" w:hAnsi="Bookman Old Style"/>
          <w:sz w:val="24"/>
          <w:szCs w:val="24"/>
        </w:rPr>
        <w:t xml:space="preserve"> no amount was given in his statement for the cost of the units. A report for Congress prepared at the same time in 2007 by the Congressional Research Service states that FEMA purchased 145,699 units at a cost of US$2.7 billion </w:t>
      </w:r>
      <w:r w:rsidR="00A03E36" w:rsidRPr="0014270C">
        <w:rPr>
          <w:rFonts w:ascii="Bookman Old Style" w:hAnsi="Bookman Old Style"/>
          <w:sz w:val="24"/>
          <w:szCs w:val="24"/>
        </w:rPr>
        <w:t>(</w:t>
      </w:r>
      <w:r w:rsidR="00067B5F" w:rsidRPr="0014270C">
        <w:rPr>
          <w:rFonts w:ascii="Bookman Old Style" w:hAnsi="Bookman Old Style"/>
          <w:sz w:val="24"/>
          <w:szCs w:val="24"/>
        </w:rPr>
        <w:t xml:space="preserve">the </w:t>
      </w:r>
      <w:r w:rsidR="00A03E36" w:rsidRPr="0014270C">
        <w:rPr>
          <w:rFonts w:ascii="Bookman Old Style" w:hAnsi="Bookman Old Style"/>
          <w:sz w:val="24"/>
          <w:szCs w:val="24"/>
        </w:rPr>
        <w:t xml:space="preserve">adjusted </w:t>
      </w:r>
      <w:r w:rsidR="00067B5F" w:rsidRPr="0014270C">
        <w:rPr>
          <w:rFonts w:ascii="Bookman Old Style" w:hAnsi="Bookman Old Style"/>
          <w:sz w:val="24"/>
          <w:szCs w:val="24"/>
        </w:rPr>
        <w:t xml:space="preserve">amount </w:t>
      </w:r>
      <w:r w:rsidR="00A03E36" w:rsidRPr="0014270C">
        <w:rPr>
          <w:rFonts w:ascii="Bookman Old Style" w:hAnsi="Bookman Old Style"/>
          <w:sz w:val="24"/>
          <w:szCs w:val="24"/>
        </w:rPr>
        <w:t>for inflation to 2018</w:t>
      </w:r>
      <w:r w:rsidR="00067B5F" w:rsidRPr="0014270C">
        <w:rPr>
          <w:rFonts w:ascii="Bookman Old Style" w:hAnsi="Bookman Old Style"/>
          <w:sz w:val="24"/>
          <w:szCs w:val="24"/>
        </w:rPr>
        <w:t xml:space="preserve"> dollars</w:t>
      </w:r>
      <w:r w:rsidR="00A03E36" w:rsidRPr="0014270C">
        <w:rPr>
          <w:rFonts w:ascii="Bookman Old Style" w:hAnsi="Bookman Old Style"/>
          <w:sz w:val="24"/>
          <w:szCs w:val="24"/>
        </w:rPr>
        <w:t xml:space="preserve"> is US$</w:t>
      </w:r>
      <w:r w:rsidR="00067B5F" w:rsidRPr="0014270C">
        <w:rPr>
          <w:rFonts w:ascii="Bookman Old Style" w:hAnsi="Bookman Old Style"/>
          <w:sz w:val="24"/>
          <w:szCs w:val="24"/>
        </w:rPr>
        <w:t>24,161.68</w:t>
      </w:r>
      <w:r w:rsidR="003877DF" w:rsidRPr="0014270C">
        <w:rPr>
          <w:rFonts w:ascii="Bookman Old Style" w:hAnsi="Bookman Old Style"/>
          <w:sz w:val="24"/>
          <w:szCs w:val="24"/>
        </w:rPr>
        <w:t xml:space="preserve"> per trailer</w:t>
      </w:r>
      <w:r w:rsidR="008B3DBD" w:rsidRPr="0014270C">
        <w:rPr>
          <w:rFonts w:ascii="Bookman Old Style" w:hAnsi="Bookman Old Style"/>
          <w:sz w:val="24"/>
          <w:szCs w:val="24"/>
        </w:rPr>
        <w:t>)</w:t>
      </w:r>
      <w:r w:rsidR="00CB41F7" w:rsidRPr="0014270C">
        <w:rPr>
          <w:rFonts w:ascii="Bookman Old Style" w:hAnsi="Bookman Old Style"/>
          <w:sz w:val="24"/>
          <w:szCs w:val="24"/>
        </w:rPr>
        <w:t>.</w:t>
      </w:r>
      <w:r w:rsidR="00DE2EAC" w:rsidRPr="0014270C">
        <w:rPr>
          <w:rStyle w:val="FootnoteReference"/>
          <w:rFonts w:ascii="Bookman Old Style" w:hAnsi="Bookman Old Style"/>
          <w:sz w:val="24"/>
          <w:szCs w:val="24"/>
        </w:rPr>
        <w:footnoteReference w:id="242"/>
      </w:r>
      <w:r w:rsidR="00DE2EAC" w:rsidRPr="0014270C">
        <w:rPr>
          <w:rFonts w:ascii="Bookman Old Style" w:hAnsi="Bookman Old Style"/>
          <w:sz w:val="24"/>
          <w:szCs w:val="24"/>
        </w:rPr>
        <w:t xml:space="preserve"> </w:t>
      </w:r>
      <w:r w:rsidR="00F148A0" w:rsidRPr="0014270C">
        <w:rPr>
          <w:rFonts w:ascii="Bookman Old Style" w:hAnsi="Bookman Old Style"/>
          <w:sz w:val="24"/>
          <w:szCs w:val="24"/>
        </w:rPr>
        <w:t>It is unclear</w:t>
      </w:r>
      <w:r w:rsidR="00E121AF" w:rsidRPr="0014270C">
        <w:rPr>
          <w:rFonts w:ascii="Bookman Old Style" w:hAnsi="Bookman Old Style"/>
          <w:sz w:val="24"/>
          <w:szCs w:val="24"/>
        </w:rPr>
        <w:t xml:space="preserve"> how much was actually spent on the units provided to storm victims or exactly how many trailers were requested from FEMA after Katrina.</w:t>
      </w:r>
      <w:r w:rsidR="00C253E0" w:rsidRPr="0014270C">
        <w:rPr>
          <w:rFonts w:ascii="Bookman Old Style" w:hAnsi="Bookman Old Style"/>
          <w:sz w:val="24"/>
          <w:szCs w:val="24"/>
        </w:rPr>
        <w:t xml:space="preserve"> </w:t>
      </w:r>
      <w:r w:rsidR="00DE2EAC" w:rsidRPr="0014270C">
        <w:rPr>
          <w:rFonts w:ascii="Bookman Old Style" w:hAnsi="Bookman Old Style"/>
          <w:sz w:val="24"/>
          <w:szCs w:val="24"/>
        </w:rPr>
        <w:t xml:space="preserve">Ease of access and transparency of the unit price for models of trailers used by </w:t>
      </w:r>
      <w:r w:rsidR="00DC5BEC" w:rsidRPr="0014270C">
        <w:rPr>
          <w:rFonts w:ascii="Bookman Old Style" w:hAnsi="Bookman Old Style"/>
          <w:sz w:val="24"/>
          <w:szCs w:val="24"/>
        </w:rPr>
        <w:t>the agency</w:t>
      </w:r>
      <w:r w:rsidR="00DE2EAC" w:rsidRPr="0014270C">
        <w:rPr>
          <w:rFonts w:ascii="Bookman Old Style" w:hAnsi="Bookman Old Style"/>
          <w:sz w:val="24"/>
          <w:szCs w:val="24"/>
        </w:rPr>
        <w:t xml:space="preserve"> has not improved since </w:t>
      </w:r>
      <w:r w:rsidR="00DC5BEC" w:rsidRPr="0014270C">
        <w:rPr>
          <w:rFonts w:ascii="Bookman Old Style" w:hAnsi="Bookman Old Style"/>
          <w:sz w:val="24"/>
          <w:szCs w:val="24"/>
        </w:rPr>
        <w:t>2005</w:t>
      </w:r>
      <w:r w:rsidR="00DE2EAC" w:rsidRPr="0014270C">
        <w:rPr>
          <w:rFonts w:ascii="Bookman Old Style" w:hAnsi="Bookman Old Style"/>
          <w:sz w:val="24"/>
          <w:szCs w:val="24"/>
        </w:rPr>
        <w:t xml:space="preserve">; the new trailers used post-Harvey in 2017 </w:t>
      </w:r>
      <w:proofErr w:type="gramStart"/>
      <w:r w:rsidR="00DE2EAC" w:rsidRPr="0014270C">
        <w:rPr>
          <w:rFonts w:ascii="Bookman Old Style" w:hAnsi="Bookman Old Style"/>
          <w:sz w:val="24"/>
          <w:szCs w:val="24"/>
        </w:rPr>
        <w:t>were reported</w:t>
      </w:r>
      <w:proofErr w:type="gramEnd"/>
      <w:r w:rsidR="00DE2EAC" w:rsidRPr="0014270C">
        <w:rPr>
          <w:rFonts w:ascii="Bookman Old Style" w:hAnsi="Bookman Old Style"/>
          <w:sz w:val="24"/>
          <w:szCs w:val="24"/>
        </w:rPr>
        <w:t xml:space="preserve"> to have cost US$</w:t>
      </w:r>
      <w:r w:rsidR="0062318A" w:rsidRPr="0014270C">
        <w:rPr>
          <w:rFonts w:ascii="Bookman Old Style" w:hAnsi="Bookman Old Style"/>
          <w:sz w:val="24"/>
          <w:szCs w:val="24"/>
        </w:rPr>
        <w:t>40</w:t>
      </w:r>
      <w:r w:rsidR="00DE2EAC" w:rsidRPr="0014270C">
        <w:rPr>
          <w:rFonts w:ascii="Bookman Old Style" w:hAnsi="Bookman Old Style"/>
          <w:sz w:val="24"/>
          <w:szCs w:val="24"/>
        </w:rPr>
        <w:t>,000 each,</w:t>
      </w:r>
      <w:r w:rsidR="00DE2EAC" w:rsidRPr="0014270C">
        <w:rPr>
          <w:rStyle w:val="FootnoteReference"/>
          <w:rFonts w:ascii="Bookman Old Style" w:hAnsi="Bookman Old Style"/>
          <w:sz w:val="24"/>
          <w:szCs w:val="24"/>
        </w:rPr>
        <w:footnoteReference w:id="243"/>
      </w:r>
      <w:r w:rsidR="00DE2EAC" w:rsidRPr="0014270C">
        <w:rPr>
          <w:rFonts w:ascii="Bookman Old Style" w:hAnsi="Bookman Old Style"/>
          <w:sz w:val="24"/>
          <w:szCs w:val="24"/>
        </w:rPr>
        <w:t xml:space="preserve"> though this number is unable to be verified. The cost-breakdown for maintenance and installation for the units used in Houston is not available at this time.</w:t>
      </w:r>
    </w:p>
    <w:p w14:paraId="76247181" w14:textId="2EBD5AFD" w:rsidR="00F4022A" w:rsidRPr="0014270C" w:rsidRDefault="00E6033A" w:rsidP="00B93546">
      <w:pPr>
        <w:pStyle w:val="THESISLVL3"/>
      </w:pPr>
      <w:bookmarkStart w:id="78" w:name="_Toc8062308"/>
      <w:r w:rsidRPr="0014270C">
        <w:lastRenderedPageBreak/>
        <w:t xml:space="preserve">Going </w:t>
      </w:r>
      <w:r w:rsidR="00F4022A" w:rsidRPr="0014270C">
        <w:t>T</w:t>
      </w:r>
      <w:r w:rsidRPr="0014270C">
        <w:t>iny</w:t>
      </w:r>
      <w:bookmarkEnd w:id="78"/>
    </w:p>
    <w:p w14:paraId="53BA9AF0" w14:textId="18A9CA47" w:rsidR="00F6009A" w:rsidRPr="0014270C" w:rsidRDefault="00E6033A" w:rsidP="009D1317">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While tiny houses carry a stigma of being an unaffordable, bourgeois housing alternative for privileged </w:t>
      </w:r>
      <w:r w:rsidRPr="0014270C">
        <w:rPr>
          <w:rFonts w:ascii="Bookman Old Style" w:hAnsi="Bookman Old Style"/>
          <w:noProof/>
          <w:sz w:val="24"/>
          <w:szCs w:val="24"/>
        </w:rPr>
        <w:t>upper-middle-class</w:t>
      </w:r>
      <w:r w:rsidRPr="0014270C">
        <w:rPr>
          <w:rFonts w:ascii="Bookman Old Style" w:hAnsi="Bookman Old Style"/>
          <w:sz w:val="24"/>
          <w:szCs w:val="24"/>
        </w:rPr>
        <w:t xml:space="preserve"> people, this is far from reality. Tiny houses come in several pricing ranges; the do-it-yourself option can be done for </w:t>
      </w:r>
      <w:r w:rsidR="005A79EC" w:rsidRPr="0014270C">
        <w:rPr>
          <w:rFonts w:ascii="Bookman Old Style" w:hAnsi="Bookman Old Style"/>
          <w:sz w:val="24"/>
          <w:szCs w:val="24"/>
        </w:rPr>
        <w:t xml:space="preserve">approximately </w:t>
      </w:r>
      <w:r w:rsidRPr="0014270C">
        <w:rPr>
          <w:rFonts w:ascii="Bookman Old Style" w:hAnsi="Bookman Old Style"/>
          <w:sz w:val="24"/>
          <w:szCs w:val="24"/>
        </w:rPr>
        <w:t xml:space="preserve">US$15,000; a </w:t>
      </w:r>
      <w:r w:rsidR="003162B2" w:rsidRPr="0014270C">
        <w:rPr>
          <w:rFonts w:ascii="Bookman Old Style" w:hAnsi="Bookman Old Style"/>
          <w:sz w:val="24"/>
          <w:szCs w:val="24"/>
        </w:rPr>
        <w:t>custom</w:t>
      </w:r>
      <w:r w:rsidRPr="0014270C">
        <w:rPr>
          <w:rFonts w:ascii="Bookman Old Style" w:hAnsi="Bookman Old Style"/>
          <w:sz w:val="24"/>
          <w:szCs w:val="24"/>
        </w:rPr>
        <w:t xml:space="preserve"> builder using high-quality materials will charge between US$50,000 and $75,000 using a base model, while the more extravagant, custom built homes </w:t>
      </w:r>
      <w:r w:rsidR="006A0105" w:rsidRPr="0014270C">
        <w:rPr>
          <w:rFonts w:ascii="Bookman Old Style" w:hAnsi="Bookman Old Style"/>
          <w:sz w:val="24"/>
          <w:szCs w:val="24"/>
        </w:rPr>
        <w:t xml:space="preserve">can </w:t>
      </w:r>
      <w:r w:rsidRPr="0014270C">
        <w:rPr>
          <w:rFonts w:ascii="Bookman Old Style" w:hAnsi="Bookman Old Style"/>
          <w:sz w:val="24"/>
          <w:szCs w:val="24"/>
        </w:rPr>
        <w:t>cost over US$80,000.</w:t>
      </w:r>
      <w:r w:rsidRPr="0014270C">
        <w:rPr>
          <w:rStyle w:val="FootnoteReference"/>
          <w:rFonts w:ascii="Bookman Old Style" w:hAnsi="Bookman Old Style"/>
          <w:sz w:val="24"/>
          <w:szCs w:val="24"/>
        </w:rPr>
        <w:footnoteReference w:id="244"/>
      </w:r>
      <w:r w:rsidRPr="0014270C">
        <w:rPr>
          <w:rFonts w:ascii="Bookman Old Style" w:hAnsi="Bookman Old Style"/>
          <w:sz w:val="24"/>
          <w:szCs w:val="24"/>
        </w:rPr>
        <w:t xml:space="preserve"> RVs and travel trailers, depending on class, have a median cost between US$40,000 and $100,000.</w:t>
      </w:r>
      <w:r w:rsidRPr="0014270C">
        <w:rPr>
          <w:rStyle w:val="FootnoteReference"/>
          <w:rFonts w:ascii="Bookman Old Style" w:hAnsi="Bookman Old Style"/>
          <w:sz w:val="24"/>
          <w:szCs w:val="24"/>
        </w:rPr>
        <w:footnoteReference w:id="245"/>
      </w:r>
      <w:r w:rsidRPr="0014270C">
        <w:rPr>
          <w:rFonts w:ascii="Bookman Old Style" w:hAnsi="Bookman Old Style"/>
          <w:sz w:val="24"/>
          <w:szCs w:val="24"/>
        </w:rPr>
        <w:t xml:space="preserve"> These figures show that tiny houses are not only affordable, but they offer competitive pricing with other small housing options while maintaining the high quality of a conventional home that </w:t>
      </w:r>
      <w:r w:rsidR="00473208" w:rsidRPr="0014270C">
        <w:rPr>
          <w:rFonts w:ascii="Bookman Old Style" w:hAnsi="Bookman Old Style"/>
          <w:sz w:val="24"/>
          <w:szCs w:val="24"/>
        </w:rPr>
        <w:t>trailers</w:t>
      </w:r>
      <w:r w:rsidRPr="0014270C">
        <w:rPr>
          <w:rFonts w:ascii="Bookman Old Style" w:hAnsi="Bookman Old Style"/>
          <w:sz w:val="24"/>
          <w:szCs w:val="24"/>
        </w:rPr>
        <w:t xml:space="preserve"> often lack. </w:t>
      </w:r>
    </w:p>
    <w:p w14:paraId="49386419" w14:textId="16CF5F3C" w:rsidR="006C73D5" w:rsidRPr="0014270C" w:rsidRDefault="00E6033A" w:rsidP="003B5449">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It </w:t>
      </w:r>
      <w:proofErr w:type="gramStart"/>
      <w:r w:rsidRPr="0014270C">
        <w:rPr>
          <w:rFonts w:ascii="Bookman Old Style" w:hAnsi="Bookman Old Style"/>
          <w:sz w:val="24"/>
          <w:szCs w:val="24"/>
        </w:rPr>
        <w:t>is argued</w:t>
      </w:r>
      <w:proofErr w:type="gramEnd"/>
      <w:r w:rsidRPr="0014270C">
        <w:rPr>
          <w:rFonts w:ascii="Bookman Old Style" w:hAnsi="Bookman Old Style"/>
          <w:sz w:val="24"/>
          <w:szCs w:val="24"/>
        </w:rPr>
        <w:t xml:space="preserve"> that tiny housing costs more per square foot than a conventional home. </w:t>
      </w:r>
      <w:r w:rsidR="00A86A0C" w:rsidRPr="0014270C">
        <w:rPr>
          <w:rFonts w:ascii="Bookman Old Style" w:hAnsi="Bookman Old Style"/>
          <w:sz w:val="24"/>
          <w:szCs w:val="24"/>
        </w:rPr>
        <w:t xml:space="preserve">Macy Miller of </w:t>
      </w:r>
      <w:proofErr w:type="spellStart"/>
      <w:r w:rsidRPr="0014270C">
        <w:rPr>
          <w:rFonts w:ascii="Bookman Old Style" w:hAnsi="Bookman Old Style"/>
          <w:i/>
          <w:sz w:val="24"/>
          <w:szCs w:val="24"/>
        </w:rPr>
        <w:t>MiniMotives</w:t>
      </w:r>
      <w:proofErr w:type="spellEnd"/>
      <w:r w:rsidRPr="0014270C">
        <w:rPr>
          <w:rFonts w:ascii="Bookman Old Style" w:hAnsi="Bookman Old Style"/>
          <w:sz w:val="24"/>
          <w:szCs w:val="24"/>
        </w:rPr>
        <w:t xml:space="preserve"> acknowledges that when comparing price per square foot, the expense is higher, but she suggests that the value is</w:t>
      </w:r>
      <w:r w:rsidR="00EF2AA1" w:rsidRPr="0014270C">
        <w:rPr>
          <w:rFonts w:ascii="Bookman Old Style" w:hAnsi="Bookman Old Style"/>
          <w:sz w:val="24"/>
          <w:szCs w:val="24"/>
        </w:rPr>
        <w:t xml:space="preserve"> no</w:t>
      </w:r>
      <w:r w:rsidRPr="0014270C">
        <w:rPr>
          <w:rFonts w:ascii="Bookman Old Style" w:hAnsi="Bookman Old Style"/>
          <w:sz w:val="24"/>
          <w:szCs w:val="24"/>
        </w:rPr>
        <w:t xml:space="preserve">t </w:t>
      </w:r>
      <w:proofErr w:type="gramStart"/>
      <w:r w:rsidRPr="0014270C">
        <w:rPr>
          <w:rFonts w:ascii="Bookman Old Style" w:hAnsi="Bookman Old Style"/>
          <w:sz w:val="24"/>
          <w:szCs w:val="24"/>
        </w:rPr>
        <w:t>being evaluated</w:t>
      </w:r>
      <w:proofErr w:type="gramEnd"/>
      <w:r w:rsidRPr="0014270C">
        <w:rPr>
          <w:rFonts w:ascii="Bookman Old Style" w:hAnsi="Bookman Old Style"/>
          <w:sz w:val="24"/>
          <w:szCs w:val="24"/>
        </w:rPr>
        <w:t xml:space="preserve"> fairly and that the tiny house is performing the same functions as the conventional house at one third the price. </w:t>
      </w:r>
      <w:r w:rsidR="00885C14" w:rsidRPr="0014270C">
        <w:rPr>
          <w:rFonts w:ascii="Bookman Old Style" w:hAnsi="Bookman Old Style"/>
          <w:sz w:val="24"/>
          <w:szCs w:val="24"/>
        </w:rPr>
        <w:t xml:space="preserve">As mentioned, the </w:t>
      </w:r>
      <w:r w:rsidR="00DE6B92" w:rsidRPr="0014270C">
        <w:rPr>
          <w:rFonts w:ascii="Bookman Old Style" w:hAnsi="Bookman Old Style"/>
          <w:sz w:val="24"/>
          <w:szCs w:val="24"/>
        </w:rPr>
        <w:t>example tiny house is a</w:t>
      </w:r>
      <w:r w:rsidR="00D04937" w:rsidRPr="0014270C">
        <w:rPr>
          <w:rFonts w:ascii="Bookman Old Style" w:hAnsi="Bookman Old Style"/>
          <w:sz w:val="24"/>
          <w:szCs w:val="24"/>
        </w:rPr>
        <w:t xml:space="preserve">n assumed direct comparison to a conventional home, </w:t>
      </w:r>
      <w:r w:rsidR="00E716E0" w:rsidRPr="0014270C">
        <w:rPr>
          <w:rFonts w:ascii="Bookman Old Style" w:hAnsi="Bookman Old Style"/>
          <w:sz w:val="24"/>
          <w:szCs w:val="24"/>
        </w:rPr>
        <w:t xml:space="preserve">which is not typical of most tiny houses. Many tiny house owners choose to </w:t>
      </w:r>
      <w:r w:rsidR="005C63BD" w:rsidRPr="0014270C">
        <w:rPr>
          <w:rFonts w:ascii="Bookman Old Style" w:hAnsi="Bookman Old Style"/>
          <w:sz w:val="24"/>
          <w:szCs w:val="24"/>
        </w:rPr>
        <w:t xml:space="preserve">design and construct their own homes, </w:t>
      </w:r>
      <w:r w:rsidR="001202B7" w:rsidRPr="0014270C">
        <w:rPr>
          <w:rFonts w:ascii="Bookman Old Style" w:hAnsi="Bookman Old Style"/>
          <w:sz w:val="24"/>
          <w:szCs w:val="24"/>
        </w:rPr>
        <w:t>resulting</w:t>
      </w:r>
      <w:r w:rsidR="005C63BD" w:rsidRPr="0014270C">
        <w:rPr>
          <w:rFonts w:ascii="Bookman Old Style" w:hAnsi="Bookman Old Style"/>
          <w:sz w:val="24"/>
          <w:szCs w:val="24"/>
        </w:rPr>
        <w:t xml:space="preserve"> in </w:t>
      </w:r>
      <w:r w:rsidR="00410576" w:rsidRPr="0014270C">
        <w:rPr>
          <w:rFonts w:ascii="Bookman Old Style" w:hAnsi="Bookman Old Style"/>
          <w:sz w:val="24"/>
          <w:szCs w:val="24"/>
        </w:rPr>
        <w:t xml:space="preserve">a </w:t>
      </w:r>
      <w:r w:rsidR="005C63BD" w:rsidRPr="0014270C">
        <w:rPr>
          <w:rFonts w:ascii="Bookman Old Style" w:hAnsi="Bookman Old Style"/>
          <w:sz w:val="24"/>
          <w:szCs w:val="24"/>
        </w:rPr>
        <w:t xml:space="preserve">much more </w:t>
      </w:r>
      <w:r w:rsidR="005C63BD" w:rsidRPr="0014270C">
        <w:rPr>
          <w:rFonts w:ascii="Bookman Old Style" w:hAnsi="Bookman Old Style"/>
          <w:sz w:val="24"/>
          <w:szCs w:val="24"/>
        </w:rPr>
        <w:lastRenderedPageBreak/>
        <w:t>cost</w:t>
      </w:r>
      <w:r w:rsidR="00724E5C" w:rsidRPr="0014270C">
        <w:rPr>
          <w:rFonts w:ascii="Bookman Old Style" w:hAnsi="Bookman Old Style"/>
          <w:sz w:val="24"/>
          <w:szCs w:val="24"/>
        </w:rPr>
        <w:t>-</w:t>
      </w:r>
      <w:r w:rsidR="005C63BD" w:rsidRPr="0014270C">
        <w:rPr>
          <w:rFonts w:ascii="Bookman Old Style" w:hAnsi="Bookman Old Style"/>
          <w:sz w:val="24"/>
          <w:szCs w:val="24"/>
        </w:rPr>
        <w:t xml:space="preserve">effective </w:t>
      </w:r>
      <w:r w:rsidR="00410576" w:rsidRPr="0014270C">
        <w:rPr>
          <w:rFonts w:ascii="Bookman Old Style" w:hAnsi="Bookman Old Style"/>
          <w:sz w:val="24"/>
          <w:szCs w:val="24"/>
        </w:rPr>
        <w:t>build</w:t>
      </w:r>
      <w:r w:rsidR="0094337D" w:rsidRPr="0014270C">
        <w:rPr>
          <w:rFonts w:ascii="Bookman Old Style" w:hAnsi="Bookman Old Style"/>
          <w:sz w:val="24"/>
          <w:szCs w:val="24"/>
        </w:rPr>
        <w:t xml:space="preserve"> than would </w:t>
      </w:r>
      <w:r w:rsidR="0094337D" w:rsidRPr="0014270C">
        <w:rPr>
          <w:rFonts w:ascii="Bookman Old Style" w:hAnsi="Bookman Old Style"/>
          <w:noProof/>
          <w:sz w:val="24"/>
          <w:szCs w:val="24"/>
        </w:rPr>
        <w:t>using</w:t>
      </w:r>
      <w:r w:rsidR="0094337D" w:rsidRPr="0014270C">
        <w:rPr>
          <w:rFonts w:ascii="Bookman Old Style" w:hAnsi="Bookman Old Style"/>
          <w:sz w:val="24"/>
          <w:szCs w:val="24"/>
        </w:rPr>
        <w:t xml:space="preserve"> a professional service</w:t>
      </w:r>
      <w:r w:rsidR="00B20BC8" w:rsidRPr="0014270C">
        <w:rPr>
          <w:rFonts w:ascii="Bookman Old Style" w:hAnsi="Bookman Old Style"/>
          <w:sz w:val="24"/>
          <w:szCs w:val="24"/>
        </w:rPr>
        <w:t>.</w:t>
      </w:r>
      <w:r w:rsidR="001A7E0F" w:rsidRPr="0014270C">
        <w:rPr>
          <w:rFonts w:ascii="Bookman Old Style" w:hAnsi="Bookman Old Style"/>
          <w:sz w:val="24"/>
          <w:szCs w:val="24"/>
        </w:rPr>
        <w:t xml:space="preserve"> Though some tiny house builders are architects, engineers, or have a background in construction, many are </w:t>
      </w:r>
      <w:r w:rsidR="00064F3F" w:rsidRPr="0014270C">
        <w:rPr>
          <w:rFonts w:ascii="Bookman Old Style" w:hAnsi="Bookman Old Style"/>
          <w:sz w:val="24"/>
          <w:szCs w:val="24"/>
        </w:rPr>
        <w:t xml:space="preserve">inexperienced and have managed to create effective, </w:t>
      </w:r>
      <w:r w:rsidR="00E91286" w:rsidRPr="0014270C">
        <w:rPr>
          <w:rFonts w:ascii="Bookman Old Style" w:hAnsi="Bookman Old Style"/>
          <w:sz w:val="24"/>
          <w:szCs w:val="24"/>
        </w:rPr>
        <w:t xml:space="preserve">inexpensive, and aesthetically pleasing homes. </w:t>
      </w:r>
    </w:p>
    <w:p w14:paraId="53854D59" w14:textId="63F60978" w:rsidR="007A4F06" w:rsidRPr="0014270C" w:rsidRDefault="00BE252D" w:rsidP="0094267D">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cost of building a </w:t>
      </w:r>
      <w:r w:rsidR="003D787A" w:rsidRPr="0014270C">
        <w:rPr>
          <w:rFonts w:ascii="Bookman Old Style" w:hAnsi="Bookman Old Style"/>
          <w:sz w:val="24"/>
          <w:szCs w:val="24"/>
        </w:rPr>
        <w:t>2</w:t>
      </w:r>
      <w:r w:rsidR="00E5201A" w:rsidRPr="0014270C">
        <w:rPr>
          <w:rFonts w:ascii="Bookman Old Style" w:hAnsi="Bookman Old Style"/>
          <w:sz w:val="24"/>
          <w:szCs w:val="24"/>
        </w:rPr>
        <w:t>40</w:t>
      </w:r>
      <w:r w:rsidR="008B0134" w:rsidRPr="0014270C">
        <w:rPr>
          <w:rFonts w:ascii="Bookman Old Style" w:hAnsi="Bookman Old Style"/>
          <w:sz w:val="24"/>
          <w:szCs w:val="24"/>
        </w:rPr>
        <w:t xml:space="preserve"> square foot (</w:t>
      </w:r>
      <w:r w:rsidR="00E5201A" w:rsidRPr="0014270C">
        <w:rPr>
          <w:rFonts w:ascii="Bookman Old Style" w:hAnsi="Bookman Old Style"/>
          <w:sz w:val="24"/>
          <w:szCs w:val="24"/>
        </w:rPr>
        <w:t xml:space="preserve">22.3 </w:t>
      </w:r>
      <w:r w:rsidR="00A91446" w:rsidRPr="0014270C">
        <w:rPr>
          <w:rFonts w:ascii="Bookman Old Style" w:hAnsi="Bookman Old Style"/>
          <w:sz w:val="24"/>
          <w:szCs w:val="24"/>
        </w:rPr>
        <w:t xml:space="preserve">square </w:t>
      </w:r>
      <w:r w:rsidR="00A91446" w:rsidRPr="0014270C">
        <w:rPr>
          <w:rFonts w:ascii="Bookman Old Style" w:hAnsi="Bookman Old Style"/>
          <w:noProof/>
          <w:sz w:val="24"/>
          <w:szCs w:val="24"/>
        </w:rPr>
        <w:t>meter</w:t>
      </w:r>
      <w:r w:rsidR="00A91446" w:rsidRPr="0014270C">
        <w:rPr>
          <w:rFonts w:ascii="Bookman Old Style" w:hAnsi="Bookman Old Style"/>
          <w:sz w:val="24"/>
          <w:szCs w:val="24"/>
        </w:rPr>
        <w:t xml:space="preserve">) </w:t>
      </w:r>
      <w:r w:rsidR="007D569E" w:rsidRPr="0014270C">
        <w:rPr>
          <w:rFonts w:ascii="Bookman Old Style" w:hAnsi="Bookman Old Style"/>
          <w:sz w:val="24"/>
          <w:szCs w:val="24"/>
        </w:rPr>
        <w:t xml:space="preserve">tiny home </w:t>
      </w:r>
      <w:proofErr w:type="gramStart"/>
      <w:r w:rsidR="007D569E" w:rsidRPr="0014270C">
        <w:rPr>
          <w:rFonts w:ascii="Bookman Old Style" w:hAnsi="Bookman Old Style"/>
          <w:sz w:val="24"/>
          <w:szCs w:val="24"/>
        </w:rPr>
        <w:t>was found</w:t>
      </w:r>
      <w:proofErr w:type="gramEnd"/>
      <w:r w:rsidR="007D569E" w:rsidRPr="0014270C">
        <w:rPr>
          <w:rFonts w:ascii="Bookman Old Style" w:hAnsi="Bookman Old Style"/>
          <w:sz w:val="24"/>
          <w:szCs w:val="24"/>
        </w:rPr>
        <w:t xml:space="preserve"> to </w:t>
      </w:r>
      <w:r w:rsidRPr="0014270C">
        <w:rPr>
          <w:rFonts w:ascii="Bookman Old Style" w:hAnsi="Bookman Old Style"/>
          <w:sz w:val="24"/>
          <w:szCs w:val="24"/>
        </w:rPr>
        <w:t>be</w:t>
      </w:r>
      <w:r w:rsidR="007D569E" w:rsidRPr="0014270C">
        <w:rPr>
          <w:rFonts w:ascii="Bookman Old Style" w:hAnsi="Bookman Old Style"/>
          <w:sz w:val="24"/>
          <w:szCs w:val="24"/>
        </w:rPr>
        <w:t xml:space="preserve"> </w:t>
      </w:r>
      <w:r w:rsidR="00B06A7B" w:rsidRPr="0014270C">
        <w:rPr>
          <w:rFonts w:ascii="Bookman Old Style" w:hAnsi="Bookman Old Style"/>
          <w:sz w:val="24"/>
          <w:szCs w:val="24"/>
        </w:rPr>
        <w:t>an average of US</w:t>
      </w:r>
      <w:r w:rsidR="005B2A4C" w:rsidRPr="0014270C">
        <w:rPr>
          <w:rFonts w:ascii="Bookman Old Style" w:hAnsi="Bookman Old Style"/>
          <w:sz w:val="24"/>
          <w:szCs w:val="24"/>
        </w:rPr>
        <w:t>$</w:t>
      </w:r>
      <w:r w:rsidR="0092768F" w:rsidRPr="0014270C">
        <w:rPr>
          <w:rFonts w:ascii="Bookman Old Style" w:hAnsi="Bookman Old Style"/>
          <w:sz w:val="24"/>
          <w:szCs w:val="24"/>
        </w:rPr>
        <w:t>14</w:t>
      </w:r>
      <w:r w:rsidR="003D787A" w:rsidRPr="0014270C">
        <w:rPr>
          <w:rFonts w:ascii="Bookman Old Style" w:hAnsi="Bookman Old Style"/>
          <w:sz w:val="24"/>
          <w:szCs w:val="24"/>
        </w:rPr>
        <w:t>,</w:t>
      </w:r>
      <w:r w:rsidR="0092768F" w:rsidRPr="0014270C">
        <w:rPr>
          <w:rFonts w:ascii="Bookman Old Style" w:hAnsi="Bookman Old Style"/>
          <w:sz w:val="24"/>
          <w:szCs w:val="24"/>
        </w:rPr>
        <w:t>023.02</w:t>
      </w:r>
      <w:r w:rsidR="003D787A" w:rsidRPr="0014270C">
        <w:rPr>
          <w:rFonts w:ascii="Bookman Old Style" w:hAnsi="Bookman Old Style"/>
          <w:sz w:val="24"/>
          <w:szCs w:val="24"/>
        </w:rPr>
        <w:t xml:space="preserve"> </w:t>
      </w:r>
      <w:r w:rsidR="00B06A7B" w:rsidRPr="0014270C">
        <w:rPr>
          <w:rFonts w:ascii="Bookman Old Style" w:hAnsi="Bookman Old Style"/>
          <w:sz w:val="24"/>
          <w:szCs w:val="24"/>
        </w:rPr>
        <w:t xml:space="preserve">based on a </w:t>
      </w:r>
      <w:r w:rsidR="006E49F0" w:rsidRPr="0014270C">
        <w:rPr>
          <w:rFonts w:ascii="Bookman Old Style" w:hAnsi="Bookman Old Style"/>
          <w:sz w:val="24"/>
          <w:szCs w:val="24"/>
        </w:rPr>
        <w:t xml:space="preserve">random </w:t>
      </w:r>
      <w:r w:rsidR="00AC6A06" w:rsidRPr="0014270C">
        <w:rPr>
          <w:rFonts w:ascii="Bookman Old Style" w:hAnsi="Bookman Old Style"/>
          <w:sz w:val="24"/>
          <w:szCs w:val="24"/>
        </w:rPr>
        <w:t xml:space="preserve">selection of </w:t>
      </w:r>
      <w:r w:rsidR="00984219" w:rsidRPr="0014270C">
        <w:rPr>
          <w:rFonts w:ascii="Bookman Old Style" w:hAnsi="Bookman Old Style"/>
          <w:sz w:val="24"/>
          <w:szCs w:val="24"/>
        </w:rPr>
        <w:t>1</w:t>
      </w:r>
      <w:r w:rsidR="003D787A" w:rsidRPr="0014270C">
        <w:rPr>
          <w:rFonts w:ascii="Bookman Old Style" w:hAnsi="Bookman Old Style"/>
          <w:sz w:val="24"/>
          <w:szCs w:val="24"/>
        </w:rPr>
        <w:t>0</w:t>
      </w:r>
      <w:r w:rsidR="00984219" w:rsidRPr="0014270C">
        <w:rPr>
          <w:rFonts w:ascii="Bookman Old Style" w:hAnsi="Bookman Old Style"/>
          <w:sz w:val="24"/>
          <w:szCs w:val="24"/>
        </w:rPr>
        <w:t xml:space="preserve"> tiny houses</w:t>
      </w:r>
      <w:r w:rsidR="001D0BC4" w:rsidRPr="0014270C">
        <w:rPr>
          <w:rFonts w:ascii="Bookman Old Style" w:hAnsi="Bookman Old Style"/>
          <w:sz w:val="24"/>
          <w:szCs w:val="24"/>
        </w:rPr>
        <w:t xml:space="preserve">. </w:t>
      </w:r>
      <w:r w:rsidR="00860A97" w:rsidRPr="0014270C">
        <w:rPr>
          <w:rFonts w:ascii="Bookman Old Style" w:hAnsi="Bookman Old Style"/>
          <w:sz w:val="24"/>
          <w:szCs w:val="24"/>
        </w:rPr>
        <w:t>C</w:t>
      </w:r>
      <w:r w:rsidR="00AD558A" w:rsidRPr="0014270C">
        <w:rPr>
          <w:rFonts w:ascii="Bookman Old Style" w:hAnsi="Bookman Old Style"/>
          <w:sz w:val="24"/>
          <w:szCs w:val="24"/>
        </w:rPr>
        <w:t>ost of building range</w:t>
      </w:r>
      <w:r w:rsidR="008513F4" w:rsidRPr="0014270C">
        <w:rPr>
          <w:rFonts w:ascii="Bookman Old Style" w:hAnsi="Bookman Old Style"/>
          <w:sz w:val="24"/>
          <w:szCs w:val="24"/>
        </w:rPr>
        <w:t>d</w:t>
      </w:r>
      <w:r w:rsidR="00AD558A" w:rsidRPr="0014270C">
        <w:rPr>
          <w:rFonts w:ascii="Bookman Old Style" w:hAnsi="Bookman Old Style"/>
          <w:sz w:val="24"/>
          <w:szCs w:val="24"/>
        </w:rPr>
        <w:t xml:space="preserve"> from approximately US$</w:t>
      </w:r>
      <w:r w:rsidR="003D787A" w:rsidRPr="0014270C">
        <w:rPr>
          <w:rFonts w:ascii="Bookman Old Style" w:hAnsi="Bookman Old Style"/>
          <w:sz w:val="24"/>
          <w:szCs w:val="24"/>
        </w:rPr>
        <w:t>9</w:t>
      </w:r>
      <w:r w:rsidR="00AD558A" w:rsidRPr="0014270C">
        <w:rPr>
          <w:rFonts w:ascii="Bookman Old Style" w:hAnsi="Bookman Old Style"/>
          <w:sz w:val="24"/>
          <w:szCs w:val="24"/>
        </w:rPr>
        <w:t xml:space="preserve">,000 to </w:t>
      </w:r>
      <w:r w:rsidR="0060694E" w:rsidRPr="0014270C">
        <w:rPr>
          <w:rFonts w:ascii="Bookman Old Style" w:hAnsi="Bookman Old Style"/>
          <w:sz w:val="24"/>
          <w:szCs w:val="24"/>
        </w:rPr>
        <w:t>$</w:t>
      </w:r>
      <w:r w:rsidR="002F2E24" w:rsidRPr="0014270C">
        <w:rPr>
          <w:rFonts w:ascii="Bookman Old Style" w:hAnsi="Bookman Old Style"/>
          <w:sz w:val="24"/>
          <w:szCs w:val="24"/>
        </w:rPr>
        <w:t>25</w:t>
      </w:r>
      <w:r w:rsidR="0060694E" w:rsidRPr="0014270C">
        <w:rPr>
          <w:rFonts w:ascii="Bookman Old Style" w:hAnsi="Bookman Old Style"/>
          <w:sz w:val="24"/>
          <w:szCs w:val="24"/>
        </w:rPr>
        <w:t xml:space="preserve">,000, depending on availability of materials and </w:t>
      </w:r>
      <w:r w:rsidR="003D4A64" w:rsidRPr="0014270C">
        <w:rPr>
          <w:rFonts w:ascii="Bookman Old Style" w:hAnsi="Bookman Old Style"/>
          <w:sz w:val="24"/>
          <w:szCs w:val="24"/>
        </w:rPr>
        <w:t>builder experience.</w:t>
      </w:r>
      <w:r w:rsidR="000F2887" w:rsidRPr="0014270C">
        <w:rPr>
          <w:rFonts w:ascii="Bookman Old Style" w:hAnsi="Bookman Old Style"/>
          <w:sz w:val="24"/>
          <w:szCs w:val="24"/>
        </w:rPr>
        <w:t xml:space="preserve"> It is worth noting that </w:t>
      </w:r>
      <w:r w:rsidR="00F95996" w:rsidRPr="0014270C">
        <w:rPr>
          <w:rFonts w:ascii="Bookman Old Style" w:hAnsi="Bookman Old Style"/>
          <w:sz w:val="24"/>
          <w:szCs w:val="24"/>
        </w:rPr>
        <w:t xml:space="preserve">the Tiny Maison </w:t>
      </w:r>
      <w:r w:rsidR="00342218" w:rsidRPr="0014270C">
        <w:rPr>
          <w:rFonts w:ascii="Bookman Old Style" w:hAnsi="Bookman Old Style"/>
          <w:sz w:val="24"/>
          <w:szCs w:val="24"/>
        </w:rPr>
        <w:t xml:space="preserve">project was </w:t>
      </w:r>
      <w:r w:rsidR="00F95996" w:rsidRPr="0014270C">
        <w:rPr>
          <w:rFonts w:ascii="Bookman Old Style" w:hAnsi="Bookman Old Style"/>
          <w:sz w:val="24"/>
          <w:szCs w:val="24"/>
        </w:rPr>
        <w:t xml:space="preserve">built by a </w:t>
      </w:r>
      <w:r w:rsidR="00F95996" w:rsidRPr="0014270C">
        <w:rPr>
          <w:rFonts w:ascii="Bookman Old Style" w:hAnsi="Bookman Old Style"/>
          <w:noProof/>
          <w:sz w:val="24"/>
          <w:szCs w:val="24"/>
        </w:rPr>
        <w:t>13</w:t>
      </w:r>
      <w:r w:rsidR="00DB2657" w:rsidRPr="0014270C">
        <w:rPr>
          <w:rFonts w:ascii="Bookman Old Style" w:hAnsi="Bookman Old Style"/>
          <w:noProof/>
          <w:sz w:val="24"/>
          <w:szCs w:val="24"/>
        </w:rPr>
        <w:t xml:space="preserve"> </w:t>
      </w:r>
      <w:r w:rsidR="00F95996" w:rsidRPr="0014270C">
        <w:rPr>
          <w:rFonts w:ascii="Bookman Old Style" w:hAnsi="Bookman Old Style"/>
          <w:noProof/>
          <w:sz w:val="24"/>
          <w:szCs w:val="24"/>
        </w:rPr>
        <w:t>year-old</w:t>
      </w:r>
      <w:r w:rsidR="00F95996" w:rsidRPr="0014270C">
        <w:rPr>
          <w:rFonts w:ascii="Bookman Old Style" w:hAnsi="Bookman Old Style"/>
          <w:sz w:val="24"/>
          <w:szCs w:val="24"/>
        </w:rPr>
        <w:t xml:space="preserve"> and her mother as part of an alternative learning</w:t>
      </w:r>
      <w:r w:rsidR="00C94026" w:rsidRPr="0014270C">
        <w:rPr>
          <w:rFonts w:ascii="Bookman Old Style" w:hAnsi="Bookman Old Style"/>
          <w:sz w:val="24"/>
          <w:szCs w:val="24"/>
        </w:rPr>
        <w:t>, project-based school.</w:t>
      </w:r>
      <w:r w:rsidR="00DB2657" w:rsidRPr="0014270C">
        <w:rPr>
          <w:rStyle w:val="FootnoteReference"/>
          <w:rFonts w:ascii="Bookman Old Style" w:hAnsi="Bookman Old Style"/>
          <w:sz w:val="24"/>
          <w:szCs w:val="24"/>
        </w:rPr>
        <w:footnoteReference w:id="246"/>
      </w:r>
      <w:r w:rsidR="00F07B2C" w:rsidRPr="0014270C">
        <w:rPr>
          <w:rFonts w:ascii="Bookman Old Style" w:hAnsi="Bookman Old Style"/>
          <w:sz w:val="24"/>
          <w:szCs w:val="24"/>
        </w:rPr>
        <w:t xml:space="preserve"> This encourages the theory that a multi-disciplinary team tasked with designing a structure specifically for disaster relief housing could accomplish the feat.</w:t>
      </w:r>
    </w:p>
    <w:p w14:paraId="49AED255" w14:textId="77777777" w:rsidR="007A4F06" w:rsidRPr="0014270C" w:rsidRDefault="007A4F06" w:rsidP="00A04F98">
      <w:pPr>
        <w:spacing w:line="480" w:lineRule="auto"/>
        <w:rPr>
          <w:rFonts w:ascii="Bookman Old Style" w:hAnsi="Bookman Old Style"/>
          <w:sz w:val="24"/>
          <w:szCs w:val="24"/>
        </w:rPr>
      </w:pPr>
    </w:p>
    <w:p w14:paraId="0591297D" w14:textId="5B9E800D" w:rsidR="00C778BB" w:rsidRPr="0014270C" w:rsidRDefault="00C778BB" w:rsidP="00B93546">
      <w:pPr>
        <w:pStyle w:val="THESISLVL2"/>
      </w:pPr>
      <w:bookmarkStart w:id="79" w:name="_Toc8062309"/>
      <w:r w:rsidRPr="0014270C">
        <w:t>4.</w:t>
      </w:r>
      <w:r w:rsidR="005C7B60" w:rsidRPr="0014270C">
        <w:t>2</w:t>
      </w:r>
      <w:r w:rsidRPr="0014270C">
        <w:t xml:space="preserve"> </w:t>
      </w:r>
      <w:r w:rsidR="004B5619" w:rsidRPr="0014270C">
        <w:t xml:space="preserve">Environmental </w:t>
      </w:r>
      <w:r w:rsidRPr="0014270C">
        <w:t>Impact</w:t>
      </w:r>
      <w:bookmarkEnd w:id="79"/>
    </w:p>
    <w:p w14:paraId="2B3CAB00" w14:textId="1C3109AB" w:rsidR="00F4022A" w:rsidRPr="0014270C" w:rsidRDefault="00061F1B" w:rsidP="00B93546">
      <w:pPr>
        <w:pStyle w:val="THESISLVL3"/>
      </w:pPr>
      <w:bookmarkStart w:id="80" w:name="_Toc8062310"/>
      <w:r w:rsidRPr="0014270C">
        <w:t xml:space="preserve">Energy </w:t>
      </w:r>
      <w:r w:rsidR="00F4022A" w:rsidRPr="0014270C">
        <w:t>U</w:t>
      </w:r>
      <w:r w:rsidRPr="0014270C">
        <w:t>sage</w:t>
      </w:r>
      <w:bookmarkEnd w:id="80"/>
    </w:p>
    <w:p w14:paraId="1BF3A317" w14:textId="2E7FC891" w:rsidR="0094267D" w:rsidRPr="0014270C" w:rsidRDefault="00C532F5" w:rsidP="00101197">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In some locations, unoccupied FEMA trailers had </w:t>
      </w:r>
      <w:proofErr w:type="gramStart"/>
      <w:r w:rsidRPr="0014270C">
        <w:rPr>
          <w:rFonts w:ascii="Bookman Old Style" w:hAnsi="Bookman Old Style"/>
          <w:sz w:val="24"/>
          <w:szCs w:val="24"/>
        </w:rPr>
        <w:t>been left</w:t>
      </w:r>
      <w:proofErr w:type="gramEnd"/>
      <w:r w:rsidRPr="0014270C">
        <w:rPr>
          <w:rFonts w:ascii="Bookman Old Style" w:hAnsi="Bookman Old Style"/>
          <w:sz w:val="24"/>
          <w:szCs w:val="24"/>
        </w:rPr>
        <w:t xml:space="preserve"> with lights on for security and air conditioning running for circulation to prevent </w:t>
      </w:r>
      <w:r w:rsidRPr="0014270C">
        <w:rPr>
          <w:rFonts w:ascii="Bookman Old Style" w:hAnsi="Bookman Old Style"/>
          <w:noProof/>
          <w:sz w:val="24"/>
          <w:szCs w:val="24"/>
        </w:rPr>
        <w:t>toxic</w:t>
      </w:r>
      <w:r w:rsidRPr="0014270C">
        <w:rPr>
          <w:rFonts w:ascii="Bookman Old Style" w:hAnsi="Bookman Old Style"/>
          <w:sz w:val="24"/>
          <w:szCs w:val="24"/>
        </w:rPr>
        <w:t xml:space="preserve"> build-up of chemicals used in the materials from which they were constructed;</w:t>
      </w:r>
      <w:r w:rsidRPr="0014270C">
        <w:rPr>
          <w:rStyle w:val="FootnoteReference"/>
          <w:rFonts w:ascii="Bookman Old Style" w:hAnsi="Bookman Old Style"/>
          <w:sz w:val="24"/>
          <w:szCs w:val="24"/>
        </w:rPr>
        <w:footnoteReference w:id="247"/>
      </w:r>
      <w:r w:rsidRPr="0014270C">
        <w:rPr>
          <w:rFonts w:ascii="Bookman Old Style" w:hAnsi="Bookman Old Style"/>
          <w:sz w:val="24"/>
          <w:szCs w:val="24"/>
        </w:rPr>
        <w:t xml:space="preserve"> this lack of conservation further perpetuates the problem with energy waste.</w:t>
      </w:r>
      <w:r w:rsidR="00FD0B13" w:rsidRPr="0014270C">
        <w:rPr>
          <w:rFonts w:ascii="Bookman Old Style" w:hAnsi="Bookman Old Style"/>
          <w:sz w:val="24"/>
          <w:szCs w:val="24"/>
        </w:rPr>
        <w:t xml:space="preserve"> Using a combination of passive and active technologies through intelligent design as suggested by Carlos Ochoa and Isaac </w:t>
      </w:r>
      <w:proofErr w:type="spellStart"/>
      <w:r w:rsidR="00FD0B13" w:rsidRPr="0014270C">
        <w:rPr>
          <w:rFonts w:ascii="Bookman Old Style" w:hAnsi="Bookman Old Style"/>
          <w:sz w:val="24"/>
          <w:szCs w:val="24"/>
        </w:rPr>
        <w:t>Capeluto</w:t>
      </w:r>
      <w:proofErr w:type="spellEnd"/>
      <w:r w:rsidR="00FD0B13" w:rsidRPr="0014270C">
        <w:rPr>
          <w:rFonts w:ascii="Bookman Old Style" w:hAnsi="Bookman Old Style"/>
          <w:sz w:val="24"/>
          <w:szCs w:val="24"/>
        </w:rPr>
        <w:t xml:space="preserve">, housing has the </w:t>
      </w:r>
      <w:r w:rsidR="00FD0B13" w:rsidRPr="0014270C">
        <w:rPr>
          <w:rFonts w:ascii="Bookman Old Style" w:hAnsi="Bookman Old Style"/>
          <w:sz w:val="24"/>
          <w:szCs w:val="24"/>
        </w:rPr>
        <w:lastRenderedPageBreak/>
        <w:t xml:space="preserve">potential to make the most out of the energy it can harness. </w:t>
      </w:r>
      <w:r w:rsidR="00C93302" w:rsidRPr="0014270C">
        <w:rPr>
          <w:rFonts w:ascii="Bookman Old Style" w:hAnsi="Bookman Old Style"/>
          <w:sz w:val="24"/>
          <w:szCs w:val="24"/>
        </w:rPr>
        <w:t>Further, a major bottleneck to getting victims into temporary housing after Hurricane Harvey was locating venues with utility hookup, performing the service, and providing the necessary inspection required prior to operation and use. Careful</w:t>
      </w:r>
      <w:r w:rsidR="00A03FAA" w:rsidRPr="0014270C">
        <w:rPr>
          <w:rFonts w:ascii="Bookman Old Style" w:hAnsi="Bookman Old Style"/>
          <w:sz w:val="24"/>
          <w:szCs w:val="24"/>
        </w:rPr>
        <w:t xml:space="preserve"> planning and </w:t>
      </w:r>
      <w:r w:rsidR="00C93302" w:rsidRPr="0014270C">
        <w:rPr>
          <w:rFonts w:ascii="Bookman Old Style" w:hAnsi="Bookman Old Style"/>
          <w:sz w:val="24"/>
          <w:szCs w:val="24"/>
        </w:rPr>
        <w:t>design</w:t>
      </w:r>
      <w:r w:rsidR="00A03FAA" w:rsidRPr="0014270C">
        <w:rPr>
          <w:rFonts w:ascii="Bookman Old Style" w:hAnsi="Bookman Old Style"/>
          <w:sz w:val="24"/>
          <w:szCs w:val="24"/>
        </w:rPr>
        <w:t xml:space="preserve"> of</w:t>
      </w:r>
      <w:r w:rsidR="00C93302" w:rsidRPr="0014270C">
        <w:rPr>
          <w:rFonts w:ascii="Bookman Old Style" w:hAnsi="Bookman Old Style"/>
          <w:sz w:val="24"/>
          <w:szCs w:val="24"/>
        </w:rPr>
        <w:t xml:space="preserve"> off-grid housing could have eliminated the need for scheduled field technicians to locate hookup points and provide service to ensure units had working electricity. </w:t>
      </w:r>
      <w:r w:rsidR="00661690" w:rsidRPr="0014270C">
        <w:rPr>
          <w:rFonts w:ascii="Bookman Old Style" w:hAnsi="Bookman Old Style"/>
          <w:sz w:val="24"/>
          <w:szCs w:val="24"/>
        </w:rPr>
        <w:t xml:space="preserve">The greater energy demand in trailers, especially when in continuous active use, increases environmental footprint, something that the </w:t>
      </w:r>
      <w:r w:rsidR="00EE2EEA">
        <w:rPr>
          <w:rFonts w:ascii="Bookman Old Style" w:hAnsi="Bookman Old Style"/>
          <w:sz w:val="24"/>
          <w:szCs w:val="24"/>
        </w:rPr>
        <w:t>Tiny House Movement</w:t>
      </w:r>
      <w:r w:rsidR="00661690" w:rsidRPr="0014270C">
        <w:rPr>
          <w:rFonts w:ascii="Bookman Old Style" w:hAnsi="Bookman Old Style"/>
          <w:sz w:val="24"/>
          <w:szCs w:val="24"/>
        </w:rPr>
        <w:t xml:space="preserve"> actively seeks to reduce by focusing heavily on efficiency, ensuring homes will be sustainable long-term and throughout the changing seasons.</w:t>
      </w:r>
      <w:r w:rsidR="00661690" w:rsidRPr="0014270C">
        <w:rPr>
          <w:rStyle w:val="FootnoteReference"/>
          <w:rFonts w:ascii="Bookman Old Style" w:hAnsi="Bookman Old Style"/>
          <w:sz w:val="24"/>
          <w:szCs w:val="24"/>
        </w:rPr>
        <w:footnoteReference w:id="248"/>
      </w:r>
      <w:r w:rsidR="00891E97" w:rsidRPr="0014270C">
        <w:rPr>
          <w:rFonts w:ascii="Bookman Old Style" w:hAnsi="Bookman Old Style"/>
          <w:sz w:val="24"/>
          <w:szCs w:val="24"/>
        </w:rPr>
        <w:t xml:space="preserve"> </w:t>
      </w:r>
      <w:r w:rsidR="00D73CA4" w:rsidRPr="0014270C">
        <w:rPr>
          <w:rFonts w:ascii="Bookman Old Style" w:hAnsi="Bookman Old Style"/>
          <w:sz w:val="24"/>
          <w:szCs w:val="24"/>
        </w:rPr>
        <w:t xml:space="preserve">While </w:t>
      </w:r>
      <w:r w:rsidR="006E5FCF" w:rsidRPr="0014270C">
        <w:rPr>
          <w:rFonts w:ascii="Bookman Old Style" w:hAnsi="Bookman Old Style"/>
          <w:sz w:val="24"/>
          <w:szCs w:val="24"/>
        </w:rPr>
        <w:t>the emissions from an average</w:t>
      </w:r>
      <w:r w:rsidR="00A17FE8" w:rsidRPr="0014270C">
        <w:rPr>
          <w:rFonts w:ascii="Bookman Old Style" w:hAnsi="Bookman Old Style"/>
          <w:sz w:val="24"/>
          <w:szCs w:val="24"/>
        </w:rPr>
        <w:t>, grid-connected</w:t>
      </w:r>
      <w:r w:rsidR="006E5FCF" w:rsidRPr="0014270C">
        <w:rPr>
          <w:rFonts w:ascii="Bookman Old Style" w:hAnsi="Bookman Old Style"/>
          <w:sz w:val="24"/>
          <w:szCs w:val="24"/>
        </w:rPr>
        <w:t xml:space="preserve"> tiny home are</w:t>
      </w:r>
      <w:r w:rsidR="00D73CA4" w:rsidRPr="0014270C">
        <w:rPr>
          <w:rFonts w:ascii="Bookman Old Style" w:hAnsi="Bookman Old Style"/>
          <w:sz w:val="24"/>
          <w:szCs w:val="24"/>
        </w:rPr>
        <w:t xml:space="preserve"> low when compared to a </w:t>
      </w:r>
      <w:r w:rsidR="00661690" w:rsidRPr="0014270C">
        <w:rPr>
          <w:rFonts w:ascii="Bookman Old Style" w:hAnsi="Bookman Old Style"/>
          <w:sz w:val="24"/>
          <w:szCs w:val="24"/>
        </w:rPr>
        <w:t>trailer</w:t>
      </w:r>
      <w:r w:rsidR="00674B4E" w:rsidRPr="0014270C">
        <w:rPr>
          <w:rFonts w:ascii="Bookman Old Style" w:hAnsi="Bookman Old Style"/>
          <w:sz w:val="24"/>
          <w:szCs w:val="24"/>
        </w:rPr>
        <w:t xml:space="preserve">, </w:t>
      </w:r>
      <w:r w:rsidR="00D73CA4" w:rsidRPr="0014270C">
        <w:rPr>
          <w:rFonts w:ascii="Bookman Old Style" w:hAnsi="Bookman Old Style"/>
          <w:sz w:val="24"/>
          <w:szCs w:val="24"/>
        </w:rPr>
        <w:t>a tiny ho</w:t>
      </w:r>
      <w:r w:rsidR="005A7C95" w:rsidRPr="0014270C">
        <w:rPr>
          <w:rFonts w:ascii="Bookman Old Style" w:hAnsi="Bookman Old Style"/>
          <w:sz w:val="24"/>
          <w:szCs w:val="24"/>
        </w:rPr>
        <w:t>use</w:t>
      </w:r>
      <w:r w:rsidR="00D73CA4" w:rsidRPr="0014270C">
        <w:rPr>
          <w:rFonts w:ascii="Bookman Old Style" w:hAnsi="Bookman Old Style"/>
          <w:sz w:val="24"/>
          <w:szCs w:val="24"/>
        </w:rPr>
        <w:t xml:space="preserve"> with net-zero emissions is possible</w:t>
      </w:r>
      <w:r w:rsidR="00633F0E" w:rsidRPr="0014270C">
        <w:rPr>
          <w:rFonts w:ascii="Bookman Old Style" w:hAnsi="Bookman Old Style"/>
          <w:sz w:val="24"/>
          <w:szCs w:val="24"/>
        </w:rPr>
        <w:t xml:space="preserve"> </w:t>
      </w:r>
      <w:r w:rsidR="00061F1B" w:rsidRPr="0014270C">
        <w:rPr>
          <w:rFonts w:ascii="Bookman Old Style" w:hAnsi="Bookman Old Style"/>
          <w:sz w:val="24"/>
          <w:szCs w:val="24"/>
        </w:rPr>
        <w:t>by using energy efficient appliances and lighting, solar panels, clever usage of space, high-quality insulation, and passive design techniques when building.</w:t>
      </w:r>
      <w:r w:rsidR="00061F1B" w:rsidRPr="0014270C">
        <w:rPr>
          <w:rStyle w:val="FootnoteReference"/>
          <w:rFonts w:ascii="Bookman Old Style" w:hAnsi="Bookman Old Style"/>
          <w:sz w:val="24"/>
          <w:szCs w:val="24"/>
        </w:rPr>
        <w:footnoteReference w:id="249"/>
      </w:r>
      <w:r w:rsidR="00061F1B" w:rsidRPr="0014270C">
        <w:rPr>
          <w:rFonts w:ascii="Bookman Old Style" w:hAnsi="Bookman Old Style"/>
          <w:sz w:val="24"/>
          <w:szCs w:val="24"/>
        </w:rPr>
        <w:t xml:space="preserve"> </w:t>
      </w:r>
    </w:p>
    <w:p w14:paraId="2CE644AF" w14:textId="77777777" w:rsidR="003A544C" w:rsidRPr="0014270C" w:rsidRDefault="003A544C" w:rsidP="00B93546">
      <w:pPr>
        <w:pStyle w:val="THESISLVL3"/>
      </w:pPr>
      <w:bookmarkStart w:id="81" w:name="_Toc8062311"/>
      <w:r w:rsidRPr="0014270C">
        <w:t>Water and Waste Management</w:t>
      </w:r>
      <w:bookmarkEnd w:id="81"/>
    </w:p>
    <w:p w14:paraId="066514F3" w14:textId="519EC212" w:rsidR="00331B04" w:rsidRPr="0014270C" w:rsidRDefault="00120504" w:rsidP="00B9235B">
      <w:pPr>
        <w:spacing w:line="480" w:lineRule="auto"/>
        <w:ind w:firstLine="720"/>
        <w:rPr>
          <w:rFonts w:ascii="Bookman Old Style" w:hAnsi="Bookman Old Style"/>
          <w:sz w:val="24"/>
          <w:szCs w:val="24"/>
        </w:rPr>
      </w:pPr>
      <w:r w:rsidRPr="0014270C">
        <w:rPr>
          <w:rFonts w:ascii="Bookman Old Style" w:hAnsi="Bookman Old Style"/>
          <w:sz w:val="24"/>
          <w:szCs w:val="24"/>
        </w:rPr>
        <w:t>There is often limited a</w:t>
      </w:r>
      <w:r w:rsidR="009848E1" w:rsidRPr="0014270C">
        <w:rPr>
          <w:rFonts w:ascii="Bookman Old Style" w:hAnsi="Bookman Old Style"/>
          <w:sz w:val="24"/>
          <w:szCs w:val="24"/>
        </w:rPr>
        <w:t>ccess to clean water</w:t>
      </w:r>
      <w:r w:rsidRPr="0014270C">
        <w:rPr>
          <w:rFonts w:ascii="Bookman Old Style" w:hAnsi="Bookman Old Style"/>
          <w:sz w:val="24"/>
          <w:szCs w:val="24"/>
        </w:rPr>
        <w:t xml:space="preserve"> and other utilities</w:t>
      </w:r>
      <w:r w:rsidR="009848E1" w:rsidRPr="0014270C">
        <w:rPr>
          <w:rFonts w:ascii="Bookman Old Style" w:hAnsi="Bookman Old Style"/>
          <w:sz w:val="24"/>
          <w:szCs w:val="24"/>
        </w:rPr>
        <w:t xml:space="preserve"> after storms, </w:t>
      </w:r>
      <w:r w:rsidR="004D41F2" w:rsidRPr="0014270C">
        <w:rPr>
          <w:rFonts w:ascii="Bookman Old Style" w:hAnsi="Bookman Old Style"/>
          <w:sz w:val="24"/>
          <w:szCs w:val="24"/>
        </w:rPr>
        <w:t xml:space="preserve">but </w:t>
      </w:r>
      <w:r w:rsidR="00CE03BE" w:rsidRPr="0014270C">
        <w:rPr>
          <w:rFonts w:ascii="Bookman Old Style" w:hAnsi="Bookman Old Style"/>
          <w:sz w:val="24"/>
          <w:szCs w:val="24"/>
        </w:rPr>
        <w:t>using different techniques for harnessing heat, electricity, and water, locations without utility hookup capabilities become an option for placement</w:t>
      </w:r>
      <w:r w:rsidR="00965523" w:rsidRPr="0014270C">
        <w:rPr>
          <w:rFonts w:ascii="Bookman Old Style" w:hAnsi="Bookman Old Style"/>
          <w:sz w:val="24"/>
          <w:szCs w:val="24"/>
        </w:rPr>
        <w:t xml:space="preserve"> of relief housing</w:t>
      </w:r>
      <w:r w:rsidR="00CE03BE" w:rsidRPr="0014270C">
        <w:rPr>
          <w:rFonts w:ascii="Bookman Old Style" w:hAnsi="Bookman Old Style"/>
          <w:sz w:val="24"/>
          <w:szCs w:val="24"/>
        </w:rPr>
        <w:t xml:space="preserve">. </w:t>
      </w:r>
      <w:r w:rsidR="00C44A3A" w:rsidRPr="0014270C">
        <w:rPr>
          <w:rFonts w:ascii="Bookman Old Style" w:hAnsi="Bookman Old Style"/>
          <w:sz w:val="24"/>
          <w:szCs w:val="24"/>
        </w:rPr>
        <w:t xml:space="preserve">Hurricanes form over warm ocean water near the </w:t>
      </w:r>
      <w:r w:rsidR="00C44A3A" w:rsidRPr="0014270C">
        <w:rPr>
          <w:rFonts w:ascii="Bookman Old Style" w:hAnsi="Bookman Old Style"/>
          <w:sz w:val="24"/>
          <w:szCs w:val="24"/>
        </w:rPr>
        <w:lastRenderedPageBreak/>
        <w:t>equator,</w:t>
      </w:r>
      <w:r w:rsidR="00C44A3A" w:rsidRPr="0014270C">
        <w:rPr>
          <w:rStyle w:val="FootnoteReference"/>
          <w:rFonts w:ascii="Bookman Old Style" w:hAnsi="Bookman Old Style"/>
          <w:sz w:val="24"/>
          <w:szCs w:val="24"/>
        </w:rPr>
        <w:footnoteReference w:id="250"/>
      </w:r>
      <w:r w:rsidR="00C44A3A" w:rsidRPr="0014270C">
        <w:rPr>
          <w:rFonts w:ascii="Bookman Old Style" w:hAnsi="Bookman Old Style"/>
          <w:sz w:val="24"/>
          <w:szCs w:val="24"/>
        </w:rPr>
        <w:t xml:space="preserve"> making most regions affected by these types of storms those which are humid and tropical or subtropical. Humid, subtropical climates produce an average of 100 inches (254 centimeters) of coastal rainfall per annum and 25 inches (63.5 centimeters) of inland rainfall.</w:t>
      </w:r>
      <w:r w:rsidR="00C44A3A" w:rsidRPr="0014270C">
        <w:rPr>
          <w:rStyle w:val="FootnoteReference"/>
          <w:rFonts w:ascii="Bookman Old Style" w:hAnsi="Bookman Old Style"/>
          <w:sz w:val="24"/>
          <w:szCs w:val="24"/>
        </w:rPr>
        <w:footnoteReference w:id="251"/>
      </w:r>
      <w:r w:rsidR="00B9235B" w:rsidRPr="0014270C">
        <w:rPr>
          <w:rFonts w:ascii="Bookman Old Style" w:hAnsi="Bookman Old Style"/>
          <w:sz w:val="24"/>
          <w:szCs w:val="24"/>
        </w:rPr>
        <w:t xml:space="preserve"> </w:t>
      </w:r>
      <w:r w:rsidR="00AF10D7" w:rsidRPr="0014270C">
        <w:rPr>
          <w:rFonts w:ascii="Bookman Old Style" w:hAnsi="Bookman Old Style"/>
          <w:sz w:val="24"/>
          <w:szCs w:val="24"/>
        </w:rPr>
        <w:t xml:space="preserve">A 240 square foot (22.3 square </w:t>
      </w:r>
      <w:r w:rsidR="00AF10D7" w:rsidRPr="0014270C">
        <w:rPr>
          <w:rFonts w:ascii="Bookman Old Style" w:hAnsi="Bookman Old Style"/>
          <w:noProof/>
          <w:sz w:val="24"/>
          <w:szCs w:val="24"/>
        </w:rPr>
        <w:t>meter</w:t>
      </w:r>
      <w:r w:rsidR="00AF10D7" w:rsidRPr="0014270C">
        <w:rPr>
          <w:rFonts w:ascii="Bookman Old Style" w:hAnsi="Bookman Old Style"/>
          <w:sz w:val="24"/>
          <w:szCs w:val="24"/>
        </w:rPr>
        <w:t>) tiny house with a roof pitched at 4/12 is approximately 253 square feet (23.5 square meters),</w:t>
      </w:r>
      <w:r w:rsidR="00AF10D7" w:rsidRPr="0014270C">
        <w:rPr>
          <w:rStyle w:val="FootnoteReference"/>
          <w:rFonts w:ascii="Bookman Old Style" w:hAnsi="Bookman Old Style"/>
          <w:sz w:val="24"/>
          <w:szCs w:val="24"/>
        </w:rPr>
        <w:footnoteReference w:id="252"/>
      </w:r>
      <w:r w:rsidR="00AF10D7" w:rsidRPr="0014270C">
        <w:rPr>
          <w:rFonts w:ascii="Bookman Old Style" w:hAnsi="Bookman Old Style"/>
          <w:sz w:val="24"/>
          <w:szCs w:val="24"/>
        </w:rPr>
        <w:t xml:space="preserve"> with </w:t>
      </w:r>
      <w:r w:rsidR="00206D4A" w:rsidRPr="0014270C">
        <w:rPr>
          <w:rFonts w:ascii="Bookman Old Style" w:hAnsi="Bookman Old Style"/>
          <w:sz w:val="24"/>
          <w:szCs w:val="24"/>
        </w:rPr>
        <w:t xml:space="preserve">the </w:t>
      </w:r>
      <w:r w:rsidR="00AF10D7" w:rsidRPr="0014270C">
        <w:rPr>
          <w:rFonts w:ascii="Bookman Old Style" w:hAnsi="Bookman Old Style"/>
          <w:noProof/>
          <w:sz w:val="24"/>
          <w:szCs w:val="24"/>
        </w:rPr>
        <w:t>potential</w:t>
      </w:r>
      <w:r w:rsidR="00AF10D7" w:rsidRPr="0014270C">
        <w:rPr>
          <w:rFonts w:ascii="Bookman Old Style" w:hAnsi="Bookman Old Style"/>
          <w:sz w:val="24"/>
          <w:szCs w:val="24"/>
        </w:rPr>
        <w:t xml:space="preserve"> to yield 150 gallons (567.8 liters) of water per inch of rain. </w:t>
      </w:r>
      <w:r w:rsidR="00B40C7A" w:rsidRPr="0014270C">
        <w:rPr>
          <w:rFonts w:ascii="Bookman Old Style" w:hAnsi="Bookman Old Style"/>
          <w:noProof/>
          <w:sz w:val="24"/>
          <w:szCs w:val="24"/>
        </w:rPr>
        <w:t>A RWH</w:t>
      </w:r>
      <w:r w:rsidR="00B40C7A" w:rsidRPr="0014270C">
        <w:rPr>
          <w:rFonts w:ascii="Bookman Old Style" w:hAnsi="Bookman Old Style"/>
          <w:sz w:val="24"/>
          <w:szCs w:val="24"/>
        </w:rPr>
        <w:t xml:space="preserve"> system on the example tiny house in a humid, subtropical climate such as New Orleans, </w:t>
      </w:r>
      <w:r w:rsidR="0071619B" w:rsidRPr="0014270C">
        <w:rPr>
          <w:rFonts w:ascii="Bookman Old Style" w:hAnsi="Bookman Old Style"/>
          <w:sz w:val="24"/>
          <w:szCs w:val="24"/>
        </w:rPr>
        <w:t>a location receiving</w:t>
      </w:r>
      <w:r w:rsidR="00B40C7A" w:rsidRPr="0014270C">
        <w:rPr>
          <w:rFonts w:ascii="Bookman Old Style" w:hAnsi="Bookman Old Style"/>
          <w:sz w:val="24"/>
          <w:szCs w:val="24"/>
        </w:rPr>
        <w:t xml:space="preserve"> an average annual rainfall of 63.5 inches (161.29 centimeters),</w:t>
      </w:r>
      <w:r w:rsidR="00B40C7A" w:rsidRPr="0014270C">
        <w:rPr>
          <w:rStyle w:val="FootnoteReference"/>
          <w:rFonts w:ascii="Bookman Old Style" w:hAnsi="Bookman Old Style"/>
          <w:sz w:val="24"/>
          <w:szCs w:val="24"/>
        </w:rPr>
        <w:footnoteReference w:id="253"/>
      </w:r>
      <w:r w:rsidR="00B40C7A" w:rsidRPr="0014270C">
        <w:rPr>
          <w:rFonts w:ascii="Bookman Old Style" w:hAnsi="Bookman Old Style"/>
          <w:sz w:val="24"/>
          <w:szCs w:val="24"/>
        </w:rPr>
        <w:t xml:space="preserve"> would produce approximately </w:t>
      </w:r>
      <w:r w:rsidR="002860D2" w:rsidRPr="0014270C">
        <w:rPr>
          <w:rFonts w:ascii="Bookman Old Style" w:hAnsi="Bookman Old Style"/>
          <w:sz w:val="24"/>
          <w:szCs w:val="24"/>
        </w:rPr>
        <w:t>9</w:t>
      </w:r>
      <w:r w:rsidR="007C38BB" w:rsidRPr="0014270C">
        <w:rPr>
          <w:rFonts w:ascii="Bookman Old Style" w:hAnsi="Bookman Old Style"/>
          <w:sz w:val="24"/>
          <w:szCs w:val="24"/>
        </w:rPr>
        <w:t>,</w:t>
      </w:r>
      <w:r w:rsidR="002860D2" w:rsidRPr="0014270C">
        <w:rPr>
          <w:rFonts w:ascii="Bookman Old Style" w:hAnsi="Bookman Old Style"/>
          <w:sz w:val="24"/>
          <w:szCs w:val="24"/>
        </w:rPr>
        <w:t>525</w:t>
      </w:r>
      <w:r w:rsidR="00B40C7A" w:rsidRPr="0014270C">
        <w:rPr>
          <w:rFonts w:ascii="Bookman Old Style" w:hAnsi="Bookman Old Style"/>
          <w:sz w:val="24"/>
          <w:szCs w:val="24"/>
        </w:rPr>
        <w:t xml:space="preserve"> gallons (</w:t>
      </w:r>
      <w:r w:rsidR="00594833" w:rsidRPr="0014270C">
        <w:rPr>
          <w:rFonts w:ascii="Bookman Old Style" w:hAnsi="Bookman Old Style"/>
          <w:sz w:val="24"/>
          <w:szCs w:val="24"/>
        </w:rPr>
        <w:t>3</w:t>
      </w:r>
      <w:r w:rsidR="00A13E09" w:rsidRPr="0014270C">
        <w:rPr>
          <w:rFonts w:ascii="Bookman Old Style" w:hAnsi="Bookman Old Style"/>
          <w:sz w:val="24"/>
          <w:szCs w:val="24"/>
        </w:rPr>
        <w:t>6</w:t>
      </w:r>
      <w:r w:rsidR="00594833" w:rsidRPr="0014270C">
        <w:rPr>
          <w:rFonts w:ascii="Bookman Old Style" w:hAnsi="Bookman Old Style"/>
          <w:sz w:val="24"/>
          <w:szCs w:val="24"/>
        </w:rPr>
        <w:t>,</w:t>
      </w:r>
      <w:r w:rsidR="00A13E09" w:rsidRPr="0014270C">
        <w:rPr>
          <w:rFonts w:ascii="Bookman Old Style" w:hAnsi="Bookman Old Style"/>
          <w:sz w:val="24"/>
          <w:szCs w:val="24"/>
        </w:rPr>
        <w:t>056</w:t>
      </w:r>
      <w:r w:rsidR="00B40C7A" w:rsidRPr="0014270C">
        <w:rPr>
          <w:rFonts w:ascii="Bookman Old Style" w:hAnsi="Bookman Old Style"/>
          <w:sz w:val="24"/>
          <w:szCs w:val="24"/>
        </w:rPr>
        <w:t xml:space="preserve"> liters) per year. With the addition of </w:t>
      </w:r>
      <w:r w:rsidR="00642E7D" w:rsidRPr="0014270C">
        <w:rPr>
          <w:rFonts w:ascii="Bookman Old Style" w:hAnsi="Bookman Old Style"/>
          <w:sz w:val="24"/>
          <w:szCs w:val="24"/>
        </w:rPr>
        <w:t>2</w:t>
      </w:r>
      <w:r w:rsidR="006177C3" w:rsidRPr="0014270C">
        <w:rPr>
          <w:rFonts w:ascii="Bookman Old Style" w:hAnsi="Bookman Old Style"/>
          <w:sz w:val="24"/>
          <w:szCs w:val="24"/>
        </w:rPr>
        <w:t>8</w:t>
      </w:r>
      <w:r w:rsidR="00642E7D" w:rsidRPr="0014270C">
        <w:rPr>
          <w:rFonts w:ascii="Bookman Old Style" w:hAnsi="Bookman Old Style"/>
          <w:sz w:val="24"/>
          <w:szCs w:val="24"/>
        </w:rPr>
        <w:t>0</w:t>
      </w:r>
      <w:r w:rsidR="00B40C7A" w:rsidRPr="0014270C">
        <w:rPr>
          <w:rFonts w:ascii="Bookman Old Style" w:hAnsi="Bookman Old Style"/>
          <w:sz w:val="24"/>
          <w:szCs w:val="24"/>
        </w:rPr>
        <w:t xml:space="preserve"> square f</w:t>
      </w:r>
      <w:r w:rsidR="00331B04" w:rsidRPr="0014270C">
        <w:rPr>
          <w:rFonts w:ascii="Bookman Old Style" w:hAnsi="Bookman Old Style"/>
          <w:sz w:val="24"/>
          <w:szCs w:val="24"/>
        </w:rPr>
        <w:t>ee</w:t>
      </w:r>
      <w:r w:rsidR="00B40C7A" w:rsidRPr="0014270C">
        <w:rPr>
          <w:rFonts w:ascii="Bookman Old Style" w:hAnsi="Bookman Old Style"/>
          <w:sz w:val="24"/>
          <w:szCs w:val="24"/>
        </w:rPr>
        <w:t xml:space="preserve">t (26 square </w:t>
      </w:r>
      <w:r w:rsidR="00B40C7A" w:rsidRPr="0014270C">
        <w:rPr>
          <w:rFonts w:ascii="Bookman Old Style" w:hAnsi="Bookman Old Style"/>
          <w:noProof/>
          <w:sz w:val="24"/>
          <w:szCs w:val="24"/>
        </w:rPr>
        <w:t>meter</w:t>
      </w:r>
      <w:r w:rsidR="00B40C7A" w:rsidRPr="0014270C">
        <w:rPr>
          <w:rFonts w:ascii="Bookman Old Style" w:hAnsi="Bookman Old Style"/>
          <w:sz w:val="24"/>
          <w:szCs w:val="24"/>
        </w:rPr>
        <w:t xml:space="preserve">) </w:t>
      </w:r>
      <w:r w:rsidR="00331B04" w:rsidRPr="0014270C">
        <w:rPr>
          <w:rFonts w:ascii="Bookman Old Style" w:hAnsi="Bookman Old Style"/>
          <w:sz w:val="24"/>
          <w:szCs w:val="24"/>
        </w:rPr>
        <w:t xml:space="preserve">of </w:t>
      </w:r>
      <w:r w:rsidR="00B40C7A" w:rsidRPr="0014270C">
        <w:rPr>
          <w:rFonts w:ascii="Bookman Old Style" w:hAnsi="Bookman Old Style"/>
          <w:sz w:val="24"/>
          <w:szCs w:val="24"/>
        </w:rPr>
        <w:t xml:space="preserve">retractable awning designed to collect rainwater, an additional </w:t>
      </w:r>
      <w:r w:rsidR="00B50AC9" w:rsidRPr="0014270C">
        <w:rPr>
          <w:rFonts w:ascii="Bookman Old Style" w:hAnsi="Bookman Old Style"/>
          <w:sz w:val="24"/>
          <w:szCs w:val="24"/>
        </w:rPr>
        <w:t>11</w:t>
      </w:r>
      <w:r w:rsidR="00041226" w:rsidRPr="0014270C">
        <w:rPr>
          <w:rFonts w:ascii="Bookman Old Style" w:hAnsi="Bookman Old Style"/>
          <w:sz w:val="24"/>
          <w:szCs w:val="24"/>
        </w:rPr>
        <w:t>,</w:t>
      </w:r>
      <w:r w:rsidR="00757D33" w:rsidRPr="0014270C">
        <w:rPr>
          <w:rFonts w:ascii="Bookman Old Style" w:hAnsi="Bookman Old Style"/>
          <w:sz w:val="24"/>
          <w:szCs w:val="24"/>
        </w:rPr>
        <w:t>112.5</w:t>
      </w:r>
      <w:r w:rsidR="00B40C7A" w:rsidRPr="0014270C">
        <w:rPr>
          <w:rFonts w:ascii="Bookman Old Style" w:hAnsi="Bookman Old Style"/>
          <w:sz w:val="24"/>
          <w:szCs w:val="24"/>
        </w:rPr>
        <w:t xml:space="preserve"> gallons (</w:t>
      </w:r>
      <w:r w:rsidR="00EF1D6C" w:rsidRPr="0014270C">
        <w:rPr>
          <w:rFonts w:ascii="Bookman Old Style" w:hAnsi="Bookman Old Style"/>
          <w:sz w:val="24"/>
          <w:szCs w:val="24"/>
        </w:rPr>
        <w:t>4</w:t>
      </w:r>
      <w:r w:rsidR="00144F8A" w:rsidRPr="0014270C">
        <w:rPr>
          <w:rFonts w:ascii="Bookman Old Style" w:hAnsi="Bookman Old Style"/>
          <w:sz w:val="24"/>
          <w:szCs w:val="24"/>
        </w:rPr>
        <w:t>2</w:t>
      </w:r>
      <w:r w:rsidR="00041226" w:rsidRPr="0014270C">
        <w:rPr>
          <w:rFonts w:ascii="Bookman Old Style" w:hAnsi="Bookman Old Style"/>
          <w:sz w:val="24"/>
          <w:szCs w:val="24"/>
        </w:rPr>
        <w:t>,</w:t>
      </w:r>
      <w:r w:rsidR="00144F8A" w:rsidRPr="0014270C">
        <w:rPr>
          <w:rFonts w:ascii="Bookman Old Style" w:hAnsi="Bookman Old Style"/>
          <w:sz w:val="24"/>
          <w:szCs w:val="24"/>
        </w:rPr>
        <w:t>065</w:t>
      </w:r>
      <w:r w:rsidR="00501291" w:rsidRPr="0014270C">
        <w:rPr>
          <w:rFonts w:ascii="Bookman Old Style" w:hAnsi="Bookman Old Style"/>
          <w:sz w:val="24"/>
          <w:szCs w:val="24"/>
        </w:rPr>
        <w:t>.</w:t>
      </w:r>
      <w:r w:rsidR="00144F8A" w:rsidRPr="0014270C">
        <w:rPr>
          <w:rFonts w:ascii="Bookman Old Style" w:hAnsi="Bookman Old Style"/>
          <w:sz w:val="24"/>
          <w:szCs w:val="24"/>
        </w:rPr>
        <w:t>4</w:t>
      </w:r>
      <w:r w:rsidR="00B40C7A" w:rsidRPr="0014270C">
        <w:rPr>
          <w:rFonts w:ascii="Bookman Old Style" w:hAnsi="Bookman Old Style"/>
          <w:sz w:val="24"/>
          <w:szCs w:val="24"/>
        </w:rPr>
        <w:t xml:space="preserve"> liters) of water can </w:t>
      </w:r>
      <w:proofErr w:type="gramStart"/>
      <w:r w:rsidR="00B40C7A" w:rsidRPr="0014270C">
        <w:rPr>
          <w:rFonts w:ascii="Bookman Old Style" w:hAnsi="Bookman Old Style"/>
          <w:sz w:val="24"/>
          <w:szCs w:val="24"/>
        </w:rPr>
        <w:t>be harvested</w:t>
      </w:r>
      <w:proofErr w:type="gramEnd"/>
      <w:r w:rsidR="00B40C7A" w:rsidRPr="0014270C">
        <w:rPr>
          <w:rFonts w:ascii="Bookman Old Style" w:hAnsi="Bookman Old Style"/>
          <w:sz w:val="24"/>
          <w:szCs w:val="24"/>
        </w:rPr>
        <w:t xml:space="preserve">, bringing the total yield to </w:t>
      </w:r>
      <w:r w:rsidR="00685783" w:rsidRPr="0014270C">
        <w:rPr>
          <w:rFonts w:ascii="Bookman Old Style" w:hAnsi="Bookman Old Style"/>
          <w:sz w:val="24"/>
          <w:szCs w:val="24"/>
        </w:rPr>
        <w:t>20</w:t>
      </w:r>
      <w:r w:rsidR="009309A6" w:rsidRPr="0014270C">
        <w:rPr>
          <w:rFonts w:ascii="Bookman Old Style" w:hAnsi="Bookman Old Style"/>
          <w:sz w:val="24"/>
          <w:szCs w:val="24"/>
        </w:rPr>
        <w:t>,</w:t>
      </w:r>
      <w:r w:rsidR="00685783" w:rsidRPr="0014270C">
        <w:rPr>
          <w:rFonts w:ascii="Bookman Old Style" w:hAnsi="Bookman Old Style"/>
          <w:sz w:val="24"/>
          <w:szCs w:val="24"/>
        </w:rPr>
        <w:t>637.5</w:t>
      </w:r>
      <w:r w:rsidR="00B40C7A" w:rsidRPr="0014270C">
        <w:rPr>
          <w:rFonts w:ascii="Bookman Old Style" w:hAnsi="Bookman Old Style"/>
          <w:sz w:val="24"/>
          <w:szCs w:val="24"/>
        </w:rPr>
        <w:t xml:space="preserve"> gallons (</w:t>
      </w:r>
      <w:r w:rsidR="00C429C8" w:rsidRPr="0014270C">
        <w:rPr>
          <w:rFonts w:ascii="Bookman Old Style" w:hAnsi="Bookman Old Style"/>
          <w:sz w:val="24"/>
          <w:szCs w:val="24"/>
        </w:rPr>
        <w:t>7</w:t>
      </w:r>
      <w:r w:rsidR="00331335" w:rsidRPr="0014270C">
        <w:rPr>
          <w:rFonts w:ascii="Bookman Old Style" w:hAnsi="Bookman Old Style"/>
          <w:sz w:val="24"/>
          <w:szCs w:val="24"/>
        </w:rPr>
        <w:t>8</w:t>
      </w:r>
      <w:r w:rsidR="007B7AAD" w:rsidRPr="0014270C">
        <w:rPr>
          <w:rFonts w:ascii="Bookman Old Style" w:hAnsi="Bookman Old Style"/>
          <w:sz w:val="24"/>
          <w:szCs w:val="24"/>
        </w:rPr>
        <w:t>,</w:t>
      </w:r>
      <w:r w:rsidR="00331335" w:rsidRPr="0014270C">
        <w:rPr>
          <w:rFonts w:ascii="Bookman Old Style" w:hAnsi="Bookman Old Style"/>
          <w:sz w:val="24"/>
          <w:szCs w:val="24"/>
        </w:rPr>
        <w:t>121.4</w:t>
      </w:r>
      <w:r w:rsidR="00B40C7A" w:rsidRPr="0014270C">
        <w:rPr>
          <w:rFonts w:ascii="Bookman Old Style" w:hAnsi="Bookman Old Style"/>
          <w:sz w:val="24"/>
          <w:szCs w:val="24"/>
        </w:rPr>
        <w:t xml:space="preserve"> liters) per year. Based on the calculations above, RWH alone could supply water for a household containing up to </w:t>
      </w:r>
      <w:r w:rsidR="006302D3" w:rsidRPr="0014270C">
        <w:rPr>
          <w:rFonts w:ascii="Bookman Old Style" w:hAnsi="Bookman Old Style"/>
          <w:sz w:val="24"/>
          <w:szCs w:val="24"/>
        </w:rPr>
        <w:t>three</w:t>
      </w:r>
      <w:r w:rsidR="00B40C7A" w:rsidRPr="0014270C">
        <w:rPr>
          <w:rFonts w:ascii="Bookman Old Style" w:hAnsi="Bookman Old Style"/>
          <w:sz w:val="24"/>
          <w:szCs w:val="24"/>
        </w:rPr>
        <w:t xml:space="preserve"> adults. </w:t>
      </w:r>
    </w:p>
    <w:p w14:paraId="3132407B" w14:textId="5F737237" w:rsidR="0094267D" w:rsidRPr="0014270C" w:rsidRDefault="00C72E5D" w:rsidP="00B9235B">
      <w:pPr>
        <w:spacing w:line="480" w:lineRule="auto"/>
        <w:ind w:firstLine="720"/>
        <w:rPr>
          <w:rFonts w:ascii="Bookman Old Style" w:hAnsi="Bookman Old Style"/>
          <w:sz w:val="24"/>
          <w:szCs w:val="24"/>
        </w:rPr>
      </w:pPr>
      <w:r w:rsidRPr="0014270C">
        <w:rPr>
          <w:rFonts w:ascii="Bookman Old Style" w:hAnsi="Bookman Old Style"/>
          <w:sz w:val="24"/>
          <w:szCs w:val="24"/>
        </w:rPr>
        <w:t>A</w:t>
      </w:r>
      <w:r w:rsidR="0093262F" w:rsidRPr="0014270C">
        <w:rPr>
          <w:rFonts w:ascii="Bookman Old Style" w:hAnsi="Bookman Old Style"/>
          <w:sz w:val="24"/>
          <w:szCs w:val="24"/>
        </w:rPr>
        <w:t xml:space="preserve"> hybrid system </w:t>
      </w:r>
      <w:r w:rsidR="00896707" w:rsidRPr="0014270C">
        <w:rPr>
          <w:rFonts w:ascii="Bookman Old Style" w:hAnsi="Bookman Old Style"/>
          <w:sz w:val="24"/>
          <w:szCs w:val="24"/>
        </w:rPr>
        <w:t>that u</w:t>
      </w:r>
      <w:r w:rsidRPr="0014270C">
        <w:rPr>
          <w:rFonts w:ascii="Bookman Old Style" w:hAnsi="Bookman Old Style"/>
          <w:sz w:val="24"/>
          <w:szCs w:val="24"/>
        </w:rPr>
        <w:t>tilizes</w:t>
      </w:r>
      <w:r w:rsidR="00896707" w:rsidRPr="0014270C">
        <w:rPr>
          <w:rFonts w:ascii="Bookman Old Style" w:hAnsi="Bookman Old Style"/>
          <w:sz w:val="24"/>
          <w:szCs w:val="24"/>
        </w:rPr>
        <w:t xml:space="preserve"> a combination of rainwater </w:t>
      </w:r>
      <w:r w:rsidR="00735DA1" w:rsidRPr="0014270C">
        <w:rPr>
          <w:rFonts w:ascii="Bookman Old Style" w:hAnsi="Bookman Old Style"/>
          <w:sz w:val="24"/>
          <w:szCs w:val="24"/>
        </w:rPr>
        <w:t xml:space="preserve">harvesting </w:t>
      </w:r>
      <w:r w:rsidR="00896707" w:rsidRPr="0014270C">
        <w:rPr>
          <w:rFonts w:ascii="Bookman Old Style" w:hAnsi="Bookman Old Style"/>
          <w:sz w:val="24"/>
          <w:szCs w:val="24"/>
        </w:rPr>
        <w:t xml:space="preserve">and greywater </w:t>
      </w:r>
      <w:r w:rsidR="00735DA1" w:rsidRPr="0014270C">
        <w:rPr>
          <w:rFonts w:ascii="Bookman Old Style" w:hAnsi="Bookman Old Style"/>
          <w:sz w:val="24"/>
          <w:szCs w:val="24"/>
        </w:rPr>
        <w:t xml:space="preserve">reuse </w:t>
      </w:r>
      <w:r w:rsidR="00D8625B" w:rsidRPr="0014270C">
        <w:rPr>
          <w:rFonts w:ascii="Bookman Old Style" w:hAnsi="Bookman Old Style"/>
          <w:sz w:val="24"/>
          <w:szCs w:val="24"/>
        </w:rPr>
        <w:t>as proposed by Leong et al. could</w:t>
      </w:r>
      <w:r w:rsidRPr="0014270C">
        <w:rPr>
          <w:rFonts w:ascii="Bookman Old Style" w:hAnsi="Bookman Old Style"/>
          <w:sz w:val="24"/>
          <w:szCs w:val="24"/>
        </w:rPr>
        <w:t xml:space="preserve"> further</w:t>
      </w:r>
      <w:r w:rsidR="00D8625B" w:rsidRPr="0014270C">
        <w:rPr>
          <w:rFonts w:ascii="Bookman Old Style" w:hAnsi="Bookman Old Style"/>
          <w:sz w:val="24"/>
          <w:szCs w:val="24"/>
        </w:rPr>
        <w:t xml:space="preserve"> reduce the amount of water needed to supply a household, making</w:t>
      </w:r>
      <w:r w:rsidR="00056510" w:rsidRPr="0014270C">
        <w:rPr>
          <w:rFonts w:ascii="Bookman Old Style" w:hAnsi="Bookman Old Style"/>
          <w:sz w:val="24"/>
          <w:szCs w:val="24"/>
        </w:rPr>
        <w:t xml:space="preserve"> disconnection from municipal </w:t>
      </w:r>
      <w:r w:rsidR="00056510" w:rsidRPr="0014270C">
        <w:rPr>
          <w:rFonts w:ascii="Bookman Old Style" w:hAnsi="Bookman Old Style"/>
          <w:sz w:val="24"/>
          <w:szCs w:val="24"/>
        </w:rPr>
        <w:lastRenderedPageBreak/>
        <w:t>water even more viable</w:t>
      </w:r>
      <w:r w:rsidR="00896707" w:rsidRPr="0014270C">
        <w:rPr>
          <w:rFonts w:ascii="Bookman Old Style" w:hAnsi="Bookman Old Style"/>
          <w:sz w:val="24"/>
          <w:szCs w:val="24"/>
        </w:rPr>
        <w:t xml:space="preserve"> of a solution</w:t>
      </w:r>
      <w:r w:rsidR="004B5AA0" w:rsidRPr="0014270C">
        <w:rPr>
          <w:rFonts w:ascii="Bookman Old Style" w:hAnsi="Bookman Old Style"/>
          <w:sz w:val="24"/>
          <w:szCs w:val="24"/>
        </w:rPr>
        <w:t xml:space="preserve"> as such a large catchment area would not be needed for harvesting potable water</w:t>
      </w:r>
      <w:r w:rsidR="00056510" w:rsidRPr="0014270C">
        <w:rPr>
          <w:rFonts w:ascii="Bookman Old Style" w:hAnsi="Bookman Old Style"/>
          <w:sz w:val="24"/>
          <w:szCs w:val="24"/>
        </w:rPr>
        <w:t>.</w:t>
      </w:r>
      <w:r w:rsidR="00B9235B" w:rsidRPr="0014270C">
        <w:rPr>
          <w:rFonts w:ascii="Bookman Old Style" w:hAnsi="Bookman Old Style"/>
          <w:sz w:val="24"/>
          <w:szCs w:val="24"/>
        </w:rPr>
        <w:t xml:space="preserve"> </w:t>
      </w:r>
      <w:r w:rsidR="00B40C7A" w:rsidRPr="0014270C">
        <w:rPr>
          <w:rFonts w:ascii="Bookman Old Style" w:hAnsi="Bookman Old Style"/>
          <w:sz w:val="24"/>
          <w:szCs w:val="24"/>
        </w:rPr>
        <w:t xml:space="preserve">With the inclusion of </w:t>
      </w:r>
      <w:r w:rsidR="00B40C7A" w:rsidRPr="0014270C">
        <w:rPr>
          <w:rFonts w:ascii="Bookman Old Style" w:hAnsi="Bookman Old Style"/>
          <w:noProof/>
          <w:sz w:val="24"/>
          <w:szCs w:val="24"/>
        </w:rPr>
        <w:t>a NZGW</w:t>
      </w:r>
      <w:r w:rsidR="00B40C7A" w:rsidRPr="0014270C">
        <w:rPr>
          <w:rFonts w:ascii="Bookman Old Style" w:hAnsi="Bookman Old Style"/>
          <w:sz w:val="24"/>
          <w:szCs w:val="24"/>
        </w:rPr>
        <w:t xml:space="preserve"> </w:t>
      </w:r>
      <w:r w:rsidR="009F6C9F" w:rsidRPr="0014270C">
        <w:rPr>
          <w:rFonts w:ascii="Bookman Old Style" w:hAnsi="Bookman Old Style"/>
          <w:sz w:val="24"/>
          <w:szCs w:val="24"/>
        </w:rPr>
        <w:t xml:space="preserve">reuse </w:t>
      </w:r>
      <w:r w:rsidR="00B40C7A" w:rsidRPr="0014270C">
        <w:rPr>
          <w:rFonts w:ascii="Bookman Old Style" w:hAnsi="Bookman Old Style"/>
          <w:sz w:val="24"/>
          <w:szCs w:val="24"/>
        </w:rPr>
        <w:t xml:space="preserve">system in the design of a self-sustaining home, energy </w:t>
      </w:r>
      <w:r w:rsidR="0027222E" w:rsidRPr="0014270C">
        <w:rPr>
          <w:rFonts w:ascii="Bookman Old Style" w:hAnsi="Bookman Old Style"/>
          <w:sz w:val="24"/>
          <w:szCs w:val="24"/>
        </w:rPr>
        <w:t>requirements</w:t>
      </w:r>
      <w:r w:rsidR="00AA1CAE" w:rsidRPr="0014270C">
        <w:rPr>
          <w:rFonts w:ascii="Bookman Old Style" w:hAnsi="Bookman Old Style"/>
          <w:sz w:val="24"/>
          <w:szCs w:val="24"/>
        </w:rPr>
        <w:t xml:space="preserve"> </w:t>
      </w:r>
      <w:r w:rsidR="00BD68E6" w:rsidRPr="0014270C">
        <w:rPr>
          <w:rFonts w:ascii="Bookman Old Style" w:hAnsi="Bookman Old Style"/>
          <w:sz w:val="24"/>
          <w:szCs w:val="24"/>
        </w:rPr>
        <w:t xml:space="preserve">could </w:t>
      </w:r>
      <w:proofErr w:type="gramStart"/>
      <w:r w:rsidR="00BD68E6" w:rsidRPr="0014270C">
        <w:rPr>
          <w:rFonts w:ascii="Bookman Old Style" w:hAnsi="Bookman Old Style"/>
          <w:sz w:val="24"/>
          <w:szCs w:val="24"/>
        </w:rPr>
        <w:t>be drastically reduced</w:t>
      </w:r>
      <w:proofErr w:type="gramEnd"/>
      <w:r w:rsidR="00A10725" w:rsidRPr="0014270C">
        <w:rPr>
          <w:rFonts w:ascii="Bookman Old Style" w:hAnsi="Bookman Old Style"/>
          <w:sz w:val="24"/>
          <w:szCs w:val="24"/>
        </w:rPr>
        <w:t xml:space="preserve">, particularly </w:t>
      </w:r>
      <w:r w:rsidR="00A22902" w:rsidRPr="0014270C">
        <w:rPr>
          <w:rFonts w:ascii="Bookman Old Style" w:hAnsi="Bookman Old Style"/>
          <w:sz w:val="24"/>
          <w:szCs w:val="24"/>
        </w:rPr>
        <w:t>when heating water</w:t>
      </w:r>
      <w:r w:rsidR="00B40C7A" w:rsidRPr="0014270C">
        <w:rPr>
          <w:rFonts w:ascii="Bookman Old Style" w:hAnsi="Bookman Old Style"/>
          <w:sz w:val="24"/>
          <w:szCs w:val="24"/>
        </w:rPr>
        <w:t xml:space="preserve">. </w:t>
      </w:r>
      <w:r w:rsidR="00A04E34" w:rsidRPr="0014270C">
        <w:rPr>
          <w:rFonts w:ascii="Bookman Old Style" w:hAnsi="Bookman Old Style"/>
          <w:sz w:val="24"/>
          <w:szCs w:val="24"/>
        </w:rPr>
        <w:t xml:space="preserve">As mentioned in the </w:t>
      </w:r>
      <w:r w:rsidR="00C81D72" w:rsidRPr="0014270C">
        <w:rPr>
          <w:rFonts w:ascii="Bookman Old Style" w:hAnsi="Bookman Old Style"/>
          <w:sz w:val="24"/>
          <w:szCs w:val="24"/>
        </w:rPr>
        <w:t xml:space="preserve">research done by </w:t>
      </w:r>
      <w:proofErr w:type="spellStart"/>
      <w:r w:rsidR="00C81D72" w:rsidRPr="0014270C">
        <w:rPr>
          <w:rFonts w:ascii="Bookman Old Style" w:hAnsi="Bookman Old Style"/>
          <w:sz w:val="24"/>
          <w:szCs w:val="24"/>
        </w:rPr>
        <w:t>Gassie</w:t>
      </w:r>
      <w:proofErr w:type="spellEnd"/>
      <w:r w:rsidR="00C81D72" w:rsidRPr="0014270C">
        <w:rPr>
          <w:rFonts w:ascii="Bookman Old Style" w:hAnsi="Bookman Old Style"/>
          <w:sz w:val="24"/>
          <w:szCs w:val="24"/>
        </w:rPr>
        <w:t xml:space="preserve"> and </w:t>
      </w:r>
      <w:proofErr w:type="spellStart"/>
      <w:r w:rsidR="00C81D72" w:rsidRPr="0014270C">
        <w:rPr>
          <w:rFonts w:ascii="Bookman Old Style" w:hAnsi="Bookman Old Style"/>
          <w:sz w:val="24"/>
          <w:szCs w:val="24"/>
        </w:rPr>
        <w:t>Englehardt</w:t>
      </w:r>
      <w:proofErr w:type="spellEnd"/>
      <w:r w:rsidR="00C81D72" w:rsidRPr="0014270C">
        <w:rPr>
          <w:rFonts w:ascii="Bookman Old Style" w:hAnsi="Bookman Old Style"/>
          <w:sz w:val="24"/>
          <w:szCs w:val="24"/>
        </w:rPr>
        <w:t xml:space="preserve"> on the topic, </w:t>
      </w:r>
      <w:r w:rsidR="00A51CFF" w:rsidRPr="0014270C">
        <w:rPr>
          <w:rFonts w:ascii="Bookman Old Style" w:hAnsi="Bookman Old Style"/>
          <w:sz w:val="24"/>
          <w:szCs w:val="24"/>
        </w:rPr>
        <w:t xml:space="preserve">greywater </w:t>
      </w:r>
      <w:r w:rsidR="004B159C" w:rsidRPr="0014270C">
        <w:rPr>
          <w:rFonts w:ascii="Bookman Old Style" w:hAnsi="Bookman Old Style"/>
          <w:sz w:val="24"/>
          <w:szCs w:val="24"/>
        </w:rPr>
        <w:t>re</w:t>
      </w:r>
      <w:r w:rsidR="00A51CFF" w:rsidRPr="0014270C">
        <w:rPr>
          <w:rFonts w:ascii="Bookman Old Style" w:hAnsi="Bookman Old Style"/>
          <w:sz w:val="24"/>
          <w:szCs w:val="24"/>
        </w:rPr>
        <w:t xml:space="preserve">tains an estimated 3.6% of total thermal energy </w:t>
      </w:r>
      <w:r w:rsidR="001C49A8" w:rsidRPr="0014270C">
        <w:rPr>
          <w:rFonts w:ascii="Bookman Old Style" w:hAnsi="Bookman Old Style"/>
          <w:sz w:val="24"/>
          <w:szCs w:val="24"/>
        </w:rPr>
        <w:t>demand by people living in the United States</w:t>
      </w:r>
      <w:r w:rsidR="00B93BB0" w:rsidRPr="0014270C">
        <w:rPr>
          <w:rFonts w:ascii="Bookman Old Style" w:hAnsi="Bookman Old Style"/>
          <w:sz w:val="24"/>
          <w:szCs w:val="24"/>
        </w:rPr>
        <w:t xml:space="preserve">, </w:t>
      </w:r>
      <w:r w:rsidR="00656907" w:rsidRPr="0014270C">
        <w:rPr>
          <w:rFonts w:ascii="Bookman Old Style" w:hAnsi="Bookman Old Style"/>
          <w:sz w:val="24"/>
          <w:szCs w:val="24"/>
        </w:rPr>
        <w:t xml:space="preserve">allowing water to return </w:t>
      </w:r>
      <w:r w:rsidR="00715A78" w:rsidRPr="0014270C">
        <w:rPr>
          <w:rFonts w:ascii="Bookman Old Style" w:hAnsi="Bookman Old Style"/>
          <w:sz w:val="24"/>
          <w:szCs w:val="24"/>
        </w:rPr>
        <w:t>to the tap warm, requiring minimal energy to reheat.</w:t>
      </w:r>
      <w:r w:rsidR="00E3287D" w:rsidRPr="0014270C">
        <w:rPr>
          <w:rStyle w:val="FootnoteReference"/>
          <w:rFonts w:ascii="Bookman Old Style" w:hAnsi="Bookman Old Style"/>
          <w:sz w:val="24"/>
          <w:szCs w:val="24"/>
        </w:rPr>
        <w:footnoteReference w:id="254"/>
      </w:r>
      <w:r w:rsidR="00656907" w:rsidRPr="0014270C">
        <w:rPr>
          <w:rFonts w:ascii="Bookman Old Style" w:hAnsi="Bookman Old Style"/>
          <w:sz w:val="24"/>
          <w:szCs w:val="24"/>
        </w:rPr>
        <w:t xml:space="preserve"> </w:t>
      </w:r>
      <w:r w:rsidR="002E3362" w:rsidRPr="0014270C">
        <w:rPr>
          <w:rFonts w:ascii="Bookman Old Style" w:hAnsi="Bookman Old Style"/>
          <w:sz w:val="24"/>
          <w:szCs w:val="24"/>
        </w:rPr>
        <w:t xml:space="preserve">Additionally, </w:t>
      </w:r>
      <w:r w:rsidR="002E3362" w:rsidRPr="0014270C">
        <w:rPr>
          <w:rFonts w:ascii="Bookman Old Style" w:hAnsi="Bookman Old Style"/>
          <w:noProof/>
          <w:sz w:val="24"/>
          <w:szCs w:val="24"/>
        </w:rPr>
        <w:t>a NZGW</w:t>
      </w:r>
      <w:r w:rsidR="002E3362" w:rsidRPr="0014270C">
        <w:rPr>
          <w:rFonts w:ascii="Bookman Old Style" w:hAnsi="Bookman Old Style"/>
          <w:sz w:val="24"/>
          <w:szCs w:val="24"/>
        </w:rPr>
        <w:t xml:space="preserve"> reuse system is particularly effective in combination with a dry toilet.</w:t>
      </w:r>
      <w:r w:rsidR="002E3362" w:rsidRPr="0014270C">
        <w:rPr>
          <w:rStyle w:val="FootnoteReference"/>
          <w:rFonts w:ascii="Bookman Old Style" w:hAnsi="Bookman Old Style"/>
          <w:sz w:val="24"/>
          <w:szCs w:val="24"/>
        </w:rPr>
        <w:footnoteReference w:id="255"/>
      </w:r>
      <w:r w:rsidR="002E3362" w:rsidRPr="0014270C">
        <w:rPr>
          <w:rFonts w:ascii="Bookman Old Style" w:hAnsi="Bookman Old Style"/>
          <w:sz w:val="24"/>
          <w:szCs w:val="24"/>
        </w:rPr>
        <w:t xml:space="preserve"> A dry toilet allows water imports and exports to be eliminated completely as </w:t>
      </w:r>
      <w:r w:rsidR="002E3362" w:rsidRPr="0014270C">
        <w:rPr>
          <w:rFonts w:ascii="Bookman Old Style" w:hAnsi="Bookman Old Style"/>
          <w:noProof/>
          <w:sz w:val="24"/>
          <w:szCs w:val="24"/>
        </w:rPr>
        <w:t>blackwater</w:t>
      </w:r>
      <w:r w:rsidR="002E3362" w:rsidRPr="0014270C">
        <w:rPr>
          <w:rFonts w:ascii="Bookman Old Style" w:hAnsi="Bookman Old Style"/>
          <w:sz w:val="24"/>
          <w:szCs w:val="24"/>
        </w:rPr>
        <w:t xml:space="preserve"> would not be generated. It </w:t>
      </w:r>
      <w:proofErr w:type="gramStart"/>
      <w:r w:rsidR="002E3362" w:rsidRPr="0014270C">
        <w:rPr>
          <w:rFonts w:ascii="Bookman Old Style" w:hAnsi="Bookman Old Style"/>
          <w:sz w:val="24"/>
          <w:szCs w:val="24"/>
        </w:rPr>
        <w:t>is noted</w:t>
      </w:r>
      <w:proofErr w:type="gramEnd"/>
      <w:r w:rsidR="002E3362" w:rsidRPr="0014270C">
        <w:rPr>
          <w:rFonts w:ascii="Bookman Old Style" w:hAnsi="Bookman Old Style"/>
          <w:sz w:val="24"/>
          <w:szCs w:val="24"/>
        </w:rPr>
        <w:t xml:space="preserve"> that pharmaceutical and pesticide presence should be addressed</w:t>
      </w:r>
      <w:r w:rsidR="002E3362" w:rsidRPr="0014270C">
        <w:rPr>
          <w:rStyle w:val="FootnoteReference"/>
          <w:rFonts w:ascii="Bookman Old Style" w:hAnsi="Bookman Old Style"/>
          <w:sz w:val="24"/>
          <w:szCs w:val="24"/>
        </w:rPr>
        <w:footnoteReference w:id="256"/>
      </w:r>
      <w:r w:rsidR="002E3362" w:rsidRPr="0014270C">
        <w:rPr>
          <w:rFonts w:ascii="Bookman Old Style" w:hAnsi="Bookman Old Style"/>
          <w:sz w:val="24"/>
          <w:szCs w:val="24"/>
        </w:rPr>
        <w:t xml:space="preserve"> in designing a system, particularly when attempting to meet potable water standards.</w:t>
      </w:r>
    </w:p>
    <w:p w14:paraId="4CBB6280" w14:textId="133E75DF" w:rsidR="00E74F8F" w:rsidRPr="0014270C" w:rsidRDefault="009900BF" w:rsidP="00B93546">
      <w:pPr>
        <w:pStyle w:val="THESISLVL3"/>
      </w:pPr>
      <w:bookmarkStart w:id="82" w:name="_Toc8062312"/>
      <w:r w:rsidRPr="0014270C">
        <w:t>Materials</w:t>
      </w:r>
      <w:bookmarkEnd w:id="82"/>
      <w:r w:rsidR="00FF447B" w:rsidRPr="0014270C">
        <w:t xml:space="preserve"> </w:t>
      </w:r>
    </w:p>
    <w:p w14:paraId="7311E140" w14:textId="5BE8EE74" w:rsidR="005579E1" w:rsidRPr="0014270C" w:rsidRDefault="005579E1" w:rsidP="006A737B">
      <w:pPr>
        <w:spacing w:line="480" w:lineRule="auto"/>
        <w:ind w:firstLine="720"/>
        <w:rPr>
          <w:rFonts w:ascii="Bookman Old Style" w:hAnsi="Bookman Old Style"/>
          <w:sz w:val="24"/>
          <w:szCs w:val="24"/>
        </w:rPr>
      </w:pPr>
      <w:r w:rsidRPr="0014270C">
        <w:rPr>
          <w:rFonts w:ascii="Bookman Old Style" w:hAnsi="Bookman Old Style"/>
          <w:sz w:val="24"/>
          <w:szCs w:val="24"/>
        </w:rPr>
        <w:t>Travel trailers use a high number of formaldehyde-containing materials such as pressed wood products in order to keep the cost of construction and the weight of the unit down. Pressed wood products such as particle board, plywood, and medium-density fiberboard are bound together with resins containing high amounts of CH</w:t>
      </w:r>
      <w:r w:rsidRPr="0014270C">
        <w:rPr>
          <w:rFonts w:ascii="Bookman Old Style" w:hAnsi="Bookman Old Style"/>
          <w:sz w:val="24"/>
          <w:szCs w:val="24"/>
          <w:vertAlign w:val="subscript"/>
        </w:rPr>
        <w:t>2</w:t>
      </w:r>
      <w:r w:rsidRPr="0014270C">
        <w:rPr>
          <w:rFonts w:ascii="Bookman Old Style" w:hAnsi="Bookman Old Style"/>
          <w:sz w:val="24"/>
          <w:szCs w:val="24"/>
        </w:rPr>
        <w:t>O.</w:t>
      </w:r>
      <w:r w:rsidRPr="0014270C">
        <w:rPr>
          <w:rStyle w:val="FootnoteReference"/>
          <w:rFonts w:ascii="Bookman Old Style" w:hAnsi="Bookman Old Style"/>
          <w:sz w:val="24"/>
          <w:szCs w:val="24"/>
        </w:rPr>
        <w:footnoteReference w:id="257"/>
      </w:r>
      <w:r w:rsidRPr="0014270C">
        <w:rPr>
          <w:rFonts w:ascii="Bookman Old Style" w:hAnsi="Bookman Old Style"/>
          <w:sz w:val="24"/>
          <w:szCs w:val="24"/>
        </w:rPr>
        <w:t xml:space="preserve"> Using reclaimed, locally-sourced solid </w:t>
      </w:r>
      <w:r w:rsidRPr="0014270C">
        <w:rPr>
          <w:rFonts w:ascii="Bookman Old Style" w:hAnsi="Bookman Old Style"/>
          <w:sz w:val="24"/>
          <w:szCs w:val="24"/>
        </w:rPr>
        <w:lastRenderedPageBreak/>
        <w:t>wood or wood that is sustainably sourced and known to do well in a similar climate that is manufactured with CH</w:t>
      </w:r>
      <w:r w:rsidRPr="0014270C">
        <w:rPr>
          <w:rFonts w:ascii="Bookman Old Style" w:hAnsi="Bookman Old Style"/>
          <w:sz w:val="24"/>
          <w:szCs w:val="24"/>
          <w:vertAlign w:val="subscript"/>
        </w:rPr>
        <w:t>2</w:t>
      </w:r>
      <w:r w:rsidRPr="0014270C">
        <w:rPr>
          <w:rFonts w:ascii="Bookman Old Style" w:hAnsi="Bookman Old Style"/>
          <w:sz w:val="24"/>
          <w:szCs w:val="24"/>
        </w:rPr>
        <w:t xml:space="preserve">O-free glues has immediate environmental benefits. Reclaimed wood retrieved from older buildings that used old-growth trees gives this wood a second life, saving trees from </w:t>
      </w:r>
      <w:proofErr w:type="gramStart"/>
      <w:r w:rsidRPr="0014270C">
        <w:rPr>
          <w:rFonts w:ascii="Bookman Old Style" w:hAnsi="Bookman Old Style"/>
          <w:sz w:val="24"/>
          <w:szCs w:val="24"/>
        </w:rPr>
        <w:t>being lumbered</w:t>
      </w:r>
      <w:proofErr w:type="gramEnd"/>
      <w:r w:rsidRPr="0014270C">
        <w:rPr>
          <w:rFonts w:ascii="Bookman Old Style" w:hAnsi="Bookman Old Style"/>
          <w:sz w:val="24"/>
          <w:szCs w:val="24"/>
        </w:rPr>
        <w:t>, preserving delicate ecosystems, and maintaining as much CO</w:t>
      </w:r>
      <w:r w:rsidRPr="0014270C">
        <w:rPr>
          <w:rFonts w:ascii="Bookman Old Style" w:hAnsi="Bookman Old Style"/>
          <w:sz w:val="24"/>
          <w:szCs w:val="24"/>
          <w:vertAlign w:val="subscript"/>
        </w:rPr>
        <w:t>2</w:t>
      </w:r>
      <w:r w:rsidRPr="0014270C">
        <w:rPr>
          <w:rFonts w:ascii="Bookman Old Style" w:hAnsi="Bookman Old Style"/>
          <w:sz w:val="24"/>
          <w:szCs w:val="24"/>
        </w:rPr>
        <w:t xml:space="preserve"> sequestration from older forests as possible. Building with certified sustainably sourced woods ensures that the wood being used is coming from an area that is managed in such a way that ensures the mitigation of climate change, prevention of deforestation, and preservation of biodiversity and local ecology.</w:t>
      </w:r>
      <w:r w:rsidRPr="0014270C">
        <w:rPr>
          <w:rStyle w:val="FootnoteReference"/>
          <w:rFonts w:ascii="Bookman Old Style" w:hAnsi="Bookman Old Style"/>
          <w:sz w:val="24"/>
          <w:szCs w:val="24"/>
        </w:rPr>
        <w:footnoteReference w:id="258"/>
      </w:r>
      <w:r w:rsidRPr="0014270C">
        <w:rPr>
          <w:rFonts w:ascii="Bookman Old Style" w:hAnsi="Bookman Old Style"/>
          <w:sz w:val="24"/>
          <w:szCs w:val="24"/>
        </w:rPr>
        <w:t xml:space="preserve"> By committing to building with solid wood or engineered flooring that uses soy or other plant-based binders, both environmental impact and human health concerns can be minimized.</w:t>
      </w:r>
      <w:r w:rsidRPr="0014270C">
        <w:rPr>
          <w:rStyle w:val="FootnoteReference"/>
          <w:rFonts w:ascii="Bookman Old Style" w:hAnsi="Bookman Old Style"/>
          <w:sz w:val="24"/>
          <w:szCs w:val="24"/>
        </w:rPr>
        <w:footnoteReference w:id="259"/>
      </w:r>
      <w:r w:rsidRPr="0014270C">
        <w:rPr>
          <w:rFonts w:ascii="Bookman Old Style" w:hAnsi="Bookman Old Style"/>
          <w:sz w:val="24"/>
          <w:szCs w:val="24"/>
        </w:rPr>
        <w:t xml:space="preserve">  </w:t>
      </w:r>
    </w:p>
    <w:p w14:paraId="0325280C" w14:textId="79280D37" w:rsidR="0097081F" w:rsidRPr="0014270C" w:rsidRDefault="0097081F" w:rsidP="00B93546">
      <w:pPr>
        <w:pStyle w:val="THESISLVL3"/>
      </w:pPr>
      <w:bookmarkStart w:id="83" w:name="_Toc8062313"/>
      <w:r w:rsidRPr="0014270C">
        <w:t>System Longevity</w:t>
      </w:r>
      <w:bookmarkEnd w:id="83"/>
    </w:p>
    <w:p w14:paraId="65A32372" w14:textId="295978BB" w:rsidR="001C1D38" w:rsidRPr="0014270C" w:rsidRDefault="000578A5" w:rsidP="0097081F">
      <w:pPr>
        <w:spacing w:line="480" w:lineRule="auto"/>
        <w:ind w:firstLine="720"/>
        <w:rPr>
          <w:rFonts w:ascii="Bookman Old Style" w:hAnsi="Bookman Old Style"/>
          <w:sz w:val="24"/>
          <w:szCs w:val="24"/>
        </w:rPr>
      </w:pPr>
      <w:r w:rsidRPr="0014270C">
        <w:rPr>
          <w:rFonts w:ascii="Bookman Old Style" w:hAnsi="Bookman Old Style"/>
          <w:sz w:val="24"/>
          <w:szCs w:val="24"/>
        </w:rPr>
        <w:t>Similar to Frank Lloyd Wright’s Usonian house, d</w:t>
      </w:r>
      <w:r w:rsidR="0041319A" w:rsidRPr="0014270C">
        <w:rPr>
          <w:rFonts w:ascii="Bookman Old Style" w:hAnsi="Bookman Old Style"/>
          <w:sz w:val="24"/>
          <w:szCs w:val="24"/>
        </w:rPr>
        <w:t>esigns like</w:t>
      </w:r>
      <w:r w:rsidR="007E4B07" w:rsidRPr="0014270C">
        <w:rPr>
          <w:rFonts w:ascii="Bookman Old Style" w:hAnsi="Bookman Old Style"/>
          <w:sz w:val="24"/>
          <w:szCs w:val="24"/>
        </w:rPr>
        <w:t xml:space="preserve"> </w:t>
      </w:r>
      <w:r w:rsidR="002E6649" w:rsidRPr="0014270C">
        <w:rPr>
          <w:rFonts w:ascii="Bookman Old Style" w:hAnsi="Bookman Old Style"/>
          <w:sz w:val="24"/>
          <w:szCs w:val="24"/>
        </w:rPr>
        <w:t xml:space="preserve">the tiny prototype by </w:t>
      </w:r>
      <w:r w:rsidR="007E4B07" w:rsidRPr="0014270C">
        <w:rPr>
          <w:rFonts w:ascii="Bookman Old Style" w:hAnsi="Bookman Old Style"/>
          <w:sz w:val="24"/>
          <w:szCs w:val="24"/>
        </w:rPr>
        <w:t xml:space="preserve">Jessica </w:t>
      </w:r>
      <w:proofErr w:type="spellStart"/>
      <w:r w:rsidR="007E4B07" w:rsidRPr="0014270C">
        <w:rPr>
          <w:rFonts w:ascii="Bookman Old Style" w:hAnsi="Bookman Old Style"/>
          <w:sz w:val="24"/>
          <w:szCs w:val="24"/>
        </w:rPr>
        <w:t>Gjerde</w:t>
      </w:r>
      <w:proofErr w:type="spellEnd"/>
      <w:r w:rsidR="007E4B07" w:rsidRPr="0014270C">
        <w:rPr>
          <w:rFonts w:ascii="Bookman Old Style" w:hAnsi="Bookman Old Style"/>
          <w:sz w:val="24"/>
          <w:szCs w:val="24"/>
        </w:rPr>
        <w:t xml:space="preserve"> and her team,</w:t>
      </w:r>
      <w:r w:rsidR="0041319A" w:rsidRPr="0014270C">
        <w:rPr>
          <w:rFonts w:ascii="Bookman Old Style" w:hAnsi="Bookman Old Style"/>
          <w:sz w:val="24"/>
          <w:szCs w:val="24"/>
        </w:rPr>
        <w:t xml:space="preserve"> Joseph Brown’s relief house</w:t>
      </w:r>
      <w:r w:rsidR="007E4B07" w:rsidRPr="0014270C">
        <w:rPr>
          <w:rFonts w:ascii="Bookman Old Style" w:hAnsi="Bookman Old Style"/>
          <w:sz w:val="24"/>
          <w:szCs w:val="24"/>
        </w:rPr>
        <w:t>,</w:t>
      </w:r>
      <w:r w:rsidR="0041319A" w:rsidRPr="0014270C">
        <w:rPr>
          <w:rFonts w:ascii="Bookman Old Style" w:hAnsi="Bookman Old Style"/>
          <w:sz w:val="24"/>
          <w:szCs w:val="24"/>
        </w:rPr>
        <w:t xml:space="preserve"> </w:t>
      </w:r>
      <w:r w:rsidR="007E4B07" w:rsidRPr="0014270C">
        <w:rPr>
          <w:rFonts w:ascii="Bookman Old Style" w:hAnsi="Bookman Old Style"/>
          <w:sz w:val="24"/>
          <w:szCs w:val="24"/>
        </w:rPr>
        <w:t>and</w:t>
      </w:r>
      <w:r w:rsidR="0041319A" w:rsidRPr="0014270C">
        <w:rPr>
          <w:rFonts w:ascii="Bookman Old Style" w:hAnsi="Bookman Old Style"/>
          <w:sz w:val="24"/>
          <w:szCs w:val="24"/>
        </w:rPr>
        <w:t xml:space="preserve"> Kathryn Schenk’s Flex House </w:t>
      </w:r>
      <w:r w:rsidR="007E005C" w:rsidRPr="0014270C">
        <w:rPr>
          <w:rFonts w:ascii="Bookman Old Style" w:hAnsi="Bookman Old Style"/>
          <w:sz w:val="24"/>
          <w:szCs w:val="24"/>
        </w:rPr>
        <w:t>focus on affordab</w:t>
      </w:r>
      <w:r w:rsidR="0067174F" w:rsidRPr="0014270C">
        <w:rPr>
          <w:rFonts w:ascii="Bookman Old Style" w:hAnsi="Bookman Old Style"/>
          <w:sz w:val="24"/>
          <w:szCs w:val="24"/>
        </w:rPr>
        <w:t>le</w:t>
      </w:r>
      <w:r w:rsidR="007E005C" w:rsidRPr="0014270C">
        <w:rPr>
          <w:rFonts w:ascii="Bookman Old Style" w:hAnsi="Bookman Old Style"/>
          <w:sz w:val="24"/>
          <w:szCs w:val="24"/>
        </w:rPr>
        <w:t xml:space="preserve">, prefabricated units </w:t>
      </w:r>
      <w:r w:rsidR="0067174F" w:rsidRPr="0014270C">
        <w:rPr>
          <w:rFonts w:ascii="Bookman Old Style" w:hAnsi="Bookman Old Style"/>
          <w:sz w:val="24"/>
          <w:szCs w:val="24"/>
        </w:rPr>
        <w:t xml:space="preserve">with off-grid technologies </w:t>
      </w:r>
      <w:r w:rsidR="007E005C" w:rsidRPr="0014270C">
        <w:rPr>
          <w:rFonts w:ascii="Bookman Old Style" w:hAnsi="Bookman Old Style"/>
          <w:sz w:val="24"/>
          <w:szCs w:val="24"/>
        </w:rPr>
        <w:t xml:space="preserve">and </w:t>
      </w:r>
      <w:r w:rsidR="0041319A" w:rsidRPr="0014270C">
        <w:rPr>
          <w:rFonts w:ascii="Bookman Old Style" w:hAnsi="Bookman Old Style"/>
          <w:sz w:val="24"/>
          <w:szCs w:val="24"/>
        </w:rPr>
        <w:t xml:space="preserve">could be instrumental in providing efficient relief housing for victims of disastrous hurricanes like Katrina and Harvey. </w:t>
      </w:r>
      <w:r w:rsidR="0097081F" w:rsidRPr="0014270C">
        <w:rPr>
          <w:rFonts w:ascii="Bookman Old Style" w:hAnsi="Bookman Old Style"/>
          <w:sz w:val="24"/>
          <w:szCs w:val="24"/>
        </w:rPr>
        <w:t>Using</w:t>
      </w:r>
      <w:r w:rsidR="007E4B07" w:rsidRPr="0014270C">
        <w:rPr>
          <w:rFonts w:ascii="Bookman Old Style" w:hAnsi="Bookman Old Style"/>
          <w:sz w:val="24"/>
          <w:szCs w:val="24"/>
        </w:rPr>
        <w:t xml:space="preserve"> </w:t>
      </w:r>
      <w:r w:rsidR="007E5D63" w:rsidRPr="0014270C">
        <w:rPr>
          <w:rFonts w:ascii="Bookman Old Style" w:hAnsi="Bookman Old Style"/>
          <w:sz w:val="24"/>
          <w:szCs w:val="24"/>
        </w:rPr>
        <w:t xml:space="preserve">passive, self-contained, off-grid housing with </w:t>
      </w:r>
      <w:r w:rsidR="00313112" w:rsidRPr="0014270C">
        <w:rPr>
          <w:rFonts w:ascii="Bookman Old Style" w:hAnsi="Bookman Old Style"/>
          <w:sz w:val="24"/>
          <w:szCs w:val="24"/>
        </w:rPr>
        <w:t xml:space="preserve">prefabricated, high-quality components that are easily transportable, </w:t>
      </w:r>
      <w:r w:rsidR="007E5D63" w:rsidRPr="0014270C">
        <w:rPr>
          <w:rFonts w:ascii="Bookman Old Style" w:hAnsi="Bookman Old Style"/>
          <w:sz w:val="24"/>
          <w:szCs w:val="24"/>
        </w:rPr>
        <w:t xml:space="preserve">require small teams with minimal equipment to </w:t>
      </w:r>
      <w:r w:rsidR="007E5D63" w:rsidRPr="0014270C">
        <w:rPr>
          <w:rFonts w:ascii="Bookman Old Style" w:hAnsi="Bookman Old Style"/>
          <w:sz w:val="24"/>
          <w:szCs w:val="24"/>
        </w:rPr>
        <w:lastRenderedPageBreak/>
        <w:t xml:space="preserve">assemble, that can </w:t>
      </w:r>
      <w:proofErr w:type="gramStart"/>
      <w:r w:rsidR="007E5D63" w:rsidRPr="0014270C">
        <w:rPr>
          <w:rFonts w:ascii="Bookman Old Style" w:hAnsi="Bookman Old Style"/>
          <w:sz w:val="24"/>
          <w:szCs w:val="24"/>
        </w:rPr>
        <w:t>be disassembled</w:t>
      </w:r>
      <w:proofErr w:type="gramEnd"/>
      <w:r w:rsidR="007E5D63" w:rsidRPr="0014270C">
        <w:rPr>
          <w:rFonts w:ascii="Bookman Old Style" w:hAnsi="Bookman Old Style"/>
          <w:sz w:val="24"/>
          <w:szCs w:val="24"/>
        </w:rPr>
        <w:t xml:space="preserve"> and reused</w:t>
      </w:r>
      <w:r w:rsidR="00FF7C20">
        <w:rPr>
          <w:rFonts w:ascii="Bookman Old Style" w:hAnsi="Bookman Old Style"/>
          <w:sz w:val="24"/>
          <w:szCs w:val="24"/>
        </w:rPr>
        <w:t>,</w:t>
      </w:r>
      <w:r w:rsidR="00313112" w:rsidRPr="0014270C">
        <w:rPr>
          <w:rFonts w:ascii="Bookman Old Style" w:hAnsi="Bookman Old Style"/>
          <w:sz w:val="24"/>
          <w:szCs w:val="24"/>
        </w:rPr>
        <w:t xml:space="preserve"> </w:t>
      </w:r>
      <w:r w:rsidR="007E5D63" w:rsidRPr="0014270C">
        <w:rPr>
          <w:rFonts w:ascii="Bookman Old Style" w:hAnsi="Bookman Old Style"/>
          <w:sz w:val="24"/>
          <w:szCs w:val="24"/>
        </w:rPr>
        <w:t>can</w:t>
      </w:r>
      <w:r w:rsidR="005B5FBE" w:rsidRPr="0014270C">
        <w:rPr>
          <w:rFonts w:ascii="Bookman Old Style" w:hAnsi="Bookman Old Style"/>
          <w:sz w:val="24"/>
          <w:szCs w:val="24"/>
        </w:rPr>
        <w:t xml:space="preserve"> </w:t>
      </w:r>
      <w:r w:rsidR="007E5D63" w:rsidRPr="0014270C">
        <w:rPr>
          <w:rFonts w:ascii="Bookman Old Style" w:hAnsi="Bookman Old Style"/>
          <w:sz w:val="24"/>
          <w:szCs w:val="24"/>
        </w:rPr>
        <w:t xml:space="preserve">save </w:t>
      </w:r>
      <w:r w:rsidR="001C1D38" w:rsidRPr="0014270C">
        <w:rPr>
          <w:rFonts w:ascii="Bookman Old Style" w:hAnsi="Bookman Old Style"/>
          <w:sz w:val="24"/>
          <w:szCs w:val="24"/>
        </w:rPr>
        <w:t xml:space="preserve">valuable resources such as time, money, and materials. </w:t>
      </w:r>
    </w:p>
    <w:p w14:paraId="7CEDF2F5" w14:textId="6A7173A8" w:rsidR="00D42052" w:rsidRPr="0014270C" w:rsidRDefault="0084522F" w:rsidP="00D42052">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Taking a </w:t>
      </w:r>
      <w:r w:rsidR="008E3111" w:rsidRPr="0014270C">
        <w:rPr>
          <w:rFonts w:ascii="Bookman Old Style" w:hAnsi="Bookman Old Style"/>
          <w:sz w:val="24"/>
          <w:szCs w:val="24"/>
        </w:rPr>
        <w:t xml:space="preserve">cradle-to-cradle </w:t>
      </w:r>
      <w:r w:rsidRPr="0014270C">
        <w:rPr>
          <w:rFonts w:ascii="Bookman Old Style" w:hAnsi="Bookman Old Style"/>
          <w:sz w:val="24"/>
          <w:szCs w:val="24"/>
        </w:rPr>
        <w:t xml:space="preserve">life cycle approach by using </w:t>
      </w:r>
      <w:r w:rsidR="00F13B4C" w:rsidRPr="0014270C">
        <w:rPr>
          <w:rFonts w:ascii="Bookman Old Style" w:hAnsi="Bookman Old Style"/>
          <w:sz w:val="24"/>
          <w:szCs w:val="24"/>
        </w:rPr>
        <w:t xml:space="preserve">techniques </w:t>
      </w:r>
      <w:r w:rsidR="00CD6F56" w:rsidRPr="0014270C">
        <w:rPr>
          <w:rFonts w:ascii="Bookman Old Style" w:hAnsi="Bookman Old Style"/>
          <w:sz w:val="24"/>
          <w:szCs w:val="24"/>
        </w:rPr>
        <w:t>such as th</w:t>
      </w:r>
      <w:r w:rsidR="00062934" w:rsidRPr="0014270C">
        <w:rPr>
          <w:rFonts w:ascii="Bookman Old Style" w:hAnsi="Bookman Old Style"/>
          <w:sz w:val="24"/>
          <w:szCs w:val="24"/>
        </w:rPr>
        <w:t>e ones</w:t>
      </w:r>
      <w:r w:rsidR="00F13B4C" w:rsidRPr="0014270C">
        <w:rPr>
          <w:rFonts w:ascii="Bookman Old Style" w:hAnsi="Bookman Old Style"/>
          <w:sz w:val="24"/>
          <w:szCs w:val="24"/>
        </w:rPr>
        <w:t xml:space="preserve"> used in these</w:t>
      </w:r>
      <w:r w:rsidR="00653D75" w:rsidRPr="0014270C">
        <w:rPr>
          <w:rFonts w:ascii="Bookman Old Style" w:hAnsi="Bookman Old Style"/>
          <w:sz w:val="24"/>
          <w:szCs w:val="24"/>
        </w:rPr>
        <w:t xml:space="preserve"> designs</w:t>
      </w:r>
      <w:r w:rsidRPr="0014270C">
        <w:rPr>
          <w:rFonts w:ascii="Bookman Old Style" w:hAnsi="Bookman Old Style"/>
          <w:sz w:val="24"/>
          <w:szCs w:val="24"/>
        </w:rPr>
        <w:t xml:space="preserve"> </w:t>
      </w:r>
      <w:r w:rsidR="00AF3A20" w:rsidRPr="0014270C">
        <w:rPr>
          <w:rFonts w:ascii="Bookman Old Style" w:hAnsi="Bookman Old Style"/>
          <w:sz w:val="24"/>
          <w:szCs w:val="24"/>
        </w:rPr>
        <w:t>offer</w:t>
      </w:r>
      <w:r w:rsidRPr="0014270C">
        <w:rPr>
          <w:rFonts w:ascii="Bookman Old Style" w:hAnsi="Bookman Old Style"/>
          <w:sz w:val="24"/>
          <w:szCs w:val="24"/>
        </w:rPr>
        <w:t>s</w:t>
      </w:r>
      <w:r w:rsidR="00AF3A20" w:rsidRPr="0014270C">
        <w:rPr>
          <w:rFonts w:ascii="Bookman Old Style" w:hAnsi="Bookman Old Style"/>
          <w:sz w:val="24"/>
          <w:szCs w:val="24"/>
        </w:rPr>
        <w:t xml:space="preserve"> a solution to the problem with disposing of the trailers</w:t>
      </w:r>
      <w:r w:rsidR="003F1110" w:rsidRPr="0014270C">
        <w:rPr>
          <w:rFonts w:ascii="Bookman Old Style" w:hAnsi="Bookman Old Style"/>
          <w:sz w:val="24"/>
          <w:szCs w:val="24"/>
        </w:rPr>
        <w:t xml:space="preserve"> once they are no longer needed</w:t>
      </w:r>
      <w:r w:rsidR="00AF3A20" w:rsidRPr="0014270C">
        <w:rPr>
          <w:rFonts w:ascii="Bookman Old Style" w:hAnsi="Bookman Old Style"/>
          <w:sz w:val="24"/>
          <w:szCs w:val="24"/>
        </w:rPr>
        <w:t xml:space="preserve">, as they </w:t>
      </w:r>
      <w:r w:rsidR="00281BE6" w:rsidRPr="0014270C">
        <w:rPr>
          <w:rFonts w:ascii="Bookman Old Style" w:hAnsi="Bookman Old Style"/>
          <w:sz w:val="24"/>
          <w:szCs w:val="24"/>
        </w:rPr>
        <w:t xml:space="preserve">can be broken down and stored for </w:t>
      </w:r>
      <w:r w:rsidR="002E6649" w:rsidRPr="0014270C">
        <w:rPr>
          <w:rFonts w:ascii="Bookman Old Style" w:hAnsi="Bookman Old Style"/>
          <w:sz w:val="24"/>
          <w:szCs w:val="24"/>
        </w:rPr>
        <w:t>the next inevitable demand for relief housing</w:t>
      </w:r>
      <w:r w:rsidR="005B5FBE" w:rsidRPr="0014270C">
        <w:rPr>
          <w:rFonts w:ascii="Bookman Old Style" w:hAnsi="Bookman Old Style"/>
          <w:sz w:val="24"/>
          <w:szCs w:val="24"/>
        </w:rPr>
        <w:t xml:space="preserve"> or they could be put into circulation as a solution to house homeless people not associated with the disaster, putting the units and services to good use in the interim</w:t>
      </w:r>
      <w:r w:rsidR="002E6649" w:rsidRPr="0014270C">
        <w:rPr>
          <w:rFonts w:ascii="Bookman Old Style" w:hAnsi="Bookman Old Style"/>
          <w:sz w:val="24"/>
          <w:szCs w:val="24"/>
        </w:rPr>
        <w:t>.</w:t>
      </w:r>
      <w:r w:rsidRPr="0014270C">
        <w:rPr>
          <w:rFonts w:ascii="Bookman Old Style" w:hAnsi="Bookman Old Style"/>
          <w:sz w:val="24"/>
          <w:szCs w:val="24"/>
        </w:rPr>
        <w:t xml:space="preserve"> </w:t>
      </w:r>
      <w:r w:rsidR="0032546A" w:rsidRPr="0014270C">
        <w:rPr>
          <w:rFonts w:ascii="Bookman Old Style" w:hAnsi="Bookman Old Style"/>
          <w:sz w:val="24"/>
          <w:szCs w:val="24"/>
        </w:rPr>
        <w:t xml:space="preserve">Additionally, by using sustainable materials that </w:t>
      </w:r>
      <w:r w:rsidR="006F71A3" w:rsidRPr="0014270C">
        <w:rPr>
          <w:rFonts w:ascii="Bookman Old Style" w:hAnsi="Bookman Old Style"/>
          <w:sz w:val="24"/>
          <w:szCs w:val="24"/>
        </w:rPr>
        <w:t>can</w:t>
      </w:r>
      <w:r w:rsidR="0032546A" w:rsidRPr="0014270C">
        <w:rPr>
          <w:rFonts w:ascii="Bookman Old Style" w:hAnsi="Bookman Old Style"/>
          <w:sz w:val="24"/>
          <w:szCs w:val="24"/>
        </w:rPr>
        <w:t xml:space="preserve"> </w:t>
      </w:r>
      <w:proofErr w:type="gramStart"/>
      <w:r w:rsidR="0032546A" w:rsidRPr="0014270C">
        <w:rPr>
          <w:rFonts w:ascii="Bookman Old Style" w:hAnsi="Bookman Old Style"/>
          <w:sz w:val="24"/>
          <w:szCs w:val="24"/>
        </w:rPr>
        <w:t>be recycled</w:t>
      </w:r>
      <w:proofErr w:type="gramEnd"/>
      <w:r w:rsidR="0032546A" w:rsidRPr="0014270C">
        <w:rPr>
          <w:rFonts w:ascii="Bookman Old Style" w:hAnsi="Bookman Old Style"/>
          <w:sz w:val="24"/>
          <w:szCs w:val="24"/>
        </w:rPr>
        <w:t xml:space="preserve"> and reused a</w:t>
      </w:r>
      <w:r w:rsidR="00D64700" w:rsidRPr="0014270C">
        <w:rPr>
          <w:rFonts w:ascii="Bookman Old Style" w:hAnsi="Bookman Old Style"/>
          <w:sz w:val="24"/>
          <w:szCs w:val="24"/>
        </w:rPr>
        <w:t xml:space="preserve">fter the housing units are out of commission due to age, </w:t>
      </w:r>
      <w:r w:rsidR="008347FD" w:rsidRPr="0014270C">
        <w:rPr>
          <w:rFonts w:ascii="Bookman Old Style" w:hAnsi="Bookman Old Style"/>
          <w:sz w:val="24"/>
          <w:szCs w:val="24"/>
        </w:rPr>
        <w:t>the imprint left on the planet can be mini</w:t>
      </w:r>
      <w:r w:rsidR="00757803" w:rsidRPr="0014270C">
        <w:rPr>
          <w:rFonts w:ascii="Bookman Old Style" w:hAnsi="Bookman Old Style"/>
          <w:sz w:val="24"/>
          <w:szCs w:val="24"/>
        </w:rPr>
        <w:t>mized.</w:t>
      </w:r>
    </w:p>
    <w:p w14:paraId="1E013B61" w14:textId="304FB54E" w:rsidR="00251B31" w:rsidRPr="0014270C" w:rsidRDefault="00251B31" w:rsidP="00D42052">
      <w:pPr>
        <w:spacing w:line="480" w:lineRule="auto"/>
        <w:ind w:firstLine="720"/>
        <w:rPr>
          <w:rFonts w:ascii="Bookman Old Style" w:hAnsi="Bookman Old Style"/>
          <w:sz w:val="24"/>
          <w:szCs w:val="24"/>
        </w:rPr>
      </w:pPr>
    </w:p>
    <w:p w14:paraId="7CEB4C98" w14:textId="4C91456F" w:rsidR="00251B31" w:rsidRPr="0014270C" w:rsidRDefault="00A25478" w:rsidP="00A25478">
      <w:pPr>
        <w:pStyle w:val="THESISLVL2"/>
      </w:pPr>
      <w:bookmarkStart w:id="84" w:name="_Toc8062314"/>
      <w:r w:rsidRPr="0014270C">
        <w:t xml:space="preserve">4.3 </w:t>
      </w:r>
      <w:r w:rsidR="00051E50" w:rsidRPr="0014270C">
        <w:t>Social Factors</w:t>
      </w:r>
      <w:bookmarkEnd w:id="84"/>
    </w:p>
    <w:p w14:paraId="4C3D55E0" w14:textId="77777777" w:rsidR="00F4022A" w:rsidRPr="0014270C" w:rsidRDefault="007531D2" w:rsidP="00B93546">
      <w:pPr>
        <w:pStyle w:val="THESISLVL3"/>
      </w:pPr>
      <w:bookmarkStart w:id="85" w:name="_Toc8062315"/>
      <w:r w:rsidRPr="0014270C">
        <w:t>Toxicity</w:t>
      </w:r>
      <w:bookmarkEnd w:id="85"/>
    </w:p>
    <w:p w14:paraId="35DC81FF" w14:textId="38F81D6C" w:rsidR="00780844" w:rsidRPr="0014270C" w:rsidRDefault="00872BD2" w:rsidP="00660BEF">
      <w:pPr>
        <w:spacing w:line="480" w:lineRule="auto"/>
        <w:ind w:firstLine="720"/>
        <w:rPr>
          <w:rFonts w:ascii="Bookman Old Style" w:hAnsi="Bookman Old Style"/>
          <w:sz w:val="24"/>
          <w:szCs w:val="24"/>
        </w:rPr>
      </w:pPr>
      <w:r w:rsidRPr="0014270C">
        <w:rPr>
          <w:rFonts w:ascii="Bookman Old Style" w:hAnsi="Bookman Old Style"/>
          <w:sz w:val="24"/>
          <w:szCs w:val="24"/>
        </w:rPr>
        <w:t>I</w:t>
      </w:r>
      <w:r w:rsidR="005579E1" w:rsidRPr="0014270C">
        <w:rPr>
          <w:rFonts w:ascii="Bookman Old Style" w:hAnsi="Bookman Old Style"/>
          <w:sz w:val="24"/>
          <w:szCs w:val="24"/>
        </w:rPr>
        <w:t xml:space="preserve">n the case of the </w:t>
      </w:r>
      <w:r w:rsidR="005579E1" w:rsidRPr="0014270C">
        <w:rPr>
          <w:rFonts w:ascii="Bookman Old Style" w:hAnsi="Bookman Old Style"/>
          <w:noProof/>
          <w:sz w:val="24"/>
          <w:szCs w:val="24"/>
        </w:rPr>
        <w:t>formaldehyde</w:t>
      </w:r>
      <w:r w:rsidR="00EE5016" w:rsidRPr="0014270C">
        <w:rPr>
          <w:rFonts w:ascii="Bookman Old Style" w:hAnsi="Bookman Old Style"/>
          <w:noProof/>
          <w:sz w:val="24"/>
          <w:szCs w:val="24"/>
        </w:rPr>
        <w:t>-</w:t>
      </w:r>
      <w:r w:rsidR="005579E1" w:rsidRPr="0014270C">
        <w:rPr>
          <w:rFonts w:ascii="Bookman Old Style" w:hAnsi="Bookman Old Style"/>
          <w:noProof/>
          <w:sz w:val="24"/>
          <w:szCs w:val="24"/>
        </w:rPr>
        <w:t>laden</w:t>
      </w:r>
      <w:r w:rsidR="005579E1" w:rsidRPr="0014270C">
        <w:rPr>
          <w:rFonts w:ascii="Bookman Old Style" w:hAnsi="Bookman Old Style"/>
          <w:sz w:val="24"/>
          <w:szCs w:val="24"/>
        </w:rPr>
        <w:t xml:space="preserve"> trailers, the issue was the binders used on the pressed wood products u</w:t>
      </w:r>
      <w:r w:rsidR="00404051" w:rsidRPr="0014270C">
        <w:rPr>
          <w:rFonts w:ascii="Bookman Old Style" w:hAnsi="Bookman Old Style"/>
          <w:sz w:val="24"/>
          <w:szCs w:val="24"/>
        </w:rPr>
        <w:t>tilized</w:t>
      </w:r>
      <w:r w:rsidR="005579E1" w:rsidRPr="0014270C">
        <w:rPr>
          <w:rFonts w:ascii="Bookman Old Style" w:hAnsi="Bookman Old Style"/>
          <w:sz w:val="24"/>
          <w:szCs w:val="24"/>
        </w:rPr>
        <w:t xml:space="preserve"> in constructing the units</w:t>
      </w:r>
      <w:r w:rsidRPr="0014270C">
        <w:rPr>
          <w:rFonts w:ascii="Bookman Old Style" w:hAnsi="Bookman Old Style"/>
          <w:sz w:val="24"/>
          <w:szCs w:val="24"/>
        </w:rPr>
        <w:t>, while</w:t>
      </w:r>
      <w:r w:rsidR="005579E1" w:rsidRPr="0014270C">
        <w:rPr>
          <w:rFonts w:ascii="Bookman Old Style" w:hAnsi="Bookman Old Style"/>
          <w:sz w:val="24"/>
          <w:szCs w:val="24"/>
        </w:rPr>
        <w:t xml:space="preserve"> in the Make It Right housing, wood was an issue because of the </w:t>
      </w:r>
      <w:proofErr w:type="spellStart"/>
      <w:r w:rsidR="005579E1" w:rsidRPr="0014270C">
        <w:rPr>
          <w:rFonts w:ascii="Bookman Old Style" w:hAnsi="Bookman Old Style"/>
          <w:sz w:val="24"/>
          <w:szCs w:val="24"/>
        </w:rPr>
        <w:t>TimberSIL</w:t>
      </w:r>
      <w:proofErr w:type="spellEnd"/>
      <w:r w:rsidR="005579E1" w:rsidRPr="0014270C">
        <w:rPr>
          <w:rFonts w:ascii="Bookman Old Style" w:hAnsi="Bookman Old Style"/>
          <w:sz w:val="24"/>
          <w:szCs w:val="24"/>
        </w:rPr>
        <w:t xml:space="preserve"> used. Both instances </w:t>
      </w:r>
      <w:r w:rsidR="00C463AB" w:rsidRPr="0014270C">
        <w:rPr>
          <w:rFonts w:ascii="Bookman Old Style" w:hAnsi="Bookman Old Style"/>
          <w:sz w:val="24"/>
          <w:szCs w:val="24"/>
        </w:rPr>
        <w:t xml:space="preserve">generated health </w:t>
      </w:r>
      <w:r w:rsidR="006359A7" w:rsidRPr="0014270C">
        <w:rPr>
          <w:rFonts w:ascii="Bookman Old Style" w:hAnsi="Bookman Old Style"/>
          <w:sz w:val="24"/>
          <w:szCs w:val="24"/>
        </w:rPr>
        <w:t xml:space="preserve">and safety </w:t>
      </w:r>
      <w:r w:rsidR="00224275" w:rsidRPr="0014270C">
        <w:rPr>
          <w:rFonts w:ascii="Bookman Old Style" w:hAnsi="Bookman Old Style"/>
          <w:sz w:val="24"/>
          <w:szCs w:val="24"/>
        </w:rPr>
        <w:t>concerns</w:t>
      </w:r>
      <w:r w:rsidR="00C463AB" w:rsidRPr="0014270C">
        <w:rPr>
          <w:rFonts w:ascii="Bookman Old Style" w:hAnsi="Bookman Old Style"/>
          <w:sz w:val="24"/>
          <w:szCs w:val="24"/>
        </w:rPr>
        <w:t xml:space="preserve"> that could have </w:t>
      </w:r>
      <w:proofErr w:type="gramStart"/>
      <w:r w:rsidR="00C463AB" w:rsidRPr="0014270C">
        <w:rPr>
          <w:rFonts w:ascii="Bookman Old Style" w:hAnsi="Bookman Old Style"/>
          <w:sz w:val="24"/>
          <w:szCs w:val="24"/>
        </w:rPr>
        <w:t>been avoided</w:t>
      </w:r>
      <w:proofErr w:type="gramEnd"/>
      <w:r w:rsidR="00C463AB" w:rsidRPr="0014270C">
        <w:rPr>
          <w:rFonts w:ascii="Bookman Old Style" w:hAnsi="Bookman Old Style"/>
          <w:sz w:val="24"/>
          <w:szCs w:val="24"/>
        </w:rPr>
        <w:t xml:space="preserve"> by using better materials</w:t>
      </w:r>
      <w:r w:rsidR="00E84F2F" w:rsidRPr="0014270C">
        <w:rPr>
          <w:rFonts w:ascii="Bookman Old Style" w:hAnsi="Bookman Old Style"/>
          <w:sz w:val="24"/>
          <w:szCs w:val="24"/>
        </w:rPr>
        <w:t xml:space="preserve"> and design </w:t>
      </w:r>
      <w:r w:rsidR="009251B9" w:rsidRPr="0014270C">
        <w:rPr>
          <w:rFonts w:ascii="Bookman Old Style" w:hAnsi="Bookman Old Style"/>
          <w:sz w:val="24"/>
          <w:szCs w:val="24"/>
        </w:rPr>
        <w:t xml:space="preserve">choices. </w:t>
      </w:r>
      <w:r w:rsidR="00BA42FE" w:rsidRPr="0014270C">
        <w:rPr>
          <w:rFonts w:ascii="Bookman Old Style" w:hAnsi="Bookman Old Style"/>
          <w:sz w:val="24"/>
          <w:szCs w:val="24"/>
        </w:rPr>
        <w:t>Although formaldehyde is commonly used</w:t>
      </w:r>
      <w:r w:rsidR="000611A7" w:rsidRPr="0014270C">
        <w:rPr>
          <w:rFonts w:ascii="Bookman Old Style" w:hAnsi="Bookman Old Style"/>
          <w:sz w:val="24"/>
          <w:szCs w:val="24"/>
        </w:rPr>
        <w:t xml:space="preserve"> in many household items, e</w:t>
      </w:r>
      <w:r w:rsidR="00603D80" w:rsidRPr="0014270C">
        <w:rPr>
          <w:rFonts w:ascii="Bookman Old Style" w:hAnsi="Bookman Old Style"/>
          <w:sz w:val="24"/>
          <w:szCs w:val="24"/>
        </w:rPr>
        <w:t>xposure can</w:t>
      </w:r>
      <w:r w:rsidR="000611A7" w:rsidRPr="0014270C">
        <w:rPr>
          <w:rFonts w:ascii="Bookman Old Style" w:hAnsi="Bookman Old Style"/>
          <w:sz w:val="24"/>
          <w:szCs w:val="24"/>
        </w:rPr>
        <w:t xml:space="preserve"> normally</w:t>
      </w:r>
      <w:r w:rsidR="00603D80" w:rsidRPr="0014270C">
        <w:rPr>
          <w:rFonts w:ascii="Bookman Old Style" w:hAnsi="Bookman Old Style"/>
          <w:sz w:val="24"/>
          <w:szCs w:val="24"/>
        </w:rPr>
        <w:t xml:space="preserve"> be controlled through ventilation, </w:t>
      </w:r>
      <w:r w:rsidR="00A47974" w:rsidRPr="0014270C">
        <w:rPr>
          <w:rFonts w:ascii="Bookman Old Style" w:hAnsi="Bookman Old Style"/>
          <w:sz w:val="24"/>
          <w:szCs w:val="24"/>
        </w:rPr>
        <w:t>air filtration, and indoor temperature control</w:t>
      </w:r>
      <w:r w:rsidR="006B3FB7" w:rsidRPr="0014270C">
        <w:rPr>
          <w:rFonts w:ascii="Bookman Old Style" w:hAnsi="Bookman Old Style"/>
          <w:sz w:val="24"/>
          <w:szCs w:val="24"/>
        </w:rPr>
        <w:t>; additionally, CH</w:t>
      </w:r>
      <w:r w:rsidR="006B3FB7" w:rsidRPr="0014270C">
        <w:rPr>
          <w:rFonts w:ascii="Bookman Old Style" w:hAnsi="Bookman Old Style"/>
          <w:sz w:val="24"/>
          <w:szCs w:val="24"/>
          <w:vertAlign w:val="subscript"/>
        </w:rPr>
        <w:t>2</w:t>
      </w:r>
      <w:r w:rsidR="006B3FB7" w:rsidRPr="0014270C">
        <w:rPr>
          <w:rFonts w:ascii="Bookman Old Style" w:hAnsi="Bookman Old Style"/>
          <w:sz w:val="24"/>
          <w:szCs w:val="24"/>
        </w:rPr>
        <w:t>O containing materials will emit less gas on their own</w:t>
      </w:r>
      <w:r w:rsidR="000611A7" w:rsidRPr="0014270C">
        <w:rPr>
          <w:rFonts w:ascii="Bookman Old Style" w:hAnsi="Bookman Old Style"/>
          <w:sz w:val="24"/>
          <w:szCs w:val="24"/>
        </w:rPr>
        <w:t xml:space="preserve"> if given </w:t>
      </w:r>
      <w:r w:rsidR="000611A7" w:rsidRPr="0014270C">
        <w:rPr>
          <w:rFonts w:ascii="Bookman Old Style" w:hAnsi="Bookman Old Style"/>
          <w:sz w:val="24"/>
          <w:szCs w:val="24"/>
        </w:rPr>
        <w:lastRenderedPageBreak/>
        <w:t>enough time</w:t>
      </w:r>
      <w:r w:rsidR="00224275" w:rsidRPr="0014270C">
        <w:rPr>
          <w:rFonts w:ascii="Bookman Old Style" w:hAnsi="Bookman Old Style"/>
          <w:sz w:val="24"/>
          <w:szCs w:val="24"/>
        </w:rPr>
        <w:t xml:space="preserve"> to set</w:t>
      </w:r>
      <w:r w:rsidR="006B3FB7" w:rsidRPr="0014270C">
        <w:rPr>
          <w:rFonts w:ascii="Bookman Old Style" w:hAnsi="Bookman Old Style"/>
          <w:sz w:val="24"/>
          <w:szCs w:val="24"/>
        </w:rPr>
        <w:t>.</w:t>
      </w:r>
      <w:r w:rsidR="0063298F" w:rsidRPr="0014270C">
        <w:rPr>
          <w:rStyle w:val="FootnoteReference"/>
          <w:rFonts w:ascii="Bookman Old Style" w:hAnsi="Bookman Old Style"/>
          <w:sz w:val="24"/>
          <w:szCs w:val="24"/>
        </w:rPr>
        <w:footnoteReference w:id="260"/>
      </w:r>
      <w:r w:rsidR="007D38A6" w:rsidRPr="0014270C">
        <w:rPr>
          <w:rFonts w:ascii="Bookman Old Style" w:hAnsi="Bookman Old Style"/>
          <w:sz w:val="24"/>
          <w:szCs w:val="24"/>
        </w:rPr>
        <w:t xml:space="preserve"> </w:t>
      </w:r>
      <w:r w:rsidR="007B78C1" w:rsidRPr="0014270C">
        <w:rPr>
          <w:rFonts w:ascii="Bookman Old Style" w:hAnsi="Bookman Old Style"/>
          <w:sz w:val="24"/>
          <w:szCs w:val="24"/>
        </w:rPr>
        <w:t>T</w:t>
      </w:r>
      <w:r w:rsidR="00660BEF" w:rsidRPr="0014270C">
        <w:rPr>
          <w:rFonts w:ascii="Bookman Old Style" w:hAnsi="Bookman Old Style"/>
          <w:sz w:val="24"/>
          <w:szCs w:val="24"/>
        </w:rPr>
        <w:t>ravel trailers</w:t>
      </w:r>
      <w:r w:rsidR="00F71DB9" w:rsidRPr="0014270C">
        <w:rPr>
          <w:rFonts w:ascii="Bookman Old Style" w:hAnsi="Bookman Old Style"/>
          <w:sz w:val="24"/>
          <w:szCs w:val="24"/>
        </w:rPr>
        <w:t xml:space="preserve"> </w:t>
      </w:r>
      <w:r w:rsidR="007B78C1" w:rsidRPr="0014270C">
        <w:rPr>
          <w:rFonts w:ascii="Bookman Old Style" w:hAnsi="Bookman Old Style"/>
          <w:sz w:val="24"/>
          <w:szCs w:val="24"/>
        </w:rPr>
        <w:t xml:space="preserve">generally </w:t>
      </w:r>
      <w:r w:rsidR="00F71DB9" w:rsidRPr="0014270C">
        <w:rPr>
          <w:rFonts w:ascii="Bookman Old Style" w:hAnsi="Bookman Old Style"/>
          <w:sz w:val="24"/>
          <w:szCs w:val="24"/>
        </w:rPr>
        <w:t xml:space="preserve">have few means of ventilation and introducing fresh air into </w:t>
      </w:r>
      <w:r w:rsidR="00F71DB9" w:rsidRPr="0014270C">
        <w:rPr>
          <w:rFonts w:ascii="Bookman Old Style" w:hAnsi="Bookman Old Style"/>
          <w:noProof/>
          <w:sz w:val="24"/>
          <w:szCs w:val="24"/>
        </w:rPr>
        <w:t>the space</w:t>
      </w:r>
      <w:r w:rsidR="00F71DB9" w:rsidRPr="0014270C">
        <w:rPr>
          <w:rFonts w:ascii="Bookman Old Style" w:hAnsi="Bookman Old Style"/>
          <w:sz w:val="24"/>
          <w:szCs w:val="24"/>
        </w:rPr>
        <w:t xml:space="preserve"> and have </w:t>
      </w:r>
      <w:r w:rsidR="006B3FB7" w:rsidRPr="0014270C">
        <w:rPr>
          <w:rFonts w:ascii="Bookman Old Style" w:hAnsi="Bookman Old Style"/>
          <w:sz w:val="24"/>
          <w:szCs w:val="24"/>
        </w:rPr>
        <w:t>limited ways</w:t>
      </w:r>
      <w:r w:rsidR="00F71DB9" w:rsidRPr="0014270C">
        <w:rPr>
          <w:rFonts w:ascii="Bookman Old Style" w:hAnsi="Bookman Old Style"/>
          <w:sz w:val="24"/>
          <w:szCs w:val="24"/>
        </w:rPr>
        <w:t xml:space="preserve"> of guarding against temperature extremes due to minimal insulation.</w:t>
      </w:r>
      <w:r w:rsidR="00F71DB9" w:rsidRPr="0014270C">
        <w:rPr>
          <w:rStyle w:val="FootnoteReference"/>
          <w:rFonts w:ascii="Bookman Old Style" w:hAnsi="Bookman Old Style"/>
          <w:sz w:val="24"/>
          <w:szCs w:val="24"/>
        </w:rPr>
        <w:footnoteReference w:id="261"/>
      </w:r>
      <w:r w:rsidR="00F71DB9" w:rsidRPr="0014270C">
        <w:rPr>
          <w:rFonts w:ascii="Bookman Old Style" w:hAnsi="Bookman Old Style"/>
          <w:sz w:val="24"/>
          <w:szCs w:val="24"/>
        </w:rPr>
        <w:t xml:space="preserve"> </w:t>
      </w:r>
      <w:r w:rsidR="00A32850" w:rsidRPr="0014270C">
        <w:rPr>
          <w:rFonts w:ascii="Bookman Old Style" w:hAnsi="Bookman Old Style"/>
          <w:sz w:val="24"/>
          <w:szCs w:val="24"/>
        </w:rPr>
        <w:t xml:space="preserve">In addition to these inherent characteristics of trailers, the </w:t>
      </w:r>
      <w:r w:rsidR="00E738B8" w:rsidRPr="0014270C">
        <w:rPr>
          <w:rFonts w:ascii="Bookman Old Style" w:hAnsi="Bookman Old Style"/>
          <w:sz w:val="24"/>
          <w:szCs w:val="24"/>
        </w:rPr>
        <w:t xml:space="preserve">units built for FEMA were done so in such a hurry that proper care was not able to be taken to ensure </w:t>
      </w:r>
      <w:r w:rsidR="00EB0E6E" w:rsidRPr="0014270C">
        <w:rPr>
          <w:rFonts w:ascii="Bookman Old Style" w:hAnsi="Bookman Old Style"/>
          <w:sz w:val="24"/>
          <w:szCs w:val="24"/>
        </w:rPr>
        <w:t xml:space="preserve">the built up gasses </w:t>
      </w:r>
      <w:r w:rsidR="00406088" w:rsidRPr="0014270C">
        <w:rPr>
          <w:rFonts w:ascii="Bookman Old Style" w:hAnsi="Bookman Old Style"/>
          <w:sz w:val="24"/>
          <w:szCs w:val="24"/>
        </w:rPr>
        <w:t>from the new resins used in cons</w:t>
      </w:r>
      <w:r w:rsidR="001521DB" w:rsidRPr="0014270C">
        <w:rPr>
          <w:rFonts w:ascii="Bookman Old Style" w:hAnsi="Bookman Old Style"/>
          <w:sz w:val="24"/>
          <w:szCs w:val="24"/>
        </w:rPr>
        <w:t xml:space="preserve">truction </w:t>
      </w:r>
      <w:r w:rsidR="00EB0E6E" w:rsidRPr="0014270C">
        <w:rPr>
          <w:rFonts w:ascii="Bookman Old Style" w:hAnsi="Bookman Old Style"/>
          <w:sz w:val="24"/>
          <w:szCs w:val="24"/>
        </w:rPr>
        <w:t>were able to</w:t>
      </w:r>
      <w:r w:rsidR="009B1605" w:rsidRPr="0014270C">
        <w:rPr>
          <w:rFonts w:ascii="Bookman Old Style" w:hAnsi="Bookman Old Style"/>
          <w:sz w:val="24"/>
          <w:szCs w:val="24"/>
        </w:rPr>
        <w:t xml:space="preserve"> be</w:t>
      </w:r>
      <w:r w:rsidR="00406088" w:rsidRPr="0014270C">
        <w:rPr>
          <w:rFonts w:ascii="Bookman Old Style" w:hAnsi="Bookman Old Style"/>
          <w:sz w:val="24"/>
          <w:szCs w:val="24"/>
        </w:rPr>
        <w:t xml:space="preserve"> eliminated.</w:t>
      </w:r>
      <w:r w:rsidR="00454F65" w:rsidRPr="0014270C">
        <w:rPr>
          <w:rStyle w:val="FootnoteReference"/>
          <w:rFonts w:ascii="Bookman Old Style" w:hAnsi="Bookman Old Style"/>
          <w:sz w:val="24"/>
          <w:szCs w:val="24"/>
        </w:rPr>
        <w:footnoteReference w:id="262"/>
      </w:r>
    </w:p>
    <w:p w14:paraId="16ABFB37" w14:textId="4D5ABD94" w:rsidR="00F71DB9" w:rsidRPr="0014270C" w:rsidRDefault="00F71DB9" w:rsidP="006A737B">
      <w:pPr>
        <w:spacing w:line="480" w:lineRule="auto"/>
        <w:ind w:firstLine="720"/>
        <w:rPr>
          <w:rFonts w:ascii="Bookman Old Style" w:hAnsi="Bookman Old Style"/>
          <w:sz w:val="24"/>
          <w:szCs w:val="24"/>
        </w:rPr>
      </w:pPr>
      <w:r w:rsidRPr="0014270C">
        <w:rPr>
          <w:rFonts w:ascii="Bookman Old Style" w:hAnsi="Bookman Old Style"/>
          <w:sz w:val="24"/>
          <w:szCs w:val="24"/>
        </w:rPr>
        <w:t>According to a study done on temporary housing units by the Environmental Energy Technologies Division in the Indoor Environment Department at the Lawrence Berkeley National Laboratory in 2010, it was found that an 18 degree Fahrenheit (10 degree Celsius) variation in temperature increases CH</w:t>
      </w:r>
      <w:r w:rsidRPr="0014270C">
        <w:rPr>
          <w:rFonts w:ascii="Bookman Old Style" w:hAnsi="Bookman Old Style"/>
          <w:sz w:val="24"/>
          <w:szCs w:val="24"/>
          <w:vertAlign w:val="subscript"/>
        </w:rPr>
        <w:t>2</w:t>
      </w:r>
      <w:r w:rsidRPr="0014270C">
        <w:rPr>
          <w:rFonts w:ascii="Bookman Old Style" w:hAnsi="Bookman Old Style"/>
          <w:sz w:val="24"/>
          <w:szCs w:val="24"/>
        </w:rPr>
        <w:t>O emissions by a factor of 1.9-3.5 and a 35% increase in humidity causes a similar, though slightly less significant increase of 1.8-2.6 times.</w:t>
      </w:r>
      <w:r w:rsidRPr="0014270C">
        <w:rPr>
          <w:rStyle w:val="FootnoteReference"/>
          <w:rFonts w:ascii="Bookman Old Style" w:hAnsi="Bookman Old Style"/>
          <w:sz w:val="24"/>
          <w:szCs w:val="24"/>
        </w:rPr>
        <w:footnoteReference w:id="263"/>
      </w:r>
      <w:r w:rsidRPr="0014270C">
        <w:rPr>
          <w:rFonts w:ascii="Bookman Old Style" w:hAnsi="Bookman Old Style"/>
          <w:sz w:val="24"/>
          <w:szCs w:val="24"/>
        </w:rPr>
        <w:t xml:space="preserve"> New Orleans ranges from average temperature lows of around 50 degrees Fahrenheit (10 degrees Celsius) in the winter and highs of 90 degrees Fahrenheit (32 degrees Celsius) in the summer;</w:t>
      </w:r>
      <w:r w:rsidRPr="0014270C">
        <w:rPr>
          <w:rStyle w:val="FootnoteReference"/>
          <w:rFonts w:ascii="Bookman Old Style" w:hAnsi="Bookman Old Style"/>
          <w:sz w:val="24"/>
          <w:szCs w:val="24"/>
        </w:rPr>
        <w:footnoteReference w:id="264"/>
      </w:r>
      <w:r w:rsidRPr="0014270C">
        <w:rPr>
          <w:rFonts w:ascii="Bookman Old Style" w:hAnsi="Bookman Old Style"/>
          <w:sz w:val="24"/>
          <w:szCs w:val="24"/>
        </w:rPr>
        <w:t xml:space="preserve"> the city averages a yearly relative humidity between 61-88%.</w:t>
      </w:r>
      <w:r w:rsidRPr="0014270C">
        <w:rPr>
          <w:rStyle w:val="FootnoteReference"/>
          <w:rFonts w:ascii="Bookman Old Style" w:hAnsi="Bookman Old Style"/>
          <w:sz w:val="24"/>
          <w:szCs w:val="24"/>
        </w:rPr>
        <w:footnoteReference w:id="265"/>
      </w:r>
      <w:r w:rsidRPr="0014270C">
        <w:rPr>
          <w:rFonts w:ascii="Bookman Old Style" w:hAnsi="Bookman Old Style"/>
          <w:sz w:val="24"/>
          <w:szCs w:val="24"/>
        </w:rPr>
        <w:t xml:space="preserve"> According to these data, it can </w:t>
      </w:r>
      <w:r w:rsidRPr="0014270C">
        <w:rPr>
          <w:rFonts w:ascii="Bookman Old Style" w:hAnsi="Bookman Old Style"/>
          <w:sz w:val="24"/>
          <w:szCs w:val="24"/>
        </w:rPr>
        <w:lastRenderedPageBreak/>
        <w:t>be concluded that the average CH</w:t>
      </w:r>
      <w:r w:rsidRPr="0014270C">
        <w:rPr>
          <w:rFonts w:ascii="Bookman Old Style" w:hAnsi="Bookman Old Style"/>
          <w:sz w:val="24"/>
          <w:szCs w:val="24"/>
          <w:vertAlign w:val="subscript"/>
        </w:rPr>
        <w:t>2</w:t>
      </w:r>
      <w:r w:rsidRPr="0014270C">
        <w:rPr>
          <w:rFonts w:ascii="Bookman Old Style" w:hAnsi="Bookman Old Style"/>
          <w:sz w:val="24"/>
          <w:szCs w:val="24"/>
        </w:rPr>
        <w:t>O level of 77 ppb in the FEMA trailers</w:t>
      </w:r>
      <w:r w:rsidRPr="0014270C">
        <w:rPr>
          <w:rStyle w:val="FootnoteReference"/>
          <w:rFonts w:ascii="Bookman Old Style" w:hAnsi="Bookman Old Style"/>
          <w:sz w:val="24"/>
          <w:szCs w:val="24"/>
        </w:rPr>
        <w:footnoteReference w:id="266"/>
      </w:r>
      <w:r w:rsidRPr="0014270C">
        <w:rPr>
          <w:rFonts w:ascii="Bookman Old Style" w:hAnsi="Bookman Old Style"/>
          <w:sz w:val="24"/>
          <w:szCs w:val="24"/>
        </w:rPr>
        <w:t xml:space="preserve"> could jump as high as 269.5 ppb for every 18 degrees Fahrenheit (10 degrees Celsius) the temperature climbs.</w:t>
      </w:r>
    </w:p>
    <w:p w14:paraId="2D27C045" w14:textId="13C9731F" w:rsidR="0027005B" w:rsidRPr="0014270C" w:rsidRDefault="0027005B" w:rsidP="00324DE7">
      <w:pPr>
        <w:pStyle w:val="THESISLVL3"/>
      </w:pPr>
      <w:bookmarkStart w:id="86" w:name="_Toc8062316"/>
      <w:r w:rsidRPr="0014270C">
        <w:t>Thermal Comfort</w:t>
      </w:r>
      <w:bookmarkEnd w:id="86"/>
    </w:p>
    <w:p w14:paraId="5FD7D6A3" w14:textId="466CB748" w:rsidR="001F769A" w:rsidRPr="0014270C" w:rsidRDefault="00F71DB9" w:rsidP="00461B78">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thermal environment in temporary relief housing has </w:t>
      </w:r>
      <w:proofErr w:type="gramStart"/>
      <w:r w:rsidRPr="0014270C">
        <w:rPr>
          <w:rFonts w:ascii="Bookman Old Style" w:hAnsi="Bookman Old Style"/>
          <w:sz w:val="24"/>
          <w:szCs w:val="24"/>
        </w:rPr>
        <w:t>been found</w:t>
      </w:r>
      <w:proofErr w:type="gramEnd"/>
      <w:r w:rsidRPr="0014270C">
        <w:rPr>
          <w:rFonts w:ascii="Bookman Old Style" w:hAnsi="Bookman Old Style"/>
          <w:sz w:val="24"/>
          <w:szCs w:val="24"/>
        </w:rPr>
        <w:t xml:space="preserve"> to have a significant impact on disaster victims’ </w:t>
      </w:r>
      <w:r w:rsidR="00630582" w:rsidRPr="0014270C">
        <w:rPr>
          <w:rFonts w:ascii="Bookman Old Style" w:hAnsi="Bookman Old Style"/>
          <w:sz w:val="24"/>
          <w:szCs w:val="24"/>
        </w:rPr>
        <w:t>overall body function</w:t>
      </w:r>
      <w:r w:rsidRPr="0014270C">
        <w:rPr>
          <w:rFonts w:ascii="Bookman Old Style" w:hAnsi="Bookman Old Style"/>
          <w:sz w:val="24"/>
          <w:szCs w:val="24"/>
        </w:rPr>
        <w:t xml:space="preserve">. </w:t>
      </w:r>
      <w:r w:rsidRPr="0014270C">
        <w:rPr>
          <w:rFonts w:ascii="Bookman Old Style" w:hAnsi="Bookman Old Style"/>
          <w:noProof/>
          <w:sz w:val="24"/>
          <w:szCs w:val="24"/>
        </w:rPr>
        <w:t>According</w:t>
      </w:r>
      <w:r w:rsidR="00A020E3" w:rsidRPr="0014270C">
        <w:rPr>
          <w:rFonts w:ascii="Bookman Old Style" w:hAnsi="Bookman Old Style"/>
          <w:noProof/>
          <w:sz w:val="24"/>
          <w:szCs w:val="24"/>
        </w:rPr>
        <w:t xml:space="preserve"> to</w:t>
      </w:r>
      <w:r w:rsidRPr="0014270C">
        <w:rPr>
          <w:rFonts w:ascii="Bookman Old Style" w:hAnsi="Bookman Old Style"/>
          <w:sz w:val="24"/>
          <w:szCs w:val="24"/>
        </w:rPr>
        <w:t xml:space="preserve"> </w:t>
      </w:r>
      <w:r w:rsidR="006A737B" w:rsidRPr="0014270C">
        <w:rPr>
          <w:rFonts w:ascii="Bookman Old Style" w:hAnsi="Bookman Old Style"/>
          <w:sz w:val="24"/>
          <w:szCs w:val="24"/>
        </w:rPr>
        <w:t xml:space="preserve">Wang et al. in their study </w:t>
      </w:r>
      <w:r w:rsidRPr="0014270C">
        <w:rPr>
          <w:rFonts w:ascii="Bookman Old Style" w:hAnsi="Bookman Old Style"/>
          <w:sz w:val="24"/>
          <w:szCs w:val="24"/>
        </w:rPr>
        <w:t>do</w:t>
      </w:r>
      <w:r w:rsidR="00C30C78" w:rsidRPr="0014270C">
        <w:rPr>
          <w:rFonts w:ascii="Bookman Old Style" w:hAnsi="Bookman Old Style"/>
          <w:sz w:val="24"/>
          <w:szCs w:val="24"/>
        </w:rPr>
        <w:t>ne on disaster victims and their living environment</w:t>
      </w:r>
      <w:r w:rsidR="00461B78" w:rsidRPr="0014270C">
        <w:rPr>
          <w:rFonts w:ascii="Bookman Old Style" w:hAnsi="Bookman Old Style"/>
          <w:sz w:val="24"/>
          <w:szCs w:val="24"/>
        </w:rPr>
        <w:t>,</w:t>
      </w:r>
      <w:r w:rsidR="00A03422" w:rsidRPr="0014270C">
        <w:rPr>
          <w:rFonts w:ascii="Bookman Old Style" w:hAnsi="Bookman Old Style"/>
          <w:sz w:val="24"/>
          <w:szCs w:val="24"/>
        </w:rPr>
        <w:t xml:space="preserve"> </w:t>
      </w:r>
      <w:r w:rsidRPr="0014270C">
        <w:rPr>
          <w:rFonts w:ascii="Bookman Old Style" w:hAnsi="Bookman Old Style"/>
          <w:sz w:val="24"/>
          <w:szCs w:val="24"/>
        </w:rPr>
        <w:t xml:space="preserve">the victims surveyed suffered from sleep deprivation and reduction of appetite, as well as increased frequency of illness. These factors contributed to negative effects on both the physical and mental state of victims living in relief housing. </w:t>
      </w:r>
      <w:r w:rsidR="00C30C78" w:rsidRPr="0014270C">
        <w:rPr>
          <w:rFonts w:ascii="Bookman Old Style" w:hAnsi="Bookman Old Style"/>
          <w:sz w:val="24"/>
          <w:szCs w:val="24"/>
        </w:rPr>
        <w:t>T</w:t>
      </w:r>
      <w:r w:rsidR="005A1DFF" w:rsidRPr="0014270C">
        <w:rPr>
          <w:rFonts w:ascii="Bookman Old Style" w:hAnsi="Bookman Old Style"/>
          <w:sz w:val="24"/>
          <w:szCs w:val="24"/>
        </w:rPr>
        <w:t xml:space="preserve">he study demonstrates the major </w:t>
      </w:r>
      <w:r w:rsidR="005A1DFF" w:rsidRPr="0014270C">
        <w:rPr>
          <w:rFonts w:ascii="Bookman Old Style" w:hAnsi="Bookman Old Style"/>
          <w:noProof/>
          <w:sz w:val="24"/>
          <w:szCs w:val="24"/>
        </w:rPr>
        <w:t>significance</w:t>
      </w:r>
      <w:r w:rsidR="00A020E3" w:rsidRPr="0014270C">
        <w:rPr>
          <w:rFonts w:ascii="Bookman Old Style" w:hAnsi="Bookman Old Style"/>
          <w:noProof/>
          <w:sz w:val="24"/>
          <w:szCs w:val="24"/>
        </w:rPr>
        <w:t xml:space="preserve"> </w:t>
      </w:r>
      <w:r w:rsidR="005A1DFF" w:rsidRPr="0014270C">
        <w:rPr>
          <w:rFonts w:ascii="Bookman Old Style" w:hAnsi="Bookman Old Style"/>
          <w:sz w:val="24"/>
          <w:szCs w:val="24"/>
        </w:rPr>
        <w:t>proper thermal regulation inside relief housing has on victims’ health. The researchers found that without proper ventilation and temperature control, disaster victims suffer in many ways that are both physically and mentally taxing.</w:t>
      </w:r>
      <w:r w:rsidR="005A1DFF" w:rsidRPr="0014270C">
        <w:rPr>
          <w:rStyle w:val="FootnoteReference"/>
          <w:rFonts w:ascii="Bookman Old Style" w:hAnsi="Bookman Old Style"/>
          <w:sz w:val="24"/>
          <w:szCs w:val="24"/>
        </w:rPr>
        <w:footnoteReference w:id="267"/>
      </w:r>
      <w:r w:rsidR="005A1DFF" w:rsidRPr="0014270C">
        <w:rPr>
          <w:rFonts w:ascii="Bookman Old Style" w:hAnsi="Bookman Old Style"/>
          <w:sz w:val="24"/>
          <w:szCs w:val="24"/>
        </w:rPr>
        <w:t xml:space="preserve"> This contributes not only to the potential for legal action as was seen in the aftermath of Hurricane Katrina but also a higher cost to society due to the increase in demand for medical assistance. </w:t>
      </w:r>
    </w:p>
    <w:p w14:paraId="53C01135" w14:textId="0A61061C" w:rsidR="000C6385" w:rsidRPr="0014270C" w:rsidRDefault="000C6385" w:rsidP="00461B78">
      <w:pPr>
        <w:spacing w:line="480" w:lineRule="auto"/>
        <w:ind w:firstLine="720"/>
        <w:rPr>
          <w:rFonts w:ascii="Bookman Old Style" w:hAnsi="Bookman Old Style"/>
          <w:sz w:val="24"/>
          <w:szCs w:val="24"/>
        </w:rPr>
      </w:pPr>
    </w:p>
    <w:p w14:paraId="47340A35" w14:textId="77777777" w:rsidR="000C6385" w:rsidRPr="0014270C" w:rsidRDefault="000C6385" w:rsidP="00461B78">
      <w:pPr>
        <w:spacing w:line="480" w:lineRule="auto"/>
        <w:ind w:firstLine="720"/>
        <w:rPr>
          <w:rFonts w:ascii="Bookman Old Style" w:hAnsi="Bookman Old Style"/>
          <w:sz w:val="24"/>
          <w:szCs w:val="24"/>
        </w:rPr>
      </w:pPr>
    </w:p>
    <w:p w14:paraId="072F228B" w14:textId="4F51CD75" w:rsidR="0027005B" w:rsidRPr="0014270C" w:rsidRDefault="0027005B" w:rsidP="0027005B">
      <w:pPr>
        <w:pStyle w:val="THESISLVL3"/>
      </w:pPr>
      <w:bookmarkStart w:id="87" w:name="_Toc8062317"/>
      <w:r w:rsidRPr="0014270C">
        <w:lastRenderedPageBreak/>
        <w:t>Social Capital</w:t>
      </w:r>
      <w:bookmarkEnd w:id="87"/>
    </w:p>
    <w:p w14:paraId="646DC5DF" w14:textId="77777777" w:rsidR="000C6385" w:rsidRPr="0014270C" w:rsidRDefault="0027005B" w:rsidP="0027005B">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Ochoa and </w:t>
      </w:r>
      <w:proofErr w:type="spellStart"/>
      <w:r w:rsidRPr="0014270C">
        <w:rPr>
          <w:rFonts w:ascii="Bookman Old Style" w:hAnsi="Bookman Old Style"/>
          <w:sz w:val="24"/>
          <w:szCs w:val="24"/>
        </w:rPr>
        <w:t>Capeluto</w:t>
      </w:r>
      <w:proofErr w:type="spellEnd"/>
      <w:r w:rsidRPr="0014270C">
        <w:rPr>
          <w:rFonts w:ascii="Bookman Old Style" w:hAnsi="Bookman Old Style"/>
          <w:sz w:val="24"/>
          <w:szCs w:val="24"/>
        </w:rPr>
        <w:t xml:space="preserve"> reinforce the importance of working with a variety of stakeholders in their study on strategic decision-making for intelligent buildings, showing how gaining valuable insight from more than one source can contribute to a holistic understanding of the challenge. Knowing the challenges allows clear objectives to </w:t>
      </w:r>
      <w:proofErr w:type="gramStart"/>
      <w:r w:rsidRPr="0014270C">
        <w:rPr>
          <w:rFonts w:ascii="Bookman Old Style" w:hAnsi="Bookman Old Style"/>
          <w:sz w:val="24"/>
          <w:szCs w:val="24"/>
        </w:rPr>
        <w:t>be defined</w:t>
      </w:r>
      <w:proofErr w:type="gramEnd"/>
      <w:r w:rsidRPr="0014270C">
        <w:rPr>
          <w:rFonts w:ascii="Bookman Old Style" w:hAnsi="Bookman Old Style"/>
          <w:sz w:val="24"/>
          <w:szCs w:val="24"/>
        </w:rPr>
        <w:t xml:space="preserve"> and the best plan of action to be taken from the beginning of a project rather than being forced to correct mistakes late in the process after encountering several failures resulting from poor decision-making. It is apparent that these strategies were not </w:t>
      </w:r>
      <w:proofErr w:type="gramStart"/>
      <w:r w:rsidRPr="0014270C">
        <w:rPr>
          <w:rFonts w:ascii="Bookman Old Style" w:hAnsi="Bookman Old Style"/>
          <w:sz w:val="24"/>
          <w:szCs w:val="24"/>
        </w:rPr>
        <w:t>put to use</w:t>
      </w:r>
      <w:proofErr w:type="gramEnd"/>
      <w:r w:rsidRPr="0014270C">
        <w:rPr>
          <w:rFonts w:ascii="Bookman Old Style" w:hAnsi="Bookman Old Style"/>
          <w:sz w:val="24"/>
          <w:szCs w:val="24"/>
        </w:rPr>
        <w:t xml:space="preserve"> by FEMA in handling the procurement of trailers used for disaster relief victims but also in the attempts made by MIR to provide sustainable housing after Katrina. </w:t>
      </w:r>
    </w:p>
    <w:p w14:paraId="167EEDED" w14:textId="3F02AB2D" w:rsidR="0027005B" w:rsidRPr="0014270C" w:rsidRDefault="0027005B" w:rsidP="0027005B">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Involving the community in the affected area can help to determine the services needed, what resources are available, and establish social capital by building trusting relationships between storm victims and leadership. </w:t>
      </w:r>
      <w:proofErr w:type="spellStart"/>
      <w:r w:rsidRPr="0014270C">
        <w:rPr>
          <w:rFonts w:ascii="Bookman Old Style" w:hAnsi="Bookman Old Style"/>
          <w:sz w:val="24"/>
          <w:szCs w:val="24"/>
        </w:rPr>
        <w:t>Rajib</w:t>
      </w:r>
      <w:proofErr w:type="spellEnd"/>
      <w:r w:rsidRPr="0014270C">
        <w:rPr>
          <w:rFonts w:ascii="Bookman Old Style" w:hAnsi="Bookman Old Style"/>
          <w:sz w:val="24"/>
          <w:szCs w:val="24"/>
        </w:rPr>
        <w:t xml:space="preserve"> Shaw and Yuko Nakagawa show this strategy to be effective regardless of income class of the affected region. Lowernine.org has proven that local efforts and volunteerism is extremely effective in rebuilding after a storm. The relationships formed and utilization of community members and local businesses helped them to become one of the most successful movements to restore the neighborhood. Strong social capital is an apparent advantage that this organization had over FEMA, MIR, the Katrina Cottages, and many other efforts to bring relief to the victims of Hurricane Katrina. </w:t>
      </w:r>
    </w:p>
    <w:p w14:paraId="477E3B81" w14:textId="39E447D8" w:rsidR="005A2A25" w:rsidRPr="0014270C" w:rsidRDefault="005A2A25" w:rsidP="005A2A25">
      <w:pPr>
        <w:pStyle w:val="THESISLVL2"/>
      </w:pPr>
      <w:bookmarkStart w:id="88" w:name="_Toc8062318"/>
      <w:r w:rsidRPr="0014270C">
        <w:lastRenderedPageBreak/>
        <w:t>4.4 Importance of Home and Culture</w:t>
      </w:r>
      <w:bookmarkEnd w:id="88"/>
    </w:p>
    <w:p w14:paraId="0668469A" w14:textId="6FA330C6" w:rsidR="005F66CB" w:rsidRPr="0014270C" w:rsidRDefault="005F66CB" w:rsidP="005F66CB">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Lower Ninth Ward suffered significantly after Katrina, not only from a lack of organization by FEMA or failed experiments of wealthy businesspeople attempting to rebuild houses, they suffered from a lack of services such as schools, businesses, restaurants and grocery stores, and places to socialize. The Lower Ninth was no longer a functional place to live, which led to a sweeping abandonment by many people who had once called it home. This lack of support for low-income neighborhoods is not new, it happens often enough to </w:t>
      </w:r>
      <w:proofErr w:type="gramStart"/>
      <w:r w:rsidRPr="0014270C">
        <w:rPr>
          <w:rFonts w:ascii="Bookman Old Style" w:hAnsi="Bookman Old Style"/>
          <w:sz w:val="24"/>
          <w:szCs w:val="24"/>
        </w:rPr>
        <w:t>be expected</w:t>
      </w:r>
      <w:proofErr w:type="gramEnd"/>
      <w:r w:rsidRPr="0014270C">
        <w:rPr>
          <w:rFonts w:ascii="Bookman Old Style" w:hAnsi="Bookman Old Style"/>
          <w:sz w:val="24"/>
          <w:szCs w:val="24"/>
        </w:rPr>
        <w:t xml:space="preserve"> – it is almost systematic. When an area is so devastated by poverty and ruin, it leaves the land open for development. While many people likely </w:t>
      </w:r>
      <w:proofErr w:type="gramStart"/>
      <w:r w:rsidRPr="0014270C">
        <w:rPr>
          <w:rFonts w:ascii="Bookman Old Style" w:hAnsi="Bookman Old Style"/>
          <w:sz w:val="24"/>
          <w:szCs w:val="24"/>
        </w:rPr>
        <w:t>prefer to have</w:t>
      </w:r>
      <w:proofErr w:type="gramEnd"/>
      <w:r w:rsidRPr="0014270C">
        <w:rPr>
          <w:rFonts w:ascii="Bookman Old Style" w:hAnsi="Bookman Old Style"/>
          <w:sz w:val="24"/>
          <w:szCs w:val="24"/>
        </w:rPr>
        <w:t xml:space="preserve"> elegant buildings, chic businesses, and beautiful green spaces, these features often attract people in higher income classes, forcing lower income residents out of their homes and communities because they are no longer able to afford to live there. This gentrification and subsequent displacement could </w:t>
      </w:r>
      <w:proofErr w:type="gramStart"/>
      <w:r w:rsidRPr="0014270C">
        <w:rPr>
          <w:rFonts w:ascii="Bookman Old Style" w:hAnsi="Bookman Old Style"/>
          <w:sz w:val="24"/>
          <w:szCs w:val="24"/>
        </w:rPr>
        <w:t>be avoided</w:t>
      </w:r>
      <w:proofErr w:type="gramEnd"/>
      <w:r w:rsidRPr="0014270C">
        <w:rPr>
          <w:rFonts w:ascii="Bookman Old Style" w:hAnsi="Bookman Old Style"/>
          <w:sz w:val="24"/>
          <w:szCs w:val="24"/>
        </w:rPr>
        <w:t xml:space="preserve"> more successfully if better relief and recovery efforts were provided to victims immediately following a storm.</w:t>
      </w:r>
      <w:r w:rsidR="00D55E0D" w:rsidRPr="0014270C">
        <w:rPr>
          <w:rFonts w:ascii="Bookman Old Style" w:hAnsi="Bookman Old Style"/>
          <w:sz w:val="24"/>
          <w:szCs w:val="24"/>
        </w:rPr>
        <w:t xml:space="preserve"> </w:t>
      </w:r>
    </w:p>
    <w:p w14:paraId="08B3D3A5" w14:textId="2BEA30B4" w:rsidR="00BD1BEF" w:rsidRDefault="00BD1BEF" w:rsidP="00324DE7">
      <w:pPr>
        <w:pStyle w:val="THESISbody"/>
        <w:ind w:firstLine="720"/>
      </w:pPr>
      <w:r w:rsidRPr="0014270C">
        <w:t>The study done by Rivlin and Moore on the supports and barriers to the process of home-making concluded that the environment in which people live has an enormous impact on health and well-being. The process of home-making was found to be complex and require many different forms of support in both physical and emotional aspects, especially when helping to reacquaint homeless people with the familiarity and comforts needed to feel at home.</w:t>
      </w:r>
      <w:r w:rsidRPr="0014270C">
        <w:rPr>
          <w:rStyle w:val="FootnoteReference"/>
        </w:rPr>
        <w:footnoteReference w:id="268"/>
      </w:r>
      <w:r w:rsidRPr="0014270C">
        <w:t xml:space="preserve"> A </w:t>
      </w:r>
      <w:r w:rsidRPr="0014270C">
        <w:lastRenderedPageBreak/>
        <w:t>home is much more than a place to sleep, it is a place for connections to be made and for people to gather, raise families, and socialize with friends – these are also factors that are unique within different cultures.</w:t>
      </w:r>
      <w:r w:rsidR="00AD1F90" w:rsidRPr="0014270C">
        <w:t xml:space="preserve"> By establishing a connection with the local community, </w:t>
      </w:r>
      <w:r w:rsidR="00AE1C65" w:rsidRPr="0014270C">
        <w:t xml:space="preserve">government agencies can </w:t>
      </w:r>
      <w:r w:rsidR="00554C09" w:rsidRPr="0014270C">
        <w:t xml:space="preserve">learn and accommodate for cultural necessities. </w:t>
      </w:r>
      <w:r w:rsidR="00B5108B" w:rsidRPr="0014270C">
        <w:t xml:space="preserve">Fostering the rebuilding of the environment surrounding a neighborhood can help to </w:t>
      </w:r>
      <w:r w:rsidR="00145CD5" w:rsidRPr="0014270C">
        <w:t>re</w:t>
      </w:r>
      <w:r w:rsidR="004D4ED1" w:rsidRPr="0014270C">
        <w:t xml:space="preserve">pair </w:t>
      </w:r>
      <w:r w:rsidR="00561343" w:rsidRPr="0014270C">
        <w:t xml:space="preserve">communities </w:t>
      </w:r>
      <w:r w:rsidR="004D4ED1" w:rsidRPr="0014270C">
        <w:t>and strengthen</w:t>
      </w:r>
      <w:r w:rsidR="00145CD5" w:rsidRPr="0014270C">
        <w:t xml:space="preserve"> </w:t>
      </w:r>
      <w:r w:rsidR="00561343" w:rsidRPr="0014270C">
        <w:t xml:space="preserve">victims’ </w:t>
      </w:r>
      <w:r w:rsidR="00145CD5" w:rsidRPr="0014270C">
        <w:t xml:space="preserve">lives in a way that </w:t>
      </w:r>
      <w:r w:rsidR="004D4ED1" w:rsidRPr="0014270C">
        <w:t>a</w:t>
      </w:r>
      <w:r w:rsidR="00145CD5" w:rsidRPr="0014270C">
        <w:t xml:space="preserve"> </w:t>
      </w:r>
      <w:r w:rsidR="00561343" w:rsidRPr="0014270C">
        <w:t xml:space="preserve">relief </w:t>
      </w:r>
      <w:r w:rsidR="004D4ED1" w:rsidRPr="0014270C">
        <w:t xml:space="preserve">shelter on its own </w:t>
      </w:r>
      <w:r w:rsidR="00324DE7" w:rsidRPr="0014270C">
        <w:t xml:space="preserve">could </w:t>
      </w:r>
      <w:r w:rsidR="004D4ED1" w:rsidRPr="0014270C">
        <w:t xml:space="preserve">not. </w:t>
      </w:r>
      <w:r w:rsidR="00554C09" w:rsidRPr="0014270C">
        <w:t xml:space="preserve"> </w:t>
      </w:r>
    </w:p>
    <w:p w14:paraId="525B38D0" w14:textId="381E49BB" w:rsidR="0055282A" w:rsidRPr="0014270C" w:rsidRDefault="0055282A" w:rsidP="00324DE7">
      <w:pPr>
        <w:pStyle w:val="THESISbody"/>
        <w:ind w:firstLine="720"/>
      </w:pPr>
      <w:r>
        <w:t xml:space="preserve">Although </w:t>
      </w:r>
      <w:r w:rsidR="0028604C">
        <w:t xml:space="preserve">Charlie </w:t>
      </w:r>
      <w:proofErr w:type="spellStart"/>
      <w:r>
        <w:t>Kilman</w:t>
      </w:r>
      <w:proofErr w:type="spellEnd"/>
      <w:r>
        <w:t xml:space="preserve"> noted that it may be difficult for the average American to choose to live in a tiny house, storm victims are operating under different circumstances and </w:t>
      </w:r>
      <w:proofErr w:type="gramStart"/>
      <w:r>
        <w:t>are often faced</w:t>
      </w:r>
      <w:proofErr w:type="gramEnd"/>
      <w:r>
        <w:t xml:space="preserve"> with the choice of being homeless or living in a government provided trailer. This research uses a 240 square foot (22.3 square meter) trailer as an example of FEMA </w:t>
      </w:r>
      <w:r w:rsidR="0028604C">
        <w:t>provided relief housing</w:t>
      </w:r>
      <w:r>
        <w:t xml:space="preserve">, a size which is within the range of tiny house classification. Tiny homes </w:t>
      </w:r>
      <w:proofErr w:type="gramStart"/>
      <w:r>
        <w:t>are often made</w:t>
      </w:r>
      <w:proofErr w:type="gramEnd"/>
      <w:r>
        <w:t xml:space="preserve"> with higher quality materials</w:t>
      </w:r>
      <w:r w:rsidR="0028604C">
        <w:t xml:space="preserve"> and designed to look, feel, and operate as a small version of a traditional home, rather than a temporary living environment. This upgrade from travel trailer to tiny house could offer the culture change needed to happen to not only accept tiny houses as viable for short-term hurricane relief, but to choose tiny housing moving forward in life, long after the recovery period has ended. </w:t>
      </w:r>
    </w:p>
    <w:p w14:paraId="05A4F3BA" w14:textId="77777777" w:rsidR="005F66CB" w:rsidRPr="0014270C" w:rsidRDefault="005F66CB" w:rsidP="00324DE7">
      <w:pPr>
        <w:pStyle w:val="THESISLVL2"/>
      </w:pPr>
    </w:p>
    <w:p w14:paraId="7C44F3E0" w14:textId="01906FA6" w:rsidR="00DA2C17" w:rsidRPr="0014270C" w:rsidRDefault="00DA2C17" w:rsidP="00DA2C17">
      <w:pPr>
        <w:pStyle w:val="THESISLVL2"/>
      </w:pPr>
      <w:bookmarkStart w:id="89" w:name="_Toc8062319"/>
      <w:r w:rsidRPr="0014270C">
        <w:t>4.</w:t>
      </w:r>
      <w:r w:rsidR="005F66CB" w:rsidRPr="0014270C">
        <w:t>5</w:t>
      </w:r>
      <w:r w:rsidRPr="0014270C">
        <w:t xml:space="preserve"> Design Strategy</w:t>
      </w:r>
      <w:bookmarkEnd w:id="89"/>
    </w:p>
    <w:p w14:paraId="7C4CE576" w14:textId="77777777" w:rsidR="00DA2C17" w:rsidRPr="0014270C" w:rsidRDefault="00DA2C17" w:rsidP="00DA2C17">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Applying the Integrated Design key topic of IPD by opening communication between FEMA, the local community, disaster victims, </w:t>
      </w:r>
      <w:r w:rsidRPr="0014270C">
        <w:rPr>
          <w:rFonts w:ascii="Bookman Old Style" w:hAnsi="Bookman Old Style"/>
          <w:sz w:val="24"/>
          <w:szCs w:val="24"/>
        </w:rPr>
        <w:lastRenderedPageBreak/>
        <w:t xml:space="preserve">businesses in the area, and the designers and engineers contracted for the project, would prove to be a more effective strategy for establishing relief housing, reducing costs, and ensuring the needs of the community are met. By forming an Integrated Project Team that </w:t>
      </w:r>
      <w:proofErr w:type="gramStart"/>
      <w:r w:rsidRPr="0014270C">
        <w:rPr>
          <w:rFonts w:ascii="Bookman Old Style" w:hAnsi="Bookman Old Style"/>
          <w:sz w:val="24"/>
          <w:szCs w:val="24"/>
        </w:rPr>
        <w:t>is focused</w:t>
      </w:r>
      <w:proofErr w:type="gramEnd"/>
      <w:r w:rsidRPr="0014270C">
        <w:rPr>
          <w:rFonts w:ascii="Bookman Old Style" w:hAnsi="Bookman Old Style"/>
          <w:sz w:val="24"/>
          <w:szCs w:val="24"/>
        </w:rPr>
        <w:t xml:space="preserve"> on a holistic strategy, rather than evaluating and improving components individually, many difficulties can be foreseen and prevented. Having each discipline involved from the beginning allows for problems to </w:t>
      </w:r>
      <w:proofErr w:type="gramStart"/>
      <w:r w:rsidRPr="0014270C">
        <w:rPr>
          <w:rFonts w:ascii="Bookman Old Style" w:hAnsi="Bookman Old Style"/>
          <w:sz w:val="24"/>
          <w:szCs w:val="24"/>
        </w:rPr>
        <w:t>be identified</w:t>
      </w:r>
      <w:proofErr w:type="gramEnd"/>
      <w:r w:rsidRPr="0014270C">
        <w:rPr>
          <w:rFonts w:ascii="Bookman Old Style" w:hAnsi="Bookman Old Style"/>
          <w:sz w:val="24"/>
          <w:szCs w:val="24"/>
        </w:rPr>
        <w:t xml:space="preserve"> and addressed before moving forward in a project; approaching the design of a building in this manner, the structure can be optimized for health and energy efficiency before being built. </w:t>
      </w:r>
    </w:p>
    <w:p w14:paraId="2D0BE145" w14:textId="0FE5F79F" w:rsidR="00DA2C17" w:rsidRPr="0014270C" w:rsidRDefault="00DA2C17" w:rsidP="00DA2C17">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Focusing on design strategy, the process of manufacturing, delivering, assembling the components, and creating strong social capital can </w:t>
      </w:r>
      <w:proofErr w:type="gramStart"/>
      <w:r w:rsidRPr="0014270C">
        <w:rPr>
          <w:rFonts w:ascii="Bookman Old Style" w:hAnsi="Bookman Old Style"/>
          <w:sz w:val="24"/>
          <w:szCs w:val="24"/>
        </w:rPr>
        <w:t>be transformed</w:t>
      </w:r>
      <w:proofErr w:type="gramEnd"/>
      <w:r w:rsidRPr="0014270C">
        <w:rPr>
          <w:rFonts w:ascii="Bookman Old Style" w:hAnsi="Bookman Old Style"/>
          <w:sz w:val="24"/>
          <w:szCs w:val="24"/>
        </w:rPr>
        <w:t xml:space="preserve"> into an efficient system that can help to improve the lives of storm victims and prevent unnecessary cost to society. The </w:t>
      </w:r>
      <w:proofErr w:type="spellStart"/>
      <w:r w:rsidRPr="0014270C">
        <w:rPr>
          <w:rFonts w:ascii="Bookman Old Style" w:hAnsi="Bookman Old Style"/>
          <w:sz w:val="24"/>
          <w:szCs w:val="24"/>
        </w:rPr>
        <w:t>Okala</w:t>
      </w:r>
      <w:proofErr w:type="spellEnd"/>
      <w:r w:rsidRPr="0014270C">
        <w:rPr>
          <w:rFonts w:ascii="Bookman Old Style" w:hAnsi="Bookman Old Style"/>
          <w:sz w:val="24"/>
          <w:szCs w:val="24"/>
        </w:rPr>
        <w:t xml:space="preserve"> Eco-design Strategy assists designers with brainstorming and helps them to ensure materials, waste, and energy expenditures </w:t>
      </w:r>
      <w:proofErr w:type="gramStart"/>
      <w:r w:rsidRPr="0014270C">
        <w:rPr>
          <w:rFonts w:ascii="Bookman Old Style" w:hAnsi="Bookman Old Style"/>
          <w:sz w:val="24"/>
          <w:szCs w:val="24"/>
        </w:rPr>
        <w:t>are considered</w:t>
      </w:r>
      <w:proofErr w:type="gramEnd"/>
      <w:r w:rsidRPr="0014270C">
        <w:rPr>
          <w:rFonts w:ascii="Bookman Old Style" w:hAnsi="Bookman Old Style"/>
          <w:sz w:val="24"/>
          <w:szCs w:val="24"/>
        </w:rPr>
        <w:t xml:space="preserve"> </w:t>
      </w:r>
      <w:r w:rsidR="0097339E" w:rsidRPr="0014270C">
        <w:rPr>
          <w:rFonts w:ascii="Bookman Old Style" w:hAnsi="Bookman Old Style"/>
          <w:sz w:val="24"/>
          <w:szCs w:val="24"/>
        </w:rPr>
        <w:t xml:space="preserve">thoughtfully </w:t>
      </w:r>
      <w:r w:rsidRPr="0014270C">
        <w:rPr>
          <w:rFonts w:ascii="Bookman Old Style" w:hAnsi="Bookman Old Style"/>
          <w:sz w:val="24"/>
          <w:szCs w:val="24"/>
        </w:rPr>
        <w:t xml:space="preserve">throughout the entirety of the life cycle. While it is important to understand that this strategy has limitations in application, the purpose is to act as a tool for designers to expand their minds and always be aware of options that are considerate of waste and longevity. For this reason, the </w:t>
      </w:r>
      <w:proofErr w:type="spellStart"/>
      <w:r w:rsidRPr="0014270C">
        <w:rPr>
          <w:rFonts w:ascii="Bookman Old Style" w:hAnsi="Bookman Old Style"/>
          <w:sz w:val="24"/>
          <w:szCs w:val="24"/>
        </w:rPr>
        <w:t>Okala</w:t>
      </w:r>
      <w:proofErr w:type="spellEnd"/>
      <w:r w:rsidRPr="0014270C">
        <w:rPr>
          <w:rFonts w:ascii="Bookman Old Style" w:hAnsi="Bookman Old Style"/>
          <w:sz w:val="24"/>
          <w:szCs w:val="24"/>
        </w:rPr>
        <w:t xml:space="preserve"> Eco-design Strategy can be of assistance in creating a solution for providing quick, efficient, quality disaster relief housing to those in need after a hurricane.</w:t>
      </w:r>
    </w:p>
    <w:p w14:paraId="3E227667" w14:textId="0BB7ACF4" w:rsidR="00DA2C17" w:rsidRDefault="00DA2C17" w:rsidP="00B93546">
      <w:pPr>
        <w:pStyle w:val="THESISLVL3"/>
      </w:pPr>
    </w:p>
    <w:p w14:paraId="2072C9DC" w14:textId="77777777" w:rsidR="00AE3F7E" w:rsidRPr="0014270C" w:rsidRDefault="00AE3F7E" w:rsidP="00B93546">
      <w:pPr>
        <w:pStyle w:val="THESISLVL3"/>
      </w:pPr>
    </w:p>
    <w:p w14:paraId="2E9B880A" w14:textId="77777777" w:rsidR="003F34A1" w:rsidRPr="0014270C" w:rsidRDefault="00787084" w:rsidP="003F34A1">
      <w:pPr>
        <w:pStyle w:val="THESISLVL2"/>
      </w:pPr>
      <w:bookmarkStart w:id="90" w:name="_Toc8062320"/>
      <w:r w:rsidRPr="0014270C">
        <w:lastRenderedPageBreak/>
        <w:t>4.</w:t>
      </w:r>
      <w:r w:rsidR="005F66CB" w:rsidRPr="0014270C">
        <w:t>6</w:t>
      </w:r>
      <w:r w:rsidRPr="0014270C">
        <w:t xml:space="preserve"> Findings</w:t>
      </w:r>
      <w:bookmarkEnd w:id="90"/>
    </w:p>
    <w:p w14:paraId="68F13635" w14:textId="04594C22" w:rsidR="001E4241" w:rsidRPr="0014270C" w:rsidRDefault="001E4241" w:rsidP="0097339E">
      <w:pPr>
        <w:pStyle w:val="THESISbody"/>
        <w:ind w:firstLine="720"/>
      </w:pPr>
      <w:r w:rsidRPr="0014270C">
        <w:t xml:space="preserve">For the purpose of this research, a hypothetical 150,000 units </w:t>
      </w:r>
      <w:proofErr w:type="gramStart"/>
      <w:r w:rsidRPr="0014270C">
        <w:t>are assumed</w:t>
      </w:r>
      <w:proofErr w:type="gramEnd"/>
      <w:r w:rsidRPr="0014270C">
        <w:t xml:space="preserve"> to have been needed to </w:t>
      </w:r>
      <w:r w:rsidRPr="0014270C">
        <w:rPr>
          <w:noProof/>
        </w:rPr>
        <w:t>fulfill</w:t>
      </w:r>
      <w:r w:rsidRPr="0014270C">
        <w:t xml:space="preserve"> the demand for relief housing. Due to the discrepancies in available data, this research uses the lowest credible cost of a FEMA trailer at US$24,162</w:t>
      </w:r>
      <w:r w:rsidRPr="0014270C">
        <w:rPr>
          <w:rStyle w:val="FootnoteReference"/>
        </w:rPr>
        <w:footnoteReference w:id="269"/>
      </w:r>
      <w:r w:rsidRPr="0014270C">
        <w:t xml:space="preserve"> (adjusted for inflation) and a size of 240 square feet (22.3 square meters). An average of US$53.31 </w:t>
      </w:r>
      <w:proofErr w:type="gramStart"/>
      <w:r w:rsidRPr="0014270C">
        <w:t>is used</w:t>
      </w:r>
      <w:proofErr w:type="gramEnd"/>
      <w:r w:rsidRPr="0014270C">
        <w:t xml:space="preserve"> for total monthly utility costs per unit, which includes electricity and water. The annual cost per unit for utilities amounts to US$639.72. This brings the total theoretical cost of relief housing for the first year after a hurricane for 150,000 units to approximately US$3.72 billion (US$24,801.72 per unit). The average cost of a 240 square foot (22.3 square </w:t>
      </w:r>
      <w:r w:rsidRPr="0014270C">
        <w:rPr>
          <w:noProof/>
        </w:rPr>
        <w:t>meter</w:t>
      </w:r>
      <w:r w:rsidRPr="0014270C">
        <w:t xml:space="preserve">) tiny house </w:t>
      </w:r>
      <w:proofErr w:type="gramStart"/>
      <w:r w:rsidRPr="0014270C">
        <w:t>was found</w:t>
      </w:r>
      <w:proofErr w:type="gramEnd"/>
      <w:r w:rsidRPr="0014270C">
        <w:t xml:space="preserve"> to be US$14,023.02, however with the addition of off-grid technologies the total used for this study is US$22,375</w:t>
      </w:r>
      <w:r w:rsidRPr="0014270C">
        <w:rPr>
          <w:rStyle w:val="FootnoteReference"/>
        </w:rPr>
        <w:footnoteReference w:id="270"/>
      </w:r>
      <w:r w:rsidRPr="0014270C">
        <w:t xml:space="preserve">. The additional US$8,351.13 provides the necessary budget to allow for these technologies, which are an estimated US$2,451.13 for a solar panel system with battery backup and US$5,900 for a greywater recycling </w:t>
      </w:r>
      <w:r w:rsidRPr="0014270C">
        <w:rPr>
          <w:noProof/>
        </w:rPr>
        <w:t>system</w:t>
      </w:r>
      <w:r w:rsidRPr="0014270C">
        <w:t xml:space="preserve"> while keeping the unit price at approximately US$3.35 billion. </w:t>
      </w:r>
    </w:p>
    <w:p w14:paraId="08B9783B" w14:textId="77777777" w:rsidR="001E4241" w:rsidRPr="0014270C" w:rsidRDefault="001E4241" w:rsidP="001E4241">
      <w:pPr>
        <w:spacing w:line="480" w:lineRule="auto"/>
        <w:ind w:firstLine="720"/>
        <w:rPr>
          <w:rFonts w:ascii="Bookman Old Style" w:hAnsi="Bookman Old Style"/>
          <w:sz w:val="24"/>
          <w:szCs w:val="24"/>
        </w:rPr>
      </w:pPr>
      <w:r w:rsidRPr="0014270C">
        <w:rPr>
          <w:rFonts w:ascii="Bookman Old Style" w:hAnsi="Bookman Old Style"/>
          <w:noProof/>
          <w:sz w:val="24"/>
          <w:szCs w:val="24"/>
        </w:rPr>
        <w:drawing>
          <wp:inline distT="0" distB="0" distL="0" distR="0" wp14:anchorId="5FB63E92" wp14:editId="6D8B5E3F">
            <wp:extent cx="5033184" cy="104416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t cost.png"/>
                    <pic:cNvPicPr/>
                  </pic:nvPicPr>
                  <pic:blipFill>
                    <a:blip r:embed="rId20">
                      <a:extLst>
                        <a:ext uri="{28A0092B-C50C-407E-A947-70E740481C1C}">
                          <a14:useLocalDpi xmlns:a14="http://schemas.microsoft.com/office/drawing/2010/main" val="0"/>
                        </a:ext>
                      </a:extLst>
                    </a:blip>
                    <a:stretch>
                      <a:fillRect/>
                    </a:stretch>
                  </pic:blipFill>
                  <pic:spPr>
                    <a:xfrm>
                      <a:off x="0" y="0"/>
                      <a:ext cx="5033184" cy="1044161"/>
                    </a:xfrm>
                    <a:prstGeom prst="rect">
                      <a:avLst/>
                    </a:prstGeom>
                  </pic:spPr>
                </pic:pic>
              </a:graphicData>
            </a:graphic>
          </wp:inline>
        </w:drawing>
      </w:r>
    </w:p>
    <w:p w14:paraId="4E463544" w14:textId="1FBEA8F9" w:rsidR="001E4241" w:rsidRPr="0014270C" w:rsidRDefault="001E4241" w:rsidP="001E4241">
      <w:pPr>
        <w:pStyle w:val="THESISFigureHead"/>
      </w:pPr>
      <w:bookmarkStart w:id="91" w:name="_Toc8062336"/>
      <w:r w:rsidRPr="0014270C">
        <w:t xml:space="preserve">Figure </w:t>
      </w:r>
      <w:r w:rsidR="00F02F70" w:rsidRPr="0014270C">
        <w:t>7</w:t>
      </w:r>
      <w:r w:rsidRPr="0014270C">
        <w:t>. Housing unit cost comparison in US$ for the first year.</w:t>
      </w:r>
      <w:bookmarkEnd w:id="91"/>
    </w:p>
    <w:p w14:paraId="767656A1" w14:textId="63756AB3" w:rsidR="001E4241" w:rsidRPr="0014270C" w:rsidRDefault="001E4241" w:rsidP="001E4241">
      <w:pPr>
        <w:spacing w:line="480" w:lineRule="auto"/>
        <w:ind w:firstLine="720"/>
        <w:rPr>
          <w:rFonts w:ascii="Bookman Old Style" w:hAnsi="Bookman Old Style"/>
          <w:sz w:val="24"/>
          <w:szCs w:val="24"/>
        </w:rPr>
      </w:pPr>
      <w:r w:rsidRPr="0014270C">
        <w:rPr>
          <w:rFonts w:ascii="Bookman Old Style" w:hAnsi="Bookman Old Style"/>
          <w:sz w:val="24"/>
          <w:szCs w:val="24"/>
        </w:rPr>
        <w:lastRenderedPageBreak/>
        <w:t xml:space="preserve">It </w:t>
      </w:r>
      <w:proofErr w:type="gramStart"/>
      <w:r w:rsidRPr="0014270C">
        <w:rPr>
          <w:rFonts w:ascii="Bookman Old Style" w:hAnsi="Bookman Old Style"/>
          <w:sz w:val="24"/>
          <w:szCs w:val="24"/>
        </w:rPr>
        <w:t>was found</w:t>
      </w:r>
      <w:proofErr w:type="gramEnd"/>
      <w:r w:rsidRPr="0014270C">
        <w:rPr>
          <w:rFonts w:ascii="Bookman Old Style" w:hAnsi="Bookman Old Style"/>
          <w:sz w:val="24"/>
          <w:szCs w:val="24"/>
        </w:rPr>
        <w:t xml:space="preserve"> in this research that off-grid tiny houses, after one year of use, could have saved the government US$364 million, assuming 150,000 units were needed. </w:t>
      </w:r>
      <w:r w:rsidR="00426335" w:rsidRPr="0014270C">
        <w:rPr>
          <w:rFonts w:ascii="Bookman Old Style" w:hAnsi="Bookman Old Style"/>
          <w:sz w:val="24"/>
          <w:szCs w:val="24"/>
        </w:rPr>
        <w:t>Further,</w:t>
      </w:r>
      <w:r w:rsidRPr="0014270C">
        <w:rPr>
          <w:rFonts w:ascii="Bookman Old Style" w:hAnsi="Bookman Old Style"/>
          <w:sz w:val="24"/>
          <w:szCs w:val="24"/>
        </w:rPr>
        <w:t xml:space="preserve"> after 10 years of use, assuming all monthly utility costs for traditional FEMA trailers remain the same, the 150,000 tiny houses could have saved US$959.58 million in utilities alone.</w:t>
      </w:r>
      <w:r w:rsidR="00426335" w:rsidRPr="0014270C">
        <w:rPr>
          <w:rFonts w:ascii="Bookman Old Style" w:hAnsi="Bookman Old Style"/>
          <w:sz w:val="24"/>
          <w:szCs w:val="24"/>
        </w:rPr>
        <w:t xml:space="preserve"> The savings could contribute to other services that </w:t>
      </w:r>
      <w:proofErr w:type="gramStart"/>
      <w:r w:rsidR="00426335" w:rsidRPr="0014270C">
        <w:rPr>
          <w:rFonts w:ascii="Bookman Old Style" w:hAnsi="Bookman Old Style"/>
          <w:sz w:val="24"/>
          <w:szCs w:val="24"/>
        </w:rPr>
        <w:t>are greatly needed</w:t>
      </w:r>
      <w:proofErr w:type="gramEnd"/>
      <w:r w:rsidR="00426335" w:rsidRPr="0014270C">
        <w:rPr>
          <w:rFonts w:ascii="Bookman Old Style" w:hAnsi="Bookman Old Style"/>
          <w:sz w:val="24"/>
          <w:szCs w:val="24"/>
        </w:rPr>
        <w:t xml:space="preserve"> to make the recovery process more effective.  </w:t>
      </w:r>
    </w:p>
    <w:p w14:paraId="34E65207" w14:textId="77777777" w:rsidR="001E4241" w:rsidRPr="0014270C" w:rsidRDefault="001E4241" w:rsidP="001E4241">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Both Hurricane Katrina and Hurricane Harvey required an extensive amount of resources from the entire country in the form of money, time, and materials, as well as work hours by victims, the local community, federal agencies, for-profit and non-profit organizations, and volunteers. The effects of each of these disasters were long-lasting, particularly in the case of Katrina where the shock of the event </w:t>
      </w:r>
      <w:proofErr w:type="gramStart"/>
      <w:r w:rsidRPr="0014270C">
        <w:rPr>
          <w:rFonts w:ascii="Bookman Old Style" w:hAnsi="Bookman Old Style"/>
          <w:sz w:val="24"/>
          <w:szCs w:val="24"/>
        </w:rPr>
        <w:t>is still felt</w:t>
      </w:r>
      <w:proofErr w:type="gramEnd"/>
      <w:r w:rsidRPr="0014270C">
        <w:rPr>
          <w:rFonts w:ascii="Bookman Old Style" w:hAnsi="Bookman Old Style"/>
          <w:sz w:val="24"/>
          <w:szCs w:val="24"/>
        </w:rPr>
        <w:t xml:space="preserve"> by many over a decade later. One of the notable system failures in post-Katrina relief housing was that by using travel trailers rather than exclusively using MHUs, HUD regulations did not have to </w:t>
      </w:r>
      <w:proofErr w:type="gramStart"/>
      <w:r w:rsidRPr="0014270C">
        <w:rPr>
          <w:rFonts w:ascii="Bookman Old Style" w:hAnsi="Bookman Old Style"/>
          <w:sz w:val="24"/>
          <w:szCs w:val="24"/>
        </w:rPr>
        <w:t>be applied</w:t>
      </w:r>
      <w:proofErr w:type="gramEnd"/>
      <w:r w:rsidRPr="0014270C">
        <w:rPr>
          <w:rFonts w:ascii="Bookman Old Style" w:hAnsi="Bookman Old Style"/>
          <w:sz w:val="24"/>
          <w:szCs w:val="24"/>
        </w:rPr>
        <w:t xml:space="preserve"> to the units. Had all units </w:t>
      </w:r>
      <w:proofErr w:type="gramStart"/>
      <w:r w:rsidRPr="0014270C">
        <w:rPr>
          <w:rFonts w:ascii="Bookman Old Style" w:hAnsi="Bookman Old Style"/>
          <w:sz w:val="24"/>
          <w:szCs w:val="24"/>
        </w:rPr>
        <w:t>been taken</w:t>
      </w:r>
      <w:proofErr w:type="gramEnd"/>
      <w:r w:rsidRPr="0014270C">
        <w:rPr>
          <w:rFonts w:ascii="Bookman Old Style" w:hAnsi="Bookman Old Style"/>
          <w:sz w:val="24"/>
          <w:szCs w:val="24"/>
        </w:rPr>
        <w:t xml:space="preserve"> off their wheels and placed in communities above the floodplain, they would have had to comply with safety standards for long-term housing. This detail could have prevented huge expenses for deactivation of toxic trailers and reissuing of new trailers and millions of dollars in lawsuits. This could have also saved many people from becoming ill and save money on countless medical bills paid for by the victims and insurance companies. </w:t>
      </w:r>
    </w:p>
    <w:p w14:paraId="41366B11" w14:textId="2ADDE34E" w:rsidR="001E4241" w:rsidRPr="0014270C" w:rsidRDefault="001E4241" w:rsidP="00E414AD">
      <w:pPr>
        <w:spacing w:line="480" w:lineRule="auto"/>
        <w:ind w:firstLine="720"/>
        <w:rPr>
          <w:rFonts w:ascii="Bookman Old Style" w:hAnsi="Bookman Old Style"/>
          <w:sz w:val="24"/>
          <w:szCs w:val="24"/>
        </w:rPr>
      </w:pPr>
      <w:r w:rsidRPr="0014270C">
        <w:rPr>
          <w:rFonts w:ascii="Bookman Old Style" w:hAnsi="Bookman Old Style"/>
          <w:sz w:val="24"/>
          <w:szCs w:val="24"/>
        </w:rPr>
        <w:lastRenderedPageBreak/>
        <w:t xml:space="preserve">In addition to considering the type of units used and recognizing the reasons HUD has regulations for long-term housing, by using passive design techniques that allow for ventilation and proper regulation of indoor air temperatures as well as non-toxic materials and local resources, the buildup of toxic gasses could be prevented, and disaster victims could be free from health complications resulting from relief housing. The inclusion of passive techniques allows for proper ventilation and by understanding the importance of careful design using safe and reusable materials, the mental and physical health of the victims living in relief housing could improve drastically. In addition to the human health </w:t>
      </w:r>
      <w:r w:rsidRPr="0014270C">
        <w:rPr>
          <w:rFonts w:ascii="Bookman Old Style" w:hAnsi="Bookman Old Style"/>
          <w:noProof/>
          <w:sz w:val="24"/>
          <w:szCs w:val="24"/>
        </w:rPr>
        <w:t>benefits</w:t>
      </w:r>
      <w:r w:rsidRPr="0014270C">
        <w:rPr>
          <w:rFonts w:ascii="Bookman Old Style" w:hAnsi="Bookman Old Style"/>
          <w:sz w:val="24"/>
          <w:szCs w:val="24"/>
        </w:rPr>
        <w:t xml:space="preserve"> these design changes allow, the average amount of </w:t>
      </w:r>
      <w:bookmarkStart w:id="92" w:name="_Hlk7526607"/>
      <w:r w:rsidRPr="0014270C">
        <w:rPr>
          <w:rFonts w:ascii="Bookman Old Style" w:hAnsi="Bookman Old Style"/>
          <w:sz w:val="24"/>
          <w:szCs w:val="24"/>
        </w:rPr>
        <w:t>CO</w:t>
      </w:r>
      <w:r w:rsidRPr="0014270C">
        <w:rPr>
          <w:rFonts w:ascii="Bookman Old Style" w:hAnsi="Bookman Old Style"/>
          <w:sz w:val="24"/>
          <w:szCs w:val="24"/>
          <w:vertAlign w:val="subscript"/>
        </w:rPr>
        <w:t>2</w:t>
      </w:r>
      <w:bookmarkEnd w:id="92"/>
      <w:r w:rsidRPr="0014270C">
        <w:rPr>
          <w:rFonts w:ascii="Bookman Old Style" w:hAnsi="Bookman Old Style"/>
          <w:sz w:val="24"/>
          <w:szCs w:val="24"/>
        </w:rPr>
        <w:t xml:space="preserve"> per annum saved could amount to as much as 457.35 million </w:t>
      </w:r>
      <w:proofErr w:type="spellStart"/>
      <w:r w:rsidRPr="0014270C">
        <w:rPr>
          <w:rFonts w:ascii="Bookman Old Style" w:hAnsi="Bookman Old Style"/>
          <w:sz w:val="24"/>
          <w:szCs w:val="24"/>
        </w:rPr>
        <w:t>lbs</w:t>
      </w:r>
      <w:proofErr w:type="spellEnd"/>
      <w:r w:rsidRPr="0014270C">
        <w:rPr>
          <w:rFonts w:ascii="Bookman Old Style" w:hAnsi="Bookman Old Style"/>
          <w:sz w:val="24"/>
          <w:szCs w:val="24"/>
        </w:rPr>
        <w:t xml:space="preserve"> (207,450.47 metric tons), reducing the </w:t>
      </w:r>
      <w:r w:rsidRPr="0014270C">
        <w:rPr>
          <w:rFonts w:ascii="Bookman Old Style" w:hAnsi="Bookman Old Style"/>
          <w:noProof/>
          <w:sz w:val="24"/>
          <w:szCs w:val="24"/>
        </w:rPr>
        <w:t>amount</w:t>
      </w:r>
      <w:r w:rsidRPr="0014270C">
        <w:rPr>
          <w:rFonts w:ascii="Bookman Old Style" w:hAnsi="Bookman Old Style"/>
          <w:sz w:val="24"/>
          <w:szCs w:val="24"/>
        </w:rPr>
        <w:t xml:space="preserve"> of greenhouse gasses introduced into the planet’s atmosphere. This could help in a small way to potentially reduce the in</w:t>
      </w:r>
      <w:r w:rsidR="00C22748">
        <w:rPr>
          <w:rFonts w:ascii="Bookman Old Style" w:hAnsi="Bookman Old Style"/>
          <w:sz w:val="24"/>
          <w:szCs w:val="24"/>
        </w:rPr>
        <w:t>tensity</w:t>
      </w:r>
      <w:r w:rsidRPr="0014270C">
        <w:rPr>
          <w:rFonts w:ascii="Bookman Old Style" w:hAnsi="Bookman Old Style"/>
          <w:sz w:val="24"/>
          <w:szCs w:val="24"/>
        </w:rPr>
        <w:t xml:space="preserve"> of hurricanes that occur in the future due to the changing climate. </w:t>
      </w:r>
      <w:r w:rsidR="0037658E" w:rsidRPr="0014270C">
        <w:rPr>
          <w:rFonts w:ascii="Bookman Old Style" w:hAnsi="Bookman Old Style"/>
          <w:sz w:val="24"/>
          <w:szCs w:val="24"/>
        </w:rPr>
        <w:t>Lastly, by</w:t>
      </w:r>
      <w:r w:rsidRPr="0014270C">
        <w:rPr>
          <w:rFonts w:ascii="Bookman Old Style" w:hAnsi="Bookman Old Style"/>
          <w:sz w:val="24"/>
          <w:szCs w:val="24"/>
        </w:rPr>
        <w:t xml:space="preserve"> maintaining </w:t>
      </w:r>
      <w:r w:rsidR="00426335" w:rsidRPr="0014270C">
        <w:rPr>
          <w:rFonts w:ascii="Bookman Old Style" w:hAnsi="Bookman Old Style"/>
          <w:sz w:val="24"/>
          <w:szCs w:val="24"/>
        </w:rPr>
        <w:t xml:space="preserve">culture through </w:t>
      </w:r>
      <w:r w:rsidRPr="0014270C">
        <w:rPr>
          <w:rFonts w:ascii="Bookman Old Style" w:hAnsi="Bookman Old Style"/>
          <w:sz w:val="24"/>
          <w:szCs w:val="24"/>
        </w:rPr>
        <w:t xml:space="preserve">proximity to family and neighbors, feeling a connection to the area, having security and feeling of ownership, and having the support of the community and access to educational services, people can begin to rebuild their lives more confidently and with better mental and emotional strength than were they only provided with housing without regard for these things. </w:t>
      </w:r>
      <w:r w:rsidR="00317E71" w:rsidRPr="0014270C">
        <w:rPr>
          <w:rFonts w:ascii="Bookman Old Style" w:hAnsi="Bookman Old Style"/>
          <w:sz w:val="24"/>
          <w:szCs w:val="24"/>
        </w:rPr>
        <w:t xml:space="preserve">The final chapter discusses </w:t>
      </w:r>
      <w:r w:rsidR="004E362B" w:rsidRPr="0014270C">
        <w:rPr>
          <w:rFonts w:ascii="Bookman Old Style" w:hAnsi="Bookman Old Style"/>
          <w:sz w:val="24"/>
          <w:szCs w:val="24"/>
        </w:rPr>
        <w:t xml:space="preserve">recommendations for implementing the solution that has </w:t>
      </w:r>
      <w:proofErr w:type="gramStart"/>
      <w:r w:rsidR="004E362B" w:rsidRPr="0014270C">
        <w:rPr>
          <w:rFonts w:ascii="Bookman Old Style" w:hAnsi="Bookman Old Style"/>
          <w:sz w:val="24"/>
          <w:szCs w:val="24"/>
        </w:rPr>
        <w:t>been found</w:t>
      </w:r>
      <w:proofErr w:type="gramEnd"/>
      <w:r w:rsidR="00266734" w:rsidRPr="0014270C">
        <w:rPr>
          <w:rFonts w:ascii="Bookman Old Style" w:hAnsi="Bookman Old Style"/>
          <w:sz w:val="24"/>
          <w:szCs w:val="24"/>
        </w:rPr>
        <w:t xml:space="preserve"> and </w:t>
      </w:r>
      <w:r w:rsidR="008D096B" w:rsidRPr="0014270C">
        <w:rPr>
          <w:rFonts w:ascii="Bookman Old Style" w:hAnsi="Bookman Old Style"/>
          <w:sz w:val="24"/>
          <w:szCs w:val="24"/>
        </w:rPr>
        <w:t>suggestions</w:t>
      </w:r>
      <w:r w:rsidR="00266734" w:rsidRPr="0014270C">
        <w:rPr>
          <w:rFonts w:ascii="Bookman Old Style" w:hAnsi="Bookman Old Style"/>
          <w:sz w:val="24"/>
          <w:szCs w:val="24"/>
        </w:rPr>
        <w:t xml:space="preserve"> for further research</w:t>
      </w:r>
      <w:r w:rsidR="008D096B" w:rsidRPr="0014270C">
        <w:rPr>
          <w:rFonts w:ascii="Bookman Old Style" w:hAnsi="Bookman Old Style"/>
          <w:sz w:val="24"/>
          <w:szCs w:val="24"/>
        </w:rPr>
        <w:t xml:space="preserve"> and analysis</w:t>
      </w:r>
      <w:r w:rsidR="00266734" w:rsidRPr="0014270C">
        <w:rPr>
          <w:rFonts w:ascii="Bookman Old Style" w:hAnsi="Bookman Old Style"/>
          <w:sz w:val="24"/>
          <w:szCs w:val="24"/>
        </w:rPr>
        <w:t>.</w:t>
      </w:r>
      <w:r w:rsidRPr="0014270C">
        <w:rPr>
          <w:rFonts w:ascii="Bookman Old Style" w:hAnsi="Bookman Old Style"/>
          <w:sz w:val="24"/>
          <w:szCs w:val="24"/>
        </w:rPr>
        <w:t xml:space="preserve"> </w:t>
      </w:r>
    </w:p>
    <w:p w14:paraId="5CCD9C5D" w14:textId="77777777" w:rsidR="00DA2C17" w:rsidRPr="0014270C" w:rsidRDefault="00DA2C17" w:rsidP="0012291D">
      <w:pPr>
        <w:rPr>
          <w:rFonts w:ascii="Bookman Old Style" w:hAnsi="Bookman Old Style"/>
          <w:sz w:val="24"/>
          <w:szCs w:val="24"/>
        </w:rPr>
      </w:pPr>
    </w:p>
    <w:p w14:paraId="743BAC36" w14:textId="7611F12A" w:rsidR="00E767BC" w:rsidRPr="0014270C" w:rsidRDefault="00E767BC" w:rsidP="0038261B">
      <w:pPr>
        <w:spacing w:line="480" w:lineRule="auto"/>
        <w:rPr>
          <w:rFonts w:ascii="Bookman Old Style" w:hAnsi="Bookman Old Style"/>
          <w:b/>
          <w:sz w:val="24"/>
          <w:szCs w:val="24"/>
        </w:rPr>
      </w:pPr>
      <w:r w:rsidRPr="0014270C">
        <w:rPr>
          <w:rFonts w:ascii="Bookman Old Style" w:hAnsi="Bookman Old Style"/>
          <w:b/>
          <w:sz w:val="24"/>
          <w:szCs w:val="24"/>
        </w:rPr>
        <w:br w:type="page"/>
      </w:r>
    </w:p>
    <w:p w14:paraId="3528E22F" w14:textId="65A24856" w:rsidR="0045778D" w:rsidRPr="0014270C" w:rsidRDefault="0045778D" w:rsidP="001F4ED5">
      <w:pPr>
        <w:pStyle w:val="THESISLVL1"/>
      </w:pPr>
      <w:bookmarkStart w:id="93" w:name="_Toc8062321"/>
      <w:r w:rsidRPr="0014270C">
        <w:lastRenderedPageBreak/>
        <w:t>C</w:t>
      </w:r>
      <w:r w:rsidR="00085A40" w:rsidRPr="0014270C">
        <w:t>HAPTER</w:t>
      </w:r>
      <w:r w:rsidRPr="0014270C">
        <w:t xml:space="preserve"> 5: D</w:t>
      </w:r>
      <w:r w:rsidR="00085A40" w:rsidRPr="0014270C">
        <w:t>ISCUSSION</w:t>
      </w:r>
      <w:bookmarkEnd w:id="93"/>
    </w:p>
    <w:p w14:paraId="1DBDF950" w14:textId="4EDA372F" w:rsidR="00DE5479" w:rsidRPr="0014270C" w:rsidRDefault="00DE5479" w:rsidP="00B93546">
      <w:pPr>
        <w:pStyle w:val="THESISLVL2"/>
      </w:pPr>
      <w:bookmarkStart w:id="94" w:name="_Toc8062322"/>
      <w:r w:rsidRPr="0014270C">
        <w:t xml:space="preserve">5.1 </w:t>
      </w:r>
      <w:r w:rsidR="00E25542" w:rsidRPr="0014270C">
        <w:t>Implementation</w:t>
      </w:r>
      <w:bookmarkEnd w:id="94"/>
    </w:p>
    <w:p w14:paraId="2822D4AF" w14:textId="0D0FF974" w:rsidR="007E2A80" w:rsidRPr="0014270C" w:rsidRDefault="007E2A80" w:rsidP="00AE46C1">
      <w:pPr>
        <w:pStyle w:val="THESISLVL3"/>
      </w:pPr>
      <w:bookmarkStart w:id="95" w:name="_Toc8062323"/>
      <w:r w:rsidRPr="0014270C">
        <w:t>Preparedness</w:t>
      </w:r>
      <w:bookmarkEnd w:id="95"/>
    </w:p>
    <w:p w14:paraId="2578CFA8" w14:textId="77777777" w:rsidR="006C1091" w:rsidRPr="0014270C" w:rsidRDefault="007A30BB" w:rsidP="00585748">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Despite having already suffered through several destructive hurricanes of historic proportion since 2005 and making several well-intentioned changes as a direct result, there is still much that has not </w:t>
      </w:r>
      <w:proofErr w:type="gramStart"/>
      <w:r w:rsidRPr="0014270C">
        <w:rPr>
          <w:rFonts w:ascii="Bookman Old Style" w:hAnsi="Bookman Old Style"/>
          <w:sz w:val="24"/>
          <w:szCs w:val="24"/>
        </w:rPr>
        <w:t>been learned</w:t>
      </w:r>
      <w:proofErr w:type="gramEnd"/>
      <w:r w:rsidRPr="0014270C">
        <w:rPr>
          <w:rFonts w:ascii="Bookman Old Style" w:hAnsi="Bookman Old Style"/>
          <w:sz w:val="24"/>
          <w:szCs w:val="24"/>
        </w:rPr>
        <w:t xml:space="preserve"> in the way of prevention and recovery for disastrous storms such as Katrina and Harvey. As already noted in the NDRF under the principle of Resilience and Sustainability, this research has shown through various studies that involving the community and addressing the system </w:t>
      </w:r>
      <w:proofErr w:type="gramStart"/>
      <w:r w:rsidRPr="0014270C">
        <w:rPr>
          <w:rFonts w:ascii="Bookman Old Style" w:hAnsi="Bookman Old Style"/>
          <w:sz w:val="24"/>
          <w:szCs w:val="24"/>
        </w:rPr>
        <w:t>as a whole allows</w:t>
      </w:r>
      <w:proofErr w:type="gramEnd"/>
      <w:r w:rsidRPr="0014270C">
        <w:rPr>
          <w:rFonts w:ascii="Bookman Old Style" w:hAnsi="Bookman Old Style"/>
          <w:sz w:val="24"/>
          <w:szCs w:val="24"/>
        </w:rPr>
        <w:t xml:space="preserve"> for a more effective recovery. The </w:t>
      </w:r>
      <w:r w:rsidR="003D7900" w:rsidRPr="0014270C">
        <w:rPr>
          <w:rFonts w:ascii="Bookman Old Style" w:hAnsi="Bookman Old Style"/>
          <w:sz w:val="24"/>
          <w:szCs w:val="24"/>
        </w:rPr>
        <w:t>implementation</w:t>
      </w:r>
      <w:r w:rsidRPr="0014270C">
        <w:rPr>
          <w:rFonts w:ascii="Bookman Old Style" w:hAnsi="Bookman Old Style"/>
          <w:sz w:val="24"/>
          <w:szCs w:val="24"/>
        </w:rPr>
        <w:t xml:space="preserve"> of this principle has been lacking in disaster recovery since the </w:t>
      </w:r>
      <w:r w:rsidR="003D7900" w:rsidRPr="0014270C">
        <w:rPr>
          <w:rFonts w:ascii="Bookman Old Style" w:hAnsi="Bookman Old Style"/>
          <w:sz w:val="24"/>
          <w:szCs w:val="24"/>
        </w:rPr>
        <w:t>application</w:t>
      </w:r>
      <w:r w:rsidRPr="0014270C">
        <w:rPr>
          <w:rFonts w:ascii="Bookman Old Style" w:hAnsi="Bookman Old Style"/>
          <w:sz w:val="24"/>
          <w:szCs w:val="24"/>
        </w:rPr>
        <w:t xml:space="preserve"> of the new framework. Additionally, many of the changes were plans that involved what to do and how to rebuild after the damage has already </w:t>
      </w:r>
      <w:proofErr w:type="gramStart"/>
      <w:r w:rsidRPr="0014270C">
        <w:rPr>
          <w:rFonts w:ascii="Bookman Old Style" w:hAnsi="Bookman Old Style"/>
          <w:sz w:val="24"/>
          <w:szCs w:val="24"/>
        </w:rPr>
        <w:t>been done</w:t>
      </w:r>
      <w:proofErr w:type="gramEnd"/>
      <w:r w:rsidRPr="0014270C">
        <w:rPr>
          <w:rFonts w:ascii="Bookman Old Style" w:hAnsi="Bookman Old Style"/>
          <w:sz w:val="24"/>
          <w:szCs w:val="24"/>
        </w:rPr>
        <w:t xml:space="preserve">. </w:t>
      </w:r>
    </w:p>
    <w:p w14:paraId="6EEBEA8F" w14:textId="334D2191" w:rsidR="00CB50A0" w:rsidRPr="0014270C" w:rsidRDefault="007A30BB" w:rsidP="0037658E">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Some matters that have not </w:t>
      </w:r>
      <w:proofErr w:type="gramStart"/>
      <w:r w:rsidRPr="0014270C">
        <w:rPr>
          <w:rFonts w:ascii="Bookman Old Style" w:hAnsi="Bookman Old Style"/>
          <w:sz w:val="24"/>
          <w:szCs w:val="24"/>
        </w:rPr>
        <w:t>been addressed</w:t>
      </w:r>
      <w:proofErr w:type="gramEnd"/>
      <w:r w:rsidRPr="0014270C">
        <w:rPr>
          <w:rFonts w:ascii="Bookman Old Style" w:hAnsi="Bookman Old Style"/>
          <w:sz w:val="24"/>
          <w:szCs w:val="24"/>
        </w:rPr>
        <w:t xml:space="preserve"> in coastal cities are the placement of homes, the extent of impervious surfaces, and the lack of stormwater management for heavy flooding. These are practices that if done in preparation for the next inevitable named storm, the magnitude of </w:t>
      </w:r>
      <w:r w:rsidRPr="0014270C">
        <w:rPr>
          <w:rFonts w:ascii="Bookman Old Style" w:hAnsi="Bookman Old Style"/>
          <w:noProof/>
          <w:sz w:val="24"/>
          <w:szCs w:val="24"/>
        </w:rPr>
        <w:t>recovery</w:t>
      </w:r>
      <w:r w:rsidRPr="0014270C">
        <w:rPr>
          <w:rFonts w:ascii="Bookman Old Style" w:hAnsi="Bookman Old Style"/>
          <w:sz w:val="24"/>
          <w:szCs w:val="24"/>
        </w:rPr>
        <w:t xml:space="preserve"> effort that has been customary may no longer </w:t>
      </w:r>
      <w:proofErr w:type="gramStart"/>
      <w:r w:rsidRPr="0014270C">
        <w:rPr>
          <w:rFonts w:ascii="Bookman Old Style" w:hAnsi="Bookman Old Style"/>
          <w:sz w:val="24"/>
          <w:szCs w:val="24"/>
        </w:rPr>
        <w:t>be needed</w:t>
      </w:r>
      <w:proofErr w:type="gramEnd"/>
      <w:r w:rsidRPr="0014270C">
        <w:rPr>
          <w:rFonts w:ascii="Bookman Old Style" w:hAnsi="Bookman Old Style"/>
          <w:sz w:val="24"/>
          <w:szCs w:val="24"/>
        </w:rPr>
        <w:t xml:space="preserve">. According to Peter Coy and Christopher </w:t>
      </w:r>
      <w:proofErr w:type="spellStart"/>
      <w:r w:rsidRPr="0014270C">
        <w:rPr>
          <w:rFonts w:ascii="Bookman Old Style" w:hAnsi="Bookman Old Style"/>
          <w:sz w:val="24"/>
          <w:szCs w:val="24"/>
        </w:rPr>
        <w:t>Flavelle</w:t>
      </w:r>
      <w:proofErr w:type="spellEnd"/>
      <w:r w:rsidRPr="0014270C">
        <w:rPr>
          <w:rFonts w:ascii="Bookman Old Style" w:hAnsi="Bookman Old Style"/>
          <w:sz w:val="24"/>
          <w:szCs w:val="24"/>
        </w:rPr>
        <w:t xml:space="preserve"> at </w:t>
      </w:r>
      <w:r w:rsidRPr="0014270C">
        <w:rPr>
          <w:rFonts w:ascii="Bookman Old Style" w:hAnsi="Bookman Old Style"/>
          <w:i/>
          <w:sz w:val="24"/>
          <w:szCs w:val="24"/>
        </w:rPr>
        <w:t>Bloomberg Businessweek</w:t>
      </w:r>
      <w:r w:rsidRPr="0014270C">
        <w:rPr>
          <w:rFonts w:ascii="Bookman Old Style" w:hAnsi="Bookman Old Style"/>
          <w:sz w:val="24"/>
          <w:szCs w:val="24"/>
        </w:rPr>
        <w:t xml:space="preserve">, Texas has “one of the nation’s most relaxed approaches to building codes, inspections, and other </w:t>
      </w:r>
      <w:r w:rsidRPr="0014270C">
        <w:rPr>
          <w:rFonts w:ascii="Bookman Old Style" w:hAnsi="Bookman Old Style"/>
          <w:sz w:val="24"/>
          <w:szCs w:val="24"/>
        </w:rPr>
        <w:lastRenderedPageBreak/>
        <w:t>protections.”</w:t>
      </w:r>
      <w:r w:rsidRPr="0014270C">
        <w:rPr>
          <w:rStyle w:val="FootnoteReference"/>
          <w:rFonts w:ascii="Bookman Old Style" w:hAnsi="Bookman Old Style"/>
          <w:sz w:val="24"/>
          <w:szCs w:val="24"/>
        </w:rPr>
        <w:footnoteReference w:id="271"/>
      </w:r>
      <w:r w:rsidRPr="0014270C">
        <w:rPr>
          <w:rFonts w:ascii="Bookman Old Style" w:hAnsi="Bookman Old Style"/>
          <w:sz w:val="24"/>
          <w:szCs w:val="24"/>
        </w:rPr>
        <w:t xml:space="preserve"> Many builders in coastal cities want to expand as quickly and as inexpensively as possible, though this lack of standards can lead to poor planning and potentially hazardous and devastating consequences in the event of a hurricane. The planet is entering an era of more intense storms with higher rainfall,</w:t>
      </w:r>
      <w:r w:rsidRPr="0014270C">
        <w:rPr>
          <w:rStyle w:val="FootnoteReference"/>
          <w:rFonts w:ascii="Bookman Old Style" w:hAnsi="Bookman Old Style"/>
          <w:sz w:val="24"/>
          <w:szCs w:val="24"/>
        </w:rPr>
        <w:footnoteReference w:id="272"/>
      </w:r>
      <w:r w:rsidRPr="0014270C">
        <w:rPr>
          <w:rFonts w:ascii="Bookman Old Style" w:hAnsi="Bookman Old Style"/>
          <w:sz w:val="24"/>
          <w:szCs w:val="24"/>
        </w:rPr>
        <w:t xml:space="preserve"> and a city’s lack of adaptation to the changing climate means only more expensive recovery efforts loom in the future. </w:t>
      </w:r>
    </w:p>
    <w:p w14:paraId="096FF755" w14:textId="2B19AA2A" w:rsidR="002206C2" w:rsidRPr="0014270C" w:rsidRDefault="00CA22A4" w:rsidP="00B13208">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While relief housing needs to </w:t>
      </w:r>
      <w:proofErr w:type="gramStart"/>
      <w:r w:rsidRPr="0014270C">
        <w:rPr>
          <w:rFonts w:ascii="Bookman Old Style" w:hAnsi="Bookman Old Style"/>
          <w:sz w:val="24"/>
          <w:szCs w:val="24"/>
        </w:rPr>
        <w:t>be quickly retained</w:t>
      </w:r>
      <w:proofErr w:type="gramEnd"/>
      <w:r w:rsidRPr="0014270C">
        <w:rPr>
          <w:rFonts w:ascii="Bookman Old Style" w:hAnsi="Bookman Old Style"/>
          <w:sz w:val="24"/>
          <w:szCs w:val="24"/>
        </w:rPr>
        <w:t xml:space="preserve"> and efficiently put into operation, acceptable health and safety standards are needing to be met. To avoid lengthy stays in temporary housing due to a </w:t>
      </w:r>
      <w:r w:rsidRPr="0014270C">
        <w:rPr>
          <w:rFonts w:ascii="Bookman Old Style" w:hAnsi="Bookman Old Style"/>
          <w:noProof/>
          <w:sz w:val="24"/>
          <w:szCs w:val="24"/>
        </w:rPr>
        <w:t>lack</w:t>
      </w:r>
      <w:r w:rsidRPr="0014270C">
        <w:rPr>
          <w:rFonts w:ascii="Bookman Old Style" w:hAnsi="Bookman Old Style"/>
          <w:sz w:val="24"/>
          <w:szCs w:val="24"/>
        </w:rPr>
        <w:t xml:space="preserve"> of services needed for societal reintegration, it is critical that an effective recovery plan exists. Further, to reduce the negative impact </w:t>
      </w:r>
      <w:r w:rsidRPr="0014270C">
        <w:rPr>
          <w:rFonts w:ascii="Bookman Old Style" w:hAnsi="Bookman Old Style"/>
          <w:noProof/>
          <w:sz w:val="24"/>
          <w:szCs w:val="24"/>
        </w:rPr>
        <w:t>on</w:t>
      </w:r>
      <w:r w:rsidRPr="0014270C">
        <w:rPr>
          <w:rFonts w:ascii="Bookman Old Style" w:hAnsi="Bookman Old Style"/>
          <w:sz w:val="24"/>
          <w:szCs w:val="24"/>
        </w:rPr>
        <w:t xml:space="preserve"> the environment and economy, careful consideration of materials and vendors need to </w:t>
      </w:r>
      <w:proofErr w:type="gramStart"/>
      <w:r w:rsidRPr="0014270C">
        <w:rPr>
          <w:rFonts w:ascii="Bookman Old Style" w:hAnsi="Bookman Old Style"/>
          <w:sz w:val="24"/>
          <w:szCs w:val="24"/>
        </w:rPr>
        <w:t>be made</w:t>
      </w:r>
      <w:proofErr w:type="gramEnd"/>
      <w:r w:rsidRPr="0014270C">
        <w:rPr>
          <w:rFonts w:ascii="Bookman Old Style" w:hAnsi="Bookman Old Style"/>
          <w:sz w:val="24"/>
          <w:szCs w:val="24"/>
        </w:rPr>
        <w:t xml:space="preserve"> in preparation for a disaster, rather than during response.</w:t>
      </w:r>
      <w:r w:rsidR="003254F0" w:rsidRPr="0014270C">
        <w:rPr>
          <w:rFonts w:ascii="Bookman Old Style" w:hAnsi="Bookman Old Style"/>
          <w:sz w:val="24"/>
          <w:szCs w:val="24"/>
        </w:rPr>
        <w:t xml:space="preserve"> Using resources such as time, money, and energy more thoughtfully, as Thoreau suggests, preparing ahead for inevitable events, could produce an efficient procedure for housing hurricane victims as well as provide a structured plan for helping them get back on their feet and out of relief housing, returning to society richer in knowledge and zest for life than perhaps they had been before the storm.</w:t>
      </w:r>
      <w:r w:rsidRPr="0014270C">
        <w:rPr>
          <w:rFonts w:ascii="Bookman Old Style" w:hAnsi="Bookman Old Style"/>
          <w:sz w:val="24"/>
          <w:szCs w:val="24"/>
        </w:rPr>
        <w:t xml:space="preserve"> </w:t>
      </w:r>
    </w:p>
    <w:p w14:paraId="181BF2A0" w14:textId="18CB63A5" w:rsidR="002206C2" w:rsidRPr="0014270C" w:rsidRDefault="002206C2" w:rsidP="00B13208">
      <w:pPr>
        <w:spacing w:line="480" w:lineRule="auto"/>
        <w:ind w:firstLine="720"/>
        <w:rPr>
          <w:rFonts w:ascii="Bookman Old Style" w:hAnsi="Bookman Old Style"/>
          <w:sz w:val="24"/>
          <w:szCs w:val="24"/>
        </w:rPr>
      </w:pPr>
    </w:p>
    <w:p w14:paraId="4DBA6C82" w14:textId="77777777" w:rsidR="000E70B5" w:rsidRPr="0014270C" w:rsidRDefault="000E70B5" w:rsidP="00B13208">
      <w:pPr>
        <w:spacing w:line="480" w:lineRule="auto"/>
        <w:ind w:firstLine="720"/>
        <w:rPr>
          <w:rFonts w:ascii="Bookman Old Style" w:hAnsi="Bookman Old Style"/>
          <w:sz w:val="24"/>
          <w:szCs w:val="24"/>
        </w:rPr>
      </w:pPr>
    </w:p>
    <w:p w14:paraId="29031F2C" w14:textId="77777777" w:rsidR="00CA22A4" w:rsidRPr="0014270C" w:rsidRDefault="00CA22A4" w:rsidP="00CA22A4">
      <w:pPr>
        <w:pStyle w:val="THESISLVL3"/>
      </w:pPr>
      <w:bookmarkStart w:id="96" w:name="_Toc8062324"/>
      <w:r w:rsidRPr="0014270C">
        <w:lastRenderedPageBreak/>
        <w:t>Adaptive Capacity</w:t>
      </w:r>
      <w:bookmarkEnd w:id="96"/>
    </w:p>
    <w:p w14:paraId="2C923460" w14:textId="07BA573F" w:rsidR="00B167DB" w:rsidRPr="0014270C" w:rsidRDefault="00B167DB" w:rsidP="00B167DB">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As </w:t>
      </w:r>
      <w:proofErr w:type="spellStart"/>
      <w:r w:rsidRPr="0014270C">
        <w:rPr>
          <w:rFonts w:ascii="Bookman Old Style" w:hAnsi="Bookman Old Style"/>
          <w:sz w:val="24"/>
          <w:szCs w:val="24"/>
        </w:rPr>
        <w:t>Adger</w:t>
      </w:r>
      <w:proofErr w:type="spellEnd"/>
      <w:r w:rsidRPr="0014270C">
        <w:rPr>
          <w:rFonts w:ascii="Bookman Old Style" w:hAnsi="Bookman Old Style"/>
          <w:sz w:val="24"/>
          <w:szCs w:val="24"/>
        </w:rPr>
        <w:t xml:space="preserve"> et al. suggest in their study of social-ecological resilience, adaptive capacity and social capital are the key contributing factors to successful disaster recovery. </w:t>
      </w:r>
      <w:r w:rsidR="00264228" w:rsidRPr="0014270C">
        <w:rPr>
          <w:rFonts w:ascii="Bookman Old Style" w:hAnsi="Bookman Old Style"/>
          <w:sz w:val="24"/>
          <w:szCs w:val="24"/>
        </w:rPr>
        <w:t xml:space="preserve">The case study provided by John </w:t>
      </w:r>
      <w:proofErr w:type="spellStart"/>
      <w:r w:rsidR="00264228" w:rsidRPr="0014270C">
        <w:rPr>
          <w:rFonts w:ascii="Bookman Old Style" w:hAnsi="Bookman Old Style"/>
          <w:sz w:val="24"/>
          <w:szCs w:val="24"/>
        </w:rPr>
        <w:t>Durston</w:t>
      </w:r>
      <w:proofErr w:type="spellEnd"/>
      <w:r w:rsidR="00264228" w:rsidRPr="0014270C">
        <w:rPr>
          <w:rFonts w:ascii="Bookman Old Style" w:hAnsi="Bookman Old Style"/>
          <w:sz w:val="24"/>
          <w:szCs w:val="24"/>
        </w:rPr>
        <w:t xml:space="preserve"> showed that for communities lacking in social capital, some effort needs to be made to find a connection and promote the building of relationships in order to establish an ability to </w:t>
      </w:r>
      <w:r w:rsidR="002C3E6E" w:rsidRPr="0014270C">
        <w:rPr>
          <w:rFonts w:ascii="Bookman Old Style" w:hAnsi="Bookman Old Style"/>
          <w:sz w:val="24"/>
          <w:szCs w:val="24"/>
        </w:rPr>
        <w:t>function as a unit</w:t>
      </w:r>
      <w:r w:rsidR="00264228" w:rsidRPr="0014270C">
        <w:rPr>
          <w:rFonts w:ascii="Bookman Old Style" w:hAnsi="Bookman Old Style"/>
          <w:sz w:val="24"/>
          <w:szCs w:val="24"/>
        </w:rPr>
        <w:t>, leaving individualistic mentality behind</w:t>
      </w:r>
      <w:r w:rsidR="00FE3079" w:rsidRPr="0014270C">
        <w:rPr>
          <w:rFonts w:ascii="Bookman Old Style" w:hAnsi="Bookman Old Style"/>
          <w:sz w:val="24"/>
          <w:szCs w:val="24"/>
        </w:rPr>
        <w:t xml:space="preserve">, but after the steps to create these networks are </w:t>
      </w:r>
      <w:r w:rsidR="002C3E6E" w:rsidRPr="0014270C">
        <w:rPr>
          <w:rFonts w:ascii="Bookman Old Style" w:hAnsi="Bookman Old Style"/>
          <w:sz w:val="24"/>
          <w:szCs w:val="24"/>
        </w:rPr>
        <w:t>taken</w:t>
      </w:r>
      <w:r w:rsidR="00FE3079" w:rsidRPr="0014270C">
        <w:rPr>
          <w:rFonts w:ascii="Bookman Old Style" w:hAnsi="Bookman Old Style"/>
          <w:sz w:val="24"/>
          <w:szCs w:val="24"/>
        </w:rPr>
        <w:t>, communities can come together to understand their needs and work toward a common goal.</w:t>
      </w:r>
      <w:r w:rsidR="00264228" w:rsidRPr="0014270C">
        <w:rPr>
          <w:rFonts w:ascii="Bookman Old Style" w:hAnsi="Bookman Old Style"/>
          <w:sz w:val="24"/>
          <w:szCs w:val="24"/>
        </w:rPr>
        <w:t xml:space="preserve"> </w:t>
      </w:r>
      <w:r w:rsidR="002C3E6E" w:rsidRPr="0014270C">
        <w:rPr>
          <w:rFonts w:ascii="Bookman Old Style" w:hAnsi="Bookman Old Style"/>
          <w:sz w:val="24"/>
          <w:szCs w:val="24"/>
        </w:rPr>
        <w:t xml:space="preserve">This suggests that some discovery of culture and what it means to </w:t>
      </w:r>
      <w:proofErr w:type="gramStart"/>
      <w:r w:rsidR="002C3E6E" w:rsidRPr="0014270C">
        <w:rPr>
          <w:rFonts w:ascii="Bookman Old Style" w:hAnsi="Bookman Old Style"/>
          <w:sz w:val="24"/>
          <w:szCs w:val="24"/>
        </w:rPr>
        <w:t>be connected</w:t>
      </w:r>
      <w:proofErr w:type="gramEnd"/>
      <w:r w:rsidR="002C3E6E" w:rsidRPr="0014270C">
        <w:rPr>
          <w:rFonts w:ascii="Bookman Old Style" w:hAnsi="Bookman Old Style"/>
          <w:sz w:val="24"/>
          <w:szCs w:val="24"/>
        </w:rPr>
        <w:t xml:space="preserve"> to one another has heavy influence on the building of social capital. </w:t>
      </w:r>
      <w:r w:rsidR="00264228" w:rsidRPr="0014270C">
        <w:rPr>
          <w:rFonts w:ascii="Bookman Old Style" w:hAnsi="Bookman Old Style"/>
          <w:sz w:val="24"/>
          <w:szCs w:val="24"/>
        </w:rPr>
        <w:t xml:space="preserve">It </w:t>
      </w:r>
      <w:proofErr w:type="gramStart"/>
      <w:r w:rsidR="00264228" w:rsidRPr="0014270C">
        <w:rPr>
          <w:rFonts w:ascii="Bookman Old Style" w:hAnsi="Bookman Old Style"/>
          <w:sz w:val="24"/>
          <w:szCs w:val="24"/>
        </w:rPr>
        <w:t>was also found</w:t>
      </w:r>
      <w:proofErr w:type="gramEnd"/>
      <w:r w:rsidR="00264228" w:rsidRPr="0014270C">
        <w:rPr>
          <w:rFonts w:ascii="Bookman Old Style" w:hAnsi="Bookman Old Style"/>
          <w:sz w:val="24"/>
          <w:szCs w:val="24"/>
        </w:rPr>
        <w:t xml:space="preserve"> that c</w:t>
      </w:r>
      <w:r w:rsidRPr="0014270C">
        <w:rPr>
          <w:rFonts w:ascii="Bookman Old Style" w:hAnsi="Bookman Old Style"/>
          <w:sz w:val="24"/>
          <w:szCs w:val="24"/>
        </w:rPr>
        <w:t xml:space="preserve">reating a strong link between community and government builds trust. Trust in leadership </w:t>
      </w:r>
      <w:proofErr w:type="gramStart"/>
      <w:r w:rsidRPr="0014270C">
        <w:rPr>
          <w:rFonts w:ascii="Bookman Old Style" w:hAnsi="Bookman Old Style"/>
          <w:sz w:val="24"/>
          <w:szCs w:val="24"/>
        </w:rPr>
        <w:t>was found</w:t>
      </w:r>
      <w:proofErr w:type="gramEnd"/>
      <w:r w:rsidRPr="0014270C">
        <w:rPr>
          <w:rFonts w:ascii="Bookman Old Style" w:hAnsi="Bookman Old Style"/>
          <w:sz w:val="24"/>
          <w:szCs w:val="24"/>
        </w:rPr>
        <w:t xml:space="preserve"> to be what led the </w:t>
      </w:r>
      <w:proofErr w:type="spellStart"/>
      <w:r w:rsidRPr="0014270C">
        <w:rPr>
          <w:rFonts w:ascii="Bookman Old Style" w:hAnsi="Bookman Old Style"/>
          <w:sz w:val="24"/>
          <w:szCs w:val="24"/>
        </w:rPr>
        <w:t>Soni</w:t>
      </w:r>
      <w:proofErr w:type="spellEnd"/>
      <w:r w:rsidRPr="0014270C">
        <w:rPr>
          <w:rFonts w:ascii="Bookman Old Style" w:hAnsi="Bookman Old Style"/>
          <w:sz w:val="24"/>
          <w:szCs w:val="24"/>
        </w:rPr>
        <w:t xml:space="preserve"> community, in Shaw and Nakagawa’s study, and Village de </w:t>
      </w:r>
      <w:proofErr w:type="spellStart"/>
      <w:r w:rsidRPr="0014270C">
        <w:rPr>
          <w:rFonts w:ascii="Bookman Old Style" w:hAnsi="Bookman Old Style"/>
          <w:sz w:val="24"/>
          <w:szCs w:val="24"/>
        </w:rPr>
        <w:t>L’Est</w:t>
      </w:r>
      <w:proofErr w:type="spellEnd"/>
      <w:r w:rsidRPr="0014270C">
        <w:rPr>
          <w:rFonts w:ascii="Bookman Old Style" w:hAnsi="Bookman Old Style"/>
          <w:sz w:val="24"/>
          <w:szCs w:val="24"/>
        </w:rPr>
        <w:t xml:space="preserve">, in New Orleans, to recover quickly after disaster. With trust in leadership, it is possible for a community to be of one mind, working together to develop solutions that will work for them economically, environmentally, socially, and culturally. In establishing these strong relationships, an effective system of governance can </w:t>
      </w:r>
      <w:proofErr w:type="gramStart"/>
      <w:r w:rsidRPr="0014270C">
        <w:rPr>
          <w:rFonts w:ascii="Bookman Old Style" w:hAnsi="Bookman Old Style"/>
          <w:sz w:val="24"/>
          <w:szCs w:val="24"/>
        </w:rPr>
        <w:t>be formed</w:t>
      </w:r>
      <w:proofErr w:type="gramEnd"/>
      <w:r w:rsidRPr="0014270C">
        <w:rPr>
          <w:rFonts w:ascii="Bookman Old Style" w:hAnsi="Bookman Old Style"/>
          <w:sz w:val="24"/>
          <w:szCs w:val="24"/>
        </w:rPr>
        <w:t xml:space="preserve"> that can create lasting, effective change, contributing to a resilient system. </w:t>
      </w:r>
    </w:p>
    <w:p w14:paraId="12FF61DF" w14:textId="3BE60000" w:rsidR="00E45067" w:rsidRPr="0014270C" w:rsidRDefault="00E45067" w:rsidP="00366050">
      <w:pPr>
        <w:spacing w:line="480" w:lineRule="auto"/>
        <w:rPr>
          <w:rFonts w:ascii="Bookman Old Style" w:hAnsi="Bookman Old Style"/>
          <w:sz w:val="24"/>
          <w:szCs w:val="24"/>
        </w:rPr>
      </w:pPr>
    </w:p>
    <w:p w14:paraId="019AC144" w14:textId="28F50933" w:rsidR="00E45067" w:rsidRPr="0014270C" w:rsidRDefault="00E45067" w:rsidP="00366050">
      <w:pPr>
        <w:spacing w:line="480" w:lineRule="auto"/>
        <w:rPr>
          <w:rFonts w:ascii="Bookman Old Style" w:hAnsi="Bookman Old Style"/>
          <w:sz w:val="24"/>
          <w:szCs w:val="24"/>
        </w:rPr>
      </w:pPr>
    </w:p>
    <w:p w14:paraId="5B6EA58B" w14:textId="77777777" w:rsidR="00E45067" w:rsidRPr="0014270C" w:rsidRDefault="00E45067" w:rsidP="00366050">
      <w:pPr>
        <w:spacing w:line="480" w:lineRule="auto"/>
        <w:rPr>
          <w:rFonts w:ascii="Bookman Old Style" w:hAnsi="Bookman Old Style"/>
          <w:sz w:val="24"/>
          <w:szCs w:val="24"/>
        </w:rPr>
      </w:pPr>
    </w:p>
    <w:p w14:paraId="4F074EBD" w14:textId="3E5496DE" w:rsidR="004B6028" w:rsidRPr="0014270C" w:rsidRDefault="004B6028" w:rsidP="00B93546">
      <w:pPr>
        <w:pStyle w:val="THESISLVL2"/>
      </w:pPr>
      <w:bookmarkStart w:id="97" w:name="_Toc8062325"/>
      <w:r w:rsidRPr="0014270C">
        <w:lastRenderedPageBreak/>
        <w:t>5.</w:t>
      </w:r>
      <w:r w:rsidR="00D9743D" w:rsidRPr="0014270C">
        <w:t>2</w:t>
      </w:r>
      <w:r w:rsidRPr="0014270C">
        <w:t xml:space="preserve"> </w:t>
      </w:r>
      <w:r w:rsidR="00B228AA" w:rsidRPr="0014270C">
        <w:t>Moving Forward</w:t>
      </w:r>
      <w:bookmarkEnd w:id="97"/>
    </w:p>
    <w:p w14:paraId="064C9F68" w14:textId="36DD3C21" w:rsidR="004F0441" w:rsidRPr="0014270C" w:rsidRDefault="00AE6502" w:rsidP="00B93546">
      <w:pPr>
        <w:pStyle w:val="THESISLVL3"/>
      </w:pPr>
      <w:bookmarkStart w:id="98" w:name="_Toc8062326"/>
      <w:r w:rsidRPr="0014270C">
        <w:t>Recommendations</w:t>
      </w:r>
      <w:bookmarkEnd w:id="98"/>
    </w:p>
    <w:p w14:paraId="1F21DA33" w14:textId="7CC1FC38" w:rsidR="00D34384" w:rsidRPr="0014270C" w:rsidRDefault="002465C3" w:rsidP="00DD07AD">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The entire nation can expect to see positive effects from demanding more resilient relief housing from federal entities, identifying the root cause of bottlenecks in the operation, and viewing relief housing as part of a larger system that requires a variety of services in order to rebuild a community after a disaster. </w:t>
      </w:r>
      <w:r w:rsidR="00B13208" w:rsidRPr="0014270C">
        <w:rPr>
          <w:rFonts w:ascii="Bookman Old Style" w:hAnsi="Bookman Old Style"/>
          <w:sz w:val="24"/>
          <w:szCs w:val="24"/>
        </w:rPr>
        <w:t>It is important to acknowledge that government agencies have a reputation of repeating history several times over before establishing lasting change; this means that design teams need to be prepared to approach the appropriate entities within a policy window</w:t>
      </w:r>
      <w:r w:rsidR="00B13208" w:rsidRPr="0014270C">
        <w:rPr>
          <w:rStyle w:val="FootnoteReference"/>
          <w:rFonts w:ascii="Bookman Old Style" w:hAnsi="Bookman Old Style"/>
          <w:sz w:val="24"/>
          <w:szCs w:val="24"/>
        </w:rPr>
        <w:footnoteReference w:id="273"/>
      </w:r>
      <w:r w:rsidR="00B13208" w:rsidRPr="0014270C">
        <w:rPr>
          <w:rFonts w:ascii="Bookman Old Style" w:hAnsi="Bookman Old Style"/>
          <w:sz w:val="24"/>
          <w:szCs w:val="24"/>
        </w:rPr>
        <w:t xml:space="preserve"> with an exhaustive plan involving accurate cost, impact, and </w:t>
      </w:r>
      <w:r w:rsidR="00C91B04" w:rsidRPr="0014270C">
        <w:rPr>
          <w:rFonts w:ascii="Bookman Old Style" w:hAnsi="Bookman Old Style"/>
          <w:sz w:val="24"/>
          <w:szCs w:val="24"/>
        </w:rPr>
        <w:t xml:space="preserve">most </w:t>
      </w:r>
      <w:r w:rsidR="000C6605" w:rsidRPr="0014270C">
        <w:rPr>
          <w:rFonts w:ascii="Bookman Old Style" w:hAnsi="Bookman Old Style"/>
          <w:sz w:val="24"/>
          <w:szCs w:val="24"/>
        </w:rPr>
        <w:t>crucially</w:t>
      </w:r>
      <w:r w:rsidR="00C91B04" w:rsidRPr="0014270C">
        <w:rPr>
          <w:rFonts w:ascii="Bookman Old Style" w:hAnsi="Bookman Old Style"/>
          <w:sz w:val="24"/>
          <w:szCs w:val="24"/>
        </w:rPr>
        <w:t xml:space="preserve">, a </w:t>
      </w:r>
      <w:r w:rsidR="00B13208" w:rsidRPr="0014270C">
        <w:rPr>
          <w:rFonts w:ascii="Bookman Old Style" w:hAnsi="Bookman Old Style"/>
          <w:sz w:val="24"/>
          <w:szCs w:val="24"/>
        </w:rPr>
        <w:t>strategy for implementation. Having a plan for implementation in place, government agencies can maintain an organized process capable of reducing the negative impacts to budget, the environment, and society that can result from mismanagement of relief housing and recovery following a storm.</w:t>
      </w:r>
    </w:p>
    <w:p w14:paraId="38F5D8A5" w14:textId="405508DC" w:rsidR="002206C2" w:rsidRDefault="002206C2" w:rsidP="00DD07AD">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It is expected that by designing tiny houses with the intention of being </w:t>
      </w:r>
      <w:proofErr w:type="gramStart"/>
      <w:r w:rsidRPr="0014270C">
        <w:rPr>
          <w:rFonts w:ascii="Bookman Old Style" w:hAnsi="Bookman Old Style"/>
          <w:sz w:val="24"/>
          <w:szCs w:val="24"/>
        </w:rPr>
        <w:t>off-grid</w:t>
      </w:r>
      <w:proofErr w:type="gramEnd"/>
      <w:r w:rsidRPr="0014270C">
        <w:rPr>
          <w:rFonts w:ascii="Bookman Old Style" w:hAnsi="Bookman Old Style"/>
          <w:sz w:val="24"/>
          <w:szCs w:val="24"/>
        </w:rPr>
        <w:t xml:space="preserve">, the limitations for unit placement and the expense associated with providing utilities to victims can be eliminated. Using prefabricated, off-grid tiny housing could help to streamline the process by having units ready for operation quickly without needing utility hook-up. </w:t>
      </w:r>
      <w:proofErr w:type="spellStart"/>
      <w:r w:rsidRPr="0014270C">
        <w:rPr>
          <w:rFonts w:ascii="Bookman Old Style" w:hAnsi="Bookman Old Style"/>
          <w:sz w:val="24"/>
          <w:szCs w:val="24"/>
        </w:rPr>
        <w:t>Gjerde</w:t>
      </w:r>
      <w:proofErr w:type="spellEnd"/>
      <w:r w:rsidRPr="0014270C">
        <w:rPr>
          <w:rFonts w:ascii="Bookman Old Style" w:hAnsi="Bookman Old Style"/>
          <w:sz w:val="24"/>
          <w:szCs w:val="24"/>
        </w:rPr>
        <w:t xml:space="preserve">, Brown, and </w:t>
      </w:r>
      <w:proofErr w:type="spellStart"/>
      <w:r w:rsidRPr="0014270C">
        <w:rPr>
          <w:rFonts w:ascii="Bookman Old Style" w:hAnsi="Bookman Old Style"/>
          <w:sz w:val="24"/>
          <w:szCs w:val="24"/>
        </w:rPr>
        <w:t>Schnek</w:t>
      </w:r>
      <w:proofErr w:type="spellEnd"/>
      <w:r w:rsidRPr="0014270C">
        <w:rPr>
          <w:rFonts w:ascii="Bookman Old Style" w:hAnsi="Bookman Old Style"/>
          <w:sz w:val="24"/>
          <w:szCs w:val="24"/>
        </w:rPr>
        <w:t xml:space="preserve"> have drawn similar conclusions, as is evident in their designs for prefabricated tiny housing utilizing many off-grid technologies such as solar panels and large </w:t>
      </w:r>
      <w:r w:rsidRPr="0014270C">
        <w:rPr>
          <w:rFonts w:ascii="Bookman Old Style" w:hAnsi="Bookman Old Style"/>
          <w:sz w:val="24"/>
          <w:szCs w:val="24"/>
        </w:rPr>
        <w:lastRenderedPageBreak/>
        <w:t xml:space="preserve">windows in addition to other design features that promote passive thermal regulation; the use of composting toilets and pump sinks have also been considered to accommodate an absence of running water. The designers acknowledge the difficulties in shipping and storing trailers post-Katrina, offering a solution by making the units modular and easy to build, noting that each house can </w:t>
      </w:r>
      <w:proofErr w:type="gramStart"/>
      <w:r w:rsidRPr="0014270C">
        <w:rPr>
          <w:rFonts w:ascii="Bookman Old Style" w:hAnsi="Bookman Old Style"/>
          <w:sz w:val="24"/>
          <w:szCs w:val="24"/>
        </w:rPr>
        <w:t>be assembled</w:t>
      </w:r>
      <w:proofErr w:type="gramEnd"/>
      <w:r w:rsidRPr="0014270C">
        <w:rPr>
          <w:rFonts w:ascii="Bookman Old Style" w:hAnsi="Bookman Old Style"/>
          <w:sz w:val="24"/>
          <w:szCs w:val="24"/>
        </w:rPr>
        <w:t xml:space="preserve"> by a few people without the use of heavy equipment.</w:t>
      </w:r>
    </w:p>
    <w:p w14:paraId="1941A396" w14:textId="0A47AA08" w:rsidR="00C9416D" w:rsidRPr="0014270C" w:rsidRDefault="00CE0613" w:rsidP="00DD07AD">
      <w:pPr>
        <w:spacing w:line="480" w:lineRule="auto"/>
        <w:ind w:firstLine="720"/>
        <w:rPr>
          <w:rFonts w:ascii="Bookman Old Style" w:hAnsi="Bookman Old Style"/>
          <w:sz w:val="24"/>
          <w:szCs w:val="24"/>
        </w:rPr>
      </w:pPr>
      <w:r>
        <w:rPr>
          <w:rFonts w:ascii="Bookman Old Style" w:hAnsi="Bookman Old Style"/>
          <w:sz w:val="24"/>
          <w:szCs w:val="24"/>
        </w:rPr>
        <w:t>Although the literature suggests that successful reintegration into society requires careful consideration of the extensiveness of shared space, it could be beneficial to have a central hub where tiny house community residents can gather for social activities</w:t>
      </w:r>
      <w:r w:rsidR="00377C2D" w:rsidRPr="00377C2D">
        <w:rPr>
          <w:rFonts w:ascii="Bookman Old Style" w:hAnsi="Bookman Old Style"/>
          <w:sz w:val="24"/>
          <w:szCs w:val="24"/>
        </w:rPr>
        <w:t xml:space="preserve"> </w:t>
      </w:r>
      <w:r w:rsidR="00377C2D">
        <w:rPr>
          <w:rFonts w:ascii="Bookman Old Style" w:hAnsi="Bookman Old Style"/>
          <w:sz w:val="24"/>
          <w:szCs w:val="24"/>
        </w:rPr>
        <w:t>such as meetings, job training, and life skill courses</w:t>
      </w:r>
      <w:r>
        <w:rPr>
          <w:rFonts w:ascii="Bookman Old Style" w:hAnsi="Bookman Old Style"/>
          <w:sz w:val="24"/>
          <w:szCs w:val="24"/>
        </w:rPr>
        <w:t xml:space="preserve">. A central space could act as a place where storm victims can meet and exchange struggles and needs – </w:t>
      </w:r>
      <w:r w:rsidR="008522ED">
        <w:rPr>
          <w:rFonts w:ascii="Bookman Old Style" w:hAnsi="Bookman Old Style"/>
          <w:sz w:val="24"/>
          <w:szCs w:val="24"/>
        </w:rPr>
        <w:t xml:space="preserve">gaining </w:t>
      </w:r>
      <w:r>
        <w:rPr>
          <w:rFonts w:ascii="Bookman Old Style" w:hAnsi="Bookman Old Style"/>
          <w:sz w:val="24"/>
          <w:szCs w:val="24"/>
        </w:rPr>
        <w:t>emotional support from people who have been through the same experience</w:t>
      </w:r>
      <w:r w:rsidR="00DF2C12">
        <w:rPr>
          <w:rFonts w:ascii="Bookman Old Style" w:hAnsi="Bookman Old Style"/>
          <w:sz w:val="24"/>
          <w:szCs w:val="24"/>
        </w:rPr>
        <w:t>; t</w:t>
      </w:r>
      <w:r>
        <w:rPr>
          <w:rFonts w:ascii="Bookman Old Style" w:hAnsi="Bookman Old Style"/>
          <w:sz w:val="24"/>
          <w:szCs w:val="24"/>
        </w:rPr>
        <w:t xml:space="preserve">his could help to form bonds in the same way </w:t>
      </w:r>
      <w:r w:rsidR="00DF2C12">
        <w:rPr>
          <w:rFonts w:ascii="Bookman Old Style" w:hAnsi="Bookman Old Style"/>
          <w:sz w:val="24"/>
          <w:szCs w:val="24"/>
        </w:rPr>
        <w:t xml:space="preserve">the people from Guatemala were able in the case study </w:t>
      </w:r>
      <w:r w:rsidR="00C17312">
        <w:rPr>
          <w:rFonts w:ascii="Bookman Old Style" w:hAnsi="Bookman Old Style"/>
          <w:sz w:val="24"/>
          <w:szCs w:val="24"/>
        </w:rPr>
        <w:t xml:space="preserve">done </w:t>
      </w:r>
      <w:r w:rsidR="00DF2C12">
        <w:rPr>
          <w:rFonts w:ascii="Bookman Old Style" w:hAnsi="Bookman Old Style"/>
          <w:sz w:val="24"/>
          <w:szCs w:val="24"/>
        </w:rPr>
        <w:t xml:space="preserve">by John </w:t>
      </w:r>
      <w:proofErr w:type="spellStart"/>
      <w:r w:rsidR="00DF2C12">
        <w:rPr>
          <w:rFonts w:ascii="Bookman Old Style" w:hAnsi="Bookman Old Style"/>
          <w:sz w:val="24"/>
          <w:szCs w:val="24"/>
        </w:rPr>
        <w:t>Durston</w:t>
      </w:r>
      <w:proofErr w:type="spellEnd"/>
      <w:r w:rsidR="00DF2C12">
        <w:rPr>
          <w:rFonts w:ascii="Bookman Old Style" w:hAnsi="Bookman Old Style"/>
          <w:sz w:val="24"/>
          <w:szCs w:val="24"/>
        </w:rPr>
        <w:t xml:space="preserve">. </w:t>
      </w:r>
      <w:r w:rsidR="00377C2D">
        <w:rPr>
          <w:rFonts w:ascii="Bookman Old Style" w:hAnsi="Bookman Old Style"/>
          <w:sz w:val="24"/>
          <w:szCs w:val="24"/>
        </w:rPr>
        <w:t xml:space="preserve">In addition to having an indoor space, an outdoor green space could </w:t>
      </w:r>
      <w:proofErr w:type="gramStart"/>
      <w:r w:rsidR="00377C2D">
        <w:rPr>
          <w:rFonts w:ascii="Bookman Old Style" w:hAnsi="Bookman Old Style"/>
          <w:sz w:val="24"/>
          <w:szCs w:val="24"/>
        </w:rPr>
        <w:t>be provided</w:t>
      </w:r>
      <w:proofErr w:type="gramEnd"/>
      <w:r w:rsidR="00377C2D">
        <w:rPr>
          <w:rFonts w:ascii="Bookman Old Style" w:hAnsi="Bookman Old Style"/>
          <w:sz w:val="24"/>
          <w:szCs w:val="24"/>
        </w:rPr>
        <w:t xml:space="preserve"> as well to promote health, giving residents a place for physical activity, and provide an area to enjoy time outdoors with neighbors. Further, a work program could offer a way for residents to gain job experience while providing needed services for the community such as home maintenance or tending neighborhood gardens. Work programs could be a positive step toward self-reliance, lessening the amount of aid needed from outside the community.</w:t>
      </w:r>
    </w:p>
    <w:p w14:paraId="54152BC2" w14:textId="24173F6C" w:rsidR="001905D4" w:rsidRPr="0014270C" w:rsidRDefault="005B513D" w:rsidP="00DD07AD">
      <w:pPr>
        <w:spacing w:line="480" w:lineRule="auto"/>
        <w:ind w:firstLine="720"/>
        <w:rPr>
          <w:rFonts w:ascii="Bookman Old Style" w:hAnsi="Bookman Old Style"/>
          <w:sz w:val="24"/>
          <w:szCs w:val="24"/>
        </w:rPr>
      </w:pPr>
      <w:r w:rsidRPr="0014270C">
        <w:rPr>
          <w:rFonts w:ascii="Bookman Old Style" w:hAnsi="Bookman Old Style"/>
          <w:sz w:val="24"/>
          <w:szCs w:val="24"/>
        </w:rPr>
        <w:lastRenderedPageBreak/>
        <w:t>A</w:t>
      </w:r>
      <w:r w:rsidR="001905D4" w:rsidRPr="0014270C">
        <w:rPr>
          <w:rFonts w:ascii="Bookman Old Style" w:hAnsi="Bookman Old Style"/>
          <w:sz w:val="24"/>
          <w:szCs w:val="24"/>
        </w:rPr>
        <w:t xml:space="preserve"> document assembled by the government of Puerto Rico after Hurricanes Irma and Maria in 2017 </w:t>
      </w:r>
      <w:r w:rsidRPr="0014270C">
        <w:rPr>
          <w:rFonts w:ascii="Bookman Old Style" w:hAnsi="Bookman Old Style"/>
          <w:sz w:val="24"/>
          <w:szCs w:val="24"/>
        </w:rPr>
        <w:t>outlines</w:t>
      </w:r>
      <w:r w:rsidR="001905D4" w:rsidRPr="0014270C">
        <w:rPr>
          <w:rFonts w:ascii="Bookman Old Style" w:hAnsi="Bookman Old Style"/>
          <w:sz w:val="24"/>
          <w:szCs w:val="24"/>
        </w:rPr>
        <w:t xml:space="preserve"> a</w:t>
      </w:r>
      <w:r w:rsidRPr="0014270C">
        <w:rPr>
          <w:rFonts w:ascii="Bookman Old Style" w:hAnsi="Bookman Old Style"/>
          <w:sz w:val="24"/>
          <w:szCs w:val="24"/>
        </w:rPr>
        <w:t>n</w:t>
      </w:r>
      <w:r w:rsidR="001905D4" w:rsidRPr="0014270C">
        <w:rPr>
          <w:rFonts w:ascii="Bookman Old Style" w:hAnsi="Bookman Old Style"/>
          <w:sz w:val="24"/>
          <w:szCs w:val="24"/>
        </w:rPr>
        <w:t xml:space="preserve"> </w:t>
      </w:r>
      <w:r w:rsidRPr="0014270C">
        <w:rPr>
          <w:rFonts w:ascii="Bookman Old Style" w:hAnsi="Bookman Old Style"/>
          <w:sz w:val="24"/>
          <w:szCs w:val="24"/>
        </w:rPr>
        <w:t xml:space="preserve">action </w:t>
      </w:r>
      <w:r w:rsidR="001905D4" w:rsidRPr="0014270C">
        <w:rPr>
          <w:rFonts w:ascii="Bookman Old Style" w:hAnsi="Bookman Old Style"/>
          <w:sz w:val="24"/>
          <w:szCs w:val="24"/>
        </w:rPr>
        <w:t xml:space="preserve">plan to support a population that </w:t>
      </w:r>
      <w:proofErr w:type="gramStart"/>
      <w:r w:rsidR="001905D4" w:rsidRPr="0014270C">
        <w:rPr>
          <w:rFonts w:ascii="Bookman Old Style" w:hAnsi="Bookman Old Style"/>
          <w:sz w:val="24"/>
          <w:szCs w:val="24"/>
        </w:rPr>
        <w:t>was largely neglected</w:t>
      </w:r>
      <w:proofErr w:type="gramEnd"/>
      <w:r w:rsidR="001905D4" w:rsidRPr="0014270C">
        <w:rPr>
          <w:rFonts w:ascii="Bookman Old Style" w:hAnsi="Bookman Old Style"/>
          <w:sz w:val="24"/>
          <w:szCs w:val="24"/>
        </w:rPr>
        <w:t xml:space="preserve"> by its leadership in a time of need. This</w:t>
      </w:r>
      <w:r w:rsidRPr="0014270C">
        <w:rPr>
          <w:rFonts w:ascii="Bookman Old Style" w:hAnsi="Bookman Old Style"/>
          <w:sz w:val="24"/>
          <w:szCs w:val="24"/>
        </w:rPr>
        <w:t xml:space="preserve"> </w:t>
      </w:r>
      <w:r w:rsidR="001905D4" w:rsidRPr="0014270C">
        <w:rPr>
          <w:rFonts w:ascii="Bookman Old Style" w:hAnsi="Bookman Old Style"/>
          <w:sz w:val="24"/>
          <w:szCs w:val="24"/>
        </w:rPr>
        <w:t>plan seeks to build trust between the neglected community and the US government by funding a recovery that focuses on repairing human welfare by supporting efforts that contribute to resiliency</w:t>
      </w:r>
      <w:r w:rsidRPr="0014270C">
        <w:rPr>
          <w:rFonts w:ascii="Bookman Old Style" w:hAnsi="Bookman Old Style"/>
          <w:sz w:val="24"/>
          <w:szCs w:val="24"/>
        </w:rPr>
        <w:t>;</w:t>
      </w:r>
      <w:r w:rsidR="00EE2EEA">
        <w:rPr>
          <w:rStyle w:val="FootnoteReference"/>
          <w:rFonts w:ascii="Bookman Old Style" w:hAnsi="Bookman Old Style"/>
          <w:sz w:val="24"/>
          <w:szCs w:val="24"/>
        </w:rPr>
        <w:footnoteReference w:id="274"/>
      </w:r>
      <w:r w:rsidRPr="0014270C">
        <w:rPr>
          <w:rFonts w:ascii="Bookman Old Style" w:hAnsi="Bookman Old Style"/>
          <w:sz w:val="24"/>
          <w:szCs w:val="24"/>
        </w:rPr>
        <w:t xml:space="preserve"> these</w:t>
      </w:r>
      <w:r w:rsidR="001905D4" w:rsidRPr="0014270C">
        <w:rPr>
          <w:rFonts w:ascii="Bookman Old Style" w:hAnsi="Bookman Old Style"/>
          <w:sz w:val="24"/>
          <w:szCs w:val="24"/>
        </w:rPr>
        <w:t xml:space="preserve"> effort</w:t>
      </w:r>
      <w:r w:rsidRPr="0014270C">
        <w:rPr>
          <w:rFonts w:ascii="Bookman Old Style" w:hAnsi="Bookman Old Style"/>
          <w:sz w:val="24"/>
          <w:szCs w:val="24"/>
        </w:rPr>
        <w:t xml:space="preserve">s </w:t>
      </w:r>
      <w:proofErr w:type="gramStart"/>
      <w:r w:rsidRPr="0014270C">
        <w:rPr>
          <w:rFonts w:ascii="Bookman Old Style" w:hAnsi="Bookman Old Style"/>
          <w:sz w:val="24"/>
          <w:szCs w:val="24"/>
        </w:rPr>
        <w:t>are made</w:t>
      </w:r>
      <w:proofErr w:type="gramEnd"/>
      <w:r w:rsidRPr="0014270C">
        <w:rPr>
          <w:rFonts w:ascii="Bookman Old Style" w:hAnsi="Bookman Old Style"/>
          <w:sz w:val="24"/>
          <w:szCs w:val="24"/>
        </w:rPr>
        <w:t xml:space="preserve"> with the intention</w:t>
      </w:r>
      <w:r w:rsidR="001905D4" w:rsidRPr="0014270C">
        <w:rPr>
          <w:rFonts w:ascii="Bookman Old Style" w:hAnsi="Bookman Old Style"/>
          <w:sz w:val="24"/>
          <w:szCs w:val="24"/>
        </w:rPr>
        <w:t xml:space="preserve"> to limit emigration to the continental US</w:t>
      </w:r>
      <w:r w:rsidRPr="0014270C">
        <w:rPr>
          <w:rFonts w:ascii="Bookman Old Style" w:hAnsi="Bookman Old Style"/>
          <w:sz w:val="24"/>
          <w:szCs w:val="24"/>
        </w:rPr>
        <w:t xml:space="preserve"> and abandonment of Puerto Rico</w:t>
      </w:r>
      <w:r w:rsidR="001905D4" w:rsidRPr="0014270C">
        <w:rPr>
          <w:rFonts w:ascii="Bookman Old Style" w:hAnsi="Bookman Old Style"/>
          <w:sz w:val="24"/>
          <w:szCs w:val="24"/>
        </w:rPr>
        <w:t xml:space="preserve">. One of the proposed </w:t>
      </w:r>
      <w:r w:rsidRPr="0014270C">
        <w:rPr>
          <w:rFonts w:ascii="Bookman Old Style" w:hAnsi="Bookman Old Style"/>
          <w:sz w:val="24"/>
          <w:szCs w:val="24"/>
        </w:rPr>
        <w:t>actions</w:t>
      </w:r>
      <w:r w:rsidR="001905D4" w:rsidRPr="0014270C">
        <w:rPr>
          <w:rFonts w:ascii="Bookman Old Style" w:hAnsi="Bookman Old Style"/>
          <w:sz w:val="24"/>
          <w:szCs w:val="24"/>
        </w:rPr>
        <w:t xml:space="preserve"> is the creation of Opportunity Zones that specifically benefit people in lower-income areas through tax breaks for businesses in order to boost economic gains. This provision of funds is specifically intended for projects that address housing needs, economic revitalization, and development of infrastructure.</w:t>
      </w:r>
      <w:r w:rsidR="00EE2EEA">
        <w:rPr>
          <w:rStyle w:val="FootnoteReference"/>
          <w:rFonts w:ascii="Bookman Old Style" w:hAnsi="Bookman Old Style"/>
          <w:sz w:val="24"/>
          <w:szCs w:val="24"/>
        </w:rPr>
        <w:footnoteReference w:id="275"/>
      </w:r>
      <w:r w:rsidR="001905D4" w:rsidRPr="0014270C">
        <w:rPr>
          <w:rFonts w:ascii="Bookman Old Style" w:hAnsi="Bookman Old Style"/>
          <w:sz w:val="24"/>
          <w:szCs w:val="24"/>
        </w:rPr>
        <w:t xml:space="preserve"> Using this type of plan along with promotion of the </w:t>
      </w:r>
      <w:r w:rsidR="00EE2EEA">
        <w:rPr>
          <w:rFonts w:ascii="Bookman Old Style" w:hAnsi="Bookman Old Style"/>
          <w:sz w:val="24"/>
          <w:szCs w:val="24"/>
        </w:rPr>
        <w:t>Tiny House Movement</w:t>
      </w:r>
      <w:r w:rsidR="001905D4" w:rsidRPr="0014270C">
        <w:rPr>
          <w:rFonts w:ascii="Bookman Old Style" w:hAnsi="Bookman Old Style"/>
          <w:sz w:val="24"/>
          <w:szCs w:val="24"/>
        </w:rPr>
        <w:t xml:space="preserve"> could help to provide areas that have been devastated, and are rebuilding, to begin setting the pieces in place to offer tiny homes as a solution for housing after a hurricane.        </w:t>
      </w:r>
    </w:p>
    <w:p w14:paraId="685CDA14" w14:textId="142ABF81" w:rsidR="00B13208" w:rsidRPr="0014270C" w:rsidRDefault="00D34384" w:rsidP="00EE2EEA">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By incentivizing the </w:t>
      </w:r>
      <w:r w:rsidR="00EE2EEA">
        <w:rPr>
          <w:rFonts w:ascii="Bookman Old Style" w:hAnsi="Bookman Old Style"/>
          <w:sz w:val="24"/>
          <w:szCs w:val="24"/>
        </w:rPr>
        <w:t>Tiny House Movement</w:t>
      </w:r>
      <w:r w:rsidRPr="0014270C">
        <w:rPr>
          <w:rFonts w:ascii="Bookman Old Style" w:hAnsi="Bookman Old Style"/>
          <w:sz w:val="24"/>
          <w:szCs w:val="24"/>
        </w:rPr>
        <w:t xml:space="preserve"> with tax breaks, promotional campaigns, and policy change for zoning laws to better accommodate them in cities, the government can ensure that tiny house builders remain available. Encouraging people to become tiny homeowners by offering subsidized home loans specifically for tiny houses can help to create more demand for builders </w:t>
      </w:r>
      <w:r w:rsidRPr="0014270C">
        <w:rPr>
          <w:rFonts w:ascii="Bookman Old Style" w:hAnsi="Bookman Old Style"/>
          <w:sz w:val="24"/>
          <w:szCs w:val="24"/>
        </w:rPr>
        <w:lastRenderedPageBreak/>
        <w:t xml:space="preserve">and facilities that are able to </w:t>
      </w:r>
      <w:r w:rsidR="00FB7837" w:rsidRPr="0014270C">
        <w:rPr>
          <w:rFonts w:ascii="Bookman Old Style" w:hAnsi="Bookman Old Style"/>
          <w:sz w:val="24"/>
          <w:szCs w:val="24"/>
        </w:rPr>
        <w:t xml:space="preserve">make </w:t>
      </w:r>
      <w:r w:rsidRPr="0014270C">
        <w:rPr>
          <w:rFonts w:ascii="Bookman Old Style" w:hAnsi="Bookman Old Style"/>
          <w:sz w:val="24"/>
          <w:szCs w:val="24"/>
        </w:rPr>
        <w:t>them. Having tiny house builders located in more areas around the country ensures the ability to provide them when needed. By subsidizing the tiny house industry, allowing the ability to scale up production and create them much more quickly, the government can use their established relationship to allow for production if needed following a storm. This eliminates the scramble to find contractors to design and manufacture trailers. Prefabricated components for tiny houses allow for quicker turnaround time and easier shipment, creating a more efficient method of obtaining and installing the homes. Maintaining relationships with tiny house builders in the affected area creates a link, opening access to the internal bonds and bridged groups of the local community.</w:t>
      </w:r>
      <w:r w:rsidR="00B13208" w:rsidRPr="0014270C">
        <w:rPr>
          <w:rFonts w:ascii="Bookman Old Style" w:hAnsi="Bookman Old Style"/>
          <w:sz w:val="24"/>
          <w:szCs w:val="24"/>
        </w:rPr>
        <w:t xml:space="preserve"> </w:t>
      </w:r>
      <w:r w:rsidR="00FB7837" w:rsidRPr="0014270C">
        <w:rPr>
          <w:rFonts w:ascii="Bookman Old Style" w:hAnsi="Bookman Old Style"/>
          <w:sz w:val="24"/>
          <w:szCs w:val="24"/>
        </w:rPr>
        <w:t xml:space="preserve">This relationship benefits the government by providing a more economical solution to disaster recovery while it helps the community in several ways: providing a new industry, creating jobs and promoting economic development; supporting the environment and human health through well-designed housing; and strengthening and supporting culture </w:t>
      </w:r>
      <w:r w:rsidR="00F32D89" w:rsidRPr="0014270C">
        <w:rPr>
          <w:rFonts w:ascii="Bookman Old Style" w:hAnsi="Bookman Old Style"/>
          <w:sz w:val="24"/>
          <w:szCs w:val="24"/>
        </w:rPr>
        <w:t>with</w:t>
      </w:r>
      <w:r w:rsidR="00FB7837" w:rsidRPr="0014270C">
        <w:rPr>
          <w:rFonts w:ascii="Bookman Old Style" w:hAnsi="Bookman Old Style"/>
          <w:sz w:val="24"/>
          <w:szCs w:val="24"/>
        </w:rPr>
        <w:t xml:space="preserve"> sustainable </w:t>
      </w:r>
      <w:r w:rsidR="00F32D89" w:rsidRPr="0014270C">
        <w:rPr>
          <w:rFonts w:ascii="Bookman Old Style" w:hAnsi="Bookman Old Style"/>
          <w:sz w:val="24"/>
          <w:szCs w:val="24"/>
        </w:rPr>
        <w:t>solutions to the specific needs of the areas involved</w:t>
      </w:r>
      <w:r w:rsidR="00FB7837" w:rsidRPr="0014270C">
        <w:rPr>
          <w:rFonts w:ascii="Bookman Old Style" w:hAnsi="Bookman Old Style"/>
          <w:sz w:val="24"/>
          <w:szCs w:val="24"/>
        </w:rPr>
        <w:t xml:space="preserve">.   </w:t>
      </w:r>
      <w:r w:rsidR="00B13208" w:rsidRPr="0014270C">
        <w:rPr>
          <w:rFonts w:ascii="Bookman Old Style" w:hAnsi="Bookman Old Style"/>
          <w:sz w:val="24"/>
          <w:szCs w:val="24"/>
        </w:rPr>
        <w:t xml:space="preserve"> </w:t>
      </w:r>
    </w:p>
    <w:p w14:paraId="603B982B" w14:textId="74DB79C7" w:rsidR="00B223D7" w:rsidRPr="0014270C" w:rsidRDefault="00B223D7" w:rsidP="00B223D7">
      <w:pPr>
        <w:pStyle w:val="THESISLVL3"/>
      </w:pPr>
      <w:bookmarkStart w:id="99" w:name="_Toc8062327"/>
      <w:r w:rsidRPr="0014270C">
        <w:t>Future Research</w:t>
      </w:r>
      <w:bookmarkEnd w:id="99"/>
    </w:p>
    <w:p w14:paraId="1ECF4570" w14:textId="7A52B57E" w:rsidR="006E5E31" w:rsidRPr="0014270C" w:rsidRDefault="003254F0" w:rsidP="00377C2D">
      <w:pPr>
        <w:spacing w:line="480" w:lineRule="auto"/>
        <w:ind w:firstLine="720"/>
        <w:rPr>
          <w:rFonts w:ascii="Bookman Old Style" w:hAnsi="Bookman Old Style"/>
          <w:sz w:val="24"/>
          <w:szCs w:val="24"/>
        </w:rPr>
      </w:pPr>
      <w:r w:rsidRPr="0014270C">
        <w:rPr>
          <w:rFonts w:ascii="Bookman Old Style" w:hAnsi="Bookman Old Style"/>
          <w:sz w:val="24"/>
          <w:szCs w:val="24"/>
        </w:rPr>
        <w:t xml:space="preserve">Due to the lack of transparency about the emergency housing issued by FEMA, the scope of this research ends with the </w:t>
      </w:r>
      <w:proofErr w:type="spellStart"/>
      <w:r w:rsidRPr="0014270C">
        <w:rPr>
          <w:rFonts w:ascii="Bookman Old Style" w:hAnsi="Bookman Old Style"/>
          <w:sz w:val="24"/>
          <w:szCs w:val="24"/>
        </w:rPr>
        <w:t>Okala</w:t>
      </w:r>
      <w:proofErr w:type="spellEnd"/>
      <w:r w:rsidRPr="0014270C">
        <w:rPr>
          <w:rFonts w:ascii="Bookman Old Style" w:hAnsi="Bookman Old Style"/>
          <w:sz w:val="24"/>
          <w:szCs w:val="24"/>
        </w:rPr>
        <w:t xml:space="preserve"> strategy for developing a conceptual design, as the inventory for a trailer would need to be assumed, thus skewing the data unfairly depending on materials chosen for assessment. Similarly, an LCA for a tiny house would be entirely dependent on a fabricated inventory, as the features and functions incorporated into the design would not </w:t>
      </w:r>
      <w:r w:rsidRPr="0014270C">
        <w:rPr>
          <w:rFonts w:ascii="Bookman Old Style" w:hAnsi="Bookman Old Style"/>
          <w:sz w:val="24"/>
          <w:szCs w:val="24"/>
        </w:rPr>
        <w:lastRenderedPageBreak/>
        <w:t xml:space="preserve">be available until further into the process. The intention of this research is to offer concepts and recommendations for relief housing and because of this, the </w:t>
      </w:r>
      <w:proofErr w:type="spellStart"/>
      <w:r w:rsidRPr="0014270C">
        <w:rPr>
          <w:rFonts w:ascii="Bookman Old Style" w:hAnsi="Bookman Old Style"/>
          <w:sz w:val="24"/>
          <w:szCs w:val="24"/>
        </w:rPr>
        <w:t>Okala</w:t>
      </w:r>
      <w:proofErr w:type="spellEnd"/>
      <w:r w:rsidRPr="0014270C">
        <w:rPr>
          <w:rFonts w:ascii="Bookman Old Style" w:hAnsi="Bookman Old Style"/>
          <w:sz w:val="24"/>
          <w:szCs w:val="24"/>
        </w:rPr>
        <w:t xml:space="preserve"> strategy serves as an appropriate cut-off, offering a more qualitative understanding of what can be done to create a closed-loop system until further, more quantitative measures can be done following the design and construction of a prototype. While the strategies and technologies discussed in this research provide a conceptual understanding of sustainable housing for post-hurricane relief and recovery and implementation for a solution, a</w:t>
      </w:r>
      <w:r w:rsidR="005266AB" w:rsidRPr="0014270C">
        <w:rPr>
          <w:rFonts w:ascii="Bookman Old Style" w:hAnsi="Bookman Old Style"/>
          <w:sz w:val="24"/>
          <w:szCs w:val="24"/>
        </w:rPr>
        <w:t xml:space="preserve">n LCA is an extremely valuable technique when pitching an idea </w:t>
      </w:r>
      <w:r w:rsidRPr="0014270C">
        <w:rPr>
          <w:rFonts w:ascii="Bookman Old Style" w:hAnsi="Bookman Old Style"/>
          <w:sz w:val="24"/>
          <w:szCs w:val="24"/>
        </w:rPr>
        <w:t xml:space="preserve">of this magnitude </w:t>
      </w:r>
      <w:r w:rsidR="005266AB" w:rsidRPr="0014270C">
        <w:rPr>
          <w:rFonts w:ascii="Bookman Old Style" w:hAnsi="Bookman Old Style"/>
          <w:sz w:val="24"/>
          <w:szCs w:val="24"/>
        </w:rPr>
        <w:t xml:space="preserve">because it provides definitive </w:t>
      </w:r>
      <w:r w:rsidR="00C226C4" w:rsidRPr="0014270C">
        <w:rPr>
          <w:rFonts w:ascii="Bookman Old Style" w:hAnsi="Bookman Old Style"/>
          <w:sz w:val="24"/>
          <w:szCs w:val="24"/>
        </w:rPr>
        <w:t>results showing</w:t>
      </w:r>
      <w:r w:rsidR="005266AB" w:rsidRPr="0014270C">
        <w:rPr>
          <w:rFonts w:ascii="Bookman Old Style" w:hAnsi="Bookman Old Style"/>
          <w:sz w:val="24"/>
          <w:szCs w:val="24"/>
        </w:rPr>
        <w:t xml:space="preserve"> the impacts to human health and the environment. A sensitivity analysis following an LCA would be effective in determining the impact of different </w:t>
      </w:r>
      <w:r w:rsidR="00C226C4" w:rsidRPr="0014270C">
        <w:rPr>
          <w:rFonts w:ascii="Bookman Old Style" w:hAnsi="Bookman Old Style"/>
          <w:sz w:val="24"/>
          <w:szCs w:val="24"/>
        </w:rPr>
        <w:t>components of the system</w:t>
      </w:r>
      <w:r w:rsidR="005266AB" w:rsidRPr="0014270C">
        <w:rPr>
          <w:rFonts w:ascii="Bookman Old Style" w:hAnsi="Bookman Old Style"/>
          <w:sz w:val="24"/>
          <w:szCs w:val="24"/>
        </w:rPr>
        <w:t>. Distinguishing factors that contribute to the sustainability of a system from factors that have little effect can help to pinpoint areas that would create the most meaningful change. From the results of a sensitivity analysis, policy makers could gain a better understanding of how decisions can influence their budget, the environment, and the people affected.</w:t>
      </w:r>
      <w:r w:rsidR="006B3D3F" w:rsidRPr="0014270C">
        <w:rPr>
          <w:rFonts w:ascii="Bookman Old Style" w:hAnsi="Bookman Old Style"/>
          <w:sz w:val="24"/>
          <w:szCs w:val="24"/>
        </w:rPr>
        <w:t xml:space="preserve"> </w:t>
      </w:r>
      <w:r w:rsidR="00F32D89" w:rsidRPr="0014270C">
        <w:rPr>
          <w:rFonts w:ascii="Bookman Old Style" w:hAnsi="Bookman Old Style"/>
          <w:sz w:val="24"/>
          <w:szCs w:val="24"/>
        </w:rPr>
        <w:t xml:space="preserve">Surveying policy makers could be an effective next step for gaining understanding of what would need to </w:t>
      </w:r>
      <w:proofErr w:type="gramStart"/>
      <w:r w:rsidR="00F32D89" w:rsidRPr="0014270C">
        <w:rPr>
          <w:rFonts w:ascii="Bookman Old Style" w:hAnsi="Bookman Old Style"/>
          <w:sz w:val="24"/>
          <w:szCs w:val="24"/>
        </w:rPr>
        <w:t>be done</w:t>
      </w:r>
      <w:proofErr w:type="gramEnd"/>
      <w:r w:rsidR="00F32D89" w:rsidRPr="0014270C">
        <w:rPr>
          <w:rFonts w:ascii="Bookman Old Style" w:hAnsi="Bookman Old Style"/>
          <w:sz w:val="24"/>
          <w:szCs w:val="24"/>
        </w:rPr>
        <w:t xml:space="preserve"> to ensure these steps toward implementation of a solution are taken. </w:t>
      </w:r>
      <w:r w:rsidR="00C226C4" w:rsidRPr="0014270C">
        <w:rPr>
          <w:rFonts w:ascii="Bookman Old Style" w:hAnsi="Bookman Old Style"/>
          <w:sz w:val="24"/>
          <w:szCs w:val="24"/>
        </w:rPr>
        <w:t>Knowing</w:t>
      </w:r>
      <w:r w:rsidR="00F32D89" w:rsidRPr="0014270C">
        <w:rPr>
          <w:rFonts w:ascii="Bookman Old Style" w:hAnsi="Bookman Old Style"/>
          <w:sz w:val="24"/>
          <w:szCs w:val="24"/>
        </w:rPr>
        <w:t xml:space="preserve"> what factors contribute to success within a policy window could assist the integrated project team </w:t>
      </w:r>
      <w:r w:rsidR="00C226C4" w:rsidRPr="0014270C">
        <w:rPr>
          <w:rFonts w:ascii="Bookman Old Style" w:hAnsi="Bookman Old Style"/>
          <w:sz w:val="24"/>
          <w:szCs w:val="24"/>
        </w:rPr>
        <w:t xml:space="preserve">in </w:t>
      </w:r>
      <w:r w:rsidR="00F32D89" w:rsidRPr="0014270C">
        <w:rPr>
          <w:rFonts w:ascii="Bookman Old Style" w:hAnsi="Bookman Old Style"/>
          <w:sz w:val="24"/>
          <w:szCs w:val="24"/>
        </w:rPr>
        <w:t>determin</w:t>
      </w:r>
      <w:r w:rsidR="00C226C4" w:rsidRPr="0014270C">
        <w:rPr>
          <w:rFonts w:ascii="Bookman Old Style" w:hAnsi="Bookman Old Style"/>
          <w:sz w:val="24"/>
          <w:szCs w:val="24"/>
        </w:rPr>
        <w:t>ing</w:t>
      </w:r>
      <w:r w:rsidR="00F32D89" w:rsidRPr="0014270C">
        <w:rPr>
          <w:rFonts w:ascii="Bookman Old Style" w:hAnsi="Bookman Old Style"/>
          <w:sz w:val="24"/>
          <w:szCs w:val="24"/>
        </w:rPr>
        <w:t xml:space="preserve"> what factors would influence a decision. In addition to surveying </w:t>
      </w:r>
      <w:proofErr w:type="gramStart"/>
      <w:r w:rsidR="00F32D89" w:rsidRPr="0014270C">
        <w:rPr>
          <w:rFonts w:ascii="Bookman Old Style" w:hAnsi="Bookman Old Style"/>
          <w:sz w:val="24"/>
          <w:szCs w:val="24"/>
        </w:rPr>
        <w:t>policy-makers</w:t>
      </w:r>
      <w:proofErr w:type="gramEnd"/>
      <w:r w:rsidR="00F32D89" w:rsidRPr="0014270C">
        <w:rPr>
          <w:rFonts w:ascii="Bookman Old Style" w:hAnsi="Bookman Old Style"/>
          <w:sz w:val="24"/>
          <w:szCs w:val="24"/>
        </w:rPr>
        <w:t xml:space="preserve">, a scenario analysis could be used to </w:t>
      </w:r>
      <w:r w:rsidR="00F32D89" w:rsidRPr="0014270C">
        <w:rPr>
          <w:rFonts w:ascii="Bookman Old Style" w:hAnsi="Bookman Old Style"/>
          <w:sz w:val="24"/>
          <w:szCs w:val="24"/>
        </w:rPr>
        <w:lastRenderedPageBreak/>
        <w:t xml:space="preserve">determine what potential outcomes </w:t>
      </w:r>
      <w:r w:rsidR="00C226C4" w:rsidRPr="0014270C">
        <w:rPr>
          <w:rFonts w:ascii="Bookman Old Style" w:hAnsi="Bookman Old Style"/>
          <w:sz w:val="24"/>
          <w:szCs w:val="24"/>
        </w:rPr>
        <w:t xml:space="preserve">are possible with the implementation of these recommendations. </w:t>
      </w:r>
    </w:p>
    <w:p w14:paraId="19106243" w14:textId="77777777" w:rsidR="00834743" w:rsidRPr="0014270C" w:rsidRDefault="00834743" w:rsidP="00B93546">
      <w:pPr>
        <w:pStyle w:val="THESISLVL3"/>
      </w:pPr>
      <w:bookmarkStart w:id="100" w:name="_Toc8062328"/>
      <w:r w:rsidRPr="0014270C">
        <w:t>Conclusion</w:t>
      </w:r>
      <w:bookmarkEnd w:id="100"/>
    </w:p>
    <w:p w14:paraId="3343F666" w14:textId="77777777" w:rsidR="00392A0E" w:rsidRPr="00392A0E" w:rsidRDefault="00392A0E" w:rsidP="00392A0E">
      <w:pPr>
        <w:spacing w:line="480" w:lineRule="auto"/>
        <w:ind w:firstLine="720"/>
        <w:rPr>
          <w:rFonts w:ascii="Bookman Old Style" w:hAnsi="Bookman Old Style"/>
          <w:sz w:val="24"/>
          <w:szCs w:val="24"/>
        </w:rPr>
      </w:pPr>
      <w:r w:rsidRPr="00392A0E">
        <w:rPr>
          <w:rFonts w:ascii="Bookman Old Style" w:hAnsi="Bookman Old Style"/>
          <w:sz w:val="24"/>
          <w:szCs w:val="24"/>
        </w:rPr>
        <w:t xml:space="preserve">The intention of this research was to discover if there is a more sustainable solution for disaster relief housing than the trailers that have been used in the past and if there is, what can be done to “close the gap” between the provision of disaster relief housing and the implementation of an effective solution for long-term recovery. The first question focuses on planning, design, and collaboration, using decision making tools and strategies such as the </w:t>
      </w:r>
      <w:proofErr w:type="spellStart"/>
      <w:r w:rsidRPr="00392A0E">
        <w:rPr>
          <w:rFonts w:ascii="Bookman Old Style" w:hAnsi="Bookman Old Style"/>
          <w:sz w:val="24"/>
          <w:szCs w:val="24"/>
        </w:rPr>
        <w:t>Okala</w:t>
      </w:r>
      <w:proofErr w:type="spellEnd"/>
      <w:r w:rsidRPr="00392A0E">
        <w:rPr>
          <w:rFonts w:ascii="Bookman Old Style" w:hAnsi="Bookman Old Style"/>
          <w:sz w:val="24"/>
          <w:szCs w:val="24"/>
        </w:rPr>
        <w:t xml:space="preserve"> Eco-design Strategy Wheel and the Integrated Design Approach. Using the Integrated Design Process, a team of people with various backgrounds and experience can pool their knowledge to establish goals in the early stages of design, working to solve problems before they become problems. The </w:t>
      </w:r>
      <w:proofErr w:type="spellStart"/>
      <w:r w:rsidRPr="00392A0E">
        <w:rPr>
          <w:rFonts w:ascii="Bookman Old Style" w:hAnsi="Bookman Old Style"/>
          <w:sz w:val="24"/>
          <w:szCs w:val="24"/>
        </w:rPr>
        <w:t>Okala</w:t>
      </w:r>
      <w:proofErr w:type="spellEnd"/>
      <w:r w:rsidRPr="00392A0E">
        <w:rPr>
          <w:rFonts w:ascii="Bookman Old Style" w:hAnsi="Bookman Old Style"/>
          <w:sz w:val="24"/>
          <w:szCs w:val="24"/>
        </w:rPr>
        <w:t xml:space="preserve"> Eco-Design Strategy can help the design team to identify areas of waste and seek to create a closed loop where all elements of the design can be repurposed, recycled, or disposed of with as little impact to the environment or human health as possible. </w:t>
      </w:r>
    </w:p>
    <w:p w14:paraId="515067A4" w14:textId="32B85640" w:rsidR="00392A0E" w:rsidRPr="00392A0E" w:rsidRDefault="00392A0E" w:rsidP="00392A0E">
      <w:pPr>
        <w:spacing w:line="480" w:lineRule="auto"/>
        <w:ind w:firstLine="720"/>
        <w:rPr>
          <w:rFonts w:ascii="Bookman Old Style" w:hAnsi="Bookman Old Style"/>
          <w:sz w:val="24"/>
          <w:szCs w:val="24"/>
        </w:rPr>
      </w:pPr>
      <w:r w:rsidRPr="00392A0E">
        <w:rPr>
          <w:rFonts w:ascii="Bookman Old Style" w:hAnsi="Bookman Old Style"/>
          <w:sz w:val="24"/>
          <w:szCs w:val="24"/>
        </w:rPr>
        <w:t xml:space="preserve">Establishing these intentions allowed for purposeful research to </w:t>
      </w:r>
      <w:proofErr w:type="gramStart"/>
      <w:r w:rsidRPr="00392A0E">
        <w:rPr>
          <w:rFonts w:ascii="Bookman Old Style" w:hAnsi="Bookman Old Style"/>
          <w:sz w:val="24"/>
          <w:szCs w:val="24"/>
        </w:rPr>
        <w:t>be done</w:t>
      </w:r>
      <w:proofErr w:type="gramEnd"/>
      <w:r w:rsidRPr="00392A0E">
        <w:rPr>
          <w:rFonts w:ascii="Bookman Old Style" w:hAnsi="Bookman Old Style"/>
          <w:sz w:val="24"/>
          <w:szCs w:val="24"/>
        </w:rPr>
        <w:t xml:space="preserve"> regarding housing size, energy efficiency, off-grid technologies, thermal regulation, and the health implications of using certain materials. The literature shows that smaller homes outperform larger homes in efficiency, regardless of energy standards, and that an overall reduction in environmental impact can </w:t>
      </w:r>
      <w:proofErr w:type="gramStart"/>
      <w:r w:rsidRPr="00392A0E">
        <w:rPr>
          <w:rFonts w:ascii="Bookman Old Style" w:hAnsi="Bookman Old Style"/>
          <w:sz w:val="24"/>
          <w:szCs w:val="24"/>
        </w:rPr>
        <w:t>be had</w:t>
      </w:r>
      <w:proofErr w:type="gramEnd"/>
      <w:r w:rsidRPr="00392A0E">
        <w:rPr>
          <w:rFonts w:ascii="Bookman Old Style" w:hAnsi="Bookman Old Style"/>
          <w:sz w:val="24"/>
          <w:szCs w:val="24"/>
        </w:rPr>
        <w:t xml:space="preserve"> by reducing housing size. Further, by using off-grid </w:t>
      </w:r>
      <w:r w:rsidRPr="00392A0E">
        <w:rPr>
          <w:rFonts w:ascii="Bookman Old Style" w:hAnsi="Bookman Old Style"/>
          <w:sz w:val="24"/>
          <w:szCs w:val="24"/>
        </w:rPr>
        <w:lastRenderedPageBreak/>
        <w:t xml:space="preserve">technologies that are not dependent on the regular use of fossil sources, a house can offer net-zero carbon emissions, saving an estimated US$364 million and 457.35 million </w:t>
      </w:r>
      <w:proofErr w:type="spellStart"/>
      <w:r w:rsidRPr="00392A0E">
        <w:rPr>
          <w:rFonts w:ascii="Bookman Old Style" w:hAnsi="Bookman Old Style"/>
          <w:sz w:val="24"/>
          <w:szCs w:val="24"/>
        </w:rPr>
        <w:t>lbs</w:t>
      </w:r>
      <w:proofErr w:type="spellEnd"/>
      <w:r w:rsidRPr="00392A0E">
        <w:rPr>
          <w:rFonts w:ascii="Bookman Old Style" w:hAnsi="Bookman Old Style"/>
          <w:sz w:val="24"/>
          <w:szCs w:val="24"/>
        </w:rPr>
        <w:t xml:space="preserve"> (207,450.47 metric tons) of </w:t>
      </w:r>
      <w:r w:rsidR="00902A42" w:rsidRPr="00902A42">
        <w:rPr>
          <w:rFonts w:ascii="Bookman Old Style" w:hAnsi="Bookman Old Style"/>
          <w:bCs/>
          <w:sz w:val="24"/>
          <w:szCs w:val="24"/>
        </w:rPr>
        <w:t>CO</w:t>
      </w:r>
      <w:r w:rsidR="00902A42" w:rsidRPr="00902A42">
        <w:rPr>
          <w:rFonts w:ascii="Bookman Old Style" w:hAnsi="Bookman Old Style"/>
          <w:bCs/>
          <w:sz w:val="24"/>
          <w:szCs w:val="24"/>
          <w:vertAlign w:val="subscript"/>
        </w:rPr>
        <w:t>2</w:t>
      </w:r>
      <w:r w:rsidRPr="00392A0E">
        <w:rPr>
          <w:rFonts w:ascii="Bookman Old Style" w:hAnsi="Bookman Old Style"/>
          <w:sz w:val="24"/>
          <w:szCs w:val="24"/>
        </w:rPr>
        <w:t xml:space="preserve"> in the first year of active use compared to the estimated costs of 150,000 FEMA trailers. Using high quality materials with natural adhesives in addition to producing intelligently designed prefabricated components could allow for proper ventilation and air flow, contributing to safer units that do not present a risk to the health of inhabitants. </w:t>
      </w:r>
    </w:p>
    <w:p w14:paraId="14A4EE73" w14:textId="77777777" w:rsidR="00392A0E" w:rsidRPr="00392A0E" w:rsidRDefault="00392A0E" w:rsidP="00392A0E">
      <w:pPr>
        <w:spacing w:line="480" w:lineRule="auto"/>
        <w:ind w:firstLine="720"/>
        <w:rPr>
          <w:rFonts w:ascii="Bookman Old Style" w:hAnsi="Bookman Old Style"/>
          <w:sz w:val="24"/>
          <w:szCs w:val="24"/>
        </w:rPr>
      </w:pPr>
      <w:r w:rsidRPr="00392A0E">
        <w:rPr>
          <w:rFonts w:ascii="Bookman Old Style" w:hAnsi="Bookman Old Style"/>
          <w:sz w:val="24"/>
          <w:szCs w:val="24"/>
        </w:rPr>
        <w:t xml:space="preserve">To establish a plan for the implementation of off-grid tiny homes for relief housing, literature </w:t>
      </w:r>
      <w:proofErr w:type="gramStart"/>
      <w:r w:rsidRPr="00392A0E">
        <w:rPr>
          <w:rFonts w:ascii="Bookman Old Style" w:hAnsi="Bookman Old Style"/>
          <w:sz w:val="24"/>
          <w:szCs w:val="24"/>
        </w:rPr>
        <w:t>was reviewed</w:t>
      </w:r>
      <w:proofErr w:type="gramEnd"/>
      <w:r w:rsidRPr="00392A0E">
        <w:rPr>
          <w:rFonts w:ascii="Bookman Old Style" w:hAnsi="Bookman Old Style"/>
          <w:sz w:val="24"/>
          <w:szCs w:val="24"/>
        </w:rPr>
        <w:t xml:space="preserve"> regarding the importance of social capital for successful recovery and reintegration into society. The research shows evidence supporting that communities with strong social capital and trust in leadership experience more successful disaster recovery, regardless of income. In areas without established networking, social capital can </w:t>
      </w:r>
      <w:proofErr w:type="gramStart"/>
      <w:r w:rsidRPr="00392A0E">
        <w:rPr>
          <w:rFonts w:ascii="Bookman Old Style" w:hAnsi="Bookman Old Style"/>
          <w:sz w:val="24"/>
          <w:szCs w:val="24"/>
        </w:rPr>
        <w:t>be built</w:t>
      </w:r>
      <w:proofErr w:type="gramEnd"/>
      <w:r w:rsidRPr="00392A0E">
        <w:rPr>
          <w:rFonts w:ascii="Bookman Old Style" w:hAnsi="Bookman Old Style"/>
          <w:sz w:val="24"/>
          <w:szCs w:val="24"/>
        </w:rPr>
        <w:t xml:space="preserve"> by discovering commonalities among small groups. By promoting benefits to smaller groups, a community mindset can </w:t>
      </w:r>
      <w:proofErr w:type="gramStart"/>
      <w:r w:rsidRPr="00392A0E">
        <w:rPr>
          <w:rFonts w:ascii="Bookman Old Style" w:hAnsi="Bookman Old Style"/>
          <w:sz w:val="24"/>
          <w:szCs w:val="24"/>
        </w:rPr>
        <w:t>be formed</w:t>
      </w:r>
      <w:proofErr w:type="gramEnd"/>
      <w:r w:rsidRPr="00392A0E">
        <w:rPr>
          <w:rFonts w:ascii="Bookman Old Style" w:hAnsi="Bookman Old Style"/>
          <w:sz w:val="24"/>
          <w:szCs w:val="24"/>
        </w:rPr>
        <w:t xml:space="preserve"> which can help in actively setting goals and determining needs. Social bridging between a community and organizations outside of the community has shown to be effective in keeping communities safe by preventing negative usage of social bonding capital. Opportunity Zones, such as those proposed in Puerto Rico, could </w:t>
      </w:r>
      <w:proofErr w:type="gramStart"/>
      <w:r w:rsidRPr="00392A0E">
        <w:rPr>
          <w:rFonts w:ascii="Bookman Old Style" w:hAnsi="Bookman Old Style"/>
          <w:sz w:val="24"/>
          <w:szCs w:val="24"/>
        </w:rPr>
        <w:t>be used</w:t>
      </w:r>
      <w:proofErr w:type="gramEnd"/>
      <w:r w:rsidRPr="00392A0E">
        <w:rPr>
          <w:rFonts w:ascii="Bookman Old Style" w:hAnsi="Bookman Old Style"/>
          <w:sz w:val="24"/>
          <w:szCs w:val="24"/>
        </w:rPr>
        <w:t xml:space="preserve"> along with government home loan subsidies and tax incentives to promote the growth of the Tiny House Movement. By supporting this industry and maintaining relationships </w:t>
      </w:r>
      <w:r w:rsidRPr="00392A0E">
        <w:rPr>
          <w:rFonts w:ascii="Bookman Old Style" w:hAnsi="Bookman Old Style"/>
          <w:sz w:val="24"/>
          <w:szCs w:val="24"/>
        </w:rPr>
        <w:lastRenderedPageBreak/>
        <w:t xml:space="preserve">with manufacturers, a plan for scaling up production in time of need can </w:t>
      </w:r>
      <w:proofErr w:type="gramStart"/>
      <w:r w:rsidRPr="00392A0E">
        <w:rPr>
          <w:rFonts w:ascii="Bookman Old Style" w:hAnsi="Bookman Old Style"/>
          <w:sz w:val="24"/>
          <w:szCs w:val="24"/>
        </w:rPr>
        <w:t>be carried</w:t>
      </w:r>
      <w:proofErr w:type="gramEnd"/>
      <w:r w:rsidRPr="00392A0E">
        <w:rPr>
          <w:rFonts w:ascii="Bookman Old Style" w:hAnsi="Bookman Old Style"/>
          <w:sz w:val="24"/>
          <w:szCs w:val="24"/>
        </w:rPr>
        <w:t xml:space="preserve"> out. </w:t>
      </w:r>
    </w:p>
    <w:p w14:paraId="2F806219" w14:textId="165C6C86" w:rsidR="007B211E" w:rsidRPr="0014270C" w:rsidRDefault="00392A0E" w:rsidP="00392A0E">
      <w:pPr>
        <w:spacing w:line="480" w:lineRule="auto"/>
        <w:ind w:firstLine="720"/>
        <w:rPr>
          <w:rFonts w:ascii="Bookman Old Style" w:hAnsi="Bookman Old Style"/>
          <w:sz w:val="24"/>
          <w:szCs w:val="24"/>
        </w:rPr>
      </w:pPr>
      <w:r w:rsidRPr="00392A0E">
        <w:rPr>
          <w:rFonts w:ascii="Bookman Old Style" w:hAnsi="Bookman Old Style"/>
          <w:sz w:val="24"/>
          <w:szCs w:val="24"/>
        </w:rPr>
        <w:t xml:space="preserve">Thoreau’s time in the woods may offer a valuable foundation upon which the government can build a plan for relief housing. The concept of “alternative economics” is something to </w:t>
      </w:r>
      <w:proofErr w:type="gramStart"/>
      <w:r w:rsidRPr="00392A0E">
        <w:rPr>
          <w:rFonts w:ascii="Bookman Old Style" w:hAnsi="Bookman Old Style"/>
          <w:sz w:val="24"/>
          <w:szCs w:val="24"/>
        </w:rPr>
        <w:t>be considered</w:t>
      </w:r>
      <w:proofErr w:type="gramEnd"/>
      <w:r w:rsidRPr="00392A0E">
        <w:rPr>
          <w:rFonts w:ascii="Bookman Old Style" w:hAnsi="Bookman Old Style"/>
          <w:sz w:val="24"/>
          <w:szCs w:val="24"/>
        </w:rPr>
        <w:t xml:space="preserve"> when planning for long-term disaster recovery. Were smaller, more economical and efficient houses used in lieu of the more expensive trailers of the past, the savings could </w:t>
      </w:r>
      <w:proofErr w:type="gramStart"/>
      <w:r w:rsidRPr="00392A0E">
        <w:rPr>
          <w:rFonts w:ascii="Bookman Old Style" w:hAnsi="Bookman Old Style"/>
          <w:sz w:val="24"/>
          <w:szCs w:val="24"/>
        </w:rPr>
        <w:t>be allocated</w:t>
      </w:r>
      <w:proofErr w:type="gramEnd"/>
      <w:r w:rsidRPr="00392A0E">
        <w:rPr>
          <w:rFonts w:ascii="Bookman Old Style" w:hAnsi="Bookman Old Style"/>
          <w:sz w:val="24"/>
          <w:szCs w:val="24"/>
        </w:rPr>
        <w:t xml:space="preserve"> elsewhere, such as education and services to help people reintegrate back into society. Based on the estimated calculations and the literature reviewed, which have provided evidence of economic, environmental, social, and cultural benefits, it can </w:t>
      </w:r>
      <w:proofErr w:type="gramStart"/>
      <w:r w:rsidRPr="00392A0E">
        <w:rPr>
          <w:rFonts w:ascii="Bookman Old Style" w:hAnsi="Bookman Old Style"/>
          <w:sz w:val="24"/>
          <w:szCs w:val="24"/>
        </w:rPr>
        <w:t>be concluded</w:t>
      </w:r>
      <w:proofErr w:type="gramEnd"/>
      <w:r w:rsidRPr="00392A0E">
        <w:rPr>
          <w:rFonts w:ascii="Bookman Old Style" w:hAnsi="Bookman Old Style"/>
          <w:sz w:val="24"/>
          <w:szCs w:val="24"/>
        </w:rPr>
        <w:t xml:space="preserve"> that there is a more sustainable solution for disaster relief housing than the trailers that have been used in the past. Further, this research suggests that there is a direct relationship between establishing social capital and the ability to “close the gap” between the provision of housing and the implementation of a solution for effective hurricane recovery.</w:t>
      </w:r>
      <w:r w:rsidR="007B211E" w:rsidRPr="0014270C">
        <w:rPr>
          <w:rFonts w:ascii="Bookman Old Style" w:hAnsi="Bookman Old Style"/>
          <w:sz w:val="24"/>
          <w:szCs w:val="24"/>
        </w:rPr>
        <w:br w:type="page"/>
      </w:r>
    </w:p>
    <w:p w14:paraId="0F5414FE" w14:textId="5D112C12" w:rsidR="00F5732F" w:rsidRPr="0014270C" w:rsidRDefault="009D145F" w:rsidP="00B93546">
      <w:pPr>
        <w:pStyle w:val="THESISLVL2"/>
      </w:pPr>
      <w:bookmarkStart w:id="101" w:name="_Toc8062329"/>
      <w:r w:rsidRPr="0014270C">
        <w:lastRenderedPageBreak/>
        <w:t>Bibliography</w:t>
      </w:r>
      <w:bookmarkEnd w:id="101"/>
    </w:p>
    <w:p w14:paraId="067CC9F4" w14:textId="2E597BC5" w:rsidR="008F4B6E" w:rsidRPr="008F4B6E" w:rsidRDefault="000C0454"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14270C">
        <w:rPr>
          <w:rFonts w:ascii="Bookman Old Style" w:hAnsi="Bookman Old Style"/>
          <w:b/>
          <w:bCs/>
          <w:sz w:val="24"/>
          <w:szCs w:val="24"/>
        </w:rPr>
        <w:fldChar w:fldCharType="begin" w:fldLock="1"/>
      </w:r>
      <w:r w:rsidRPr="0014270C">
        <w:rPr>
          <w:rFonts w:ascii="Bookman Old Style" w:hAnsi="Bookman Old Style"/>
          <w:b/>
          <w:bCs/>
          <w:sz w:val="24"/>
          <w:szCs w:val="24"/>
        </w:rPr>
        <w:instrText xml:space="preserve">ADDIN Mendeley Bibliography CSL_BIBLIOGRAPHY </w:instrText>
      </w:r>
      <w:r w:rsidRPr="0014270C">
        <w:rPr>
          <w:rFonts w:ascii="Bookman Old Style" w:hAnsi="Bookman Old Style"/>
          <w:b/>
          <w:bCs/>
          <w:sz w:val="24"/>
          <w:szCs w:val="24"/>
        </w:rPr>
        <w:fldChar w:fldCharType="separate"/>
      </w:r>
      <w:r w:rsidR="008F4B6E" w:rsidRPr="008F4B6E">
        <w:rPr>
          <w:rFonts w:ascii="Bookman Old Style" w:hAnsi="Bookman Old Style" w:cs="Times New Roman"/>
          <w:noProof/>
          <w:sz w:val="24"/>
          <w:szCs w:val="24"/>
        </w:rPr>
        <w:t>“About.” lowernine.org. Accessed April 11, 2019. https://lowernine.org/about/.</w:t>
      </w:r>
    </w:p>
    <w:p w14:paraId="7C5C440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Adger, W Neil, Terence Patrick Hughes, Carl Folke, Stephen R Carpenter, and Johan Rockström. “Social-Ecological Resilience to Coastal Disasters.” </w:t>
      </w:r>
      <w:r w:rsidRPr="008F4B6E">
        <w:rPr>
          <w:rFonts w:ascii="Bookman Old Style" w:hAnsi="Bookman Old Style" w:cs="Times New Roman"/>
          <w:i/>
          <w:iCs/>
          <w:noProof/>
          <w:sz w:val="24"/>
          <w:szCs w:val="24"/>
        </w:rPr>
        <w:t>Science</w:t>
      </w:r>
      <w:r w:rsidRPr="008F4B6E">
        <w:rPr>
          <w:rFonts w:ascii="Bookman Old Style" w:hAnsi="Bookman Old Style" w:cs="Times New Roman"/>
          <w:noProof/>
          <w:sz w:val="24"/>
          <w:szCs w:val="24"/>
        </w:rPr>
        <w:t xml:space="preserve"> 309 (2005): 1036–39. https://doi.org/10.1126/science.1112122.</w:t>
      </w:r>
    </w:p>
    <w:p w14:paraId="7AAA5E5C"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Aldrich, Daniel P, and Michelle A Meyer. “Social Capital and Community Resilience.” </w:t>
      </w:r>
      <w:r w:rsidRPr="008F4B6E">
        <w:rPr>
          <w:rFonts w:ascii="Bookman Old Style" w:hAnsi="Bookman Old Style" w:cs="Times New Roman"/>
          <w:i/>
          <w:iCs/>
          <w:noProof/>
          <w:sz w:val="24"/>
          <w:szCs w:val="24"/>
        </w:rPr>
        <w:t>American Behavioral Scientist</w:t>
      </w:r>
      <w:r w:rsidRPr="008F4B6E">
        <w:rPr>
          <w:rFonts w:ascii="Bookman Old Style" w:hAnsi="Bookman Old Style" w:cs="Times New Roman"/>
          <w:noProof/>
          <w:sz w:val="24"/>
          <w:szCs w:val="24"/>
        </w:rPr>
        <w:t xml:space="preserve"> 59, no. 2 (2015): 254–69. https://doi.org/10.1177/0002764214550299.</w:t>
      </w:r>
    </w:p>
    <w:p w14:paraId="74F2FB0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Alex. “27-Foot Modern Tiny House with Dual Lofts for $22k.” Tiny House Talk, 2018. https://tinyhousetalk.com/27-foot-modern-tiny-house-with-dual-lofts-for-22k/.</w:t>
      </w:r>
    </w:p>
    <w:p w14:paraId="28948B37"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Alexander, Samuel. “Just Enough Is Plenty: Thoreau’s Alternative Economics.” The Simplicity Collective, 2011. www.SimplicityCollective.com.</w:t>
      </w:r>
    </w:p>
    <w:p w14:paraId="65AD90D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Anderson, Tessa. “So What Exactly Does It Take To Install A FEMA Trailer?” CH2MHill, 2006. https://www.jumpjet.info/Emergency-Preparedness/Neighborly-Response/Outside/So_What_Exactly_Does_It_Take_To_Install_A_FEMA_Trailer.pdf.</w:t>
      </w:r>
    </w:p>
    <w:p w14:paraId="4E99D24E"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Arnold, Robert. “FEMA Trailer Frustrations Linger Four Months after Harvey.” Click2Houston.com, 2018. https://www.click2houston.com/news/fema-trailer-frustrations-linger-four-months-after-harvey.</w:t>
      </w:r>
    </w:p>
    <w:p w14:paraId="7E25EA80"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Atkins, Katie. “14 FEMA Trailers in Keys Have AC Running but Remain </w:t>
      </w:r>
      <w:r w:rsidRPr="008F4B6E">
        <w:rPr>
          <w:rFonts w:ascii="Bookman Old Style" w:hAnsi="Bookman Old Style" w:cs="Times New Roman"/>
          <w:noProof/>
          <w:sz w:val="24"/>
          <w:szCs w:val="24"/>
        </w:rPr>
        <w:lastRenderedPageBreak/>
        <w:t>Empty.” Miami Herald, 2018. https://www.miamiherald.com/news/local/community/florida-keys/article197563464.html.</w:t>
      </w:r>
    </w:p>
    <w:p w14:paraId="0FA22D7C"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Australian Government Department of Health. “Formaldehyde in Pressed Wood Products,” 2016. https://www.nicnas.gov.au/chemical-information/factsheets/chemical-name/formaldehyde-in-pressed-wood-products.</w:t>
      </w:r>
    </w:p>
    <w:p w14:paraId="5BB7A09F"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“Average Weather in New Orleans.” WeatherSpark. Accessed March 6, 2019. https://weatherspark.com/y/11799/Average-Weather-in-New-Orleans-Louisiana-United-States-Year-Round.</w:t>
      </w:r>
    </w:p>
    <w:p w14:paraId="2E99E4E8"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Beaudet, Amy. “Solar Panels for a Tiny House.” altE Store, 2017. https://www.altestore.com/blog/2017/05/solar-panels-tiny-house/#.XA-5iOhKhhE.</w:t>
      </w:r>
    </w:p>
    <w:p w14:paraId="60EF566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Binsacca, Rich. “Case Study: Starting Over in the Lower Ninth Ward.” Architect Magazine, 2011. https://www.architectmagazine.com/technology/case-study-starting-over-in-the-lower-ninth-ward_o.</w:t>
      </w:r>
    </w:p>
    <w:p w14:paraId="58D250C8"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Black, Marilyn. “A Formaldehyde Update.” WHO Children’s Health Committee, 2012. https://ulchemicalsafety.org/wp-content/uploads/2017/06/Doc-1-A-Formaldehyde-Update-Prepared-for-WHO.pdf.</w:t>
      </w:r>
    </w:p>
    <w:p w14:paraId="1771FEAC"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Blake, Eric S, Christopher W Landsea, Nhc Miami, and Ethan J Gibney. “NOAA Technical Memorandum NWS NHC-6 THE DEADLIEST, COSTLIEST, AND MOST INTENSE UNITED STATES TROPICAL CYCLONES FROM 1851 TO 2010 (AND OTHER FREQUENTLY REQUESTED HURRICANE FACTS),” </w:t>
      </w:r>
      <w:r w:rsidRPr="008F4B6E">
        <w:rPr>
          <w:rFonts w:ascii="Bookman Old Style" w:hAnsi="Bookman Old Style" w:cs="Times New Roman"/>
          <w:noProof/>
          <w:sz w:val="24"/>
          <w:szCs w:val="24"/>
        </w:rPr>
        <w:lastRenderedPageBreak/>
        <w:t>2011. https://www.nhc.noaa.gov/pdf/nws-nhc-6.pdf.</w:t>
      </w:r>
    </w:p>
    <w:p w14:paraId="0B43C330"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Bonelli, Sherry. “The Key to LEED Project Success – The Importance of a LEED Integrated Design Approach,” 2012. http://succeedatleed.com/2012/02/the-key-to-leed-project-success-the-importance-of-a-leed-integrated-design-approach/.</w:t>
      </w:r>
    </w:p>
    <w:p w14:paraId="41A3AC7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Braden, Linda. “The Future of Shower Technology.” Angie’s List, 2016. https://www.angieslist.com/articles/future-shower-technology.htm.</w:t>
      </w:r>
    </w:p>
    <w:p w14:paraId="3F1CAC5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Brillon, James. “Cabin by JacobsChang Is Set among Trees in Upstate New York.” Dezeen, 2017. https://www.dezeen.com/2017/07/08/cabin-jacobschang-treehouse-upstate-new-york-architecture-residential-woodland-usa/.</w:t>
      </w:r>
    </w:p>
    <w:p w14:paraId="4A0BA420"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Brisson, Daniel S, and Charles L Usher. “Bonding Social Capital in Low-Income Neighborhoods.” </w:t>
      </w:r>
      <w:r w:rsidRPr="008F4B6E">
        <w:rPr>
          <w:rFonts w:ascii="Bookman Old Style" w:hAnsi="Bookman Old Style" w:cs="Times New Roman"/>
          <w:i/>
          <w:iCs/>
          <w:noProof/>
          <w:sz w:val="24"/>
          <w:szCs w:val="24"/>
        </w:rPr>
        <w:t>Source: Family Relations</w:t>
      </w:r>
      <w:r w:rsidRPr="008F4B6E">
        <w:rPr>
          <w:rFonts w:ascii="Bookman Old Style" w:hAnsi="Bookman Old Style" w:cs="Times New Roman"/>
          <w:noProof/>
          <w:sz w:val="24"/>
          <w:szCs w:val="24"/>
        </w:rPr>
        <w:t>. Vol. 54, 2005. https://www-jstor-org.ezproxy.lib.ou.edu/stable/pdf/40005268.pdf?refreqid=excelsior%3Ac12e1900d0be10ec2f487d174a01a32b.</w:t>
      </w:r>
    </w:p>
    <w:p w14:paraId="3BA42D67"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Brown, Ben. “Katrina Cottage Unveiled: Affordable Cottage a Hit at Builders’ Show.” Mississippi Renewal Forum, 2006. http://mississippirenewal.com/info/dayJan-11-06.html.</w:t>
      </w:r>
    </w:p>
    <w:p w14:paraId="246E90B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“The Katrina Cottage Story: Tiny Cottages Become a Growth Industry.” Mississippi Renewal Forum, 2006. http://mississippirenewal.com/info/dayAug23-06b.html.</w:t>
      </w:r>
    </w:p>
    <w:p w14:paraId="40B2EDE9"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Brown, Joseph D. “A Minimalistic Approach to Adaptive, Emergency Relief </w:t>
      </w:r>
      <w:r w:rsidRPr="008F4B6E">
        <w:rPr>
          <w:rFonts w:ascii="Bookman Old Style" w:hAnsi="Bookman Old Style" w:cs="Times New Roman"/>
          <w:noProof/>
          <w:sz w:val="24"/>
          <w:szCs w:val="24"/>
        </w:rPr>
        <w:lastRenderedPageBreak/>
        <w:t>Structures Embodied by Promoting a Downsized Way of Life.” Auburn University, 2013. https://etd.auburn.edu/bitstream/handle/10415/3705/Joseph D. Brown Final Thesis Document.pdf.</w:t>
      </w:r>
    </w:p>
    <w:p w14:paraId="2B5DE248"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Browne, Katherine E. </w:t>
      </w:r>
      <w:r w:rsidRPr="008F4B6E">
        <w:rPr>
          <w:rFonts w:ascii="Bookman Old Style" w:hAnsi="Bookman Old Style" w:cs="Times New Roman"/>
          <w:i/>
          <w:iCs/>
          <w:noProof/>
          <w:sz w:val="24"/>
          <w:szCs w:val="24"/>
        </w:rPr>
        <w:t>Standing in the Need: Culture, Comfort, and Coming Home After Katrina</w:t>
      </w:r>
      <w:r w:rsidRPr="008F4B6E">
        <w:rPr>
          <w:rFonts w:ascii="Bookman Old Style" w:hAnsi="Bookman Old Style" w:cs="Times New Roman"/>
          <w:noProof/>
          <w:sz w:val="24"/>
          <w:szCs w:val="24"/>
        </w:rPr>
        <w:t>. University of Texas Press, 2015.</w:t>
      </w:r>
    </w:p>
    <w:p w14:paraId="4BBEA77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“Budgeting Resources.” Motivated Montanan. Accessed March 7, 2019. https://motivatedmontanan.weebly.com/budgeting-resources.html.</w:t>
      </w:r>
    </w:p>
    <w:p w14:paraId="6C2A783C"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Bureau of Governmental Research. “The Proposed S&amp;amp;WB Rate Increases in Perspective,” 2012. https://www.bgr.org/wp-content/uploads/2017/07/BGR_SWB-rate-proposal-.pdf.</w:t>
      </w:r>
    </w:p>
    <w:p w14:paraId="34537C00"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C-Span. “Hurricane Katrina Federal Spending,” 2005. https://www.c-span.org/video/?188824-7/hurricane-katrina-federal-spending.</w:t>
      </w:r>
    </w:p>
    <w:p w14:paraId="01C8DC8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Calculator.net. “Roofing Calculator.” Accessed January 27, 2019. https://www.calculator.net/roofing-calculator.html?acarea=250&amp;acareaunit=foot&amp;roofpitch=4&amp;tp=ar&amp;x=42&amp;y=15.</w:t>
      </w:r>
    </w:p>
    <w:p w14:paraId="11C1CAD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Centers for Disease Control. “Formaldehyde Levels in FEMA-Supplied Trailers Preliminary Findings from the Centers for Disease Control and Prevention,” 2008. https://web.archive.org/web/20080611220238/http://www.cdc.gov/nceh/ehhe/trailerstudy/pdfs/SummaryofStudyFindings.pdf.</w:t>
      </w:r>
    </w:p>
    <w:p w14:paraId="528E733E"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 “Social Vulnerability Index.” Agency for Toxic Substances and Disease </w:t>
      </w:r>
      <w:r w:rsidRPr="008F4B6E">
        <w:rPr>
          <w:rFonts w:ascii="Bookman Old Style" w:hAnsi="Bookman Old Style" w:cs="Times New Roman"/>
          <w:noProof/>
          <w:sz w:val="24"/>
          <w:szCs w:val="24"/>
        </w:rPr>
        <w:lastRenderedPageBreak/>
        <w:t>Registry, n.d.</w:t>
      </w:r>
    </w:p>
    <w:p w14:paraId="3DE7EEA9"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Chauhan, Kuldeep. “Berzins Family’s 168 Sq Ft DIY Tiny House Costs Just $12,000.” Home Harmonizing. Accessed March 11, 2019. http://homeharmonizing.com/berzins-familys-heroic-reaction-to-2008s-recession-a-168-sq-ft-diy-tiny-house/.</w:t>
      </w:r>
    </w:p>
    <w:p w14:paraId="05BB9AC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Constellation Energy Resources, LLC. “Energy Secrets of the Tiny House Movement,” 2017. https://blog.constellation.com/2017/08/21/what-is-tiny-house-living/.</w:t>
      </w:r>
    </w:p>
    <w:p w14:paraId="092D3516"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Cooper-Hewitt. “People’s Choice Award: Marianne Cusato.” The National Design Awards Gallery, 2006. http://ndagallery.cooperhewitt.org/MarianneCusato.</w:t>
      </w:r>
    </w:p>
    <w:p w14:paraId="265A4557"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Coy, Peter, and Christopher Flavelle. “Harvey Wasn’t Just Bad Weather. It Was Bad City Planning.” Bloomberg Businessweek, 2017. https://www.bloomberg.com/news/features/2017-08-31/a-hard-rain-and-a-hard-lesson-for-houston.</w:t>
      </w:r>
    </w:p>
    <w:p w14:paraId="7022E4DB"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Craven, Jackie. “About the Usonian Vision of Frank Lloyd Wright.” ThoughtCo, 2018. https://www.thoughtco.com/usonian-style-home-frank-lloyd-wright-177787.</w:t>
      </w:r>
    </w:p>
    <w:p w14:paraId="05B2A5F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Current Results. “Average Humidity Levels for Louisiana 1961-1990 Normals,” 2018. https://www.currentresults.com/Weather/Louisiana/humidity-annual.php.</w:t>
      </w:r>
    </w:p>
    <w:p w14:paraId="31969B46"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“Designing Energy Efficient New Homes for a Warm Climate.” eXtension, 2014. https://articles.extension.org/pages/26272/designing-energy-efficient-</w:t>
      </w:r>
      <w:r w:rsidRPr="008F4B6E">
        <w:rPr>
          <w:rFonts w:ascii="Bookman Old Style" w:hAnsi="Bookman Old Style" w:cs="Times New Roman"/>
          <w:noProof/>
          <w:sz w:val="24"/>
          <w:szCs w:val="24"/>
        </w:rPr>
        <w:lastRenderedPageBreak/>
        <w:t>new-homes-for-a-warm-climate.</w:t>
      </w:r>
    </w:p>
    <w:p w14:paraId="79CFA764"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“Digital Recirculating Shower System.” Orbital Systems. Accessed March 6, 2019. https://orbital-systems.com/product/.</w:t>
      </w:r>
    </w:p>
    <w:p w14:paraId="2E5594C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“DIY Tiny Home Under $9000.” Tiny Homes Map. Accessed March 11, 2019. http://www.tinyhomesmap.com/diy-tiny-home-under-9000-10-hq-pictures/.</w:t>
      </w:r>
    </w:p>
    <w:p w14:paraId="243A3E7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Durston, John. “BUILDING SOCIAL CAPITAL IN RURAL COMMUNITIES (Where It Doesn’t Exist) Theoretical and Policy Implications of Peasant Empowerment in Chiquimula, Guatemala,” 1998. http://www.eclac.org.</w:t>
      </w:r>
    </w:p>
    <w:p w14:paraId="697BF5DC"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Erin and Dondi. “Erin and Dondi | Our Travels, Exploits, and Adventures,” 2014. https://erinanddondi.wordpress.com/.</w:t>
      </w:r>
    </w:p>
    <w:p w14:paraId="5393D874"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Estes, Carol. “Living Large in a Tiny House.” Yes Magazine, 2008. https://www.yesmagazine.org/issues/sustainable-happiness/living-large-in-a-tiny-house.</w:t>
      </w:r>
    </w:p>
    <w:p w14:paraId="69E3CAAE"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Fu, Ran, David Feldman, Robert Margolis, Mike Woodhouse, and Kristen Ardani. “U.S. Solar Photovoltaic System Cost Benchmark: Q1 2017,” 2009. www.nrel.gov/publications.</w:t>
      </w:r>
    </w:p>
    <w:p w14:paraId="62E36EAB"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Gabe, Thomas, Gene Falk, Maggie McCarty, and Virginia Mason. “CRS Report for Congress Hurricane Katrina</w:t>
      </w:r>
      <w:r w:rsidRPr="008F4B6E">
        <w:rPr>
          <w:rFonts w:ascii="Times New Roman" w:hAnsi="Times New Roman" w:cs="Times New Roman"/>
          <w:noProof/>
          <w:sz w:val="24"/>
          <w:szCs w:val="24"/>
        </w:rPr>
        <w:t> </w:t>
      </w:r>
      <w:r w:rsidRPr="008F4B6E">
        <w:rPr>
          <w:rFonts w:ascii="Bookman Old Style" w:hAnsi="Bookman Old Style" w:cs="Times New Roman"/>
          <w:noProof/>
          <w:sz w:val="24"/>
          <w:szCs w:val="24"/>
        </w:rPr>
        <w:t>: Social-Demographic Characteristics of Impacted Areas,” 2005.</w:t>
      </w:r>
    </w:p>
    <w:p w14:paraId="4A1980D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Garfield, Leanna. “Apis Cor Invented a $10,000 House That Can Be Built in One Day.” Business Insider, 2017. https://www.businessinsider.com/house-built-one-day-apis-cor-2017-3.</w:t>
      </w:r>
    </w:p>
    <w:p w14:paraId="4F6FC4F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lastRenderedPageBreak/>
        <w:t xml:space="preserve">Gassie, Lucien W, and James D Englehardt. “Advanced Oxidation and Disinfection Processes for Onsite Net-Zero Greywater Reuse: A Review.” </w:t>
      </w:r>
      <w:r w:rsidRPr="008F4B6E">
        <w:rPr>
          <w:rFonts w:ascii="Bookman Old Style" w:hAnsi="Bookman Old Style" w:cs="Times New Roman"/>
          <w:i/>
          <w:iCs/>
          <w:noProof/>
          <w:sz w:val="24"/>
          <w:szCs w:val="24"/>
        </w:rPr>
        <w:t>Water Research</w:t>
      </w:r>
      <w:r w:rsidRPr="008F4B6E">
        <w:rPr>
          <w:rFonts w:ascii="Bookman Old Style" w:hAnsi="Bookman Old Style" w:cs="Times New Roman"/>
          <w:noProof/>
          <w:sz w:val="24"/>
          <w:szCs w:val="24"/>
        </w:rPr>
        <w:t xml:space="preserve"> 125 (2017): 384–99. https://doi.org/10.1016/j.watres.2017.08.062.</w:t>
      </w:r>
    </w:p>
    <w:p w14:paraId="0DE3246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Geophysical Fluid Dynamics Laboratory. “Global Warming and Hurricanes: An Overview of Current Research Results,” 2018.</w:t>
      </w:r>
    </w:p>
    <w:p w14:paraId="5DF91907"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Gerston, Jan. “Rainwater Harvesting: A New Water Source.” </w:t>
      </w:r>
      <w:r w:rsidRPr="008F4B6E">
        <w:rPr>
          <w:rFonts w:ascii="Bookman Old Style" w:hAnsi="Bookman Old Style" w:cs="Times New Roman"/>
          <w:i/>
          <w:iCs/>
          <w:noProof/>
          <w:sz w:val="24"/>
          <w:szCs w:val="24"/>
        </w:rPr>
        <w:t>Texas Water Savers</w:t>
      </w:r>
      <w:r w:rsidRPr="008F4B6E">
        <w:rPr>
          <w:rFonts w:ascii="Bookman Old Style" w:hAnsi="Bookman Old Style" w:cs="Times New Roman"/>
          <w:noProof/>
          <w:sz w:val="24"/>
          <w:szCs w:val="24"/>
        </w:rPr>
        <w:t>. Vol. 3, 1997. http://twri.tamu.edu/newsletters/texaswatersavers/tws-v3n2.pdf.</w:t>
      </w:r>
    </w:p>
    <w:p w14:paraId="3841FA8F"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“Getting a Mortgage for a Property Located in a Flood Zone.” Mortgagecalculator.biz. Accessed January 31, 2019. https://www.mortgagecalculator.biz/c/flood-zones.php.</w:t>
      </w:r>
    </w:p>
    <w:p w14:paraId="563611B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Gjerde, Jessica. “Tiny House for Disaster Relief.” YouTube, 2018. https://www.youtube.com/watch?v=_AcLW_9i0lM.</w:t>
      </w:r>
    </w:p>
    <w:p w14:paraId="7351BA0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Government of Puerto Rico. “Puerto Rico Disaster Recovery Action Plan for the Use of CDBG-DR Funds in Response to 2017 Hurricanes Irma and Maria,” 2018. https://www.cleanegroup.org/wp-content/uploads/PR-Disaster-Recovery-Action-Plan.pdf.</w:t>
      </w:r>
    </w:p>
    <w:p w14:paraId="215A4249"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Harris County FEMT. “Harris County Flood Education Mapping Tool.” Harris County Flood Control District, 2018. http://www.harriscountyfemt.org/.</w:t>
      </w:r>
    </w:p>
    <w:p w14:paraId="1EADB6B9"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Hickman, Matt. “Nontoxic Treated Wood Used in Make It Right Homes Starts to Rot.” Mother Nature Network. The Advocate, 2014. https://www.mnn.com/your-home/remodeling-design/blogs/nontoxic-</w:t>
      </w:r>
      <w:r w:rsidRPr="008F4B6E">
        <w:rPr>
          <w:rFonts w:ascii="Bookman Old Style" w:hAnsi="Bookman Old Style" w:cs="Times New Roman"/>
          <w:noProof/>
          <w:sz w:val="24"/>
          <w:szCs w:val="24"/>
        </w:rPr>
        <w:lastRenderedPageBreak/>
        <w:t>treated-wood-used-in-make-it-right-homes-starts-to-rot.</w:t>
      </w:r>
    </w:p>
    <w:p w14:paraId="0947A6A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History.com editors. “New Orleans - HISTORY.” A&amp;E Television Networks, 2010. https://www.history.com/topics/us-states/new-orleans.</w:t>
      </w:r>
    </w:p>
    <w:p w14:paraId="1CD05D0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“How Many Gallons of Water Does It Take to Flush a Toilet?” Home Guides. Accessed March 8, 2019. https://homeguides.sfgate.com/many-gallons-water-flush-toilet-88812.html.</w:t>
      </w:r>
    </w:p>
    <w:p w14:paraId="008CEC7F"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Hunn, David, Matt Dempsey, and Mihir Zaveri. “In Harvey’s Deluge, Most Damaged Homes Were Outside the Flood Plain, New Data Show.” Houston Chronicle, 2018. https://www.houstonchronicle.com/news/article/In-Harvey-s-deluge-most-damaged-homes-were-12794820.php.</w:t>
      </w:r>
    </w:p>
    <w:p w14:paraId="395984A7"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Ibem, Arc Eziyi O, and Egidario B Aduwo. “A FRAMEWORK FOR UNDERSTANDING SUSTAINABLE HOUSING FOR POLICY DEVELOPMENT AND PRACTICAL ACTIONS.” </w:t>
      </w:r>
      <w:r w:rsidRPr="008F4B6E">
        <w:rPr>
          <w:rFonts w:ascii="Bookman Old Style" w:hAnsi="Bookman Old Style" w:cs="Times New Roman"/>
          <w:i/>
          <w:iCs/>
          <w:noProof/>
          <w:sz w:val="24"/>
          <w:szCs w:val="24"/>
        </w:rPr>
        <w:t>Architects Registration Council of Nigeria</w:t>
      </w:r>
      <w:r w:rsidRPr="008F4B6E">
        <w:rPr>
          <w:rFonts w:ascii="Bookman Old Style" w:hAnsi="Bookman Old Style" w:cs="Times New Roman"/>
          <w:noProof/>
          <w:sz w:val="24"/>
          <w:szCs w:val="24"/>
        </w:rPr>
        <w:t>, 2015. https://doi.org/10.1002/9781119196563.ch1.</w:t>
      </w:r>
    </w:p>
    <w:p w14:paraId="3A42BD3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Insurance Journal. “Lawsuit Planned Against Brad Pitt Foundation over New Orleans Homes,” 2018. https://www.insurancejournal.com/news/southcentral/2018/08/31/499921.htm.</w:t>
      </w:r>
    </w:p>
    <w:p w14:paraId="2D616496"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Jadacki, Matt. “Statement of Matt Jadacki Deputy Inspector General for Disaster Assistance Oversight.” 2007. https://www.oig.dhs.gov/sites/default/files/assets/TM/OIGtm_MJ_022807.pdf.</w:t>
      </w:r>
    </w:p>
    <w:p w14:paraId="0C5C892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James Hardie Building Products. “Sustainable and Small: The Tiny House </w:t>
      </w:r>
      <w:r w:rsidRPr="008F4B6E">
        <w:rPr>
          <w:rFonts w:ascii="Bookman Old Style" w:hAnsi="Bookman Old Style" w:cs="Times New Roman"/>
          <w:noProof/>
          <w:sz w:val="24"/>
          <w:szCs w:val="24"/>
        </w:rPr>
        <w:lastRenderedPageBreak/>
        <w:t>Movement.” American Institute of Architects, 2017. https://www.aia.org/articles/141631-sustainable-and-small-the-tiny-house-moveme:36.</w:t>
      </w:r>
    </w:p>
    <w:p w14:paraId="5506CC59"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Kilman, Charlie. “Small House, Big Impact: The Effect of Tiny Houses on Community and Environment.” </w:t>
      </w:r>
      <w:r w:rsidRPr="008F4B6E">
        <w:rPr>
          <w:rFonts w:ascii="Bookman Old Style" w:hAnsi="Bookman Old Style" w:cs="Times New Roman"/>
          <w:i/>
          <w:iCs/>
          <w:noProof/>
          <w:sz w:val="24"/>
          <w:szCs w:val="24"/>
        </w:rPr>
        <w:t>Undergraduate Journal of Humanistic Studies • Winter</w:t>
      </w:r>
      <w:r w:rsidRPr="008F4B6E">
        <w:rPr>
          <w:rFonts w:ascii="Bookman Old Style" w:hAnsi="Bookman Old Style" w:cs="Times New Roman"/>
          <w:noProof/>
          <w:sz w:val="24"/>
          <w:szCs w:val="24"/>
        </w:rPr>
        <w:t>. Vol. 2, 2016. http://tinyhousecommunity.com/faq.htm.</w:t>
      </w:r>
    </w:p>
    <w:p w14:paraId="00DA661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Knabb, Richard D, Jamie R Rhome, and Daniel P Brown. “Tropical Cyclone Report Hurricane Katrina 23-30 August 2005,” 2005. https://www.nhc.noaa.gov/data/tcr/AL122005_Katrina.pdf.</w:t>
      </w:r>
    </w:p>
    <w:p w14:paraId="558B98E9"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KU News. “‘Tiny House’ Prototype Designed for Temporary Disaster Relief.” University of Kansas, 2018. https://news.ku.edu/tiny-house-prototype-seeks-provide-temporary-disaster-relief.</w:t>
      </w:r>
    </w:p>
    <w:p w14:paraId="6775F597"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L9W Homeownership Association. “Our Community.” Lower 9th Ward Homeownership Association, 2016. https://www.l9wha.org/about.</w:t>
      </w:r>
    </w:p>
    <w:p w14:paraId="335B8A1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“La Petite Maison.” Tiny Maison, 2014. http://tinymaison.blogspot.com/.</w:t>
      </w:r>
    </w:p>
    <w:p w14:paraId="59CD148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Lapisa, R., E. Bozonnet, P. Salagnac, and M.O. Abadie. “Optimized Design of Low-Rise Commercial Buildings under Various Climates – Energy Performance and Passive Cooling Strategies.” </w:t>
      </w:r>
      <w:r w:rsidRPr="008F4B6E">
        <w:rPr>
          <w:rFonts w:ascii="Bookman Old Style" w:hAnsi="Bookman Old Style" w:cs="Times New Roman"/>
          <w:i/>
          <w:iCs/>
          <w:noProof/>
          <w:sz w:val="24"/>
          <w:szCs w:val="24"/>
        </w:rPr>
        <w:t>Building and Environment</w:t>
      </w:r>
      <w:r w:rsidRPr="008F4B6E">
        <w:rPr>
          <w:rFonts w:ascii="Bookman Old Style" w:hAnsi="Bookman Old Style" w:cs="Times New Roman"/>
          <w:noProof/>
          <w:sz w:val="24"/>
          <w:szCs w:val="24"/>
        </w:rPr>
        <w:t xml:space="preserve"> 132 (2018): 83–95. https://ac-els-cdn-com.ezproxy.lib.ou.edu/S0360132318300416/1-s2.0-S0360132318300416-main.pdf?_tid=9cb9db05-f5d0-4d56-a098-a0ba82861f0b&amp;acdnat=1552173274_37aa8cca9ea25e2f605a8010ec2cd911.</w:t>
      </w:r>
    </w:p>
    <w:p w14:paraId="2B9880A4"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lastRenderedPageBreak/>
        <w:t>Lascell, W A, and P R Baumann. “LOWER 9th WARD, NEW ORLEANS: RECOVERY AND REBUILDING.” Vol. 48, 2015. https://msaag.aag.org/wp-content/uploads/2015/09/4-Lascell-and-Baumann-MSG482015F.pdf.</w:t>
      </w:r>
    </w:p>
    <w:p w14:paraId="148BDD0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Lash, Dave, and Grace Belfiore. “5 Essentials in Building Social Capital.” </w:t>
      </w:r>
      <w:r w:rsidRPr="008F4B6E">
        <w:rPr>
          <w:rFonts w:ascii="Bookman Old Style" w:hAnsi="Bookman Old Style" w:cs="Times New Roman"/>
          <w:i/>
          <w:iCs/>
          <w:noProof/>
          <w:sz w:val="24"/>
          <w:szCs w:val="24"/>
        </w:rPr>
        <w:t>MyWays Student Success Series - Next Generation Learning Challenge</w:t>
      </w:r>
      <w:r w:rsidRPr="008F4B6E">
        <w:rPr>
          <w:rFonts w:ascii="Bookman Old Style" w:hAnsi="Bookman Old Style" w:cs="Times New Roman"/>
          <w:noProof/>
          <w:sz w:val="24"/>
          <w:szCs w:val="24"/>
        </w:rPr>
        <w:t>, 2017. https://s3.amazonaws.com/nglc/resource-files/MyWays_04Essentials.pdf.</w:t>
      </w:r>
    </w:p>
    <w:p w14:paraId="54AA6FD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LeadingGreen. “LEED Green Associate Study Guide v4 Edition,” 2017.</w:t>
      </w:r>
    </w:p>
    <w:p w14:paraId="29925ED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Leong, Janet Yip Cheng, Kai Siang Oh, Phaik Eong Poh, and Meng Nan Chong. “Prospects of Hybrid Rainwater-Greywater Decentralised System for Water Recycling and Reuse: A Review.” </w:t>
      </w:r>
      <w:r w:rsidRPr="008F4B6E">
        <w:rPr>
          <w:rFonts w:ascii="Bookman Old Style" w:hAnsi="Bookman Old Style" w:cs="Times New Roman"/>
          <w:i/>
          <w:iCs/>
          <w:noProof/>
          <w:sz w:val="24"/>
          <w:szCs w:val="24"/>
        </w:rPr>
        <w:t>Journal of Cleaner Production</w:t>
      </w:r>
      <w:r w:rsidRPr="008F4B6E">
        <w:rPr>
          <w:rFonts w:ascii="Bookman Old Style" w:hAnsi="Bookman Old Style" w:cs="Times New Roman"/>
          <w:noProof/>
          <w:sz w:val="24"/>
          <w:szCs w:val="24"/>
        </w:rPr>
        <w:t xml:space="preserve"> 142, no. 4 (2017): 3014–27. https://ac-els-cdn-com.ezproxy.lib.ou.edu/S095965261631798X/1-s2.0-S095965261631798X-main.pdf?_tid=9cd77e19-1120-4f6d-9778-75a4a4dd8287&amp;acdnat=1551710168_983103c67804b856ee1a6e0096109dbc.</w:t>
      </w:r>
    </w:p>
    <w:p w14:paraId="6F4CDA48"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Liteplo, R G, R Beauchamp, M E Meek, Health Canada, Canada Ottawa, R Chénier, and Environment Canada. “Concise International Chemical Assessment Document 40: Formaldehyde,” 2002. http://www.who.int/ipcs/publications/cicad/en/cicad40.pdf.</w:t>
      </w:r>
    </w:p>
    <w:p w14:paraId="725EF23E"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Litman-Navarro, Kevin. “Brain ‘Heat Switch’ Reveals Why You’re Not Hungry After an Intense Workout: Suppressing Your Appetite May Boil down to Body Heat.” Inverse, 2018. https://www.inverse.com/article/44155-brain-</w:t>
      </w:r>
      <w:r w:rsidRPr="008F4B6E">
        <w:rPr>
          <w:rFonts w:ascii="Bookman Old Style" w:hAnsi="Bookman Old Style" w:cs="Times New Roman"/>
          <w:noProof/>
          <w:sz w:val="24"/>
          <w:szCs w:val="24"/>
        </w:rPr>
        <w:lastRenderedPageBreak/>
        <w:t>heat-switch-kills-hunger-pangs.</w:t>
      </w:r>
    </w:p>
    <w:p w14:paraId="3F80188E"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“Load Calculators.” altE Store. Accessed March 5, 2019. https://www.altestore.com/store/calculators/load_calculator/.</w:t>
      </w:r>
    </w:p>
    <w:p w14:paraId="303AC5F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Make It Right. “About.” Accessed December 4, 2018. http://makeitright.org/about/.</w:t>
      </w:r>
    </w:p>
    <w:p w14:paraId="59C89DE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“Cradle to Cradle.” Accessed December 4, 2018. http://makeitright.org/c2c/.</w:t>
      </w:r>
    </w:p>
    <w:p w14:paraId="005E30E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“Frequently Asked Questions.” Accessed December 4, 2018. http://makeitright.org/about/faq/#q4.</w:t>
      </w:r>
    </w:p>
    <w:p w14:paraId="38862E0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“Where We Work.” Accessed December 4, 2018. http://makeitright.org/where-we-work/new-orleans/.</w:t>
      </w:r>
    </w:p>
    <w:p w14:paraId="0E9FEFC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Mccarthy, Francis X. “FEMA Disaster Housing and Hurricane Katrina: Overview, Analysis, and Congressional Issues Analyst, Emergency Management Policy Government and Finance Division,” 2008. https://www.everycrsreport.com/files/20080626_RL34087_3589fbe2b9ef4969781a461cca14b34b36e208b3.pdf.</w:t>
      </w:r>
    </w:p>
    <w:p w14:paraId="28BD65A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Miller, Macy. “Budget.” MiniMotives, 2011. http://minimotives.com/budget/.</w:t>
      </w:r>
    </w:p>
    <w:p w14:paraId="04F092E8"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Morast, Robert. “Hurricane Harvey by the Numbers.” Houston Chronicle, 2017. https://www.houstonchronicle.com/life/article/Hurricane-Harvey-by-the-numbers-12172287.php.</w:t>
      </w:r>
    </w:p>
    <w:p w14:paraId="1C40715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Morrissey, J., T. Moore, and R.E. Horne. “Affordable Passive Solar Design in a Temperate Climate: An Experiment in Residential Building Orientation.” </w:t>
      </w:r>
      <w:r w:rsidRPr="008F4B6E">
        <w:rPr>
          <w:rFonts w:ascii="Bookman Old Style" w:hAnsi="Bookman Old Style" w:cs="Times New Roman"/>
          <w:i/>
          <w:iCs/>
          <w:noProof/>
          <w:sz w:val="24"/>
          <w:szCs w:val="24"/>
        </w:rPr>
        <w:t>Renewable Energy: An International Journal</w:t>
      </w:r>
      <w:r w:rsidRPr="008F4B6E">
        <w:rPr>
          <w:rFonts w:ascii="Bookman Old Style" w:hAnsi="Bookman Old Style" w:cs="Times New Roman"/>
          <w:noProof/>
          <w:sz w:val="24"/>
          <w:szCs w:val="24"/>
        </w:rPr>
        <w:t xml:space="preserve"> 36 (2011): 568–77. https://ac-</w:t>
      </w:r>
      <w:r w:rsidRPr="008F4B6E">
        <w:rPr>
          <w:rFonts w:ascii="Bookman Old Style" w:hAnsi="Bookman Old Style" w:cs="Times New Roman"/>
          <w:noProof/>
          <w:sz w:val="24"/>
          <w:szCs w:val="24"/>
        </w:rPr>
        <w:lastRenderedPageBreak/>
        <w:t>els-cdn-com.ezproxy.lib.ou.edu/S0960148110003836/1-s2.0-S0960148110003836-main.pdf?_tid=6a65f0ef-eb82-4b09-8320-a55d580a5278&amp;acdnat=1546987215_204327bf76791ef35ae6e0bcd8aaaa61.</w:t>
      </w:r>
    </w:p>
    <w:p w14:paraId="6F493D78"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Mouzon, Steve. </w:t>
      </w:r>
      <w:r w:rsidRPr="008F4B6E">
        <w:rPr>
          <w:rFonts w:ascii="Bookman Old Style" w:hAnsi="Bookman Old Style" w:cs="Times New Roman"/>
          <w:i/>
          <w:iCs/>
          <w:noProof/>
          <w:sz w:val="24"/>
          <w:szCs w:val="24"/>
        </w:rPr>
        <w:t>The Original Green (Unlocking the Mystery of True Sustainability)</w:t>
      </w:r>
      <w:r w:rsidRPr="008F4B6E">
        <w:rPr>
          <w:rFonts w:ascii="Bookman Old Style" w:hAnsi="Bookman Old Style" w:cs="Times New Roman"/>
          <w:noProof/>
          <w:sz w:val="24"/>
          <w:szCs w:val="24"/>
        </w:rPr>
        <w:t>. New Urban Guild Foundation, 2010.</w:t>
      </w:r>
    </w:p>
    <w:p w14:paraId="67C8122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“What Was Gained in the Katrina Cottage Loss?” Original Green, 2015. http://www.originalgreen.org/blog/2015/what-was-gained-in-the.html.</w:t>
      </w:r>
    </w:p>
    <w:p w14:paraId="016CB82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Mueller, Mary. “Post Katrina FEMA Trailers Still Being Sold?” BRPRoud.com, 2016. https://www.brproud.com/news/local-news/post-katrina-fema-trailers-still-being-sold/365421105.</w:t>
      </w:r>
    </w:p>
    <w:p w14:paraId="42E0CE0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Murphy, M. W., J. F. Lando, S. M. Kieszak, M. E. Sutter, G. P. Noonan, J. M. Brunkard, and M. A. McGeehin. “Formaldehyde Levels in FEMA-Supplied Travel Trailers, Park Models, and Mobile Homes in Louisiana and Mississippi.” </w:t>
      </w:r>
      <w:r w:rsidRPr="008F4B6E">
        <w:rPr>
          <w:rFonts w:ascii="Bookman Old Style" w:hAnsi="Bookman Old Style" w:cs="Times New Roman"/>
          <w:i/>
          <w:iCs/>
          <w:noProof/>
          <w:sz w:val="24"/>
          <w:szCs w:val="24"/>
        </w:rPr>
        <w:t>Indoor Air</w:t>
      </w:r>
      <w:r w:rsidRPr="008F4B6E">
        <w:rPr>
          <w:rFonts w:ascii="Bookman Old Style" w:hAnsi="Bookman Old Style" w:cs="Times New Roman"/>
          <w:noProof/>
          <w:sz w:val="24"/>
          <w:szCs w:val="24"/>
        </w:rPr>
        <w:t xml:space="preserve"> 23, no. 2 (April 1, 2013): 134–41. https://doi.org/10.1111/j.1600-0668.2012.00800.x.</w:t>
      </w:r>
    </w:p>
    <w:p w14:paraId="454C24E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National Aeronautics and Space Administration. “How Do Hurricanes Form?” Accessed January 27, 2019. https://pmm.nasa.gov/education/articles/how-do-hurricanes-form.</w:t>
      </w:r>
    </w:p>
    <w:p w14:paraId="152F9E3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National Cancer Institute. “Formaldehyde and Cancer Risk - National Cancer Institute,” 2011. https://www.cancer.gov/about-cancer/causes-prevention/risk/substances/formaldehyde/formaldehyde-fact-sheet#r1.</w:t>
      </w:r>
    </w:p>
    <w:p w14:paraId="5ED63D1C"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National Hurricane Center. “Costliest US Tropical Cyclones,” 2018. </w:t>
      </w:r>
      <w:r w:rsidRPr="008F4B6E">
        <w:rPr>
          <w:rFonts w:ascii="Bookman Old Style" w:hAnsi="Bookman Old Style" w:cs="Times New Roman"/>
          <w:noProof/>
          <w:sz w:val="24"/>
          <w:szCs w:val="24"/>
        </w:rPr>
        <w:lastRenderedPageBreak/>
        <w:t>https://www.nhc.noaa.gov/pdf/nws-nhc-6.pdf.</w:t>
      </w:r>
    </w:p>
    <w:p w14:paraId="5BF348C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National Oceanic and Atmospheric Administration. “Cloudiness - Mean Number of Days.” Accessed March 6, 2019. https://www1.ncdc.noaa.gov/pub/data/ccd-data/clpcdy15.dat.</w:t>
      </w:r>
    </w:p>
    <w:p w14:paraId="1F3C639F"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“Historical Hurricane Tracks.” Accessed October 3, 2018. https://coast.noaa.gov/hurricanes/.</w:t>
      </w:r>
    </w:p>
    <w:p w14:paraId="6AC6965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“RANKING OF CITIES BASED ON % ANNUAL POSSIBLE SUNSHINE IN DESCENDING  ORDER FROM MOST TO LEAST AVERAGE POSSIBLE SUNSHINE,” 2004. https://www1.ncdc.noaa.gov/pub/data/ccd-data/pctposrank.txt.</w:t>
      </w:r>
    </w:p>
    <w:p w14:paraId="5F835230"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Native Languages of the Americas. “Native American Homes: Wigwams, Longhouses, Tepees, Lodges, and Other American Indian Houses,” 2014. http://www.native-languages.org/houses.htm.</w:t>
      </w:r>
    </w:p>
    <w:p w14:paraId="4BF4E490"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Newman, Ashley. “Biography: Henry David Thoreau: Ahead of His Time?” Vision.org, 2017. http://www.vision.org/henry-david-thoreau-biography-5887.</w:t>
      </w:r>
    </w:p>
    <w:p w14:paraId="0CF13C16"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Niche.com. “Houston, TX.” Accessed November 4, 2018. https://www.niche.com/places-to-live/houston-harris-tx/.</w:t>
      </w:r>
    </w:p>
    <w:p w14:paraId="1D9ACE5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“Kashmere Gardens.” Accessed November 4, 2018. https://www.niche.com/places-to-live/n/kashmere-gardens-houston-tx/residents/.</w:t>
      </w:r>
    </w:p>
    <w:p w14:paraId="56E9C75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O’Donnell, Matt. “FEMA Trailer Formaldehyde Class Action Settlement.” Top Class Actions, 2012. https://topclassactions.com/lawsuit-</w:t>
      </w:r>
      <w:r w:rsidRPr="008F4B6E">
        <w:rPr>
          <w:rFonts w:ascii="Bookman Old Style" w:hAnsi="Bookman Old Style" w:cs="Times New Roman"/>
          <w:noProof/>
          <w:sz w:val="24"/>
          <w:szCs w:val="24"/>
        </w:rPr>
        <w:lastRenderedPageBreak/>
        <w:t>settlements/lawsuit-news/2558-fema-trailer-formaldehyde-class-action-settlement/.</w:t>
      </w:r>
    </w:p>
    <w:p w14:paraId="61919DF0"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Ochoa, Carlos Ernesto, and Isaac Guedi Capeluto. “Strategic Decision-Making for Intelligent Buildings: Comparative Impact of Passive Design Strategies and Active Features in a Hot Climate.” </w:t>
      </w:r>
      <w:r w:rsidRPr="008F4B6E">
        <w:rPr>
          <w:rFonts w:ascii="Bookman Old Style" w:hAnsi="Bookman Old Style" w:cs="Times New Roman"/>
          <w:i/>
          <w:iCs/>
          <w:noProof/>
          <w:sz w:val="24"/>
          <w:szCs w:val="24"/>
        </w:rPr>
        <w:t>Building and Environment</w:t>
      </w:r>
      <w:r w:rsidRPr="008F4B6E">
        <w:rPr>
          <w:rFonts w:ascii="Bookman Old Style" w:hAnsi="Bookman Old Style" w:cs="Times New Roman"/>
          <w:noProof/>
          <w:sz w:val="24"/>
          <w:szCs w:val="24"/>
        </w:rPr>
        <w:t xml:space="preserve"> 43 (2008): 1829–39. https://ac-els-cdn-com.ezproxy.lib.ou.edu/S0360132307002090/1-s2.0-S0360132307002090-main.pdf?_tid=d5d12abd-55d7-4ce4-b10d-50874cc29f15&amp;acdnat=1552172476_5a16a2b9c7709d26622668523270fb0e.</w:t>
      </w:r>
    </w:p>
    <w:p w14:paraId="2A64DCA7"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“Off-Grid Solar System Calculator.” Whole Sale Solar. Accessed March 5, 2019. https://www.wholesalesolar.com/solar-information/start-here/offgrid-calculator#load-evaluation.</w:t>
      </w:r>
    </w:p>
    <w:p w14:paraId="7A71ABAF"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Oliver, Meghan H. “Slaking Astronauts’ Thirst in Zero Gravity.” </w:t>
      </w:r>
      <w:r w:rsidRPr="008F4B6E">
        <w:rPr>
          <w:rFonts w:ascii="Bookman Old Style" w:hAnsi="Bookman Old Style" w:cs="Times New Roman"/>
          <w:i/>
          <w:iCs/>
          <w:noProof/>
          <w:sz w:val="24"/>
          <w:szCs w:val="24"/>
        </w:rPr>
        <w:t>Natural Science Collection Pg</w:t>
      </w:r>
      <w:r w:rsidRPr="008F4B6E">
        <w:rPr>
          <w:rFonts w:ascii="Bookman Old Style" w:hAnsi="Bookman Old Style" w:cs="Times New Roman"/>
          <w:noProof/>
          <w:sz w:val="24"/>
          <w:szCs w:val="24"/>
        </w:rPr>
        <w:t>. Vol. 43, 2006. https://search-proquest-com.ezproxy.lib.ou.edu/docview/201452490/fulltextPDF/B23932C65649489EPQ/1?accountid=12964.</w:t>
      </w:r>
    </w:p>
    <w:p w14:paraId="75D4618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“Orbital Systems.” Orbital Systems. Accessed March 6, 2019. https://orbital-systems.com/company/.</w:t>
      </w:r>
    </w:p>
    <w:p w14:paraId="6FAEECD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Ozery, Ashley. “Tiny Homes Are Big On Energy Efficiency.” Alliance to Save Energy, 2015. https://www.ase.org/blog/tiny-homes-are-big-energy-efficiency.</w:t>
      </w:r>
    </w:p>
    <w:p w14:paraId="24C09168"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pad tiny houses. “How Much Does a Tiny House Cost? DIY Building vs Buying </w:t>
      </w:r>
      <w:r w:rsidRPr="008F4B6E">
        <w:rPr>
          <w:rFonts w:ascii="Bookman Old Style" w:hAnsi="Bookman Old Style" w:cs="Times New Roman"/>
          <w:noProof/>
          <w:sz w:val="24"/>
          <w:szCs w:val="24"/>
        </w:rPr>
        <w:lastRenderedPageBreak/>
        <w:t>from a Builder,” 2017. https://padtinyhouses.com/how-much-does-a-tiny-house-cost/.</w:t>
      </w:r>
    </w:p>
    <w:p w14:paraId="0A96F729"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“How to Power Your Tiny House With Solar Power,” 2017. https://padtinyhouses.com/power-your-tiny-house-with-solar/.</w:t>
      </w:r>
    </w:p>
    <w:p w14:paraId="5C949218"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Parthasarathy, Srinandini, Randy L. Maddalena, Marion L. Russell, and Michael G. Apte. “Effect of Temperature and Humidity on Formaldehyde Emissions in Temporary Housing Units,” 2010. https://escholarship.org/uc/item/4q99c791.</w:t>
      </w:r>
    </w:p>
    <w:p w14:paraId="4AB5976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Perlin, John. “History of Solar Energy.” </w:t>
      </w:r>
      <w:r w:rsidRPr="008F4B6E">
        <w:rPr>
          <w:rFonts w:ascii="Bookman Old Style" w:hAnsi="Bookman Old Style" w:cs="Times New Roman"/>
          <w:i/>
          <w:iCs/>
          <w:noProof/>
          <w:sz w:val="24"/>
          <w:szCs w:val="24"/>
        </w:rPr>
        <w:t>Encyclopedia of Energy</w:t>
      </w:r>
      <w:r w:rsidRPr="008F4B6E">
        <w:rPr>
          <w:rFonts w:ascii="Bookman Old Style" w:hAnsi="Bookman Old Style" w:cs="Times New Roman"/>
          <w:noProof/>
          <w:sz w:val="24"/>
          <w:szCs w:val="24"/>
        </w:rPr>
        <w:t xml:space="preserve"> 5 (2004): 607–22. https://ac-els-cdn-com.ezproxy.lib.ou.edu/B012176480X000358/3-s2.0-B012176480X000358-main.pdf?_tid=1db2d2b9-6de9-420c-a96c-88828f51c503&amp;acdnat=1551446640_d7d857a35bc0a8368561553dad753430.</w:t>
      </w:r>
    </w:p>
    <w:p w14:paraId="337D5D5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Quantis, Earth Advantage, and Oregon Home Builders Association. “A Life Cycle Approach to Prioritizing Methods of Preventing Waste from the Residential Construction Sector in the State of Oregon Phase 2 Report, Version 1.4-Executive Summary Land Quality Division,” 2010. https://www.oregon.gov/deq/FilterDocs/ADU-ResBldgLCA-Report.pdf.</w:t>
      </w:r>
    </w:p>
    <w:p w14:paraId="6B72010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“Quick Facts.” Motivated Montanan. Accessed March 7, 2019. https://motivatedmontanan.weebly.com/quick-facts.html.</w:t>
      </w:r>
    </w:p>
    <w:p w14:paraId="0F9D8AF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Reckdahl, Katy. “Closer Look at ‘Make It Right’ Homes at Center of Lawsuit against Brad Pitt Foundation.” The Advocate, 2018. https://www.theadvocate.com/new_orleans/news/article_258e70e8-b5e4-</w:t>
      </w:r>
      <w:r w:rsidRPr="008F4B6E">
        <w:rPr>
          <w:rFonts w:ascii="Bookman Old Style" w:hAnsi="Bookman Old Style" w:cs="Times New Roman"/>
          <w:noProof/>
          <w:sz w:val="24"/>
          <w:szCs w:val="24"/>
        </w:rPr>
        <w:lastRenderedPageBreak/>
        <w:t>11e8-95d0-030296bbc61f.html.</w:t>
      </w:r>
    </w:p>
    <w:p w14:paraId="29E9B6B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Riker, Marina Starleaf. “Almost 2,600 FEMA Trailers, RVs Sit Unused in Beeville.” Victoria Advocate, 2018. https://www.victoriaadvocate.com/news/almost-fema-trailers-rvs-sit-unused-in-beeville-w-video/article_80e2bc5c-38e8-11e8-9b91-07c43f9ffa20.html.</w:t>
      </w:r>
    </w:p>
    <w:p w14:paraId="061299A4"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Ritter, Michael E. “The Physical Environment: An Introduction to Physical Geography,” 2006. http://www.earthonlinemedia.com/ebooks/tpe_3e/title_page.html.</w:t>
      </w:r>
    </w:p>
    <w:p w14:paraId="129CED4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Rivlin, Leanne G, and Jeanne Moore. “Home-Making: Supports and Barriers to the Process of Home.” </w:t>
      </w:r>
      <w:r w:rsidRPr="008F4B6E">
        <w:rPr>
          <w:rFonts w:ascii="Bookman Old Style" w:hAnsi="Bookman Old Style" w:cs="Times New Roman"/>
          <w:i/>
          <w:iCs/>
          <w:noProof/>
          <w:sz w:val="24"/>
          <w:szCs w:val="24"/>
        </w:rPr>
        <w:t>Journal of Social Distress and the Homeless</w:t>
      </w:r>
      <w:r w:rsidRPr="008F4B6E">
        <w:rPr>
          <w:rFonts w:ascii="Bookman Old Style" w:hAnsi="Bookman Old Style" w:cs="Times New Roman"/>
          <w:noProof/>
          <w:sz w:val="24"/>
          <w:szCs w:val="24"/>
        </w:rPr>
        <w:t xml:space="preserve"> 10, no. 4 (2001): 323–36.</w:t>
      </w:r>
    </w:p>
    <w:p w14:paraId="2947F904"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Rosales, Christina. “Greatest Concentration of Unmet Hurricane Harvey Housing Need in Harris County Is in Low-Income Communities of Color.” Texas Housers, 2018. https://texashousers.net/2018/01/04/highest-unmet-housing-need-in-harris-county-after-hurricane-harvey-is-in-low-income-communities-of-color/.</w:t>
      </w:r>
    </w:p>
    <w:p w14:paraId="4928CCB8"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Rose-Innes, Olivia. “How Much Water Do You Use per Day?” Health24, 2018. https://www.health24.com/Lifestyle/Environmental-health/see-how-much-water-do-you-use-per-day-20170613.</w:t>
      </w:r>
    </w:p>
    <w:p w14:paraId="3D42868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Roverpass. “RV Cost: What RV Prices Can I Expect When I Buy?,” 2016. https://www.roverpass.com/blog/cost-of-buying-an-rv/.</w:t>
      </w:r>
    </w:p>
    <w:p w14:paraId="3C2F16FF"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Saunders, Judith P. “Transcendental Capitalist at Walden.” </w:t>
      </w:r>
      <w:r w:rsidRPr="008F4B6E">
        <w:rPr>
          <w:rFonts w:ascii="Bookman Old Style" w:hAnsi="Bookman Old Style" w:cs="Times New Roman"/>
          <w:i/>
          <w:iCs/>
          <w:noProof/>
          <w:sz w:val="24"/>
          <w:szCs w:val="24"/>
        </w:rPr>
        <w:t xml:space="preserve">Henry David </w:t>
      </w:r>
      <w:r w:rsidRPr="008F4B6E">
        <w:rPr>
          <w:rFonts w:ascii="Bookman Old Style" w:hAnsi="Bookman Old Style" w:cs="Times New Roman"/>
          <w:i/>
          <w:iCs/>
          <w:noProof/>
          <w:sz w:val="24"/>
          <w:szCs w:val="24"/>
        </w:rPr>
        <w:lastRenderedPageBreak/>
        <w:t>Thoreau’s “Walden,”</w:t>
      </w:r>
      <w:r w:rsidRPr="008F4B6E">
        <w:rPr>
          <w:rFonts w:ascii="Bookman Old Style" w:hAnsi="Bookman Old Style" w:cs="Times New Roman"/>
          <w:noProof/>
          <w:sz w:val="24"/>
          <w:szCs w:val="24"/>
        </w:rPr>
        <w:t xml:space="preserve"> 1987.</w:t>
      </w:r>
    </w:p>
    <w:p w14:paraId="7592127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Schenk, Kathryn. “Flex House: Prefabricating the Tiny House Movement.” ProQuest, LLC., 2015.</w:t>
      </w:r>
    </w:p>
    <w:p w14:paraId="7FDA892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Schomer, Victoria. “What Is Truly the Healthiest Wood Floor Option, and What Are the Safest Finish Products to Use?” Green Home Guide, 2009. https://www.greenhomeguide.com/askapro/question/what-is-truly-the-healthiest-wood-floor-option-and-what-are-the-safest-finish-products-to-use.</w:t>
      </w:r>
    </w:p>
    <w:p w14:paraId="7DCBE8F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Schuetz, R.A. “Many Harvey Victims Remain out of Homes.” Beaumont Enterprise, 2018. https://www.beaumontenterprise.com/news/article/Many-Harvey-victims-remain-out-of-homes-13347784.php.</w:t>
      </w:r>
    </w:p>
    <w:p w14:paraId="12B44EAE"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Shaw, Michael D. “Formaldehyde:  It’s Not Only Found In FEMA Trailers,” 2008. https://www.gasdetection.com/interscan-in-the-news/formaldehyde-found-fema-trailers/.</w:t>
      </w:r>
    </w:p>
    <w:p w14:paraId="2A3B16B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Shaw, Rajib, and Yuko Nakagawa. “Social Capital</w:t>
      </w:r>
      <w:r w:rsidRPr="008F4B6E">
        <w:rPr>
          <w:rFonts w:ascii="Times New Roman" w:hAnsi="Times New Roman" w:cs="Times New Roman"/>
          <w:noProof/>
          <w:sz w:val="24"/>
          <w:szCs w:val="24"/>
        </w:rPr>
        <w:t> </w:t>
      </w:r>
      <w:r w:rsidRPr="008F4B6E">
        <w:rPr>
          <w:rFonts w:ascii="Bookman Old Style" w:hAnsi="Bookman Old Style" w:cs="Times New Roman"/>
          <w:noProof/>
          <w:sz w:val="24"/>
          <w:szCs w:val="24"/>
        </w:rPr>
        <w:t xml:space="preserve">: A Missing Link to Disaster Recovery.” </w:t>
      </w:r>
      <w:r w:rsidRPr="008F4B6E">
        <w:rPr>
          <w:rFonts w:ascii="Bookman Old Style" w:hAnsi="Bookman Old Style" w:cs="Times New Roman"/>
          <w:i/>
          <w:iCs/>
          <w:noProof/>
          <w:sz w:val="24"/>
          <w:szCs w:val="24"/>
        </w:rPr>
        <w:t>International Journal of Mass Emergencies and Disasters</w:t>
      </w:r>
      <w:r w:rsidRPr="008F4B6E">
        <w:rPr>
          <w:rFonts w:ascii="Bookman Old Style" w:hAnsi="Bookman Old Style" w:cs="Times New Roman"/>
          <w:noProof/>
          <w:sz w:val="24"/>
          <w:szCs w:val="24"/>
        </w:rPr>
        <w:t xml:space="preserve"> 22, no. March (2004): 5–34.</w:t>
      </w:r>
    </w:p>
    <w:p w14:paraId="37E267F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“Showers | Home Water Works.” Home Water Works. Accessed March 7, 2019. https://www.home-water-works.org/indoor-use/showers.</w:t>
      </w:r>
    </w:p>
    <w:p w14:paraId="03BAEBD0"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Sisak, Michael, and Emily Schmall. “FEMA Trailers Auctioned at Fire Sale Prices Prior to Harvey Landfall.” Claims Journal, 2017. https://www.claimsjournal.com/news/southcentral/2017/09/18/280605</w:t>
      </w:r>
      <w:r w:rsidRPr="008F4B6E">
        <w:rPr>
          <w:rFonts w:ascii="Bookman Old Style" w:hAnsi="Bookman Old Style" w:cs="Times New Roman"/>
          <w:noProof/>
          <w:sz w:val="24"/>
          <w:szCs w:val="24"/>
        </w:rPr>
        <w:lastRenderedPageBreak/>
        <w:t>.htm.</w:t>
      </w:r>
    </w:p>
    <w:p w14:paraId="34F53AD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Sjöberg, Daniel. “15 Ancient House Designs That You Can Build Really Cheap (Potentially For Free).” Walden Labs, 2014. https://waldenlabs.com/ancient-shelters-you-can-build-cheap/.</w:t>
      </w:r>
    </w:p>
    <w:p w14:paraId="3EDE3CDE"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Smith, Heather. “People Are Still Living in FEMA’s Toxic Katrina Trailers — and They Likely Have No Idea.” Grist, 2015. https://grist.org/politics/people-are-still-living-in-femas-toxic-katrina-trailers-and-they-likely-have-no-idea/.</w:t>
      </w:r>
    </w:p>
    <w:p w14:paraId="6ED1DB6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“Springtown Tiny House.” Tiny Home Builders. Accessed March 15, 2019. https://www.tinyhomebuilders.com/tiny-house-marketplace/tiny-house-for-sale-.</w:t>
      </w:r>
    </w:p>
    <w:p w14:paraId="03DBC91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Stanford, Daphne. “Tiny Houses Have Even Tinier Carbon Footprints.” Renewable Energy World, 2015. https://www.renewableenergyworld.com/ugc/articles/2015/12/tiny-houses-have-even-tinier-carbon-footprints.html.</w:t>
      </w:r>
    </w:p>
    <w:p w14:paraId="21BDCE1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studioSky. “Ideals.” Accessed December 5, 2018. http://www.studiosky.co/ideals/.</w:t>
      </w:r>
    </w:p>
    <w:p w14:paraId="09975F29"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Sustainability For All. “Why Is Certified Wood Important?” Acciona. Accessed November 24, 2018. https://www.activesustainability.com/environment/why-is-certified-wood-important/.</w:t>
      </w:r>
    </w:p>
    <w:p w14:paraId="0F2A5A79"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Syken, JM. “Solar Hemicycle: Frank Lloyd Wright’s Jacobs II Passive Solar House.” PDH Online, 2014. </w:t>
      </w:r>
      <w:r w:rsidRPr="008F4B6E">
        <w:rPr>
          <w:rFonts w:ascii="Bookman Old Style" w:hAnsi="Bookman Old Style" w:cs="Times New Roman"/>
          <w:noProof/>
          <w:sz w:val="24"/>
          <w:szCs w:val="24"/>
        </w:rPr>
        <w:lastRenderedPageBreak/>
        <w:t>https://pdhonline.com/courses/c683/c683slideshow.pdf.</w:t>
      </w:r>
    </w:p>
    <w:p w14:paraId="66DD9EBC"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TED Staff. “A Recap of Session 2 of TEDYouth 2014.” TED Blog, 2014. https://blog.ted.com/a-recap-of-session-2-of-tedyouth-2014/.</w:t>
      </w:r>
    </w:p>
    <w:p w14:paraId="5F1F76C6"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The Associated Press. “FEMA Rolls out New Disaster Mobile Homes.” NBC News, 2009. http://www.nbcnews.com/id/30745820/ns/us_news-life/t/fema-rolls-out-new-mobile-homes-disasters/#.XH1IW4hKhhE.</w:t>
      </w:r>
    </w:p>
    <w:p w14:paraId="551C7A0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“New Orleans’ Last Hurricane Katrina FEMA Trailer Leaves City.” NOLA, 2012. https://www.nola.com/katrina/index.ssf/2012/02/new_orleans_last_hurricane_kat.html.</w:t>
      </w:r>
    </w:p>
    <w:p w14:paraId="408207D4"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The Katy News. “Harvey Timeline,” 2018. http://thekatynews.com/2018/08/08/harvey-timeline/.</w:t>
      </w:r>
    </w:p>
    <w:p w14:paraId="57732D1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Thompson, A. “Tiny Houses the Answer to Our Environmental Problems?” GoGreen.org, 2017. http://www.gogreen.org/blog/tiny-houses-the-answer-to-our-environmental.</w:t>
      </w:r>
    </w:p>
    <w:p w14:paraId="789522AB"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Thompson, Daphne. “Houston’s History of Floods.” WeatherOps, 2017. https://blog.weatherops.com/houstons-history-of-floods.</w:t>
      </w:r>
    </w:p>
    <w:p w14:paraId="0C5FE220"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Thoreau, Henry David. </w:t>
      </w:r>
      <w:r w:rsidRPr="008F4B6E">
        <w:rPr>
          <w:rFonts w:ascii="Bookman Old Style" w:hAnsi="Bookman Old Style" w:cs="Times New Roman"/>
          <w:i/>
          <w:iCs/>
          <w:noProof/>
          <w:sz w:val="24"/>
          <w:szCs w:val="24"/>
        </w:rPr>
        <w:t>Walden</w:t>
      </w:r>
      <w:r w:rsidRPr="008F4B6E">
        <w:rPr>
          <w:rFonts w:ascii="Bookman Old Style" w:hAnsi="Bookman Old Style" w:cs="Times New Roman"/>
          <w:noProof/>
          <w:sz w:val="24"/>
          <w:szCs w:val="24"/>
        </w:rPr>
        <w:t>. Ticknor and Fields, 1854.</w:t>
      </w:r>
    </w:p>
    <w:p w14:paraId="55729D98"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TimberSIL Products. “TimberSIL GlassWood Fusion Products,” 2011. www.timbersilwood.com.</w:t>
      </w:r>
    </w:p>
    <w:p w14:paraId="2914C45C"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Townsend, Frances Fragos. “The Federal Response to Hurricane Katrina: Lessons Learned,” 2006. http://www.au.af.mil/au/awc/awcgate/whitehouse/katrina/katrina-</w:t>
      </w:r>
      <w:r w:rsidRPr="008F4B6E">
        <w:rPr>
          <w:rFonts w:ascii="Bookman Old Style" w:hAnsi="Bookman Old Style" w:cs="Times New Roman"/>
          <w:noProof/>
          <w:sz w:val="24"/>
          <w:szCs w:val="24"/>
        </w:rPr>
        <w:lastRenderedPageBreak/>
        <w:t>lessons-learned.pdf.</w:t>
      </w:r>
    </w:p>
    <w:p w14:paraId="1CBDC5BB"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U.S. Census Bureau. “2013-2017 American Community Survey Total Population 5-Year Estimates: Tract 2108/2109/2110/2112/2117/2302.” Accessed March 29, 2019. https://factfinder.census.gov/faces/tableservices/jsf/pages/productview.xhtml?pid=ACS_17_5YR_B01003&amp;prodType=table.</w:t>
      </w:r>
    </w:p>
    <w:p w14:paraId="37575546"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“Census 2000 Age Groups and Sex: Summary File 1, Tract 7.01/9.01/9.02/9.03/9.04.” Accessed March 29, 2019. https://factfinder.census.gov/faces/tableservices/jsf/pages/productview.xhtml?pid=DEC_00_SF1_QTP1&amp;prodType=table.</w:t>
      </w:r>
    </w:p>
    <w:p w14:paraId="2C6F3D1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 “Census 2000 Economic Characteristics: Summary File 3, Tract 7.01/9.01/9.02/9.03/9.04.” </w:t>
      </w:r>
      <w:r w:rsidRPr="008F4B6E">
        <w:rPr>
          <w:rFonts w:ascii="Bookman Old Style" w:hAnsi="Bookman Old Style" w:cs="Times New Roman"/>
          <w:i/>
          <w:iCs/>
          <w:noProof/>
          <w:sz w:val="24"/>
          <w:szCs w:val="24"/>
        </w:rPr>
        <w:t>Generated by Jenny Hamel Using American Fact Finder</w:t>
      </w:r>
      <w:r w:rsidRPr="008F4B6E">
        <w:rPr>
          <w:rFonts w:ascii="Bookman Old Style" w:hAnsi="Bookman Old Style" w:cs="Times New Roman"/>
          <w:noProof/>
          <w:sz w:val="24"/>
          <w:szCs w:val="24"/>
        </w:rPr>
        <w:t>. Accessed February 3, 2019. http://factfinder2.census.gov/faces/tableservices/jsf/pages/productview.xhtml?pid=ACS_11_5YR_B03003&amp;prodType=table.</w:t>
      </w:r>
    </w:p>
    <w:p w14:paraId="42867876"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US Attorney’s Office. “Five Charged in Fraud Schemes Linked to Hurricane Harvey,” 2018. https://www.justice.gov/usao-sdtx/pr/five-charged-fraud-schemes-linked-hurricane-harvey.</w:t>
      </w:r>
    </w:p>
    <w:p w14:paraId="3BC8250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US Climate Data. “Climate New Orleans - Louisiana and Weather Averages New Orleans 1961-1990 Normals.” 2018. Accessed October 21, 2018. https://www.usclimatedata.com/climate/new-orleans/louisiana/united-states/usla0338.</w:t>
      </w:r>
    </w:p>
    <w:p w14:paraId="084249EE"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US Department of Homeland Security. “Emergency Support Function #6-Mass </w:t>
      </w:r>
      <w:r w:rsidRPr="008F4B6E">
        <w:rPr>
          <w:rFonts w:ascii="Bookman Old Style" w:hAnsi="Bookman Old Style" w:cs="Times New Roman"/>
          <w:noProof/>
          <w:sz w:val="24"/>
          <w:szCs w:val="24"/>
        </w:rPr>
        <w:lastRenderedPageBreak/>
        <w:t>Care, Emergency Assistance, Housing, and Human Services Annex,” 2008. https://www.fema.gov/pdf/emergency/nrf/nrf-esf-06.pdf.</w:t>
      </w:r>
    </w:p>
    <w:p w14:paraId="721AD9A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“National Disaster Housing Strategy,” 2009. https://www.fema.gov/media-library-data/20130726-1819-25045-9288/ndhs_core.pdf.</w:t>
      </w:r>
    </w:p>
    <w:p w14:paraId="0B1C72E6"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“National Disaster Recovery Framework,” 2011. https://www.fema.gov/pdf/recoveryframework/ndrf.pdf.</w:t>
      </w:r>
    </w:p>
    <w:p w14:paraId="5D70A104"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 “National Response Framework.” </w:t>
      </w:r>
      <w:r w:rsidRPr="008F4B6E">
        <w:rPr>
          <w:rFonts w:ascii="Bookman Old Style" w:hAnsi="Bookman Old Style" w:cs="Times New Roman"/>
          <w:i/>
          <w:iCs/>
          <w:noProof/>
          <w:sz w:val="24"/>
          <w:szCs w:val="24"/>
        </w:rPr>
        <w:t>Foundations of Homeland Security: Law and Policy</w:t>
      </w:r>
      <w:r w:rsidRPr="008F4B6E">
        <w:rPr>
          <w:rFonts w:ascii="Bookman Old Style" w:hAnsi="Bookman Old Style" w:cs="Times New Roman"/>
          <w:noProof/>
          <w:sz w:val="24"/>
          <w:szCs w:val="24"/>
        </w:rPr>
        <w:t>, 2011. https://doi.org/10.1002/9780470925805.ch21.</w:t>
      </w:r>
    </w:p>
    <w:p w14:paraId="44DE10E3"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“National Response Plan,” 2004.</w:t>
      </w:r>
    </w:p>
    <w:p w14:paraId="163AA6A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US Department of Housing and Urban Development. “Post-Katrina Disaster Housing Assistance and Household Transition,” 2007. https://www.huduser.gov/portal/pdredge/pdr_edge_research_041913.html.</w:t>
      </w:r>
    </w:p>
    <w:p w14:paraId="6318853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US Energy Information Administration. “Summary Annual Household Site Consumption and Expenditures in the US - Totals and Intensities, 2015,” 2015. https://www.eia.gov/consumption/residential/data/2015/c&amp;e/pdf/ce1.1.pdf.</w:t>
      </w:r>
    </w:p>
    <w:p w14:paraId="3EBACD4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US Environmental Protection Agency. “Carbon Footprint Calculator.” Accessed March 8, 2019. https://www3.epa.gov/carbon-footprint-calculator/.</w:t>
      </w:r>
    </w:p>
    <w:p w14:paraId="1F619E7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US General Services Administration. “Public Sales of Hurricane Katrina/Rita FEMA Trailers: Are They Safe or Environmental Time Bombs?,” 2010. </w:t>
      </w:r>
      <w:r w:rsidRPr="008F4B6E">
        <w:rPr>
          <w:rFonts w:ascii="Bookman Old Style" w:hAnsi="Bookman Old Style" w:cs="Times New Roman"/>
          <w:noProof/>
          <w:sz w:val="24"/>
          <w:szCs w:val="24"/>
        </w:rPr>
        <w:lastRenderedPageBreak/>
        <w:t>https://www.gsa.gov/node/77831.</w:t>
      </w:r>
    </w:p>
    <w:p w14:paraId="7F082EBD"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US Government Accountability Office. “Agency Management of Contractors Responding to Hurricanes Katrina and Rita,” 2006. http://www.gao.gov.</w:t>
      </w:r>
    </w:p>
    <w:p w14:paraId="77F5F2C1"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“Disaster Housing: FEMA Needs More Detailed Guidance and Performance Measures to Help Ensure Effective Assistance after Major Disasters,” 2009. https://www.gao.gov/new.items/d09796.pdf.</w:t>
      </w:r>
    </w:p>
    <w:p w14:paraId="316EDE1C"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“Hurricanes Katrina and Rita: Unprecedented Challenges Exposed the Individuals and Households Program to Fraud and Abuse; Actions Needed to Reduce Such Problems in Future,” 2006. www.gao.gov/cgi-bin/getrpt?GAO-06-1013.</w:t>
      </w:r>
    </w:p>
    <w:p w14:paraId="054BA5B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“Ineffective FEMA Oversight of Housing Maintenance Contracts in Mississippi Resulted in Millions of Dollars of Waste and Potential Fraud,” 2007. https://www.gao.gov/new.items/d08106.pdf.</w:t>
      </w:r>
    </w:p>
    <w:p w14:paraId="422183F9"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Village Green Homes. “LEED Platinum Certification Categories and Point System Explained.” Accessed December 6, 2018. http://blueberrypdx.com/leed-certification.htm.</w:t>
      </w:r>
    </w:p>
    <w:p w14:paraId="1AD0B22A"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Wang, Yan, Shiming Deng, Lei Wang, Mingming Xiang, and Enshen Long. “The Influence of the Deteriorations in Living Environments on the Health of Disaster Victims Following a Natural Disaster.” </w:t>
      </w:r>
      <w:r w:rsidRPr="008F4B6E">
        <w:rPr>
          <w:rFonts w:ascii="Bookman Old Style" w:hAnsi="Bookman Old Style" w:cs="Times New Roman"/>
          <w:i/>
          <w:iCs/>
          <w:noProof/>
          <w:sz w:val="24"/>
          <w:szCs w:val="24"/>
        </w:rPr>
        <w:t>Procedia Engineering</w:t>
      </w:r>
      <w:r w:rsidRPr="008F4B6E">
        <w:rPr>
          <w:rFonts w:ascii="Bookman Old Style" w:hAnsi="Bookman Old Style" w:cs="Times New Roman"/>
          <w:noProof/>
          <w:sz w:val="24"/>
          <w:szCs w:val="24"/>
        </w:rPr>
        <w:t xml:space="preserve"> 121 (2015): 203–11. https://doi.org/10.1016/j.proeng.2015.08.1054.</w:t>
      </w:r>
    </w:p>
    <w:p w14:paraId="534FAC67"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White, Chris. “Brad Pitt’s Hurricane Katrina Homes in Louisiana Are Falling Apart.” News.com.au, 2018. https://www.news.com.au/lifestyle/home/outdoors/brad-pitt-slammed-</w:t>
      </w:r>
      <w:r w:rsidRPr="008F4B6E">
        <w:rPr>
          <w:rFonts w:ascii="Bookman Old Style" w:hAnsi="Bookman Old Style" w:cs="Times New Roman"/>
          <w:noProof/>
          <w:sz w:val="24"/>
          <w:szCs w:val="24"/>
        </w:rPr>
        <w:lastRenderedPageBreak/>
        <w:t>over-rotting-homes-in-new-orleans/news-story/32a9a48316951567479c10cf25737f8e.</w:t>
      </w:r>
    </w:p>
    <w:p w14:paraId="3295DFA2"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White, Philip, Louise St. Pierre, and Steve Belletire. “Okala - the Ecodesign Strategy Wheel.” </w:t>
      </w:r>
      <w:r w:rsidRPr="008F4B6E">
        <w:rPr>
          <w:rFonts w:ascii="Bookman Old Style" w:hAnsi="Bookman Old Style" w:cs="Times New Roman"/>
          <w:i/>
          <w:iCs/>
          <w:noProof/>
          <w:sz w:val="24"/>
          <w:szCs w:val="24"/>
        </w:rPr>
        <w:t>Okala Practitioner: Integrating Ecological Design</w:t>
      </w:r>
      <w:r w:rsidRPr="008F4B6E">
        <w:rPr>
          <w:rFonts w:ascii="Bookman Old Style" w:hAnsi="Bookman Old Style" w:cs="Times New Roman"/>
          <w:noProof/>
          <w:sz w:val="24"/>
          <w:szCs w:val="24"/>
        </w:rPr>
        <w:t>, 2013. http://www.okala.net/Okala Ecodesign Strategy Guide 2012.pdf.</w:t>
      </w:r>
    </w:p>
    <w:p w14:paraId="3AB11920"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 xml:space="preserve">Wilson, Alex, and Jessica Boehland. “Small Is Beautiful: US House Size, Resource Use, and the Environment.” </w:t>
      </w:r>
      <w:r w:rsidRPr="008F4B6E">
        <w:rPr>
          <w:rFonts w:ascii="Bookman Old Style" w:hAnsi="Bookman Old Style" w:cs="Times New Roman"/>
          <w:i/>
          <w:iCs/>
          <w:noProof/>
          <w:sz w:val="24"/>
          <w:szCs w:val="24"/>
        </w:rPr>
        <w:t>Journal of Industrial Ecology</w:t>
      </w:r>
      <w:r w:rsidRPr="008F4B6E">
        <w:rPr>
          <w:rFonts w:ascii="Bookman Old Style" w:hAnsi="Bookman Old Style" w:cs="Times New Roman"/>
          <w:noProof/>
          <w:sz w:val="24"/>
          <w:szCs w:val="24"/>
        </w:rPr>
        <w:t xml:space="preserve"> 9, no. 1 (n.d.): 277–87.</w:t>
      </w:r>
    </w:p>
    <w:p w14:paraId="371DC135"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cs="Times New Roman"/>
          <w:noProof/>
          <w:sz w:val="24"/>
          <w:szCs w:val="24"/>
        </w:rPr>
      </w:pPr>
      <w:r w:rsidRPr="008F4B6E">
        <w:rPr>
          <w:rFonts w:ascii="Bookman Old Style" w:hAnsi="Bookman Old Style" w:cs="Times New Roman"/>
          <w:noProof/>
          <w:sz w:val="24"/>
          <w:szCs w:val="24"/>
        </w:rPr>
        <w:t>World Commission on Environment and Development. “Report of the World Commission on Environment and Development: Our Common Future Towards Sustainable Development 2. Part II. Common Challenges Population and Human Resources 4,” 1987. http://www.un-documents.net/our-common-future.pdf.</w:t>
      </w:r>
    </w:p>
    <w:p w14:paraId="0B89ED44" w14:textId="77777777" w:rsidR="008F4B6E" w:rsidRPr="008F4B6E" w:rsidRDefault="008F4B6E" w:rsidP="008F4B6E">
      <w:pPr>
        <w:widowControl w:val="0"/>
        <w:autoSpaceDE w:val="0"/>
        <w:autoSpaceDN w:val="0"/>
        <w:adjustRightInd w:val="0"/>
        <w:spacing w:line="480" w:lineRule="auto"/>
        <w:ind w:left="480" w:hanging="480"/>
        <w:rPr>
          <w:rFonts w:ascii="Bookman Old Style" w:hAnsi="Bookman Old Style"/>
          <w:noProof/>
          <w:sz w:val="24"/>
        </w:rPr>
      </w:pPr>
      <w:r w:rsidRPr="008F4B6E">
        <w:rPr>
          <w:rFonts w:ascii="Bookman Old Style" w:hAnsi="Bookman Old Style" w:cs="Times New Roman"/>
          <w:noProof/>
          <w:sz w:val="24"/>
          <w:szCs w:val="24"/>
        </w:rPr>
        <w:t>Zillow.com. “New Orleans Real Estate - New Orleans LA Homes For Sale,” 2018. https://www.zillow.com/homes/for_sale/New-Orleans-LA/house_type/19594_rid/220000-229000_price/918-955_mp/globalrelevanceex_sort/30.422624,-89.407425,29.653449,-90.357743_rect/9_zm/0_mmm/.</w:t>
      </w:r>
    </w:p>
    <w:p w14:paraId="1333ABD2" w14:textId="6FB41CE1" w:rsidR="003F12E9" w:rsidRPr="0014270C" w:rsidRDefault="000C0454" w:rsidP="00151233">
      <w:pPr>
        <w:widowControl w:val="0"/>
        <w:autoSpaceDE w:val="0"/>
        <w:autoSpaceDN w:val="0"/>
        <w:adjustRightInd w:val="0"/>
        <w:spacing w:line="480" w:lineRule="auto"/>
        <w:ind w:left="480" w:hanging="480"/>
        <w:rPr>
          <w:rFonts w:ascii="Bookman Old Style" w:hAnsi="Bookman Old Style"/>
          <w:b/>
          <w:bCs/>
          <w:sz w:val="24"/>
          <w:szCs w:val="24"/>
        </w:rPr>
      </w:pPr>
      <w:r w:rsidRPr="0014270C">
        <w:rPr>
          <w:rFonts w:ascii="Bookman Old Style" w:hAnsi="Bookman Old Style"/>
          <w:b/>
          <w:bCs/>
          <w:sz w:val="24"/>
          <w:szCs w:val="24"/>
        </w:rPr>
        <w:fldChar w:fldCharType="end"/>
      </w:r>
    </w:p>
    <w:sectPr w:rsidR="003F12E9" w:rsidRPr="0014270C" w:rsidSect="00624A18">
      <w:headerReference w:type="default" r:id="rId21"/>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10F6A" w14:textId="77777777" w:rsidR="009337C2" w:rsidRDefault="009337C2" w:rsidP="009A6E72">
      <w:r>
        <w:separator/>
      </w:r>
    </w:p>
  </w:endnote>
  <w:endnote w:type="continuationSeparator" w:id="0">
    <w:p w14:paraId="272630DE" w14:textId="77777777" w:rsidR="009337C2" w:rsidRDefault="009337C2" w:rsidP="009A6E72">
      <w:r>
        <w:continuationSeparator/>
      </w:r>
    </w:p>
  </w:endnote>
  <w:endnote w:type="continuationNotice" w:id="1">
    <w:p w14:paraId="0D4AF66E" w14:textId="77777777" w:rsidR="009337C2" w:rsidRDefault="00933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03199" w14:textId="6248E41C" w:rsidR="00AB27A5" w:rsidRDefault="00AB27A5">
    <w:pPr>
      <w:pStyle w:val="Footer"/>
      <w:jc w:val="center"/>
    </w:pPr>
  </w:p>
  <w:p w14:paraId="08FE606A" w14:textId="77777777" w:rsidR="00AB27A5" w:rsidRDefault="00AB27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9E8E8" w14:textId="7435D84F" w:rsidR="00AB27A5" w:rsidRDefault="00AB27A5">
    <w:pPr>
      <w:pStyle w:val="Footer"/>
      <w:jc w:val="center"/>
    </w:pPr>
  </w:p>
  <w:p w14:paraId="5968E645" w14:textId="77777777" w:rsidR="00AB27A5" w:rsidRDefault="00AB27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37AF5" w14:textId="77777777" w:rsidR="00AB27A5" w:rsidRDefault="00AB27A5" w:rsidP="00707B2C">
    <w:pPr>
      <w:pStyle w:val="Footie"/>
      <w:rPr>
        <w:noProof/>
      </w:rPr>
    </w:pPr>
    <w:r>
      <w:fldChar w:fldCharType="begin"/>
    </w:r>
    <w:r>
      <w:instrText xml:space="preserve"> PAGE   \* MERGEFORMAT </w:instrText>
    </w:r>
    <w:r>
      <w:fldChar w:fldCharType="separate"/>
    </w:r>
    <w:r>
      <w:rPr>
        <w:noProof/>
      </w:rPr>
      <w:t>2</w:t>
    </w:r>
    <w:r>
      <w:rPr>
        <w:noProof/>
      </w:rPr>
      <w:fldChar w:fldCharType="end"/>
    </w:r>
  </w:p>
  <w:p w14:paraId="70E4E657" w14:textId="0F2A8D82" w:rsidR="00AB27A5" w:rsidRPr="00D972AB" w:rsidRDefault="00AB27A5" w:rsidP="00D972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43D0C" w14:textId="77777777" w:rsidR="00AB27A5" w:rsidRDefault="00AB27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D66CA" w14:textId="77777777" w:rsidR="00AB27A5" w:rsidRDefault="00AB2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B5CF3" w14:textId="77777777" w:rsidR="009337C2" w:rsidRDefault="009337C2" w:rsidP="009A6E72">
      <w:r>
        <w:separator/>
      </w:r>
    </w:p>
  </w:footnote>
  <w:footnote w:type="continuationSeparator" w:id="0">
    <w:p w14:paraId="724CE883" w14:textId="77777777" w:rsidR="009337C2" w:rsidRDefault="009337C2" w:rsidP="009A6E72">
      <w:r>
        <w:continuationSeparator/>
      </w:r>
    </w:p>
  </w:footnote>
  <w:footnote w:type="continuationNotice" w:id="1">
    <w:p w14:paraId="6BA161F9" w14:textId="77777777" w:rsidR="009337C2" w:rsidRDefault="009337C2"/>
  </w:footnote>
  <w:footnote w:id="2">
    <w:p w14:paraId="46CAA1CF" w14:textId="6061068E"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{"citationItems":[{"id":"ITEM-1","itemData":{"URL":"https://coast.noaa.gov/hurricanes/","accessed":{"date-parts":[["2018","10","3"]]},"author":[{"dropping-particle":"","family":"National Oceanic and Atmospheric Administration","given":"","non-dropping-particle":"","parse-names":false,"suffix":""}],"id":"ITEM-1","issued":{"date-parts":[["0"]]},"title":"Historical Hurricane Tracks","type":"webpage"},"uris":["http://www.mendeley.com/documents/?uuid=13d5054e-a4ed-37fb-95b5-4de51fc294e6"]}],"mendeley":{"formattedCitation":"National Oceanic and Atmospheric Administration, “Historical Hurricane Tracks,” accessed October 3, 2018, https://coast.noaa.gov/hurricanes/.","plainTextFormattedCitation":"National Oceanic and Atmospheric Administration, “Historical Hurricane Tracks,” accessed October 3, 2018, https://coast.noaa.gov/hurricanes/.","previouslyFormattedCitation":"National Oceanic and Atmospheric Administration, “Historical Hurricane Tracks,” accessed October 3, 2018, https://coast.noaa.gov/hurricanes/."},"properties":{"noteIndex":1},"schema":"https://github.com/citation-style-language/schema/raw/master/csl-citation.json"}</w:instrText>
      </w:r>
      <w:r>
        <w:fldChar w:fldCharType="separate"/>
      </w:r>
      <w:r w:rsidRPr="004172F2">
        <w:rPr>
          <w:noProof/>
        </w:rPr>
        <w:t>National Oceanic and Atmospheric Administration, “Historical Hurricane Tracks,” accessed October 3, 2018, https://coast.noaa.gov/hurricanes/.</w:t>
      </w:r>
      <w:r>
        <w:fldChar w:fldCharType="end"/>
      </w:r>
    </w:p>
  </w:footnote>
  <w:footnote w:id="3">
    <w:p w14:paraId="4667B7D6" w14:textId="004BA3EB"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{"citationItems":[{"id":"ITEM-1","itemData":{"abstract":"Katrina was an extraordinarily powerful and deadly hurricane that carved a wide swath of\r\ncatastrophic damage and inflicted large loss of life. It was the costliest and one of the five\r\ndeadliest hurricanes to ever strike the United States. Katrina first caused fatalities and damage in\r\nsouthern Florida as a Category 1 hurricane on the Saffir-Simpson Hurricane Scale. After\r\nreaching Category 5 intensity over the central Gulf of Mexico, Katrina weakened to Category 3\r\nbefore making landfall on the northern Gulf coast. Even so, the damage and loss of life inflicted\r\nby this massive hurricane in Louisiana and Mississippi were staggering, with significant effects\r\nextending into the Florida panhandle, Georgia, and Alabama. Considering the scope of its\r\nimpacts, Katrina was one of the most devastating natural disasters in United States history.","author":[{"dropping-particle":"","family":"Knabb","given":"Richard D","non-dropping-particle":"","parse-names":false,"suffix":""},{"dropping-particle":"","family":"Rhome","given":"Jamie R","non-dropping-particle":"","parse-names":false,"suffix":""},{"dropping-particle":"","family":"Brown","given":"Daniel P","non-dropping-particle":"","parse-names":false,"suffix":""}],"id":"ITEM-1","issued":{"date-parts":[["2005"]]},"title":"Tropical Cyclone Report Hurricane Katrina 23-30 August 2005","type":"report"},"uris":["http://www.mendeley.com/documents/?uuid=f71d96b0-66be-310a-975f-c5f7c77c63f2"]}],"mendeley":{"formattedCitation":"Richard D Knabb, Jamie R Rhome, and Daniel P Brown, “Tropical Cyclone Report Hurricane Katrina 23-30 August 2005,” 2005, https://www.nhc.noaa.gov/data/tcr/AL122005_Katrina.pdf.","plainTextFormattedCitation":"Richard D Knabb, Jamie R Rhome, and Daniel P Brown, “Tropical Cyclone Report Hurricane Katrina 23-30 August 2005,” 2005, https://www.nhc.noaa.gov/data/tcr/AL122005_Katrina.pdf.","previouslyFormattedCitation":"Richard D Knabb, Jamie R Rhome, and Daniel P Brown, “Tropical Cyclone Report Hurricane Katrina 23-30 August 2005,” 2005, https://www.nhc.noaa.gov/data/tcr/AL122005_Katrina.pdf."},"properties":{"noteIndex":2},"schema":"https://github.com/citation-style-language/schema/raw/master/csl-citation.json"}</w:instrText>
      </w:r>
      <w:r>
        <w:fldChar w:fldCharType="separate"/>
      </w:r>
      <w:r w:rsidRPr="008D03A1">
        <w:rPr>
          <w:noProof/>
        </w:rPr>
        <w:t>Richard D Knabb, Jamie R Rhome, and Daniel P Brown, “Tropical Cyclone Report Hurricane Katrina 23-30 August 2005,” 2005, https://www.nhc.noaa.gov/data/tcr/AL122005_Katrina.pdf.</w:t>
      </w:r>
      <w:r>
        <w:fldChar w:fldCharType="end"/>
      </w:r>
    </w:p>
  </w:footnote>
  <w:footnote w:id="4">
    <w:p w14:paraId="396BC3DB" w14:textId="61AFE906"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{"citationItems":[{"id":"ITEM-1","itemData":{"ISBN":"1,500,000,000","author":[{"dropping-particle":"","family":"National Hurricane Center","given":"","non-dropping-particle":"","parse-names":false,"suffix":""}],"id":"ITEM-1","issued":{"date-parts":[["2018"]]},"title":"Costliest US Tropical Cyclones","type":"report"},"uris":["http://www.mendeley.com/documents/?uuid=6b79e559-3b14-396a-8798-7b94a829c5fd"]}],"mendeley":{"formattedCitation":"National Hurricane Center, “Costliest US Tropical Cyclones,” 2018, https://www.nhc.noaa.gov/pdf/nws-nhc-6.pdf.","plainTextFormattedCitation":"National Hurricane Center, “Costliest US Tropical Cyclones,” 2018, https://www.nhc.noaa.gov/pdf/nws-nhc-6.pdf.","previouslyFormattedCitation":"National Hurricane Center, “Costliest US Tropical Cyclones,” 2018, https://www.nhc.noaa.gov/pdf/nws-nhc-6.pdf."},"properties":{"noteIndex":3},"schema":"https://github.com/citation-style-language/schema/raw/master/csl-citation.json"}</w:instrText>
      </w:r>
      <w:r>
        <w:fldChar w:fldCharType="separate"/>
      </w:r>
      <w:r w:rsidRPr="008D03A1">
        <w:rPr>
          <w:noProof/>
        </w:rPr>
        <w:t>National Hurricane Center, “Costliest US Tropical Cyclones,” 2018, https://www.nhc.noaa.gov/pdf/nws-nhc-6.pdf.</w:t>
      </w:r>
      <w:r>
        <w:fldChar w:fldCharType="end"/>
      </w:r>
    </w:p>
  </w:footnote>
  <w:footnote w:id="5">
    <w:p w14:paraId="788AB68D" w14:textId="0F10AC5F" w:rsidR="00AB27A5" w:rsidRDefault="00AB27A5">
      <w:pPr>
        <w:pStyle w:val="FootnoteText"/>
      </w:pPr>
      <w:r w:rsidRPr="00D05B51">
        <w:rPr>
          <w:rStyle w:val="FootnoteReference"/>
        </w:rPr>
        <w:footnoteRef/>
      </w:r>
      <w:r>
        <w:t xml:space="preserve"> The Stafford Act is a law which prompts federal assistance after the damage from a natural disaster overpowers local government’s ability to manage.</w:t>
      </w:r>
    </w:p>
  </w:footnote>
  <w:footnote w:id="6">
    <w:p w14:paraId="7B541117" w14:textId="13A5C54E" w:rsidR="00AB27A5" w:rsidRDefault="00AB27A5" w:rsidP="00CD7084">
      <w:pPr>
        <w:pStyle w:val="FootnoteText"/>
      </w:pPr>
      <w:r w:rsidRPr="00D05B51">
        <w:rPr>
          <w:rStyle w:val="FootnoteReference"/>
        </w:rPr>
        <w:footnoteRef/>
      </w:r>
      <w:r>
        <w:t xml:space="preserve"> </w:t>
      </w:r>
      <w:r>
        <w:fldChar w:fldCharType="begin" w:fldLock="1"/>
      </w:r>
      <w:r>
        <w:instrText>ADDIN CSL_CITATION {"citationItems":[{"id":"ITEM-1","itemData":{"abstract":"Some have criticized the Federal Emergency Management Agency's (FEMA's) emergency housing policies, particularly its approach to health and safety standards (as exemplified by the evidence of formaldehyde in both trailers and mobile homes), as well as its overall strategy to perform its housing mission. To address disaster housing issues, Congress could opt to consider questions such as the following. How have disaster housing needs traditionally been addressed under the Stafford Disaster Relief and Emergency Assistance Act (P.L. 93-288, as amended)? How did FEMA's approach during Hurricane Katrina differ from previous disasters and why? With a substantial amount of available funding provided by Congress, but without requesting expanded authority, FEMA found its sole option was to use traditional disaster housing practices. Those practices, successful for disasters of a historically familiar size, were hard-pressed to meet the unprecedented demands of the Katrina catastrophic disaster.","author":[{"dropping-particle":"","family":"Mccarthy","given":"Francis X","non-dropping-particle":"","parse-names":false,"suffix":""}],"id":"ITEM-1","issued":{"date-parts":[["2008"]]},"title":"FEMA Disaster Housing and Hurricane Katrina: Overview, Analysis, and Congressional Issues Analyst, Emergency Management Policy Government and Finance Division","type":"report"},"uris":["http://www.mendeley.com/documents/?uuid=61bfffa3-3c7b-330c-bf0c-496153f4ebe0"]}],"mendeley":{"formattedCitation":"Francis X Mccarthy, “FEMA Disaster Housing and Hurricane Katrina: Overview, Analysis, and Congressional Issues Analyst, Emergency Management Policy Government and Finance Division,” 2008, https://www.everycrsreport.com/files/20080626_RL34087_3589fbe2b9ef4969781a461cca14b34b36e208b3.pdf.","plainTextFormattedCitation":"Francis X Mccarthy, “FEMA Disaster Housing and Hurricane Katrina: Overview, Analysis, and Congressional Issues Analyst, Emergency Management Policy Government and Finance Division,” 2008, https://www.everycrsreport.com/files/20080626_RL34087_3589fbe2b9ef4969781a461cca14b34b36e208b3.pdf.","previouslyFormattedCitation":"Francis X Mccarthy, “FEMA Disaster Housing and Hurricane Katrina: Overview, Analysis, and Congressional Issues Analyst, Emergency Management Policy Government and Finance Division,” 2008, https://www.everycrsreport.com/files/20080626_RL34087_3589fbe2b9ef4969781a461cca14b34b36e208b3.pdf."},"properties":{"noteIndex":5},"schema":"https://github.com/citation-style-language/schema/raw/master/csl-citation.json"}</w:instrText>
      </w:r>
      <w:r>
        <w:fldChar w:fldCharType="separate"/>
      </w:r>
      <w:r w:rsidRPr="000B54A6">
        <w:rPr>
          <w:noProof/>
        </w:rPr>
        <w:t>Francis X Mccarthy, “FEMA Disaster Housing and Hurricane Katrina: Overview, Analysis, and Congressional Issues Analyst, Emergency Management Policy Government and Finance Division,” 2008, https://www.everycrsreport.com/files/20080626_RL34087_3589fbe2b9ef4969781a461cca14b34b36e208b3.pdf.</w:t>
      </w:r>
      <w:r>
        <w:fldChar w:fldCharType="end"/>
      </w:r>
    </w:p>
  </w:footnote>
  <w:footnote w:id="7">
    <w:p w14:paraId="46DE683A" w14:textId="02B23E3A"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{"citationItems":[{"id":"ITEM-1","itemData":{"author":[{"dropping-particle":"","family":"US Department of Homeland Security","given":"","non-dropping-particle":"","parse-names":false,"suffix":""}],"id":"ITEM-1","issue":"December","issued":{"date-parts":[["2004"]]},"number-of-pages":"2005","title":"National Response Plan","type":"report"},"uris":["http://www.mendeley.com/documents/?uuid=dace9b30-1f39-4254-a1e8-5dfcd2eb172b"]}],"mendeley":{"formattedCitation":"US Department of Homeland Security, “National Response Plan,” 2004.","plainTextFormattedCitation":"US Department of Homeland Security, “National Response Plan,” 2004.","previouslyFormattedCitation":"US Department of Homeland Security, “National Response Plan,” 2004."},"properties":{"noteIndex":6},"schema":"https://github.com/citation-style-language/schema/raw/master/csl-citation.json"}</w:instrText>
      </w:r>
      <w:r>
        <w:fldChar w:fldCharType="separate"/>
      </w:r>
      <w:r w:rsidRPr="001B65D1">
        <w:rPr>
          <w:noProof/>
        </w:rPr>
        <w:t>US Department of Homeland Security, “National Response Plan,” 2004.</w:t>
      </w:r>
      <w:r>
        <w:fldChar w:fldCharType="end"/>
      </w:r>
    </w:p>
  </w:footnote>
  <w:footnote w:id="8">
    <w:p w14:paraId="7DBB6215" w14:textId="45685309" w:rsidR="00AB27A5" w:rsidRDefault="00AB27A5" w:rsidP="008C0ADA">
      <w:pPr>
        <w:pStyle w:val="FootnoteText"/>
      </w:pPr>
      <w:r w:rsidRPr="00D05B51">
        <w:rPr>
          <w:rStyle w:val="FootnoteReference"/>
        </w:rPr>
        <w:footnoteRef/>
      </w:r>
      <w:r>
        <w:t xml:space="preserve"> </w:t>
      </w:r>
      <w:r>
        <w:fldChar w:fldCharType="begin" w:fldLock="1"/>
      </w:r>
      <w:r>
        <w:instrText>ADDIN CSL_CITATION {"citationItems":[{"id":"ITEM-1","itemData":{"author":[{"dropping-particle":"","family":"Townsend","given":"Frances Fragos","non-dropping-particle":"","parse-names":false,"suffix":""}],"id":"ITEM-1","issued":{"date-parts":[["2006"]]},"title":"The Federal Response to Hurricane Katrina: Lessons Learned","type":"report"},"uris":["http://www.mendeley.com/documents/?uuid=ebb25d5b-4400-3277-b036-a4238687f0cf"]}],"mendeley":{"formattedCitation":"Frances Fragos Townsend, “The Federal Response to Hurricane Katrina: Lessons Learned,” 2006, http://www.au.af.mil/au/awc/awcgate/whitehouse/katrina/katrina-lessons-learned.pdf.","plainTextFormattedCitation":"Frances Fragos Townsend, “The Federal Response to Hurricane Katrina: Lessons Learned,” 2006, http://www.au.af.mil/au/awc/awcgate/whitehouse/katrina/katrina-lessons-learned.pdf.","previouslyFormattedCitation":"Frances Fragos Townsend, “The Federal Response to Hurricane Katrina: Lessons Learned,” 2006, http://www.au.af.mil/au/awc/awcgate/whitehouse/katrina/katrina-lessons-learned.pdf."},"properties":{"noteIndex":7},"schema":"https://github.com/citation-style-language/schema/raw/master/csl-citation.json"}</w:instrText>
      </w:r>
      <w:r>
        <w:fldChar w:fldCharType="separate"/>
      </w:r>
      <w:r w:rsidRPr="00C63C1D">
        <w:rPr>
          <w:noProof/>
        </w:rPr>
        <w:t>Frances Fragos Townsend, “The Federal Response to Hurricane Katrina: Lessons Learned,” 2006, http://www.au.af.mil/au/awc/awcgate/whitehouse/katrina/katrina-lessons-learned.pdf.</w:t>
      </w:r>
      <w:r>
        <w:fldChar w:fldCharType="end"/>
      </w:r>
    </w:p>
  </w:footnote>
  <w:footnote w:id="9">
    <w:p w14:paraId="1E3739E6" w14:textId="5D84FA68"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{"citationItems":[{"id":"ITEM-1","itemData":{"author":[{"dropping-particle":"","family":"US Department of Homeland Security","given":"","non-dropping-particle":"","parse-names":false,"suffix":""}],"id":"ITEM-1","issued":{"date-parts":[["2009"]]},"title":"National Disaster Housing Strategy","type":"report"},"uris":["http://www.mendeley.com/documents/?uuid=189b4009-c2e5-3b1e-a29c-a254cc2421a4"]}],"mendeley":{"formattedCitation":"US Department of Homeland Security, “National Disaster Housing Strategy,” 2009, https://www.fema.gov/media-library-data/20130726-1819-25045-9288/ndhs_core.pdf.","plainTextFormattedCitation":"US Department of Homeland Security, “National Disaster Housing Strategy,” 2009, https://www.fema.gov/media-library-data/20130726-1819-25045-9288/ndhs_core.pdf.","previouslyFormattedCitation":"US Department of Homeland Security, “National Disaster Housing Strategy,” 2009, https://www.fema.gov/media-library-data/20130726-1819-25045-9288/ndhs_core.pdf."},"properties":{"noteIndex":8},"schema":"https://github.com/citation-style-language/schema/raw/master/csl-citation.json"}</w:instrText>
      </w:r>
      <w:r>
        <w:fldChar w:fldCharType="separate"/>
      </w:r>
      <w:r w:rsidRPr="001B65D1">
        <w:rPr>
          <w:noProof/>
        </w:rPr>
        <w:t>US Department of Homeland Security, “National Disaster Housing Strategy,” 2009, https://www.fema.gov/media-library-data/20130726-1819-25045-9288/ndhs_core.pdf.</w:t>
      </w:r>
      <w:r>
        <w:fldChar w:fldCharType="end"/>
      </w:r>
    </w:p>
  </w:footnote>
  <w:footnote w:id="10">
    <w:p w14:paraId="5AC6C3A8" w14:textId="40435DEF"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{"citationItems":[{"id":"ITEM-1","itemData":{"author":[{"dropping-particle":"","family":"Townsend","given":"Frances Fragos","non-dropping-particle":"","parse-names":false,"suffix":""}],"id":"ITEM-1","issued":{"date-parts":[["2006"]]},"title":"The Federal Response to Hurricane Katrina: Lessons Learned","type":"report"},"uris":["http://www.mendeley.com/documents/?uuid=ebb25d5b-4400-3277-b036-a4238687f0cf"]}],"mendeley":{"formattedCitation":"Townsend, “The Federal Response to Hurricane Katrina: Lessons Learned.”","plainTextFormattedCitation":"Townsend, “The Federal Response to Hurricane Katrina: Lessons Learned.”","previouslyFormattedCitation":"Townsend, “The Federal Response to Hurricane Katrina: Lessons Learned.”"},"properties":{"noteIndex":9},"schema":"https://github.com/citation-style-language/schema/raw/master/csl-citation.json"}</w:instrText>
      </w:r>
      <w:r>
        <w:fldChar w:fldCharType="separate"/>
      </w:r>
      <w:r w:rsidRPr="00C63C1D">
        <w:rPr>
          <w:noProof/>
        </w:rPr>
        <w:t>Townsend, “The Federal Response to Hurricane Katrina: Lessons Learned.”</w:t>
      </w:r>
      <w:r>
        <w:fldChar w:fldCharType="end"/>
      </w:r>
    </w:p>
  </w:footnote>
  <w:footnote w:id="11">
    <w:p w14:paraId="4852731C" w14:textId="36DA2559" w:rsidR="00AB27A5" w:rsidRDefault="00AB27A5">
      <w:pPr>
        <w:pStyle w:val="FootnoteText"/>
      </w:pPr>
      <w:r>
        <w:rPr>
          <w:rStyle w:val="FootnoteReference"/>
        </w:rPr>
        <w:footnoteRef/>
      </w:r>
      <w:r>
        <w:t xml:space="preserve"> </w:t>
      </w:r>
      <w:r>
        <w:fldChar w:fldCharType="begin" w:fldLock="1"/>
      </w:r>
      <w:r>
        <w:instrText>ADDIN CSL_CITATION {"citationItems":[{"id":"ITEM-1","itemData":{"abstract":"In 2005, Hurricanes Katrina and Rita caused unprecedented damage. FEMA's Individuals and Households Program (IHP), provides direct assistance (temporary housing units) and financial assistance (grant funding for temporary housing and other disaster-related needs) to eligible individuals affected by disasters. Our objectives were to (1) compare the types and amounts of IHP assistance provided to Hurricanes Katrina and Rita victims to other recent hurricanes, (2) describe the challenges FEMA faced by the magnitude of the requests for assistance following Hurricanes Katrina and Rita, and (3) determine the vulnerability of the IHP program to fraud and abuse. GAO determined the extent to which the program was vulnerability to fraud and abuse, by conducting statistical sampling, data mining and undercover operations. What GAO Recommends GAO is recommending that FEMA address the potential for fraud and abuse in the IHP by ensuring that payments go to recipients at valid addresses; establishing procedures to avoid duplicate lodging payments; increasing accountability over debit cards; and identifying and recouping payments based on improper and potentially fraudulent applications. FEMA substantially agreed with our recommendations; however DHS disagreed with our estimate of the extent of improper and potentially fraudulent payments. For Hurricanes Katrina and Rita, FEMA received more than 2.4 million applications for IHP assistance and distributed $7.0 billion as compared to the six hurricanes that hit the United States in the prior two years and totaled about 1.5 million applications and about $1.5 billion in assistance, respectively. Temporary housing assistance and expedited assistance accounted for much of the increase in IHP expenditures as compared to prior years. Overall, however, although the number of applications was much higher, the percentage approved for non-housing assistance was notably lower for Hurricanes Katrina and Rita than in 2003 and 2004. The magnitude of Hurricanes Katrina and Rita posed challenges in providing assistance to an unprecedented number of victims many of whom were widely dispersed across the country. To address these challenges, FEMA developed new approaches and adapted existing approaches to quickly provide assistance and improve communication with victims. Despite these efforts, management challenges in staffing and training and program restrictions limited the effectiveness and efficiency of the disaster assistance proces…","author":[{"dropping-particle":"","family":"US Government Accountability Office","given":"","non-dropping-particle":"","parse-names":false,"suffix":""}],"id":"ITEM-1","issued":{"date-parts":[["2006"]]},"title":"Hurricanes Katrina and Rita: Unprecedented Challenges Exposed the Individuals and Households Program to Fraud and Abuse; Actions Needed to Reduce Such Problems in Future","type":"report"},"locator":"4","uris":["http://www.mendeley.com/documents/?uuid=237a6ab4-abfe-3ec3-92fe-cd01a371fc14"]}],"mendeley":{"formattedCitation":"US Government Accountability Office, “Hurricanes Katrina and Rita: Unprecedented Challenges Exposed the Individuals and Households Program to Fraud and Abuse; Actions Needed to Reduce Such Problems in Future,” 2006, 4, www.gao.gov/cgi-bin/getrpt?GAO-06-1013.","plainTextFormattedCitation":"US Government Accountability Office, “Hurricanes Katrina and Rita: Unprecedented Challenges Exposed the Individuals and Households Program to Fraud and Abuse; Actions Needed to Reduce Such Problems in Future,” 2006, 4, www.gao.gov/cgi-bin/getrpt?GAO-06-1013.","previouslyFormattedCitation":"US Government Accountability Office, “Hurricanes Katrina and Rita: Unprecedented Challenges Exposed the Individuals and Households Program to Fraud and Abuse; Actions Needed to Reduce Such Problems in Future,” 2006, 4, www.gao.gov/cgi-bin/getrpt?GAO-06-1013."},"properties":{"noteIndex":10},"schema":"https://github.com/citation-style-language/schema/raw/master/csl-citation.json"}</w:instrText>
      </w:r>
      <w:r>
        <w:fldChar w:fldCharType="separate"/>
      </w:r>
      <w:r w:rsidRPr="005C23AD">
        <w:rPr>
          <w:noProof/>
        </w:rPr>
        <w:t>US Government Accountability Office, “Hurricanes Katrina and Rita: Unprecedented Challenges Exposed the Individuals and Households Program to Fraud and Abuse; Actions Needed to Reduce Such Problems in Future,” 2006, 4, www.gao.gov/cgi-bin/getrpt?GAO-06-1013.</w:t>
      </w:r>
      <w:r>
        <w:fldChar w:fldCharType="end"/>
      </w:r>
    </w:p>
  </w:footnote>
  <w:footnote w:id="12">
    <w:p w14:paraId="5926E119" w14:textId="63C6CB77" w:rsidR="00AB27A5" w:rsidRDefault="00AB27A5" w:rsidP="008E517E">
      <w:pPr>
        <w:pStyle w:val="FootnoteText"/>
      </w:pPr>
      <w:r w:rsidRPr="00D05B51">
        <w:rPr>
          <w:rStyle w:val="FootnoteReference"/>
        </w:rPr>
        <w:footnoteRef/>
      </w:r>
      <w:r>
        <w:t xml:space="preserve"> </w:t>
      </w:r>
      <w:r>
        <w:fldChar w:fldCharType="begin" w:fldLock="1"/>
      </w:r>
      <w:r>
        <w:instrText>ADDIN CSL_CITATION {"citationItems":[{"id":"ITEM-1","itemData":{"author":[{"dropping-particle":"","family":"Anderson","given":"Tessa","non-dropping-particle":"","parse-names":false,"suffix":""}],"id":"ITEM-1","issued":{"date-parts":[["2006"]]},"publisher":"CH2MHill","title":"So What Exactly Does It Take To Install A FEMA Trailer?","type":"article"},"uris":["http://www.mendeley.com/documents/?uuid=26eabece-b811-3bdb-abf9-838b54695a63"]}],"mendeley":{"formattedCitation":"Tessa Anderson, “So What Exactly Does It Take To Install A FEMA Trailer?” (CH2MHill, 2006), https://www.jumpjet.info/Emergency-Preparedness/Neighborly-Response/Outside/So_What_Exactly_Does_It_Take_To_Install_A_FEMA_Trailer.pdf.","plainTextFormattedCitation":"Tessa Anderson, “So What Exactly Does It Take To Install A FEMA Trailer?” (CH2MHill, 2006), https://www.jumpjet.info/Emergency-Preparedness/Neighborly-Response/Outside/So_What_Exactly_Does_It_Take_To_Install_A_FEMA_Trailer.pdf.","previouslyFormattedCitation":"Tessa Anderson, “So What Exactly Does It Take To Install A FEMA Trailer?” (CH2MHill, 2006), https://www.jumpjet.info/Emergency-Preparedness/Neighborly-Response/Outside/So_What_Exactly_Does_It_Take_To_Install_A_FEMA_Trailer.pdf."},"properties":{"noteIndex":11},"schema":"https://github.com/citation-style-language/schema/raw/master/csl-citation.json"}</w:instrText>
      </w:r>
      <w:r>
        <w:fldChar w:fldCharType="separate"/>
      </w:r>
      <w:r w:rsidRPr="00EB382C">
        <w:rPr>
          <w:noProof/>
        </w:rPr>
        <w:t>Tessa Anderson, “So What Exactly Does It Take To Install A FEMA Trailer?” (CH2MHill, 2006), https://www.jumpjet.info/Emergency-Preparedness/Neighborly-Response/Outside/So_What_Exactly_Does_It_Take_To_Install_A_FEMA_Trailer.pdf.</w:t>
      </w:r>
      <w:r>
        <w:fldChar w:fldCharType="end"/>
      </w:r>
    </w:p>
  </w:footnote>
  <w:footnote w:id="13">
    <w:p w14:paraId="43965EFD" w14:textId="27518426" w:rsidR="00AB27A5" w:rsidRDefault="00AB27A5" w:rsidP="008E517E">
      <w:pPr>
        <w:pStyle w:val="FootnoteText"/>
      </w:pPr>
      <w:r w:rsidRPr="00D05B51">
        <w:rPr>
          <w:rStyle w:val="FootnoteReference"/>
        </w:rPr>
        <w:footnoteRef/>
      </w:r>
      <w:r>
        <w:t xml:space="preserve"> </w:t>
      </w:r>
      <w:r>
        <w:fldChar w:fldCharType="begin" w:fldLock="1"/>
      </w:r>
      <w:r>
        <w:instrText>ADDIN CSL_CITATION {"citationItems":[{"id":"ITEM-1","itemData":{"author":[{"dropping-particle":"","family":"US Government Accountability Office","given":"","non-dropping-particle":"","parse-names":false,"suffix":""}],"id":"ITEM-1","issued":{"date-parts":[["2006"]]},"title":"Agency Management of Contractors Responding to Hurricanes Katrina and Rita","type":"report"},"uris":["http://www.mendeley.com/documents/?uuid=909e12aa-64be-3226-aea1-a74c0ca5c699"]}],"mendeley":{"formattedCitation":"US Government Accountability Office, “Agency Management of Contractors Responding to Hurricanes Katrina and Rita,” 2006, http://www.gao.gov.","plainTextFormattedCitation":"US Government Accountability Office, “Agency Management of Contractors Responding to Hurricanes Katrina and Rita,” 2006, http://www.gao.gov.","previouslyFormattedCitation":"US Government Accountability Office, “Agency Management of Contractors Responding to Hurricanes Katrina and Rita,” 2006, http://www.gao.gov."},"properties":{"noteIndex":12},"schema":"https://github.com/citation-style-language/schema/raw/master/csl-citation.json"}</w:instrText>
      </w:r>
      <w:r>
        <w:fldChar w:fldCharType="separate"/>
      </w:r>
      <w:r w:rsidRPr="00185A44">
        <w:rPr>
          <w:noProof/>
        </w:rPr>
        <w:t>US Government Accountability Office, “Agency Management of Contractors Responding to Hurricanes Katrina and Rita,” 2006, http://www.gao.gov.</w:t>
      </w:r>
      <w:r>
        <w:fldChar w:fldCharType="end"/>
      </w:r>
    </w:p>
  </w:footnote>
  <w:footnote w:id="14">
    <w:p w14:paraId="21E6FCB0" w14:textId="64A3693A" w:rsidR="00AB27A5" w:rsidRDefault="00AB27A5">
      <w:pPr>
        <w:pStyle w:val="FootnoteText"/>
      </w:pPr>
      <w:r w:rsidRPr="00D05B51">
        <w:rPr>
          <w:rStyle w:val="FootnoteReference"/>
        </w:rPr>
        <w:footnoteRef/>
      </w:r>
      <w:r>
        <w:t xml:space="preserve"> The word ‘trailer’ in this research includes mobile homes such as travel trailers and park models built on chassis and do not usually exceed 400 square feet (37 square meters).</w:t>
      </w:r>
    </w:p>
  </w:footnote>
  <w:footnote w:id="15">
    <w:p w14:paraId="322640BA" w14:textId="438E9EB9"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{"citationItems":[{"id":"ITEM-1","itemData":{"DOI":"10.1111/j.1600-0668.2012.00800.x","ISSN":"09056947","author":[{"dropping-particle":"","family":"Murphy","given":"M. W.","non-dropping-particle":"","parse-names":false,"suffix":""},{"dropping-particle":"","family":"Lando","given":"J. F.","non-dropping-particle":"","parse-names":false,"suffix":""},{"dropping-particle":"","family":"Kieszak","given":"S. M.","non-dropping-particle":"","parse-names":false,"suffix":""},{"dropping-particle":"","family":"Sutter","given":"M. E.","non-dropping-particle":"","parse-names":false,"suffix":""},{"dropping-particle":"","family":"Noonan","given":"G. P.","non-dropping-particle":"","parse-names":false,"suffix":""},{"dropping-particle":"","family":"Brunkard","given":"J. M.","non-dropping-particle":"","parse-names":false,"suffix":""},{"dropping-particle":"","family":"McGeehin","given":"M. A.","non-dropping-particle":"","parse-names":false,"suffix":""}],"container-title":"Indoor Air","id":"ITEM-1","issue":"2","issued":{"date-parts":[["2013","4","1"]]},"page":"134-141","publisher":"Wiley/Blackwell","title":"Formaldehyde levels in FEMA-supplied travel trailers, park models, and mobile homes in Louisiana and Mississippi","type":"article-journal","volume":"23"},"uris":["http://www.mendeley.com/documents/?uuid=7a124b99-7f6d-381f-adcd-02e9b2321544"]}],"mendeley":{"formattedCitation":"M. W. Murphy et al., “Formaldehyde Levels in FEMA-Supplied Travel Trailers, Park Models, and Mobile Homes in Louisiana and Mississippi,” &lt;i&gt;Indoor Air&lt;/i&gt; 23, no. 2 (April 1, 2013): 134–41, https://doi.org/10.1111/j.1600-0668.2012.00800.x.","plainTextFormattedCitation":"M. W. Murphy et al., “Formaldehyde Levels in FEMA-Supplied Travel Trailers, Park Models, and Mobile Homes in Louisiana and Mississippi,” Indoor Air 23, no. 2 (April 1, 2013): 134–41, https://doi.org/10.1111/j.1600-0668.2012.00800.x.","previouslyFormattedCitation":"M. W. Murphy et al., “Formaldehyde Levels in FEMA-Supplied Travel Trailers, Park Models, and Mobile Homes in Louisiana and Mississippi,” &lt;i&gt;Indoor Air&lt;/i&gt; 23, no. 2 (April 1, 2013): 134–41, https://doi.org/10.1111/j.1600-0668.2012.00800.x."},"properties":{"noteIndex":14},"schema":"https://github.com/citation-style-language/schema/raw/master/csl-citation.json"}</w:instrText>
      </w:r>
      <w:r>
        <w:fldChar w:fldCharType="separate"/>
      </w:r>
      <w:r w:rsidRPr="002E790E">
        <w:rPr>
          <w:noProof/>
        </w:rPr>
        <w:t xml:space="preserve">M. W. Murphy et al., “Formaldehyde Levels in FEMA-Supplied Travel Trailers, Park Models, and Mobile Homes in Louisiana and Mississippi,” </w:t>
      </w:r>
      <w:r w:rsidRPr="002E790E">
        <w:rPr>
          <w:i/>
          <w:noProof/>
        </w:rPr>
        <w:t>Indoor Air</w:t>
      </w:r>
      <w:r w:rsidRPr="002E790E">
        <w:rPr>
          <w:noProof/>
        </w:rPr>
        <w:t xml:space="preserve"> 23, no. 2 (April 1, 2013): 134–41, https://doi.org/10.1111/j.1600-0668.2012.00800.x.</w:t>
      </w:r>
      <w:r>
        <w:fldChar w:fldCharType="end"/>
      </w:r>
    </w:p>
  </w:footnote>
  <w:footnote w:id="16">
    <w:p w14:paraId="0AE2BEA8" w14:textId="56AF1617" w:rsidR="00AB27A5" w:rsidRDefault="00AB27A5" w:rsidP="00D915B8">
      <w:pPr>
        <w:pStyle w:val="FootnoteText"/>
      </w:pPr>
      <w:r w:rsidRPr="00D05B51">
        <w:rPr>
          <w:rStyle w:val="FootnoteReference"/>
        </w:rPr>
        <w:footnoteRef/>
      </w:r>
      <w:r>
        <w:t xml:space="preserve"> </w:t>
      </w:r>
      <w:r>
        <w:fldChar w:fldCharType="begin" w:fldLock="1"/>
      </w:r>
      <w:r>
        <w:instrText>ADDIN CSL_CITATION {"citationItems":[{"id":"ITEM-1","itemData":{"URL":"https://www.cancer.gov/about-cancer/causes-prevention/risk/substances/formaldehyde/formaldehyde-fact-sheet#r1","accessed":{"date-parts":[["2018","10","3"]]},"author":[{"dropping-particle":"","family":"National Cancer Institute","given":"","non-dropping-particle":"","parse-names":false,"suffix":""}],"id":"ITEM-1","issued":{"date-parts":[["2011"]]},"title":"Formaldehyde and Cancer Risk - National Cancer Institute","type":"webpage"},"uris":["http://www.mendeley.com/documents/?uuid=d35c327c-009d-38e1-ac06-870b30cad9ee"]}],"mendeley":{"formattedCitation":"National Cancer Institute, “Formaldehyde and Cancer Risk - National Cancer Institute,” 2011, https://www.cancer.gov/about-cancer/causes-prevention/risk/substances/formaldehyde/formaldehyde-fact-sheet#r1.","plainTextFormattedCitation":"National Cancer Institute, “Formaldehyde and Cancer Risk - National Cancer Institute,” 2011, https://www.cancer.gov/about-cancer/causes-prevention/risk/substances/formaldehyde/formaldehyde-fact-sheet#r1.","previouslyFormattedCitation":"National Cancer Institute, “Formaldehyde and Cancer Risk - National Cancer Institute,” 2011, https://www.cancer.gov/about-cancer/causes-prevention/risk/substances/formaldehyde/formaldehyde-fact-sheet#r1."},"properties":{"noteIndex":15},"schema":"https://github.com/citation-style-language/schema/raw/master/csl-citation.json"}</w:instrText>
      </w:r>
      <w:r>
        <w:fldChar w:fldCharType="separate"/>
      </w:r>
      <w:r w:rsidRPr="008D03A1">
        <w:rPr>
          <w:noProof/>
        </w:rPr>
        <w:t>National Cancer Institute, “Formaldehyde and Cancer Risk - National Cancer Institute,” 2011, https://www.cancer.gov/about-cancer/causes-prevention/risk/substances/formaldehyde/formaldehyde-fact-sheet#r1.</w:t>
      </w:r>
      <w:r>
        <w:fldChar w:fldCharType="end"/>
      </w:r>
    </w:p>
  </w:footnote>
  <w:footnote w:id="17">
    <w:p w14:paraId="5FBA8853" w14:textId="18217F88"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topclassactions.com/lawsuit-settlements/lawsuit-news/2558-fema-trailer-formaldehyde-class-action-settlement/","accessed":{"date-parts":[["2018","12","13"]]},"author":[{"dropping-particle":"","family":"O'Donnell","given":"Matt","non-dropping-particle":"","parse-names":false,"suffix":""}],"container-title":"Top Class Actions","id":"ITEM-1","issued":{"date-parts":[["2012"]]},"title":"FEMA Trailer Formaldehyde Class Action Settlement","type":"webpage"},"uris":["http://www.mendeley.com/documents/?uuid=3708772c-47fe-329a-9711-469b6ce7182f"]}],"mendeley":{"formattedCitation":"Matt O’Donnell, “FEMA Trailer Formaldehyde Class Action Settlement,” Top Class Actions, 2012, https://topclassactions.com/lawsuit-settlements/lawsuit-news/2558-fema-trailer-formaldehyde-class-action-settlement/.","plainTextFormattedCitation":"Matt O’Donnell, “FEMA Trailer Formaldehyde Class Action Settlement,” Top Class Actions, 2012, https://topclassactions.com/lawsuit-settlements/lawsuit-news/2558-fema-trailer-formaldehyde-class-action-settlement/.","previouslyFormattedCitation":"Matt O’Donnell, “FEMA Trailer Formaldehyde Class Action Settlement,” Top Class Actions, 2012, https://topclassactions.com/lawsuit-settlements/lawsuit-news/2558-fema-trailer-formaldehyde-class-action-settlement/."},"properties":{"noteIndex":16},"schema":"https://github.com/citation-style-language/schema/raw/master/csl-citation.json"}</w:instrText>
      </w:r>
      <w:r>
        <w:fldChar w:fldCharType="separate"/>
      </w:r>
      <w:r w:rsidRPr="00524374">
        <w:rPr>
          <w:noProof/>
        </w:rPr>
        <w:t>Matt O’Donnell, “FEMA Trailer Formaldehyde Class Action Settlement,” Top Class Actions, 2012, https://topclassactions.com/lawsuit-settlements/lawsuit-news/2558-fema-trailer-formaldehyde-class-action-settlement/.</w:t>
      </w:r>
      <w:r>
        <w:fldChar w:fldCharType="end"/>
      </w:r>
    </w:p>
  </w:footnote>
  <w:footnote w:id="18">
    <w:p w14:paraId="2EDDB715" w14:textId="43FA1C8E" w:rsidR="00AB27A5" w:rsidRDefault="00AB27A5" w:rsidP="00465971">
      <w:pPr>
        <w:pStyle w:val="FootnoteText"/>
      </w:pPr>
      <w:r w:rsidRPr="003024BA">
        <w:rPr>
          <w:rStyle w:val="FootnoteReference"/>
        </w:rPr>
        <w:footnoteRef/>
      </w:r>
      <w:r>
        <w:t xml:space="preserve"> </w:t>
      </w:r>
      <w:r>
        <w:fldChar w:fldCharType="begin" w:fldLock="1"/>
      </w:r>
      <w:r>
        <w:instrText>ADDIN CSL_CITATION {"citationItems":[{"id":"ITEM-1","itemData":{"URL":"https://www.l9wha.org/about","accessed":{"date-parts":[["2018","10","22"]]},"author":[{"dropping-particle":"","family":"L9W Homeownership Association","given":"","non-dropping-particle":"","parse-names":false,"suffix":""}],"id":"ITEM-1","issued":{"date-parts":[["2016"]]},"publisher":"Lower 9th Ward Homeownership Association","title":"Our Community","type":"webpage"},"uris":["http://www.mendeley.com/documents/?uuid=a4818ef0-bc45-34bb-9b28-141cd5c302d9"]}],"mendeley":{"formattedCitation":"L9W Homeownership Association, “Our Community” (Lower 9th Ward Homeownership Association, 2016), https://www.l9wha.org/about.","plainTextFormattedCitation":"L9W Homeownership Association, “Our Community” (Lower 9th Ward Homeownership Association, 2016), https://www.l9wha.org/about.","previouslyFormattedCitation":"L9W Homeownership Association, “Our Community” (Lower 9th Ward Homeownership Association, 2016), https://www.l9wha.org/about."},"properties":{"noteIndex":17},"schema":"https://github.com/citation-style-language/schema/raw/master/csl-citation.json"}</w:instrText>
      </w:r>
      <w:r>
        <w:fldChar w:fldCharType="separate"/>
      </w:r>
      <w:r w:rsidRPr="00EB382C">
        <w:rPr>
          <w:noProof/>
        </w:rPr>
        <w:t>L9W Homeownership Association, “Our Community” (Lower 9th Ward Homeownership Association, 2016), https://www.l9wha.org/about.</w:t>
      </w:r>
      <w:r>
        <w:fldChar w:fldCharType="end"/>
      </w:r>
    </w:p>
  </w:footnote>
  <w:footnote w:id="19">
    <w:p w14:paraId="0AC55DA0" w14:textId="12161A9B" w:rsidR="00AB27A5" w:rsidRDefault="00AB27A5" w:rsidP="00465971">
      <w:pPr>
        <w:pStyle w:val="FootnoteText"/>
      </w:pPr>
      <w:r w:rsidRPr="003024BA">
        <w:rPr>
          <w:rStyle w:val="FootnoteReference"/>
        </w:rPr>
        <w:footnoteRef/>
      </w:r>
      <w:r>
        <w:t xml:space="preserve"> </w:t>
      </w:r>
      <w:r>
        <w:fldChar w:fldCharType="begin" w:fldLock="1"/>
      </w:r>
      <w:r>
        <w:instrText>ADDIN CSL_CITATION {"citationItems":[{"id":"ITEM-1","itemData":{"abstract":"On the morning of August 29, 2005, Hurricane Katrina made landfall on the Gulf Coast between the major cities of New Orleans, Louisiana, to the west, and Mobile, Alabama, to the east. Along the Gulf Coast and inland in the swath of the storm, Hurricane Katrina hundreds of thousands of families in three states (Louisiana, Mississippi, and Alabama) and contributed to the deaths of more than 1,000 people. While CRS estimates that 5.8 million people in three states may have experienced hurricane-force winds, the majority rode out the storm safely. Property damage, loss of life, and sizeable displacement of the population appear to have been largely concentrated along the Gulf Coast within a 100-mile radius of where the storm made landfall. Within this area, damage due to high winds and storm surge resulted in significant devastation, but flooding, largely resulting from breached levees and flood walls, affected the greatest number of people, with much of New Orleans flooded. CRS estimates that 700,000 or more people may have been acutely impacted by Hurricane Katrina, as a result of residing in areas that flooded or sustained significant structural damage. This estimate is based on geographical analysis of Federal Emergency Management Agency (FEMA) flood and damage assessments and year 2000 Census data. The estimates in this report are subject to the methods and assumptions used. Other agencies and organizations are conducting assessments using alternative and complementary methodologies; estimates may differ depending upon the specific methodologies used. In the case of this analysis, the estimates reflect the numbers and characteristics of people, families, and households in 2000, who lived in areas that suffered damage or flooding from the hurricane in 2005. The analysis shows that the Louisiana parishes of Orleans and St. Bernard were especially hard hit by flooding, with an estimated 77% of Orleans’ population affected, and nearly all residents of St. Bernard. In Mississippi, 55% of Hancock County’s population is estimated to have been affected by flooding and/or structural damage, and in the more populous Harrison County, about 19% of its population. In Louisiana, an estimated 645,000 people may have been displaced by the hurricane (based on 2000 Census data), and in Mississippi, 66,000. Hurricane Katrina had varying impacts on the population. CRS estimates that of the people most likely to have been displaced by the hurricane, about half lived in New…","author":[{"dropping-particle":"","family":"Gabe","given":"Thomas","non-dropping-particle":"","parse-names":false,"suffix":""},{"dropping-particle":"","family":"Falk","given":"Gene","non-dropping-particle":"","parse-names":false,"suffix":""},{"dropping-particle":"","family":"McCarty","given":"Maggie","non-dropping-particle":"","parse-names":false,"suffix":""},{"dropping-particle":"","family":"Mason","given":"Virginia","non-dropping-particle":"","parse-names":false,"suffix":""}],"id":"ITEM-1","issued":{"date-parts":[["2005"]]},"title":"CRS Report for Congress Hurricane Katrina : Social-Demographic Characteristics of Impacted Areas","type":"report"},"locator":"16","uris":["http://www.mendeley.com/documents/?uuid=ad89ec96-4d41-4561-851c-2421c94c09d6"]}],"mendeley":{"formattedCitation":"Thomas Gabe et al., “CRS Report for Congress Hurricane Katrina : Social-Demographic Characteristics of Impacted Areas,” 2005, 16.","plainTextFormattedCitation":"Thomas Gabe et al., “CRS Report for Congress Hurricane Katrina : Social-Demographic Characteristics of Impacted Areas,” 2005, 16.","previouslyFormattedCitation":"Thomas Gabe et al., “CRS Report for Congress Hurricane Katrina : Social-Demographic Characteristics of Impacted Areas,” 2005, 16."},"properties":{"noteIndex":18},"schema":"https://github.com/citation-style-language/schema/raw/master/csl-citation.json"}</w:instrText>
      </w:r>
      <w:r>
        <w:fldChar w:fldCharType="separate"/>
      </w:r>
      <w:r w:rsidRPr="00F924AB">
        <w:rPr>
          <w:noProof/>
        </w:rPr>
        <w:t>Thomas Gabe et al., “CRS Report for Congress Hurricane Katrina : Social-Demographic Characteristics of Impacted Areas,” 2005, 16.</w:t>
      </w:r>
      <w:r>
        <w:fldChar w:fldCharType="end"/>
      </w:r>
    </w:p>
  </w:footnote>
  <w:footnote w:id="20">
    <w:p w14:paraId="50A5710E" w14:textId="1BDFA1F7" w:rsidR="00AB27A5" w:rsidRDefault="00AB27A5" w:rsidP="00465971">
      <w:pPr>
        <w:pStyle w:val="FootnoteText"/>
      </w:pPr>
      <w:r w:rsidRPr="003024BA">
        <w:rPr>
          <w:rStyle w:val="FootnoteReference"/>
        </w:rPr>
        <w:footnoteRef/>
      </w:r>
      <w:r>
        <w:t xml:space="preserve"> </w:t>
      </w:r>
      <w:r>
        <w:fldChar w:fldCharType="begin" w:fldLock="1"/>
      </w:r>
      <w:r>
        <w:instrText>ADDIN CSL_CITATION {"citationItems":[{"id":"ITEM-1","itemData":{"abstract":"On the morning of August 29, 2005, Hurricane Katrina made landfall on the Gulf Coast between the major cities of New Orleans, Louisiana, to the west, and Mobile, Alabama, to the east. Along the Gulf Coast and inland in the swath of the storm, Hurricane Katrina hundreds of thousands of families in three states (Louisiana, Mississippi, and Alabama) and contributed to the deaths of more than 1,000 people. While CRS estimates that 5.8 million people in three states may have experienced hurricane-force winds, the majority rode out the storm safely. Property damage, loss of life, and sizeable displacement of the population appear to have been largely concentrated along the Gulf Coast within a 100-mile radius of where the storm made landfall. Within this area, damage due to high winds and storm surge resulted in significant devastation, but flooding, largely resulting from breached levees and flood walls, affected the greatest number of people, with much of New Orleans flooded. CRS estimates that 700,000 or more people may have been acutely impacted by Hurricane Katrina, as a result of residing in areas that flooded or sustained significant structural damage. This estimate is based on geographical analysis of Federal Emergency Management Agency (FEMA) flood and damage assessments and year 2000 Census data. The estimates in this report are subject to the methods and assumptions used. Other agencies and organizations are conducting assessments using alternative and complementary methodologies; estimates may differ depending upon the specific methodologies used. In the case of this analysis, the estimates reflect the numbers and characteristics of people, families, and households in 2000, who lived in areas that suffered damage or flooding from the hurricane in 2005. The analysis shows that the Louisiana parishes of Orleans and St. Bernard were especially hard hit by flooding, with an estimated 77% of Orleans’ population affected, and nearly all residents of St. Bernard. In Mississippi, 55% of Hancock County’s population is estimated to have been affected by flooding and/or structural damage, and in the more populous Harrison County, about 19% of its population. In Louisiana, an estimated 645,000 people may have been displaced by the hurricane (based on 2000 Census data), and in Mississippi, 66,000. Hurricane Katrina had varying impacts on the population. CRS estimates that of the people most likely to have been displaced by the hurricane, about half lived in New…","author":[{"dropping-particle":"","family":"Gabe","given":"Thomas","non-dropping-particle":"","parse-names":false,"suffix":""},{"dropping-particle":"","family":"Falk","given":"Gene","non-dropping-particle":"","parse-names":false,"suffix":""},{"dropping-particle":"","family":"McCarty","given":"Maggie","non-dropping-particle":"","parse-names":false,"suffix":""},{"dropping-particle":"","family":"Mason","given":"Virginia","non-dropping-particle":"","parse-names":false,"suffix":""}],"id":"ITEM-1","issued":{"date-parts":[["2005"]]},"title":"CRS Report for Congress Hurricane Katrina : Social-Demographic Characteristics of Impacted Areas","type":"report"},"locator":"17","uris":["http://www.mendeley.com/documents/?uuid=ad89ec96-4d41-4561-851c-2421c94c09d6"]}],"mendeley":{"formattedCitation":"Gabe et al., 17.","plainTextFormattedCitation":"Gabe et al., 17.","previouslyFormattedCitation":"Gabe et al., 17."},"properties":{"noteIndex":19},"schema":"https://github.com/citation-style-language/schema/raw/master/csl-citation.json"}</w:instrText>
      </w:r>
      <w:r>
        <w:fldChar w:fldCharType="separate"/>
      </w:r>
      <w:r w:rsidRPr="008A6535">
        <w:rPr>
          <w:noProof/>
        </w:rPr>
        <w:t>Gabe et al., 17.</w:t>
      </w:r>
      <w:r>
        <w:fldChar w:fldCharType="end"/>
      </w:r>
    </w:p>
  </w:footnote>
  <w:footnote w:id="21">
    <w:p w14:paraId="75EF0D2F" w14:textId="57AAC23B" w:rsidR="00AB27A5" w:rsidRDefault="00AB27A5" w:rsidP="00465971">
      <w:pPr>
        <w:pStyle w:val="FootnoteText"/>
      </w:pPr>
      <w:r w:rsidRPr="003024BA">
        <w:rPr>
          <w:rStyle w:val="FootnoteReference"/>
        </w:rPr>
        <w:footnoteRef/>
      </w:r>
      <w:r>
        <w:t xml:space="preserve"> </w:t>
      </w:r>
      <w:r>
        <w:fldChar w:fldCharType="begin" w:fldLock="1"/>
      </w:r>
      <w:r>
        <w:instrText>ADDIN CSL_CITATION {"citationItems":[{"id":"ITEM-1","itemData":{"author":[{"dropping-particle":"","family":"U.S. Census Bureau","given":"","non-dropping-particle":"","parse-names":false,"suffix":""}],"id":"ITEM-1","issued":{"date-parts":[["0"]]},"title":"Census 2000 Age Groups and Sex: Summary File 1, Tract 7.01/9.01/9.02/9.03/9.04","type":"report"},"uris":["http://www.mendeley.com/documents/?uuid=79185a9a-ed72-3847-b055-04a68259840e"]}],"mendeley":{"formattedCitation":"U.S. Census Bureau, “Census 2000 Age Groups and Sex: Summary File 1, Tract 7.01/9.01/9.02/9.03/9.04,” accessed March 29, 2019, https://factfinder.census.gov/faces/tableservices/jsf/pages/productview.xhtml?pid=DEC_00_SF1_QTP1&amp;prodType=table.","plainTextFormattedCitation":"U.S. Census Bureau, “Census 2000 Age Groups and Sex: Summary File 1, Tract 7.01/9.01/9.02/9.03/9.04,” accessed March 29, 2019, https://factfinder.census.gov/faces/tableservices/jsf/pages/productview.xhtml?pid=DEC_00_SF1_QTP1&amp;prodType=table.","previouslyFormattedCitation":"U.S. Census Bureau, “Census 2000 Age Groups and Sex: Summary File 1, Tract 7.01/9.01/9.02/9.03/9.04,” accessed March 29, 2019, https://factfinder.census.gov/faces/tableservices/jsf/pages/productview.xhtml?pid=DEC_00_SF1_QTP1&amp;prodType=table."},"properties":{"noteIndex":20},"schema":"https://github.com/citation-style-language/schema/raw/master/csl-citation.json"}</w:instrText>
      </w:r>
      <w:r>
        <w:fldChar w:fldCharType="separate"/>
      </w:r>
      <w:r w:rsidRPr="008223C4">
        <w:rPr>
          <w:noProof/>
        </w:rPr>
        <w:t>U.S. Census Bureau, “Census 2000 Age Groups and Sex: Summary File 1, Tract 7.01/9.01/9.02/9.03/9.04,” accessed March 29, 2019, https://factfinder.census.gov/faces/tableservices/jsf/pages/productview.xhtml?pid=DEC_00_SF1_QTP1&amp;prodType=table.</w:t>
      </w:r>
      <w:r>
        <w:fldChar w:fldCharType="end"/>
      </w:r>
    </w:p>
  </w:footnote>
  <w:footnote w:id="22">
    <w:p w14:paraId="6ED9C1E0" w14:textId="64EEBF3B" w:rsidR="00AB27A5" w:rsidRDefault="00AB27A5" w:rsidP="00465971">
      <w:pPr>
        <w:pStyle w:val="FootnoteText"/>
      </w:pPr>
      <w:r w:rsidRPr="003024BA">
        <w:rPr>
          <w:rStyle w:val="FootnoteReference"/>
        </w:rPr>
        <w:footnoteRef/>
      </w:r>
      <w:r>
        <w:t xml:space="preserve"> </w:t>
      </w:r>
      <w:r>
        <w:fldChar w:fldCharType="begin" w:fldLock="1"/>
      </w:r>
      <w:r>
        <w:instrText>ADDIN CSL_CITATION {"citationItems":[{"id":"ITEM-1","itemData":{"author":[{"dropping-particle":"","family":"U.S. Census Bureau","given":"","non-dropping-particle":"","parse-names":false,"suffix":""}],"container-title":"generated by Jenny Hamel using American Fact Finder","id":"ITEM-1","issued":{"date-parts":[["0"]]},"title":"Census 2000 Economic Characteristics: Summary File 3, Tract 7.01/9.01/9.02/9.03/9.04","type":"article"},"uris":["http://www.mendeley.com/documents/?uuid=3d274518-5d47-34ca-8bcf-29dbd3124411"]}],"mendeley":{"formattedCitation":"U.S. Census Bureau, “Census 2000 Economic Characteristics: Summary File 3, Tract 7.01/9.01/9.02/9.03/9.04,” &lt;i&gt;Generated by Jenny Hamel Using American Fact Finder&lt;/i&gt;, accessed February 3, 2019, http://factfinder2.census.gov/faces/tableservices/jsf/pages/productview.xhtml?pid=ACS_11_5YR_B03003&amp;prodType=table.","plainTextFormattedCitation":"U.S. Census Bureau, “Census 2000 Economic Characteristics: Summary File 3, Tract 7.01/9.01/9.02/9.03/9.04,” Generated by Jenny Hamel Using American Fact Finder, accessed February 3, 2019, http://factfinder2.census.gov/faces/tableservices/jsf/pages/productview.xhtml?pid=ACS_11_5YR_B03003&amp;prodType=table.","previouslyFormattedCitation":"U.S. Census Bureau, “Census 2000 Economic Characteristics: Summary File 3, Tract 7.01/9.01/9.02/9.03/9.04,” &lt;i&gt;Generated by Jenny Hamel Using American Fact Finder&lt;/i&gt;, accessed February 3, 2019, http://factfinder2.census.gov/faces/tableservices/jsf/pages/productview.xhtml?pid=ACS_11_5YR_B03003&amp;prodType=table."},"properties":{"noteIndex":21},"schema":"https://github.com/citation-style-language/schema/raw/master/csl-citation.json"}</w:instrText>
      </w:r>
      <w:r>
        <w:fldChar w:fldCharType="separate"/>
      </w:r>
      <w:r w:rsidRPr="00696F59">
        <w:rPr>
          <w:noProof/>
        </w:rPr>
        <w:t xml:space="preserve">U.S. Census Bureau, “Census 2000 Economic Characteristics: Summary File 3, Tract 7.01/9.01/9.02/9.03/9.04,” </w:t>
      </w:r>
      <w:r w:rsidRPr="00696F59">
        <w:rPr>
          <w:i/>
          <w:noProof/>
        </w:rPr>
        <w:t>Generated by Jenny Hamel Using American Fact Finder</w:t>
      </w:r>
      <w:r w:rsidRPr="00696F59">
        <w:rPr>
          <w:noProof/>
        </w:rPr>
        <w:t>, accessed February 3, 2019, http://factfinder2.census.gov/faces/tableservices/jsf/pages/productview.xhtml?pid=ACS_11_5YR_B03003&amp;prodType=table.</w:t>
      </w:r>
      <w:r>
        <w:fldChar w:fldCharType="end"/>
      </w:r>
    </w:p>
  </w:footnote>
  <w:footnote w:id="23">
    <w:p w14:paraId="32EFADAE" w14:textId="0D0291EB" w:rsidR="00AB27A5" w:rsidRDefault="00AB27A5" w:rsidP="00465971">
      <w:pPr>
        <w:pStyle w:val="FootnoteText"/>
      </w:pPr>
      <w:r w:rsidRPr="003024BA">
        <w:rPr>
          <w:rStyle w:val="FootnoteReference"/>
        </w:rPr>
        <w:footnoteRef/>
      </w:r>
      <w:r>
        <w:t xml:space="preserve"> </w:t>
      </w:r>
      <w:r>
        <w:fldChar w:fldCharType="begin" w:fldLock="1"/>
      </w:r>
      <w:r>
        <w:instrText>ADDIN CSL_CITATION {"citationItems":[{"id":"ITEM-1","itemData":{"author":[{"dropping-particle":"","family":"U.S. Census Bureau","given":"","non-dropping-particle":"","parse-names":false,"suffix":""}],"id":"ITEM-1","issued":{"date-parts":[["0"]]},"title":"Census 2000 Age Groups and Sex: Summary File 1, Tract 7.01/9.01/9.02/9.03/9.04","type":"report"},"uris":["http://www.mendeley.com/documents/?uuid=79185a9a-ed72-3847-b055-04a68259840e"]}],"mendeley":{"formattedCitation":"U.S. Census Bureau, “Census 2000 Age Groups and Sex: Summary File 1, Tract 7.01/9.01/9.02/9.03/9.04.”","plainTextFormattedCitation":"U.S. Census Bureau, “Census 2000 Age Groups and Sex: Summary File 1, Tract 7.01/9.01/9.02/9.03/9.04.”","previouslyFormattedCitation":"U.S. Census Bureau, “Census 2000 Age Groups and Sex: Summary File 1, Tract 7.01/9.01/9.02/9.03/9.04.”"},"properties":{"noteIndex":22},"schema":"https://github.com/citation-style-language/schema/raw/master/csl-citation.json"}</w:instrText>
      </w:r>
      <w:r>
        <w:fldChar w:fldCharType="separate"/>
      </w:r>
      <w:r w:rsidRPr="00D5330C">
        <w:rPr>
          <w:noProof/>
        </w:rPr>
        <w:t>U.S. Census Bureau, “Census 2000 Age Groups and Sex: Summary File 1, Tract 7.01/9.01/9.02/9.03/9.04.”</w:t>
      </w:r>
      <w:r>
        <w:fldChar w:fldCharType="end"/>
      </w:r>
    </w:p>
  </w:footnote>
  <w:footnote w:id="24">
    <w:p w14:paraId="2FE6B711" w14:textId="45FEB88B" w:rsidR="00AB27A5" w:rsidRDefault="00AB27A5" w:rsidP="00465971">
      <w:pPr>
        <w:pStyle w:val="FootnoteText"/>
      </w:pPr>
      <w:r w:rsidRPr="003024BA">
        <w:rPr>
          <w:rStyle w:val="FootnoteReference"/>
        </w:rPr>
        <w:footnoteRef/>
      </w:r>
      <w:r>
        <w:t xml:space="preserve"> </w:t>
      </w:r>
      <w:r>
        <w:fldChar w:fldCharType="begin" w:fldLock="1"/>
      </w:r>
      <w:r>
        <w:instrText>ADDIN CSL_CITATION {"citationItems":[{"id":"ITEM-1","itemData":{"author":[{"dropping-particle":"","family":"Centers for Disease Control","given":"","non-dropping-particle":"","parse-names":false,"suffix":""}],"id":"ITEM-1","issued":{"date-parts":[["0"]]},"publisher":"Agency for Toxic Substances and Disease Registry","title":"Social Vulnerability Index","type":"report"},"uris":["http://www.mendeley.com/documents/?uuid=912ef11a-c61c-4984-8169-398b55c4cd2b"]}],"mendeley":{"formattedCitation":"Centers for Disease Control, “Social Vulnerability Index” (Agency for Toxic Substances and Disease Registry, n.d.).","plainTextFormattedCitation":"Centers for Disease Control, “Social Vulnerability Index” (Agency for Toxic Substances and Disease Registry, n.d.).","previouslyFormattedCitation":"Centers for Disease Control, “Social Vulnerability Index” (Agency for Toxic Substances and Disease Registry, n.d.)."},"properties":{"noteIndex":23},"schema":"https://github.com/citation-style-language/schema/raw/master/csl-citation.json"}</w:instrText>
      </w:r>
      <w:r>
        <w:fldChar w:fldCharType="separate"/>
      </w:r>
      <w:r w:rsidRPr="00E73D3A">
        <w:rPr>
          <w:noProof/>
        </w:rPr>
        <w:t>Centers for Disease Control, “Social Vulnerability Index” (Agency for Toxic Substances and Disease Registry, n.d.).</w:t>
      </w:r>
      <w:r>
        <w:fldChar w:fldCharType="end"/>
      </w:r>
    </w:p>
  </w:footnote>
  <w:footnote w:id="25">
    <w:p w14:paraId="4109CC43" w14:textId="77777777" w:rsidR="00AB27A5" w:rsidRDefault="00AB27A5" w:rsidP="00465971">
      <w:pPr>
        <w:pStyle w:val="FootnoteText"/>
      </w:pPr>
      <w:r w:rsidRPr="003024BA">
        <w:rPr>
          <w:rStyle w:val="FootnoteReference"/>
        </w:rPr>
        <w:footnoteRef/>
      </w:r>
      <w:r>
        <w:t xml:space="preserve"> Possible scores on the Social Vulnerability Index range from 0 (lowest vulnerability) to 1 (highest vulnerability).</w:t>
      </w:r>
    </w:p>
  </w:footnote>
  <w:footnote w:id="26">
    <w:p w14:paraId="2FEDEBF3" w14:textId="2C7B25B2" w:rsidR="00AB27A5" w:rsidRDefault="00AB27A5" w:rsidP="00465971">
      <w:pPr>
        <w:pStyle w:val="FootnoteText"/>
      </w:pPr>
      <w:r w:rsidRPr="003024BA">
        <w:rPr>
          <w:rStyle w:val="FootnoteReference"/>
        </w:rPr>
        <w:footnoteRef/>
      </w:r>
      <w:r>
        <w:t xml:space="preserve"> </w:t>
      </w:r>
      <w:r>
        <w:fldChar w:fldCharType="begin" w:fldLock="1"/>
      </w:r>
      <w:r>
        <w:instrText>ADDIN CSL_CITATION {"citationItems":[{"id":"ITEM-1","itemData":{"URL":"https://www.mortgagecalculator.biz/c/flood-zones.php","accessed":{"date-parts":[["2019","1","31"]]},"container-title":"Mortgagecalculator.biz","id":"ITEM-1","issued":{"date-parts":[["0"]]},"title":"Getting a Mortgage for a Property Located in a Flood Zone","type":"webpage"},"uris":["http://www.mendeley.com/documents/?uuid=c5bdae50-02b3-38b7-b2b7-18113ee13be7"]}],"mendeley":{"formattedCitation":"“Getting a Mortgage for a Property Located in a Flood Zone,” Mortgagecalculator.biz, accessed January 31, 2019, https://www.mortgagecalculator.biz/c/flood-zones.php.","plainTextFormattedCitation":"“Getting a Mortgage for a Property Located in a Flood Zone,” Mortgagecalculator.biz, accessed January 31, 2019, https://www.mortgagecalculator.biz/c/flood-zones.php.","previouslyFormattedCitation":"“Getting a Mortgage for a Property Located in a Flood Zone,” Mortgagecalculator.biz, accessed January 31, 2019, https://www.mortgagecalculator.biz/c/flood-zones.php."},"properties":{"noteIndex":25},"schema":"https://github.com/citation-style-language/schema/raw/master/csl-citation.json"}</w:instrText>
      </w:r>
      <w:r>
        <w:fldChar w:fldCharType="separate"/>
      </w:r>
      <w:r w:rsidRPr="00A7321B">
        <w:rPr>
          <w:noProof/>
        </w:rPr>
        <w:t>“Getting a Mortgage for a Property Located in a Flood Zone,” Mortgagecalculator.biz, accessed January 31, 2019, https://www.mortgagecalculator.biz/c/flood-zones.php.</w:t>
      </w:r>
      <w:r>
        <w:fldChar w:fldCharType="end"/>
      </w:r>
    </w:p>
  </w:footnote>
  <w:footnote w:id="27">
    <w:p w14:paraId="5581994D" w14:textId="5B3E22F1" w:rsidR="00AB27A5" w:rsidRDefault="00AB27A5" w:rsidP="00465971">
      <w:pPr>
        <w:pStyle w:val="FootnoteText"/>
      </w:pPr>
      <w:r w:rsidRPr="003024BA">
        <w:rPr>
          <w:rStyle w:val="FootnoteReference"/>
        </w:rPr>
        <w:footnoteRef/>
      </w:r>
      <w:r>
        <w:t xml:space="preserve"> </w:t>
      </w:r>
      <w:r>
        <w:fldChar w:fldCharType="begin" w:fldLock="1"/>
      </w:r>
      <w:r>
        <w:instrText>ADDIN CSL_CITATION {"citationItems":[{"id":"ITEM-1","itemData":{"URL":"https://www.architectmagazine.com/technology/case-study-starting-over-in-the-lower-ninth-ward_o","accessed":{"date-parts":[["2018","10","22"]]},"author":[{"dropping-particle":"","family":"Binsacca","given":"Rich","non-dropping-particle":"","parse-names":false,"suffix":""}],"id":"ITEM-1","issued":{"date-parts":[["2011"]]},"publisher":"Architect Magazine","title":"Case Study: Starting Over in the Lower Ninth Ward","type":"webpage"},"uris":["http://www.mendeley.com/documents/?uuid=c60e607e-e643-3489-a3c8-d36f9f971676"]}],"mendeley":{"formattedCitation":"Rich Binsacca, “Case Study: Starting Over in the Lower Ninth Ward” (Architect Magazine, 2011), https://www.architectmagazine.com/technology/case-study-starting-over-in-the-lower-ninth-ward_o.","plainTextFormattedCitation":"Rich Binsacca, “Case Study: Starting Over in the Lower Ninth Ward” (Architect Magazine, 2011), https://www.architectmagazine.com/technology/case-study-starting-over-in-the-lower-ninth-ward_o.","previouslyFormattedCitation":"Rich Binsacca, “Case Study: Starting Over in the Lower Ninth Ward” (Architect Magazine, 2011), https://www.architectmagazine.com/technology/case-study-starting-over-in-the-lower-ninth-ward_o."},"properties":{"noteIndex":26},"schema":"https://github.com/citation-style-language/schema/raw/master/csl-citation.json"}</w:instrText>
      </w:r>
      <w:r>
        <w:fldChar w:fldCharType="separate"/>
      </w:r>
      <w:r w:rsidRPr="00EB382C">
        <w:rPr>
          <w:noProof/>
        </w:rPr>
        <w:t>Rich Binsacca, “Case Study: Starting Over in the Lower Ninth Ward” (Architect Magazine, 2011), https://www.architectmagazine.com/technology/case-study-starting-over-in-the-lower-ninth-ward_o.</w:t>
      </w:r>
      <w:r>
        <w:fldChar w:fldCharType="end"/>
      </w:r>
    </w:p>
  </w:footnote>
  <w:footnote w:id="28">
    <w:p w14:paraId="4138B051" w14:textId="6A9AA96D" w:rsidR="00AB27A5" w:rsidRDefault="00AB27A5">
      <w:pPr>
        <w:pStyle w:val="FootnoteText"/>
      </w:pPr>
      <w:r>
        <w:rPr>
          <w:rStyle w:val="FootnoteReference"/>
        </w:rPr>
        <w:footnoteRef/>
      </w:r>
      <w:r>
        <w:t xml:space="preserve"> </w:t>
      </w:r>
      <w:r>
        <w:fldChar w:fldCharType="begin" w:fldLock="1"/>
      </w:r>
      <w:r>
        <w:instrText>ADDIN CSL_CITATION {"citationItems":[{"id":"ITEM-1","itemData":{"abstract":"Hurricane Katrina, a Category 5 storm, struck the city of New Orleans on the morning of August 29, 2005 causing widespread destruction. Storm surges overtopped and breeched the levees meant to protect the city, flooding 80% of the city, with levels ranging from less than a foot to over 10 feet of water. The city remained flooded for over a month while the Army Corps of Engineers fixed the levees and pumped the water out of the low-lying landscape. Neighborhoods were forever changed as a painstakingly slow recovery forced long-time residents to make difficult decisions about where to live. The Lower 9 th Ward residential neighborhood is probably the most extreme example of the change Katrina caused in the city of New Orleans. Using aerial photography, satellite imagery, ground data and fieldwork, this paper explores Katrina's impact on this geographically vulnerable residential neighborhood and the issues associated with its recovery and rebuilding.","author":[{"dropping-particle":"","family":"Lascell","given":"W A","non-dropping-particle":"","parse-names":false,"suffix":""},{"dropping-particle":"","family":"Baumann","given":"P R","non-dropping-particle":"","parse-names":false,"suffix":""}],"id":"ITEM-1","issued":{"date-parts":[["2015"]]},"number-of-pages":"31-40","title":"LOWER 9th WARD, NEW ORLEANS: RECOVERY AND REBUILDING","type":"report","volume":"48"},"locator":"38","uris":["http://www.mendeley.com/documents/?uuid=fff61575-dbb9-3ad6-8971-769ec12ec93d"]}],"mendeley":{"formattedCitation":"W A Lascell and P R Baumann, “LOWER 9th WARD, NEW ORLEANS: RECOVERY AND REBUILDING,” vol. 48, 2015, 38, https://msaag.aag.org/wp-content/uploads/2015/09/4-Lascell-and-Baumann-MSG482015F.pdf.","plainTextFormattedCitation":"W A Lascell and P R Baumann, “LOWER 9th WARD, NEW ORLEANS: RECOVERY AND REBUILDING,” vol. 48, 2015, 38, https://msaag.aag.org/wp-content/uploads/2015/09/4-Lascell-and-Baumann-MSG482015F.pdf.","previouslyFormattedCitation":"W A Lascell and P R Baumann, “LOWER 9th WARD, NEW ORLEANS: RECOVERY AND REBUILDING,” vol. 48, 2015, 38, https://msaag.aag.org/wp-content/uploads/2015/09/4-Lascell-and-Baumann-MSG482015F.pdf."},"properties":{"noteIndex":27},"schema":"https://github.com/citation-style-language/schema/raw/master/csl-citation.json"}</w:instrText>
      </w:r>
      <w:r>
        <w:fldChar w:fldCharType="separate"/>
      </w:r>
      <w:r w:rsidRPr="009A2060">
        <w:rPr>
          <w:noProof/>
        </w:rPr>
        <w:t>W A Lascell and P R Baumann, “LOWER 9th WARD, NEW ORLEANS: RECOVERY AND REBUILDING,” vol. 48, 2015, 38, https://msaag.aag.org/wp-content/uploads/2015/09/4-Lascell-and-Baumann-MSG482015F.pdf.</w:t>
      </w:r>
      <w:r>
        <w:fldChar w:fldCharType="end"/>
      </w:r>
    </w:p>
  </w:footnote>
  <w:footnote w:id="29">
    <w:p w14:paraId="5CD6BDF5" w14:textId="02BEA98E"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{"citationItems":[{"id":"ITEM-1","itemData":{"author":[{"dropping-particle":"","family":"US Department of Housing and Urban Development","given":"","non-dropping-particle":"","parse-names":false,"suffix":""}],"id":"ITEM-1","issued":{"date-parts":[["2007"]]},"title":"Post-Katrina Disaster Housing Assistance and Household Transition","type":"report"},"uris":["http://www.mendeley.com/documents/?uuid=8356c612-b8ca-3713-a5f1-242d154869c0"]}],"mendeley":{"formattedCitation":"US Department of Housing and Urban Development, “Post-Katrina Disaster Housing Assistance and Household Transition,” 2007, https://www.huduser.gov/portal/pdredge/pdr_edge_research_041913.html.","plainTextFormattedCitation":"US Department of Housing and Urban Development, “Post-Katrina Disaster Housing Assistance and Household Transition,” 2007, https://www.huduser.gov/portal/pdredge/pdr_edge_research_041913.html.","previouslyFormattedCitation":"US Department of Housing and Urban Development, “Post-Katrina Disaster Housing Assistance and Household Transition,” 2007, https://www.huduser.gov/portal/pdredge/pdr_edge_research_041913.html."},"properties":{"noteIndex":28},"schema":"https://github.com/citation-style-language/schema/raw/master/csl-citation.json"}</w:instrText>
      </w:r>
      <w:r>
        <w:fldChar w:fldCharType="separate"/>
      </w:r>
      <w:r w:rsidRPr="004F31DB">
        <w:rPr>
          <w:noProof/>
        </w:rPr>
        <w:t>US Department of Housing and Urban Development, “Post-Katrina Disaster Housing Assistance and Household Transition,” 2007, https://www.huduser.gov/portal/pdredge/pdr_edge_research_041913.html.</w:t>
      </w:r>
      <w:r>
        <w:fldChar w:fldCharType="end"/>
      </w:r>
    </w:p>
  </w:footnote>
  <w:footnote w:id="30">
    <w:p w14:paraId="5C4421E5" w14:textId="29D37D34"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{"citationItems":[{"id":"ITEM-1","itemData":{"URL":"https://www.nola.com/katrina/index.ssf/2012/02/new_orleans_last_hurricane_kat.html","accessed":{"date-parts":[["2018","10","21"]]},"author":[{"dropping-particle":"","family":"The Associated Press","given":"","non-dropping-particle":"","parse-names":false,"suffix":""}],"container-title":"NOLA","id":"ITEM-1","issued":{"date-parts":[["2012"]]},"title":"New Orleans' last Hurricane Katrina FEMA trailer leaves city","type":"webpage"},"uris":["http://www.mendeley.com/documents/?uuid=93f5a632-3aeb-3cc4-828e-2201e078178d"]}],"mendeley":{"formattedCitation":"The Associated Press, “New Orleans’ Last Hurricane Katrina FEMA Trailer Leaves City,” NOLA, 2012, https://www.nola.com/katrina/index.ssf/2012/02/new_orleans_last_hurricane_kat.html.","plainTextFormattedCitation":"The Associated Press, “New Orleans’ Last Hurricane Katrina FEMA Trailer Leaves City,” NOLA, 2012, https://www.nola.com/katrina/index.ssf/2012/02/new_orleans_last_hurricane_kat.html.","previouslyFormattedCitation":"The Associated Press, “New Orleans’ Last Hurricane Katrina FEMA Trailer Leaves City,” NOLA, 2012, https://www.nola.com/katrina/index.ssf/2012/02/new_orleans_last_hurricane_kat.html."},"properties":{"noteIndex":29},"schema":"https://github.com/citation-style-language/schema/raw/master/csl-citation.json"}</w:instrText>
      </w:r>
      <w:r>
        <w:fldChar w:fldCharType="separate"/>
      </w:r>
      <w:r w:rsidRPr="0013583A">
        <w:rPr>
          <w:noProof/>
        </w:rPr>
        <w:t>The Associated Press, “New Orleans’ Last Hurricane Katrina FEMA Trailer Leaves City,” NOLA, 2012, https://www.nola.com/katrina/index.ssf/2012/02/new_orleans_last_hurricane_kat.html.</w:t>
      </w:r>
      <w:r>
        <w:fldChar w:fldCharType="end"/>
      </w:r>
    </w:p>
  </w:footnote>
  <w:footnote w:id="31">
    <w:p w14:paraId="40FE6F6C" w14:textId="2FB5B0ED"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{"citationItems":[{"id":"ITEM-1","itemData":{"URL":"https://www.gsa.gov/node/77831","accessed":{"date-parts":[["2018","10","21"]]},"author":[{"dropping-particle":"","family":"US General Services Administration","given":"","non-dropping-particle":"","parse-names":false,"suffix":""}],"id":"ITEM-1","issued":{"date-parts":[["2010"]]},"title":"Public Sales of Hurricane Katrina/Rita FEMA Trailers: Are they Safe or Environmental Time Bombs?","type":"webpage"},"uris":["http://www.mendeley.com/documents/?uuid=a9121494-3c4f-3edf-8640-978e031f6b8e"]}],"mendeley":{"formattedCitation":"US General Services Administration, “Public Sales of Hurricane Katrina/Rita FEMA Trailers: Are They Safe or Environmental Time Bombs?,” 2010, https://www.gsa.gov/node/77831.","plainTextFormattedCitation":"US General Services Administration, “Public Sales of Hurricane Katrina/Rita FEMA Trailers: Are They Safe or Environmental Time Bombs?,” 2010, https://www.gsa.gov/node/77831.","previouslyFormattedCitation":"US General Services Administration, “Public Sales of Hurricane Katrina/Rita FEMA Trailers: Are They Safe or Environmental Time Bombs?,” 2010, https://www.gsa.gov/node/77831."},"properties":{"noteIndex":30},"schema":"https://github.com/citation-style-language/schema/raw/master/csl-citation.json"}</w:instrText>
      </w:r>
      <w:r>
        <w:fldChar w:fldCharType="separate"/>
      </w:r>
      <w:r w:rsidRPr="00E1336A">
        <w:rPr>
          <w:noProof/>
        </w:rPr>
        <w:t>US General Services Administration, “Public Sales of Hurricane Katrina/Rita FEMA Trailers: Are They Safe or Environmental Time Bombs?,” 2010, https://www.gsa.gov/node/77831.</w:t>
      </w:r>
      <w:r>
        <w:fldChar w:fldCharType="end"/>
      </w:r>
    </w:p>
  </w:footnote>
  <w:footnote w:id="32">
    <w:p w14:paraId="1459D7C4" w14:textId="36FED024"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brproud.com/news/local-news/post-katrina-fema-trailers-still-being-sold/365421105","accessed":{"date-parts":[["2018","10","21"]]},"author":[{"dropping-particle":"","family":"Mueller","given":"Mary","non-dropping-particle":"","parse-names":false,"suffix":""}],"container-title":"BRPRoud.com","id":"ITEM-1","issued":{"date-parts":[["2016"]]},"title":"Post Katrina FEMA trailers still being sold?","type":"webpage"},"uris":["http://www.mendeley.com/documents/?uuid=fb998c3c-832a-3f24-b7d1-ef5d3a8d0b7a"]}],"mendeley":{"formattedCitation":"Mary Mueller, “Post Katrina FEMA Trailers Still Being Sold?,” BRPRoud.com, 2016, https://www.brproud.com/news/local-news/post-katrina-fema-trailers-still-being-sold/365421105.","plainTextFormattedCitation":"Mary Mueller, “Post Katrina FEMA Trailers Still Being Sold?,” BRPRoud.com, 2016, https://www.brproud.com/news/local-news/post-katrina-fema-trailers-still-being-sold/365421105.","previouslyFormattedCitation":"Mary Mueller, “Post Katrina FEMA Trailers Still Being Sold?,” BRPRoud.com, 2016, https://www.brproud.com/news/local-news/post-katrina-fema-trailers-still-being-sold/365421105."},"properties":{"noteIndex":31},"schema":"https://github.com/citation-style-language/schema/raw/master/csl-citation.json"}</w:instrText>
      </w:r>
      <w:r>
        <w:fldChar w:fldCharType="separate"/>
      </w:r>
      <w:r w:rsidRPr="0082714F">
        <w:rPr>
          <w:noProof/>
        </w:rPr>
        <w:t>Mary Mueller, “Post Katrina FEMA Trailers Still Being Sold?,” BRPRoud.com, 2016, https://www.brproud.com/news/local-news/post-katrina-fema-trailers-still-being-sold/365421105.</w:t>
      </w:r>
      <w:r>
        <w:fldChar w:fldCharType="end"/>
      </w:r>
    </w:p>
  </w:footnote>
  <w:footnote w:id="33">
    <w:p w14:paraId="14892B4C" w14:textId="201A1574" w:rsidR="00AB27A5" w:rsidRDefault="00AB27A5" w:rsidP="00331D10">
      <w:pPr>
        <w:pStyle w:val="FootnoteText"/>
      </w:pPr>
      <w:r w:rsidRPr="00D05B51">
        <w:rPr>
          <w:rStyle w:val="FootnoteReference"/>
        </w:rPr>
        <w:footnoteRef/>
      </w:r>
      <w:r>
        <w:t xml:space="preserve"> </w:t>
      </w:r>
      <w:r>
        <w:fldChar w:fldCharType="begin" w:fldLock="1"/>
      </w:r>
      <w:r>
        <w:instrText>ADDIN CSL_CITATION {"citationItems":[{"id":"ITEM-1","itemData":{"DOI":"10.1002/9780470925805.ch21","ISBN":"9780470596982","abstract":"This National Response Framework (NRF) is a guide to how the Nation conducts all-hazards response. It is built upon scalable, flexible, and adaptable coordinating structures to align key roles and responsibilities across the Nation, linking all levels of government, nongovernmental organizations, and the private sector. It is intended to capture specific authorities and best practices for managing incidents that range from the serious but purely local, to large-scale terrorist attacks or catastrophic natural disasters. This core document, along with the Emergency Support Function Annexes and Support Annexes (available at the NRF Resource Center, http://www.fema.gov/NRF), supersedes the corresponding sections of the National Response Plan (2004, with 2006 revisions). The Incident Annexes remain in effect until superseded at a later date. The President has approved this National Response Framework.","author":[{"dropping-particle":"","family":"US Department of Homeland Security","given":"","non-dropping-particle":"","parse-names":false,"suffix":""}],"container-title":"Foundations of Homeland Security: Law and Policy","id":"ITEM-1","issue":"May","issued":{"date-parts":[["2011"]]},"number-of-pages":"283-286","title":"National Response Framework","type":"report"},"uris":["http://www.mendeley.com/documents/?uuid=e7521ec0-aa8a-4d9f-b030-cb077eff3798"]}],"mendeley":{"formattedCitation":"US Department of Homeland Security, “National Response Framework,” &lt;i&gt;Foundations of Homeland Security: Law and Policy&lt;/i&gt;, 2011, https://doi.org/10.1002/9780470925805.ch21.","plainTextFormattedCitation":"US Department of Homeland Security, “National Response Framework,” Foundations of Homeland Security: Law and Policy, 2011, https://doi.org/10.1002/9780470925805.ch21.","previouslyFormattedCitation":"US Department of Homeland Security, “National Response Framework,” &lt;i&gt;Foundations of Homeland Security: Law and Policy&lt;/i&gt;, 2011, https://doi.org/10.1002/9780470925805.ch21."},"properties":{"noteIndex":32},"schema":"https://github.com/citation-style-language/schema/raw/master/csl-citation.json"}</w:instrText>
      </w:r>
      <w:r>
        <w:fldChar w:fldCharType="separate"/>
      </w:r>
      <w:r w:rsidRPr="001B65D1">
        <w:rPr>
          <w:noProof/>
        </w:rPr>
        <w:t xml:space="preserve">US Department of Homeland Security, “National Response Framework,” </w:t>
      </w:r>
      <w:r w:rsidRPr="001B65D1">
        <w:rPr>
          <w:i/>
          <w:noProof/>
        </w:rPr>
        <w:t>Foundations of Homeland Security: Law and Policy</w:t>
      </w:r>
      <w:r w:rsidRPr="001B65D1">
        <w:rPr>
          <w:noProof/>
        </w:rPr>
        <w:t>, 2011, https://doi.org/10.1002/9780470925805.ch21.</w:t>
      </w:r>
      <w:r>
        <w:fldChar w:fldCharType="end"/>
      </w:r>
    </w:p>
  </w:footnote>
  <w:footnote w:id="34">
    <w:p w14:paraId="68D751F1" w14:textId="3C7DC075"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{"citationItems":[{"id":"ITEM-1","itemData":{"author":[{"dropping-particle":"","family":"US Department of Homeland Security","given":"","non-dropping-particle":"","parse-names":false,"suffix":""}],"id":"ITEM-1","issued":{"date-parts":[["2008"]]},"title":"Emergency Support Function #6-Mass Care, Emergency Assistance, Housing, and Human Services Annex","type":"report"},"uris":["http://www.mendeley.com/documents/?uuid=0efb33f2-afd9-3116-8f63-24197834607d"]}],"mendeley":{"formattedCitation":"US Department of Homeland Security, “Emergency Support Function #6-Mass Care, Emergency Assistance, Housing, and Human Services Annex,” 2008, https://www.fema.gov/pdf/emergency/nrf/nrf-esf-06.pdf.","plainTextFormattedCitation":"US Department of Homeland Security, “Emergency Support Function #6-Mass Care, Emergency Assistance, Housing, and Human Services Annex,” 2008, https://www.fema.gov/pdf/emergency/nrf/nrf-esf-06.pdf.","previouslyFormattedCitation":"US Department of Homeland Security, “Emergency Support Function #6-Mass Care, Emergency Assistance, Housing, and Human Services Annex,” 2008, https://www.fema.gov/pdf/emergency/nrf/nrf-esf-06.pdf."},"properties":{"noteIndex":33},"schema":"https://github.com/citation-style-language/schema/raw/master/csl-citation.json"}</w:instrText>
      </w:r>
      <w:r>
        <w:fldChar w:fldCharType="separate"/>
      </w:r>
      <w:r w:rsidRPr="001B65D1">
        <w:rPr>
          <w:noProof/>
        </w:rPr>
        <w:t>US Department of Homeland Security, “Emergency Support Function #6-Mass Care, Emergency Assistance, Housing, and Human Services Annex,” 2008, https://www.fema.gov/pdf/emergency/nrf/nrf-esf-06.pdf.</w:t>
      </w:r>
      <w:r>
        <w:fldChar w:fldCharType="end"/>
      </w:r>
    </w:p>
  </w:footnote>
  <w:footnote w:id="35">
    <w:p w14:paraId="7467D4DD" w14:textId="52E9CCA7"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{"citationItems":[{"id":"ITEM-1","itemData":{"author":[{"dropping-particle":"","family":"US Department of Homeland Security","given":"","non-dropping-particle":"","parse-names":false,"suffix":""}],"id":"ITEM-1","issued":{"date-parts":[["2011"]]},"title":"National Disaster Recovery Framework","type":"report"},"uris":["http://www.mendeley.com/documents/?uuid=185b208f-2cea-34ec-8df1-5c43f29cbae6"]}],"mendeley":{"formattedCitation":"US Department of Homeland Security, “National Disaster Recovery Framework,” 2011, https://www.fema.gov/pdf/recoveryframework/ndrf.pdf.","plainTextFormattedCitation":"US Department of Homeland Security, “National Disaster Recovery Framework,” 2011, https://www.fema.gov/pdf/recoveryframework/ndrf.pdf.","previouslyFormattedCitation":"US Department of Homeland Security, “National Disaster Recovery Framework,” 2011, https://www.fema.gov/pdf/recoveryframework/ndrf.pdf."},"properties":{"noteIndex":34},"schema":"https://github.com/citation-style-language/schema/raw/master/csl-citation.json"}</w:instrText>
      </w:r>
      <w:r>
        <w:fldChar w:fldCharType="separate"/>
      </w:r>
      <w:r w:rsidRPr="001B65D1">
        <w:rPr>
          <w:noProof/>
        </w:rPr>
        <w:t>US Department of Homeland Security, “National Disaster Recovery Framework,” 2011, https://www.fema.gov/pdf/recoveryframework/ndrf.pdf.</w:t>
      </w:r>
      <w:r>
        <w:fldChar w:fldCharType="end"/>
      </w:r>
    </w:p>
  </w:footnote>
  <w:footnote w:id="36">
    <w:p w14:paraId="63FAB12C" w14:textId="25CE9099"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{"citationItems":[{"id":"ITEM-1","itemData":{"URL":"https://www.history.com/topics/us-states/new-orleans","accessed":{"date-parts":[["2018","11","1"]]},"author":[{"dropping-particle":"","family":"History.com editors","given":"","non-dropping-particle":"","parse-names":false,"suffix":""}],"id":"ITEM-1","issued":{"date-parts":[["2010"]]},"publisher":"A&amp;E Television Networks","title":"New Orleans - HISTORY","type":"webpage"},"uris":["http://www.mendeley.com/documents/?uuid=ab10be74-1d5e-3373-a77f-9446c9cbf85b"]}],"mendeley":{"formattedCitation":"History.com editors, “New Orleans - HISTORY” (A&amp;E Television Networks, 2010), https://www.history.com/topics/us-states/new-orleans.","plainTextFormattedCitation":"History.com editors, “New Orleans - HISTORY” (A&amp;E Television Networks, 2010), https://www.history.com/topics/us-states/new-orleans.","previouslyFormattedCitation":"History.com editors, “New Orleans - HISTORY” (A&amp;E Television Networks, 2010), https://www.history.com/topics/us-states/new-orleans."},"properties":{"noteIndex":35},"schema":"https://github.com/citation-style-language/schema/raw/master/csl-citation.json"}</w:instrText>
      </w:r>
      <w:r>
        <w:fldChar w:fldCharType="separate"/>
      </w:r>
      <w:r w:rsidRPr="00EB382C">
        <w:rPr>
          <w:noProof/>
        </w:rPr>
        <w:t>History.com editors, “New Orleans - HISTORY” (A&amp;E Television Networks, 2010), https://www.history.com/topics/us-states/new-orleans.</w:t>
      </w:r>
      <w:r>
        <w:fldChar w:fldCharType="end"/>
      </w:r>
    </w:p>
  </w:footnote>
  <w:footnote w:id="37">
    <w:p w14:paraId="2B3E75BA" w14:textId="0FC54CAC"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blog.weatherops.com/houstons-history-of-floods","accessed":{"date-parts":[["2018","11","1"]]},"author":[{"dropping-particle":"","family":"Thompson","given":"Daphne","non-dropping-particle":"","parse-names":false,"suffix":""}],"container-title":"WeatherOps","id":"ITEM-1","issued":{"date-parts":[["2017"]]},"title":"Houston's History of Floods","type":"webpage"},"uris":["http://www.mendeley.com/documents/?uuid=c4184ff1-9687-39f7-813d-8255252374eb"]}],"mendeley":{"formattedCitation":"Daphne Thompson, “Houston’s History of Floods,” WeatherOps, 2017, https://blog.weatherops.com/houstons-history-of-floods.","plainTextFormattedCitation":"Daphne Thompson, “Houston’s History of Floods,” WeatherOps, 2017, https://blog.weatherops.com/houstons-history-of-floods.","previouslyFormattedCitation":"Daphne Thompson, “Houston’s History of Floods,” WeatherOps, 2017, https://blog.weatherops.com/houstons-history-of-floods."},"properties":{"noteIndex":36},"schema":"https://github.com/citation-style-language/schema/raw/master/csl-citation.json"}</w:instrText>
      </w:r>
      <w:r>
        <w:fldChar w:fldCharType="separate"/>
      </w:r>
      <w:r w:rsidRPr="00DE593F">
        <w:rPr>
          <w:noProof/>
        </w:rPr>
        <w:t>Daphne Thompson, “Houston’s History of Floods,” WeatherOps, 2017, https://blog.weatherops.com/houstons-history-of-floods.</w:t>
      </w:r>
      <w:r>
        <w:fldChar w:fldCharType="end"/>
      </w:r>
    </w:p>
  </w:footnote>
  <w:footnote w:id="38">
    <w:p w14:paraId="1A3FDBDB" w14:textId="2B77A43F" w:rsidR="00AB27A5" w:rsidRDefault="00AB27A5" w:rsidP="000C6DB9">
      <w:pPr>
        <w:pStyle w:val="FootnoteText"/>
      </w:pPr>
      <w:r w:rsidRPr="00D05B51">
        <w:rPr>
          <w:rStyle w:val="FootnoteReference"/>
        </w:rPr>
        <w:footnoteRef/>
      </w:r>
      <w:r>
        <w:t xml:space="preserve"> </w:t>
      </w:r>
      <w:r>
        <w:fldChar w:fldCharType="begin" w:fldLock="1"/>
      </w:r>
      <w:r>
        <w:instrText>ADDIN CSL_CITATION {"citationItems":[{"id":"ITEM-1","itemData":{"URL":"https://coast.noaa.gov/hurricanes/","accessed":{"date-parts":[["2018","10","3"]]},"author":[{"dropping-particle":"","family":"National Oceanic and Atmospheric Administration","given":"","non-dropping-particle":"","parse-names":false,"suffix":""}],"id":"ITEM-1","issued":{"date-parts":[["0"]]},"title":"Historical Hurricane Tracks","type":"webpage"},"uris":["http://www.mendeley.com/documents/?uuid=13d5054e-a4ed-37fb-95b5-4de51fc294e6"]}],"mendeley":{"formattedCitation":"National Oceanic and Atmospheric Administration, “Historical Hurricane Tracks.”","plainTextFormattedCitation":"National Oceanic and Atmospheric Administration, “Historical Hurricane Tracks.”","previouslyFormattedCitation":"National Oceanic and Atmospheric Administration, “Historical Hurricane Tracks.”"},"properties":{"noteIndex":37},"schema":"https://github.com/citation-style-language/schema/raw/master/csl-citation.json"}</w:instrText>
      </w:r>
      <w:r>
        <w:fldChar w:fldCharType="separate"/>
      </w:r>
      <w:r w:rsidRPr="003241A3">
        <w:rPr>
          <w:noProof/>
        </w:rPr>
        <w:t>National Oceanic and Atmospheric Administration, “Historical Hurricane Tracks.”</w:t>
      </w:r>
      <w:r>
        <w:fldChar w:fldCharType="end"/>
      </w:r>
    </w:p>
  </w:footnote>
  <w:footnote w:id="39">
    <w:p w14:paraId="1EE2335B" w14:textId="1A67A713" w:rsidR="00AB27A5" w:rsidRDefault="00AB27A5" w:rsidP="000C6DB9">
      <w:pPr>
        <w:pStyle w:val="FootnoteText"/>
      </w:pPr>
      <w:r w:rsidRPr="00D05B51">
        <w:rPr>
          <w:rStyle w:val="FootnoteReference"/>
        </w:rPr>
        <w:footnoteRef/>
      </w:r>
      <w:r>
        <w:t xml:space="preserve"> </w:t>
      </w:r>
      <w:r>
        <w:fldChar w:fldCharType="begin" w:fldLock="1"/>
      </w:r>
      <w:r>
        <w:instrText>ADDIN CSL_CITATION {"citationItems":[{"id":"ITEM-1","itemData":{"URL":"https://www.houstonchronicle.com/life/article/Hurricane-Harvey-by-the-numbers-12172287.php","accessed":{"date-parts":[["2018","11","1"]]},"author":[{"dropping-particle":"","family":"Morast","given":"Robert","non-dropping-particle":"","parse-names":false,"suffix":""}],"container-title":"Houston Chronicle","id":"ITEM-1","issued":{"date-parts":[["2017"]]},"title":"Hurricane Harvey by the numbers","type":"webpage"},"uris":["http://www.mendeley.com/documents/?uuid=382d890e-dae5-3c98-9516-57b17f229a04"]}],"mendeley":{"formattedCitation":"Robert Morast, “Hurricane Harvey by the Numbers,” Houston Chronicle, 2017, https://www.houstonchronicle.com/life/article/Hurricane-Harvey-by-the-numbers-12172287.php.","plainTextFormattedCitation":"Robert Morast, “Hurricane Harvey by the Numbers,” Houston Chronicle, 2017, https://www.houstonchronicle.com/life/article/Hurricane-Harvey-by-the-numbers-12172287.php.","previouslyFormattedCitation":"Robert Morast, “Hurricane Harvey by the Numbers,” Houston Chronicle, 2017, https://www.houstonchronicle.com/life/article/Hurricane-Harvey-by-the-numbers-12172287.php."},"properties":{"noteIndex":38},"schema":"https://github.com/citation-style-language/schema/raw/master/csl-citation.json"}</w:instrText>
      </w:r>
      <w:r>
        <w:fldChar w:fldCharType="separate"/>
      </w:r>
      <w:r w:rsidRPr="00B724C9">
        <w:rPr>
          <w:noProof/>
        </w:rPr>
        <w:t>Robert Morast, “Hurricane Harvey by the Numbers,” Houston Chronicle, 2017, https://www.houstonchronicle.com/life/article/Hurricane-Harvey-by-the-numbers-12172287.php.</w:t>
      </w:r>
      <w:r>
        <w:fldChar w:fldCharType="end"/>
      </w:r>
    </w:p>
  </w:footnote>
  <w:footnote w:id="40">
    <w:p w14:paraId="666E1CF8" w14:textId="2D530987"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{"citationItems":[{"id":"ITEM-1","itemData":{"ISBN":"1,500,000,000","author":[{"dropping-particle":"","family":"National Hurricane Center","given":"","non-dropping-particle":"","parse-names":false,"suffix":""}],"id":"ITEM-1","issued":{"date-parts":[["2018"]]},"title":"Costliest US Tropical Cyclones","type":"report"},"uris":["http://www.mendeley.com/documents/?uuid=6b79e559-3b14-396a-8798-7b94a829c5fd"]}],"mendeley":{"formattedCitation":"National Hurricane Center, “Costliest US Tropical Cyclones.”","plainTextFormattedCitation":"National Hurricane Center, “Costliest US Tropical Cyclones.”","previouslyFormattedCitation":"National Hurricane Center, “Costliest US Tropical Cyclones.”"},"properties":{"noteIndex":39},"schema":"https://github.com/citation-style-language/schema/raw/master/csl-citation.json"}</w:instrText>
      </w:r>
      <w:r>
        <w:fldChar w:fldCharType="separate"/>
      </w:r>
      <w:r w:rsidRPr="00F67267">
        <w:rPr>
          <w:noProof/>
        </w:rPr>
        <w:t>National Hurricane Center, “Costliest US Tropical Cyclones.”</w:t>
      </w:r>
      <w:r>
        <w:fldChar w:fldCharType="end"/>
      </w:r>
    </w:p>
  </w:footnote>
  <w:footnote w:id="41">
    <w:p w14:paraId="270A897C" w14:textId="726BA3E4"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houstonchronicle.com/news/article/In-Harvey-s-deluge-most-damaged-homes-were-12794820.php","accessed":{"date-parts":[["2018","11","3"]]},"author":[{"dropping-particle":"","family":"Hunn","given":"David","non-dropping-particle":"","parse-names":false,"suffix":""},{"dropping-particle":"","family":"Dempsey","given":"Matt","non-dropping-particle":"","parse-names":false,"suffix":""},{"dropping-particle":"","family":"Zaveri","given":"Mihir","non-dropping-particle":"","parse-names":false,"suffix":""}],"id":"ITEM-1","issued":{"date-parts":[["2018"]]},"publisher":"Houston Chronicle","title":"In Harvey’s deluge, most damaged homes were outside the flood plain, new data show","type":"webpage"},"uris":["http://www.mendeley.com/documents/?uuid=64e93f7d-5871-3cce-b858-807419d141af"]}],"mendeley":{"formattedCitation":"David Hunn, Matt Dempsey, and Mihir Zaveri, “In Harvey’s Deluge, Most Damaged Homes Were Outside the Flood Plain, New Data Show” (Houston Chronicle, 2018), https://www.houstonchronicle.com/news/article/In-Harvey-s-deluge-most-damaged-homes-were-12794820.php.","plainTextFormattedCitation":"David Hunn, Matt Dempsey, and Mihir Zaveri, “In Harvey’s Deluge, Most Damaged Homes Were Outside the Flood Plain, New Data Show” (Houston Chronicle, 2018), https://www.houstonchronicle.com/news/article/In-Harvey-s-deluge-most-damaged-homes-were-12794820.php.","previouslyFormattedCitation":"David Hunn, Matt Dempsey, and Mihir Zaveri, “In Harvey’s Deluge, Most Damaged Homes Were Outside the Flood Plain, New Data Show” (Houston Chronicle, 2018), https://www.houstonchronicle.com/news/article/In-Harvey-s-deluge-most-damaged-homes-were-12794820.php."},"properties":{"noteIndex":40},"schema":"https://github.com/citation-style-language/schema/raw/master/csl-citation.json"}</w:instrText>
      </w:r>
      <w:r>
        <w:fldChar w:fldCharType="separate"/>
      </w:r>
      <w:r w:rsidRPr="00EB382C">
        <w:rPr>
          <w:noProof/>
        </w:rPr>
        <w:t>David Hunn, Matt Dempsey, and Mihir Zaveri, “In Harvey’s Deluge, Most Damaged Homes Were Outside the Flood Plain, New Data Show” (Houston Chronicle, 2018), https://www.houstonchronicle.com/news/article/In-Harvey-s-deluge-most-damaged-homes-were-12794820.php.</w:t>
      </w:r>
      <w:r>
        <w:fldChar w:fldCharType="end"/>
      </w:r>
    </w:p>
  </w:footnote>
  <w:footnote w:id="42">
    <w:p w14:paraId="4FCE59A9" w14:textId="544F1F85" w:rsidR="00AB27A5" w:rsidRDefault="00AB27A5">
      <w:pPr>
        <w:pStyle w:val="FootnoteText"/>
      </w:pPr>
      <w:r w:rsidRPr="00D05B51">
        <w:rPr>
          <w:rStyle w:val="FootnoteReference"/>
        </w:rPr>
        <w:footnoteRef/>
      </w:r>
      <w:r>
        <w:t xml:space="preserve"> A 100-year flood plain describes an area which has a 1% chance of flooding in one year.</w:t>
      </w:r>
    </w:p>
  </w:footnote>
  <w:footnote w:id="43">
    <w:p w14:paraId="4FDBF400" w14:textId="150443EB"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{"citationItems":[{"id":"ITEM-1","itemData":{"URL":"http://www.harriscountyfemt.org/","accessed":{"date-parts":[["2018","11","4"]]},"author":[{"dropping-particle":"","family":"Harris County FEMT","given":"","non-dropping-particle":"","parse-names":false,"suffix":""}],"id":"ITEM-1","issued":{"date-parts":[["2018"]]},"publisher":"Harris County Flood Control District","title":"Harris County Flood Education Mapping Tool","type":"webpage"},"uris":["http://www.mendeley.com/documents/?uuid=dcc4c0d1-a1be-3c05-a9d2-85a669ba4ea8"]}],"mendeley":{"formattedCitation":"Harris County FEMT, “Harris County Flood Education Mapping Tool” (Harris County Flood Control District, 2018), http://www.harriscountyfemt.org/.","plainTextFormattedCitation":"Harris County FEMT, “Harris County Flood Education Mapping Tool” (Harris County Flood Control District, 2018), http://www.harriscountyfemt.org/.","previouslyFormattedCitation":"Harris County FEMT, “Harris County Flood Education Mapping Tool” (Harris County Flood Control District, 2018), http://www.harriscountyfemt.org/."},"properties":{"noteIndex":42},"schema":"https://github.com/citation-style-language/schema/raw/master/csl-citation.json"}</w:instrText>
      </w:r>
      <w:r>
        <w:fldChar w:fldCharType="separate"/>
      </w:r>
      <w:r w:rsidRPr="00EB382C">
        <w:rPr>
          <w:noProof/>
        </w:rPr>
        <w:t>Harris County FEMT, “Harris County Flood Education Mapping Tool” (Harris County Flood Control District, 2018), http://www.harriscountyfemt.org/.</w:t>
      </w:r>
      <w:r>
        <w:fldChar w:fldCharType="end"/>
      </w:r>
    </w:p>
  </w:footnote>
  <w:footnote w:id="44">
    <w:p w14:paraId="2CA7A7B1" w14:textId="10F113D2"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{"citationItems":[{"id":"ITEM-1","itemData":{"URL":"http://thekatynews.com/2018/08/08/harvey-timeline/","accessed":{"date-parts":[["2018","12","11"]]},"author":[{"dropping-particle":"","family":"The Katy News","given":"","non-dropping-particle":"","parse-names":false,"suffix":""}],"id":"ITEM-1","issued":{"date-parts":[["2018"]]},"title":"Harvey Timeline","type":"webpage"},"uris":["http://www.mendeley.com/documents/?uuid=2819385b-6622-3bec-a0d1-762165ae4b22"]}],"mendeley":{"formattedCitation":"The Katy News, “Harvey Timeline,” 2018, http://thekatynews.com/2018/08/08/harvey-timeline/.","plainTextFormattedCitation":"The Katy News, “Harvey Timeline,” 2018, http://thekatynews.com/2018/08/08/harvey-timeline/.","previouslyFormattedCitation":"The Katy News, “Harvey Timeline,” 2018, http://thekatynews.com/2018/08/08/harvey-timeline/."},"properties":{"noteIndex":43},"schema":"https://github.com/citation-style-language/schema/raw/master/csl-citation.json"}</w:instrText>
      </w:r>
      <w:r>
        <w:fldChar w:fldCharType="separate"/>
      </w:r>
      <w:r w:rsidRPr="00650CE5">
        <w:rPr>
          <w:noProof/>
        </w:rPr>
        <w:t>The Katy News, “Harvey Timeline,” 2018, http://thekatynews.com/2018/08/08/harvey-timeline/.</w:t>
      </w:r>
      <w:r>
        <w:fldChar w:fldCharType="end"/>
      </w:r>
    </w:p>
  </w:footnote>
  <w:footnote w:id="45">
    <w:p w14:paraId="7EA5F780" w14:textId="5675897A" w:rsidR="00AB27A5" w:rsidRDefault="00AB27A5" w:rsidP="008A1650">
      <w:pPr>
        <w:pStyle w:val="FootnoteText"/>
      </w:pPr>
      <w:r w:rsidRPr="00D05B51">
        <w:rPr>
          <w:rStyle w:val="FootnoteReference"/>
        </w:rPr>
        <w:footnoteRef/>
      </w:r>
      <w:r>
        <w:t xml:space="preserve"> </w:t>
      </w:r>
      <w:r>
        <w:fldChar w:fldCharType="begin" w:fldLock="1"/>
      </w:r>
      <w:r>
        <w:instrText>ADDIN CSL_CITATION {"citationItems":[{"id":"ITEM-1","itemData":{"URL":"https://www.click2houston.com/news/fema-trailer-frustrations-linger-four-months-after-harvey","accessed":{"date-parts":[["2018","11","8"]]},"author":[{"dropping-particle":"","family":"Arnold","given":"Robert","non-dropping-particle":"","parse-names":false,"suffix":""}],"id":"ITEM-1","issued":{"date-parts":[["2018"]]},"publisher":"Click2Houston.com","title":"FEMA trailer frustrations linger four months after Harvey","type":"webpage"},"uris":["http://www.mendeley.com/documents/?uuid=1eebbee4-ec6c-3963-be56-de257cae72d5"]}],"mendeley":{"formattedCitation":"Robert Arnold, “FEMA Trailer Frustrations Linger Four Months after Harvey” (Click2Houston.com, 2018), https://www.click2houston.com/news/fema-trailer-frustrations-linger-four-months-after-harvey.","plainTextFormattedCitation":"Robert Arnold, “FEMA Trailer Frustrations Linger Four Months after Harvey” (Click2Houston.com, 2018), https://www.click2houston.com/news/fema-trailer-frustrations-linger-four-months-after-harvey.","previouslyFormattedCitation":"Robert Arnold, “FEMA Trailer Frustrations Linger Four Months after Harvey” (Click2Houston.com, 2018), https://www.click2houston.com/news/fema-trailer-frustrations-linger-four-months-after-harvey."},"properties":{"noteIndex":44},"schema":"https://github.com/citation-style-language/schema/raw/master/csl-citation.json"}</w:instrText>
      </w:r>
      <w:r>
        <w:fldChar w:fldCharType="separate"/>
      </w:r>
      <w:r w:rsidRPr="00EB382C">
        <w:rPr>
          <w:noProof/>
        </w:rPr>
        <w:t>Robert Arnold, “FEMA Trailer Frustrations Linger Four Months after Harvey” (Click2Houston.com, 2018), https://www.click2houston.com/news/fema-trailer-frustrations-linger-four-months-after-harvey.</w:t>
      </w:r>
      <w:r>
        <w:fldChar w:fldCharType="end"/>
      </w:r>
    </w:p>
  </w:footnote>
  <w:footnote w:id="46">
    <w:p w14:paraId="0F5BC93F" w14:textId="0877D625" w:rsidR="00AB27A5" w:rsidRDefault="00AB27A5" w:rsidP="00651FD8">
      <w:pPr>
        <w:pStyle w:val="FootnoteText"/>
      </w:pPr>
      <w:r>
        <w:rPr>
          <w:rStyle w:val="FootnoteReference"/>
        </w:rPr>
        <w:footnoteRef/>
      </w:r>
      <w:r>
        <w:t xml:space="preserve"> </w:t>
      </w:r>
      <w:r>
        <w:fldChar w:fldCharType="begin" w:fldLock="1"/>
      </w:r>
      <w:r>
        <w:instrText>ADDIN CSL_CITATION {"citationItems":[{"id":"ITEM-1","itemData":{"author":[{"dropping-particle":"","family":"U.S. Census Bureau","given":"","non-dropping-particle":"","parse-names":false,"suffix":""}],"id":"ITEM-1","issued":{"date-parts":[["0"]]},"title":"2013-2017 American Community Survey Total Population 5-Year Estimates: Tract 2108/2109/2110/2112/2117/2302","type":"report"},"uris":["http://www.mendeley.com/documents/?uuid=5c469eb3-5a75-3afd-9626-858921169c62"]}],"mendeley":{"formattedCitation":"U.S. Census Bureau, “2013-2017 American Community Survey Total Population 5-Year Estimates: Tract 2108/2109/2110/2112/2117/2302,” accessed March 29, 2019, https://factfinder.census.gov/faces/tableservices/jsf/pages/productview.xhtml?pid=ACS_17_5YR_B01003&amp;prodType=table.","plainTextFormattedCitation":"U.S. Census Bureau, “2013-2017 American Community Survey Total Population 5-Year Estimates: Tract 2108/2109/2110/2112/2117/2302,” accessed March 29, 2019, https://factfinder.census.gov/faces/tableservices/jsf/pages/productview.xhtml?pid=ACS_17_5YR_B01003&amp;prodType=table.","previouslyFormattedCitation":"U.S. Census Bureau, “2013-2017 American Community Survey Total Population 5-Year Estimates: Tract 2108/2109/2110/2112/2117/2302,” accessed March 29, 2019, https://factfinder.census.gov/faces/tableservices/jsf/pages/productview.xhtml?pid=ACS_17_5YR_B01003&amp;prodType=table."},"properties":{"noteIndex":45},"schema":"https://github.com/citation-style-language/schema/raw/master/csl-citation.json"}</w:instrText>
      </w:r>
      <w:r>
        <w:fldChar w:fldCharType="separate"/>
      </w:r>
      <w:r w:rsidRPr="0058365C">
        <w:rPr>
          <w:noProof/>
        </w:rPr>
        <w:t>U.S. Census Bureau, “2013-2017 American Community Survey Total Population 5-Year Estimates: Tract 2108/2109/2110/2112/2117/2302,” accessed March 29, 2019, https://factfinder.census.gov/faces/tableservices/jsf/pages/productview.xhtml?pid=ACS_17_5YR_B01003&amp;prodType=table.</w:t>
      </w:r>
      <w:r>
        <w:fldChar w:fldCharType="end"/>
      </w:r>
    </w:p>
  </w:footnote>
  <w:footnote w:id="47">
    <w:p w14:paraId="4F4428C3" w14:textId="527F4D1E" w:rsidR="00AB27A5" w:rsidRDefault="00AB27A5" w:rsidP="00651FD8">
      <w:pPr>
        <w:pStyle w:val="FootnoteText"/>
      </w:pPr>
      <w:r w:rsidRPr="008B19D8">
        <w:rPr>
          <w:rStyle w:val="FootnoteReference"/>
        </w:rPr>
        <w:footnoteRef/>
      </w:r>
      <w:r>
        <w:t xml:space="preserve"> </w:t>
      </w:r>
      <w:r>
        <w:fldChar w:fldCharType="begin" w:fldLock="1"/>
      </w:r>
      <w:r>
        <w:instrText>ADDIN CSL_CITATION {"citationItems":[{"id":"ITEM-1","itemData":{"URL":"https://www.niche.com/places-to-live/n/kashmere-gardens-houston-tx/residents/","accessed":{"date-parts":[["2018","11","4"]]},"author":[{"dropping-particle":"","family":"Niche.com","given":"","non-dropping-particle":"","parse-names":false,"suffix":""}],"id":"ITEM-1","issued":{"date-parts":[["0"]]},"title":"Kashmere Gardens","type":"webpage"},"uris":["http://www.mendeley.com/documents/?uuid=6a638271-8069-3f30-8975-cf62d8df8f8d"]}],"mendeley":{"formattedCitation":"Niche.com, “Kashmere Gardens,” accessed November 4, 2018, https://www.niche.com/places-to-live/n/kashmere-gardens-houston-tx/residents/.","plainTextFormattedCitation":"Niche.com, “Kashmere Gardens,” accessed November 4, 2018, https://www.niche.com/places-to-live/n/kashmere-gardens-houston-tx/residents/.","previouslyFormattedCitation":"Niche.com, “Kashmere Gardens,” accessed November 4, 2018, https://www.niche.com/places-to-live/n/kashmere-gardens-houston-tx/residents/."},"properties":{"noteIndex":46},"schema":"https://github.com/citation-style-language/schema/raw/master/csl-citation.json"}</w:instrText>
      </w:r>
      <w:r>
        <w:fldChar w:fldCharType="separate"/>
      </w:r>
      <w:r w:rsidRPr="009B1EBA">
        <w:rPr>
          <w:noProof/>
        </w:rPr>
        <w:t>Niche.com, “Kashmere Gardens,” accessed November 4, 2018, https://www.niche.com/places-to-live/n/kashmere-gardens-houston-tx/residents/.</w:t>
      </w:r>
      <w:r>
        <w:fldChar w:fldCharType="end"/>
      </w:r>
    </w:p>
  </w:footnote>
  <w:footnote w:id="48">
    <w:p w14:paraId="04DCA77F" w14:textId="4090A226" w:rsidR="00AB27A5" w:rsidRDefault="00AB27A5" w:rsidP="00651FD8">
      <w:pPr>
        <w:pStyle w:val="FootnoteText"/>
      </w:pPr>
      <w:r w:rsidRPr="008B19D8">
        <w:rPr>
          <w:rStyle w:val="FootnoteReference"/>
        </w:rPr>
        <w:footnoteRef/>
      </w:r>
      <w:r>
        <w:t xml:space="preserve"> </w:t>
      </w:r>
      <w:r>
        <w:fldChar w:fldCharType="begin" w:fldLock="1"/>
      </w:r>
      <w:r>
        <w:instrText>ADDIN CSL_CITATION {"citationItems":[{"id":"ITEM-1","itemData":{"URL":"https://www.niche.com/places-to-live/houston-harris-tx/","accessed":{"date-parts":[["2018","11","4"]]},"author":[{"dropping-particle":"","family":"Niche.com","given":"","non-dropping-particle":"","parse-names":false,"suffix":""}],"id":"ITEM-1","issued":{"date-parts":[["0"]]},"title":"Houston, TX","type":"webpage"},"uris":["http://www.mendeley.com/documents/?uuid=7ee4980a-0386-3a11-8493-88060923f0d3"]}],"mendeley":{"formattedCitation":"Niche.com, “Houston, TX,” accessed November 4, 2018, https://www.niche.com/places-to-live/houston-harris-tx/.","plainTextFormattedCitation":"Niche.com, “Houston, TX,” accessed November 4, 2018, https://www.niche.com/places-to-live/houston-harris-tx/.","previouslyFormattedCitation":"Niche.com, “Houston, TX,” accessed November 4, 2018, https://www.niche.com/places-to-live/houston-harris-tx/."},"properties":{"noteIndex":47},"schema":"https://github.com/citation-style-language/schema/raw/master/csl-citation.json"}</w:instrText>
      </w:r>
      <w:r>
        <w:fldChar w:fldCharType="separate"/>
      </w:r>
      <w:r w:rsidRPr="00016DDA">
        <w:rPr>
          <w:noProof/>
        </w:rPr>
        <w:t>Niche.com, “Houston, TX,” accessed November 4, 2018, https://www.niche.com/places-to-live/houston-harris-tx/.</w:t>
      </w:r>
      <w:r>
        <w:fldChar w:fldCharType="end"/>
      </w:r>
    </w:p>
  </w:footnote>
  <w:footnote w:id="49">
    <w:p w14:paraId="201260C5" w14:textId="6D40B91F" w:rsidR="00AB27A5" w:rsidRDefault="00AB27A5" w:rsidP="00651FD8">
      <w:pPr>
        <w:pStyle w:val="FootnoteText"/>
      </w:pPr>
      <w:r>
        <w:rPr>
          <w:rStyle w:val="FootnoteReference"/>
        </w:rPr>
        <w:footnoteRef/>
      </w:r>
      <w:r>
        <w:t xml:space="preserve"> </w:t>
      </w:r>
      <w:r>
        <w:fldChar w:fldCharType="begin" w:fldLock="1"/>
      </w:r>
      <w:r>
        <w:instrText>ADDIN CSL_CITATION {"citationItems":[{"id":"ITEM-1","itemData":{"author":[{"dropping-particle":"","family":"Centers for Disease Control","given":"","non-dropping-particle":"","parse-names":false,"suffix":""}],"id":"ITEM-1","issued":{"date-parts":[["0"]]},"publisher":"Agency for Toxic Substances and Disease Registry","title":"Social Vulnerability Index","type":"report"},"uris":["http://www.mendeley.com/documents/?uuid=912ef11a-c61c-4984-8169-398b55c4cd2b"]}],"mendeley":{"formattedCitation":"Centers for Disease Control, “Social Vulnerability Index.”","plainTextFormattedCitation":"Centers for Disease Control, “Social Vulnerability Index.”","previouslyFormattedCitation":"Centers for Disease Control, “Social Vulnerability Index.”"},"properties":{"noteIndex":48},"schema":"https://github.com/citation-style-language/schema/raw/master/csl-citation.json"}</w:instrText>
      </w:r>
      <w:r>
        <w:fldChar w:fldCharType="separate"/>
      </w:r>
      <w:r w:rsidRPr="00702893">
        <w:rPr>
          <w:noProof/>
        </w:rPr>
        <w:t>Centers for Disease Control, “Social Vulnerability Index.”</w:t>
      </w:r>
      <w:r>
        <w:fldChar w:fldCharType="end"/>
      </w:r>
    </w:p>
  </w:footnote>
  <w:footnote w:id="50">
    <w:p w14:paraId="7C1730CB" w14:textId="4FBF1B9C" w:rsidR="00AB27A5" w:rsidRDefault="00AB27A5" w:rsidP="00651FD8">
      <w:pPr>
        <w:pStyle w:val="FootnoteText"/>
      </w:pPr>
      <w:r w:rsidRPr="008B19D8">
        <w:rPr>
          <w:rStyle w:val="FootnoteReference"/>
        </w:rPr>
        <w:footnoteRef/>
      </w:r>
      <w:r>
        <w:t xml:space="preserve"> </w:t>
      </w:r>
      <w:r>
        <w:fldChar w:fldCharType="begin" w:fldLock="1"/>
      </w:r>
      <w:r>
        <w:instrText>ADDIN CSL_CITATION {"citationItems":[{"id":"ITEM-1","itemData":{"URL":"https://texashousers.net/2018/01/04/highest-unmet-housing-need-in-harris-county-after-hurricane-harvey-is-in-low-income-communities-of-color/","accessed":{"date-parts":[["2018","11","8"]]},"author":[{"dropping-particle":"","family":"Rosales","given":"Christina","non-dropping-particle":"","parse-names":false,"suffix":""}],"container-title":"Texas Housers","id":"ITEM-1","issued":{"date-parts":[["2018"]]},"title":"Greatest concentration of unmet Hurricane Harvey housing need in Harris County is in low-income communities of color","type":"webpage"},"uris":["http://www.mendeley.com/documents/?uuid=2931415d-8575-3ed7-886e-1e7a507ca8ad"]}],"mendeley":{"formattedCitation":"Christina Rosales, “Greatest Concentration of Unmet Hurricane Harvey Housing Need in Harris County Is in Low-Income Communities of Color,” Texas Housers, 2018, https://texashousers.net/2018/01/04/highest-unmet-housing-need-in-harris-county-after-hurricane-harvey-is-in-low-income-communities-of-color/.","plainTextFormattedCitation":"Christina Rosales, “Greatest Concentration of Unmet Hurricane Harvey Housing Need in Harris County Is in Low-Income Communities of Color,” Texas Housers, 2018, https://texashousers.net/2018/01/04/highest-unmet-housing-need-in-harris-county-after-hurricane-harvey-is-in-low-income-communities-of-color/.","previouslyFormattedCitation":"Christina Rosales, “Greatest Concentration of Unmet Hurricane Harvey Housing Need in Harris County Is in Low-Income Communities of Color,” Texas Housers, 2018, https://texashousers.net/2018/01/04/highest-unmet-housing-need-in-harris-county-after-hurricane-harvey-is-in-low-income-communities-of-color/."},"properties":{"noteIndex":49},"schema":"https://github.com/citation-style-language/schema/raw/master/csl-citation.json"}</w:instrText>
      </w:r>
      <w:r>
        <w:fldChar w:fldCharType="separate"/>
      </w:r>
      <w:r w:rsidRPr="00F52236">
        <w:rPr>
          <w:noProof/>
        </w:rPr>
        <w:t>Christina Rosales, “Greatest Concentration of Unmet Hurricane Harvey Housing Need in Harris County Is in Low-Income Communities of Color,” Texas Housers, 2018, https://texashousers.net/2018/01/04/highest-unmet-housing-need-in-harris-county-after-hurricane-harvey-is-in-low-income-communities-of-color/.</w:t>
      </w:r>
      <w:r>
        <w:fldChar w:fldCharType="end"/>
      </w:r>
    </w:p>
  </w:footnote>
  <w:footnote w:id="51">
    <w:p w14:paraId="20B7C3AD" w14:textId="1F6AA30A" w:rsidR="00AB27A5" w:rsidRDefault="00AB27A5" w:rsidP="00651FD8">
      <w:pPr>
        <w:pStyle w:val="FootnoteText"/>
      </w:pPr>
      <w:r w:rsidRPr="008B19D8">
        <w:rPr>
          <w:rStyle w:val="FootnoteReference"/>
        </w:rPr>
        <w:footnoteRef/>
      </w:r>
      <w:r>
        <w:t xml:space="preserve"> </w:t>
      </w:r>
      <w:r>
        <w:fldChar w:fldCharType="begin" w:fldLock="1"/>
      </w:r>
      <w:r>
        <w:instrText>ADDIN CSL_CITATION {"citationItems":[{"id":"ITEM-1","itemData":{"URL":"https://www.victoriaadvocate.com/news/almost-fema-trailers-rvs-sit-unused-in-beeville-w-video/article_80e2bc5c-38e8-11e8-9b91-07c43f9ffa20.html","accessed":{"date-parts":[["2018","11","8"]]},"author":[{"dropping-particle":"","family":"Riker","given":"Marina Starleaf","non-dropping-particle":"","parse-names":false,"suffix":""}],"container-title":"Victoria Advocate","id":"ITEM-1","issued":{"date-parts":[["2018"]]},"title":"Almost 2,600 FEMA trailers, RVs sit unused in Beeville","type":"webpage"},"uris":["http://www.mendeley.com/documents/?uuid=a72a9d7e-4e1e-316d-8ba6-01002c9c3337"]}],"mendeley":{"formattedCitation":"Marina Starleaf Riker, “Almost 2,600 FEMA Trailers, RVs Sit Unused in Beeville,” Victoria Advocate, 2018, https://www.victoriaadvocate.com/news/almost-fema-trailers-rvs-sit-unused-in-beeville-w-video/article_80e2bc5c-38e8-11e8-9b91-07c43f9ffa20.html.","plainTextFormattedCitation":"Marina Starleaf Riker, “Almost 2,600 FEMA Trailers, RVs Sit Unused in Beeville,” Victoria Advocate, 2018, https://www.victoriaadvocate.com/news/almost-fema-trailers-rvs-sit-unused-in-beeville-w-video/article_80e2bc5c-38e8-11e8-9b91-07c43f9ffa20.html.","previouslyFormattedCitation":"Marina Starleaf Riker, “Almost 2,600 FEMA Trailers, RVs Sit Unused in Beeville,” Victoria Advocate, 2018, https://www.victoriaadvocate.com/news/almost-fema-trailers-rvs-sit-unused-in-beeville-w-video/article_80e2bc5c-38e8-11e8-9b91-07c43f9ffa20.html."},"properties":{"noteIndex":50},"schema":"https://github.com/citation-style-language/schema/raw/master/csl-citation.json"}</w:instrText>
      </w:r>
      <w:r>
        <w:fldChar w:fldCharType="separate"/>
      </w:r>
      <w:r w:rsidRPr="00450199">
        <w:rPr>
          <w:noProof/>
        </w:rPr>
        <w:t>Marina Starleaf Riker, “Almost 2,600 FEMA Trailers, RVs Sit Unused in Beeville,” Victoria Advocate, 2018, https://www.victoriaadvocate.com/news/almost-fema-trailers-rvs-sit-unused-in-beeville-w-video/article_80e2bc5c-38e8-11e8-9b91-07c43f9ffa20.html.</w:t>
      </w:r>
      <w:r>
        <w:fldChar w:fldCharType="end"/>
      </w:r>
    </w:p>
  </w:footnote>
  <w:footnote w:id="52">
    <w:p w14:paraId="7C483229" w14:textId="758C1CDF"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{"citationItems":[{"id":"ITEM-1","itemData":{"author":[{"dropping-particle":"","family":"US Attorney's Office","given":"","non-dropping-particle":"","parse-names":false,"suffix":""}],"id":"ITEM-1","issued":{"date-parts":[["2018"]]},"title":"Five Charged in Fraud Schemes Linked to Hurricane Harvey","type":"article"},"uris":["http://www.mendeley.com/documents/?uuid=206491df-6505-30bb-875f-c1d0e57799e0"]}],"mendeley":{"formattedCitation":"US Attorney’s Office, “Five Charged in Fraud Schemes Linked to Hurricane Harvey,” 2018, https://www.justice.gov/usao-sdtx/pr/five-charged-fraud-schemes-linked-hurricane-harvey.","plainTextFormattedCitation":"US Attorney’s Office, “Five Charged in Fraud Schemes Linked to Hurricane Harvey,” 2018, https://www.justice.gov/usao-sdtx/pr/five-charged-fraud-schemes-linked-hurricane-harvey.","previouslyFormattedCitation":"US Attorney’s Office, “Five Charged in Fraud Schemes Linked to Hurricane Harvey,” 2018, https://www.justice.gov/usao-sdtx/pr/five-charged-fraud-schemes-linked-hurricane-harvey."},"properties":{"noteIndex":51},"schema":"https://github.com/citation-style-language/schema/raw/master/csl-citation.json"}</w:instrText>
      </w:r>
      <w:r>
        <w:fldChar w:fldCharType="separate"/>
      </w:r>
      <w:r w:rsidRPr="00423F8B">
        <w:rPr>
          <w:noProof/>
        </w:rPr>
        <w:t>US Attorney’s Office, “Five Charged in Fraud Schemes Linked to Hurricane Harvey,” 2018, https://www.justice.gov/usao-sdtx/pr/five-charged-fraud-schemes-linked-hurricane-harvey.</w:t>
      </w:r>
      <w:r>
        <w:fldChar w:fldCharType="end"/>
      </w:r>
    </w:p>
  </w:footnote>
  <w:footnote w:id="53">
    <w:p w14:paraId="6F94546B" w14:textId="43CE4D63"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beaumontenterprise.com/news/article/Many-Harvey-victims-remain-out-of-homes-13347784.php","accessed":{"date-parts":[["2018","11","8"]]},"author":[{"dropping-particle":"","family":"Schuetz","given":"R.A.","non-dropping-particle":"","parse-names":false,"suffix":""}],"container-title":"Beaumont Enterprise","id":"ITEM-1","issued":{"date-parts":[["2018"]]},"title":"Many Harvey victims remain out of homes","type":"webpage"},"uris":["http://www.mendeley.com/documents/?uuid=06fc6912-18be-3b26-b4ce-a12c4dea5c62"]}],"mendeley":{"formattedCitation":"R.A. Schuetz, “Many Harvey Victims Remain out of Homes,” Beaumont Enterprise, 2018, https://www.beaumontenterprise.com/news/article/Many-Harvey-victims-remain-out-of-homes-13347784.php.","plainTextFormattedCitation":"R.A. Schuetz, “Many Harvey Victims Remain out of Homes,” Beaumont Enterprise, 2018, https://www.beaumontenterprise.com/news/article/Many-Harvey-victims-remain-out-of-homes-13347784.php.","previouslyFormattedCitation":"R.A. Schuetz, “Many Harvey Victims Remain out of Homes,” Beaumont Enterprise, 2018, https://www.beaumontenterprise.com/news/article/Many-Harvey-victims-remain-out-of-homes-13347784.php."},"properties":{"noteIndex":52},"schema":"https://github.com/citation-style-language/schema/raw/master/csl-citation.json"}</w:instrText>
      </w:r>
      <w:r>
        <w:fldChar w:fldCharType="separate"/>
      </w:r>
      <w:r w:rsidRPr="00FD2EEE">
        <w:rPr>
          <w:noProof/>
        </w:rPr>
        <w:t>R.A. Schuetz, “Many Harvey Victims Remain out of Homes,” Beaumont Enterprise, 2018, https://www.beaumontenterprise.com/news/article/Many-Harvey-victims-remain-out-of-homes-13347784.php.</w:t>
      </w:r>
      <w:r>
        <w:fldChar w:fldCharType="end"/>
      </w:r>
    </w:p>
  </w:footnote>
  <w:footnote w:id="54">
    <w:p w14:paraId="4424EE6C" w14:textId="6C176C39"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{"citationItems":[{"id":"ITEM-1","itemData":{"author":[{"dropping-particle":"","family":"World Commission on Environment and Development","given":"","non-dropping-particle":"","parse-names":false,"suffix":""}],"id":"ITEM-1","issued":{"date-parts":[["1987"]]},"title":"Report of the World Commission on Environment and Development: Our Common Future Towards Sustainable Development 2. Part II. Common Challenges Population and Human Resources 4","type":"report"},"uris":["http://www.mendeley.com/documents/?uuid=a736e33a-2344-3d18-99cd-96f05caf3f77"]}],"mendeley":{"formattedCitation":"World Commission on Environment and Development, “Report of the World Commission on Environment and Development: Our Common Future Towards Sustainable Development 2. Part II. Common Challenges Population and Human Resources 4,” 1987, http://www.un-documents.net/our-common-future.pdf.","plainTextFormattedCitation":"World Commission on Environment and Development, “Report of the World Commission on Environment and Development: Our Common Future Towards Sustainable Development 2. Part II. Common Challenges Population and Human Resources 4,” 1987, http://www.un-documents.net/our-common-future.pdf.","previouslyFormattedCitation":"World Commission on Environment and Development, “Report of the World Commission on Environment and Development: Our Common Future Towards Sustainable Development 2. Part II. Common Challenges Population and Human Resources 4,” 1987, http://www.un-documents.net/our-common-future.pdf."},"properties":{"noteIndex":53},"schema":"https://github.com/citation-style-language/schema/raw/master/csl-citation.json"}</w:instrText>
      </w:r>
      <w:r>
        <w:fldChar w:fldCharType="separate"/>
      </w:r>
      <w:r w:rsidRPr="004F3AC7">
        <w:rPr>
          <w:noProof/>
        </w:rPr>
        <w:t>World Commission on Environment and Development, “Report of the World Commission on Environment and Development: Our Common Future Towards Sustainable Development 2. Part II. Common Challenges Population and Human Resources 4,” 1987, http://www.un-documents.net/our-common-future.pdf.</w:t>
      </w:r>
      <w:r>
        <w:fldChar w:fldCharType="end"/>
      </w:r>
    </w:p>
  </w:footnote>
  <w:footnote w:id="55">
    <w:p w14:paraId="6A53EEF2" w14:textId="26DD6C95" w:rsidR="00AB27A5" w:rsidRDefault="00AB27A5" w:rsidP="00961485">
      <w:pPr>
        <w:pStyle w:val="FootnoteText"/>
      </w:pPr>
      <w:r w:rsidRPr="00D05B51">
        <w:rPr>
          <w:rStyle w:val="FootnoteReference"/>
        </w:rPr>
        <w:footnoteRef/>
      </w:r>
      <w:r>
        <w:t xml:space="preserve"> </w:t>
      </w:r>
      <w:r>
        <w:fldChar w:fldCharType="begin" w:fldLock="1"/>
      </w:r>
      <w:r>
        <w:instrText>ADDIN CSL_CITATION {"citationItems":[{"id":"ITEM-1","itemData":{"URL":"http://www.native-languages.org/houses.htm","accessed":{"date-parts":[["2018","11","11"]]},"author":[{"dropping-particle":"","family":"Native Languages of the Americas","given":"","non-dropping-particle":"","parse-names":false,"suffix":""}],"id":"ITEM-1","issued":{"date-parts":[["2014"]]},"title":"Native American Homes: Wigwams, Longhouses, Tepees, Lodges, and other American Indian houses","type":"webpage"},"uris":["http://www.mendeley.com/documents/?uuid=176d8ad8-4dc6-3029-832d-023f25e97d4f"]}],"mendeley":{"formattedCitation":"Native Languages of the Americas, “Native American Homes: Wigwams, Longhouses, Tepees, Lodges, and Other American Indian Houses,” 2014, http://www.native-languages.org/houses.htm.","plainTextFormattedCitation":"Native Languages of the Americas, “Native American Homes: Wigwams, Longhouses, Tepees, Lodges, and Other American Indian Houses,” 2014, http://www.native-languages.org/houses.htm.","previouslyFormattedCitation":"Native Languages of the Americas, “Native American Homes: Wigwams, Longhouses, Tepees, Lodges, and Other American Indian Houses,” 2014, http://www.native-languages.org/houses.htm."},"properties":{"noteIndex":54},"schema":"https://github.com/citation-style-language/schema/raw/master/csl-citation.json"}</w:instrText>
      </w:r>
      <w:r>
        <w:fldChar w:fldCharType="separate"/>
      </w:r>
      <w:r w:rsidRPr="00E95CCE">
        <w:rPr>
          <w:noProof/>
        </w:rPr>
        <w:t>Native Languages of the Americas, “Native American Homes: Wigwams, Longhouses, Tepees, Lodges, and Other American Indian Houses,” 2014, http://www.native-languages.org/houses.htm.</w:t>
      </w:r>
      <w:r>
        <w:fldChar w:fldCharType="end"/>
      </w:r>
    </w:p>
  </w:footnote>
  <w:footnote w:id="56">
    <w:p w14:paraId="7FC5F2E7" w14:textId="45350E5D"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aldenlabs.com/ancient-shelters-you-can-build-cheap/","accessed":{"date-parts":[["2018","11","11"]]},"author":[{"dropping-particle":"","family":"Sjöberg","given":"Daniel","non-dropping-particle":"","parse-names":false,"suffix":""}],"container-title":"Walden Labs","id":"ITEM-1","issued":{"date-parts":[["2014"]]},"title":"15 Ancient House Designs That You Can Build Really Cheap (Potentially For Free)","type":"webpage"},"uris":["http://www.mendeley.com/documents/?uuid=08039e96-08cf-37a8-b41b-befa32517c2d"]}],"mendeley":{"formattedCitation":"Daniel Sjöberg, “15 Ancient House Designs That You Can Build Really Cheap (Potentially For Free),” Walden Labs, 2014, https://waldenlabs.com/ancient-shelters-you-can-build-cheap/.","plainTextFormattedCitation":"Daniel Sjöberg, “15 Ancient House Designs That You Can Build Really Cheap (Potentially For Free),” Walden Labs, 2014, https://waldenlabs.com/ancient-shelters-you-can-build-cheap/.","previouslyFormattedCitation":"Daniel Sjöberg, “15 Ancient House Designs That You Can Build Really Cheap (Potentially For Free),” Walden Labs, 2014, https://waldenlabs.com/ancient-shelters-you-can-build-cheap/."},"properties":{"noteIndex":55},"schema":"https://github.com/citation-style-language/schema/raw/master/csl-citation.json"}</w:instrText>
      </w:r>
      <w:r>
        <w:fldChar w:fldCharType="separate"/>
      </w:r>
      <w:r w:rsidRPr="009F473F">
        <w:rPr>
          <w:noProof/>
        </w:rPr>
        <w:t>Daniel Sjöberg, “15 Ancient House Designs That You Can Build Really Cheap (Potentially For Free),” Walden Labs, 2014, https://waldenlabs.com/ancient-shelters-you-can-build-cheap/.</w:t>
      </w:r>
      <w:r>
        <w:fldChar w:fldCharType="end"/>
      </w:r>
    </w:p>
  </w:footnote>
  <w:footnote w:id="57">
    <w:p w14:paraId="1B0E8704" w14:textId="7F1679A6"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{"citationItems":[{"id":"ITEM-1","itemData":{"author":[{"dropping-particle":"","family":"Thoreau","given":"Henry David","non-dropping-particle":"","parse-names":false,"suffix":""}],"chapter-number":"1","id":"ITEM-1","issued":{"date-parts":[["1854"]]},"publisher":"Ticknor and Fields","title":"Walden","type":"book"},"locator":"58","uris":["http://www.mendeley.com/documents/?uuid=f71b1b01-817e-4fe1-bbd6-5ced6ebf305c"]}],"mendeley":{"formattedCitation":"Henry David Thoreau, &lt;i&gt;Walden&lt;/i&gt; (Ticknor and Fields, 1854), 58.","plainTextFormattedCitation":"Henry David Thoreau, Walden (Ticknor and Fields, 1854), 58.","previouslyFormattedCitation":"Henry David Thoreau, &lt;i&gt;Walden&lt;/i&gt; (Ticknor and Fields, 1854), 58."},"properties":{"noteIndex":56},"schema":"https://github.com/citation-style-language/schema/raw/master/csl-citation.json"}</w:instrText>
      </w:r>
      <w:r>
        <w:fldChar w:fldCharType="separate"/>
      </w:r>
      <w:r w:rsidRPr="002E3AD6">
        <w:rPr>
          <w:noProof/>
        </w:rPr>
        <w:t xml:space="preserve">Henry David Thoreau, </w:t>
      </w:r>
      <w:r w:rsidRPr="002E3AD6">
        <w:rPr>
          <w:i/>
          <w:noProof/>
        </w:rPr>
        <w:t>Walden</w:t>
      </w:r>
      <w:r w:rsidRPr="002E3AD6">
        <w:rPr>
          <w:noProof/>
        </w:rPr>
        <w:t xml:space="preserve"> (Ticknor and Fields, 1854), 58.</w:t>
      </w:r>
      <w:r>
        <w:fldChar w:fldCharType="end"/>
      </w:r>
    </w:p>
  </w:footnote>
  <w:footnote w:id="58">
    <w:p w14:paraId="03153359" w14:textId="7A3EE40E" w:rsidR="00AB27A5" w:rsidRDefault="00AB27A5">
      <w:pPr>
        <w:pStyle w:val="FootnoteText"/>
      </w:pPr>
      <w:r w:rsidRPr="00D05B51">
        <w:rPr>
          <w:rStyle w:val="FootnoteReference"/>
        </w:rPr>
        <w:footnoteRef/>
      </w:r>
      <w:r>
        <w:t xml:space="preserve"> Tiny houses are generally less than 250 square feet (23.23 square meters) but can measure up to 400 square feet (37.16 square meters).</w:t>
      </w:r>
    </w:p>
  </w:footnote>
  <w:footnote w:id="59">
    <w:p w14:paraId="6F47AA8D" w14:textId="770BC52F"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{"citationItems":[{"id":"ITEM-1","itemData":{"author":[{"dropping-particle":"","family":"Thoreau","given":"Henry David","non-dropping-particle":"","parse-names":false,"suffix":""}],"chapter-number":"1","id":"ITEM-1","issued":{"date-parts":[["1854"]]},"publisher":"Ticknor and Fields","title":"Walden","type":"book"},"locator":"87","uris":["http://www.mendeley.com/documents/?uuid=f71b1b01-817e-4fe1-bbd6-5ced6ebf305c"]}],"mendeley":{"formattedCitation":"Thoreau, &lt;i&gt;Walden&lt;/i&gt;, 87.","plainTextFormattedCitation":"Thoreau, Walden, 87.","previouslyFormattedCitation":"Thoreau, &lt;i&gt;Walden&lt;/i&gt;, 87."},"properties":{"noteIndex":58},"schema":"https://github.com/citation-style-language/schema/raw/master/csl-citation.json"}</w:instrText>
      </w:r>
      <w:r>
        <w:fldChar w:fldCharType="separate"/>
      </w:r>
      <w:r w:rsidRPr="002E3AD6">
        <w:rPr>
          <w:noProof/>
        </w:rPr>
        <w:t xml:space="preserve">Thoreau, </w:t>
      </w:r>
      <w:r w:rsidRPr="002E3AD6">
        <w:rPr>
          <w:i/>
          <w:noProof/>
        </w:rPr>
        <w:t>Walden</w:t>
      </w:r>
      <w:r w:rsidRPr="002E3AD6">
        <w:rPr>
          <w:noProof/>
        </w:rPr>
        <w:t>, 87.</w:t>
      </w:r>
      <w:r>
        <w:fldChar w:fldCharType="end"/>
      </w:r>
    </w:p>
  </w:footnote>
  <w:footnote w:id="60">
    <w:p w14:paraId="37101A71" w14:textId="0E7D4EC3"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{"citationItems":[{"id":"ITEM-1","itemData":{"author":[{"dropping-particle":"","family":"Thoreau","given":"Henry David","non-dropping-particle":"","parse-names":false,"suffix":""}],"chapter-number":"1","id":"ITEM-1","issued":{"date-parts":[["1854"]]},"publisher":"Ticknor and Fields","title":"Walden","type":"book"},"locator":"249","uris":["http://www.mendeley.com/documents/?uuid=f71b1b01-817e-4fe1-bbd6-5ced6ebf305c"]}],"mendeley":{"formattedCitation":"Thoreau, 249.","plainTextFormattedCitation":"Thoreau, 249.","previouslyFormattedCitation":"Thoreau, 249."},"properties":{"noteIndex":59},"schema":"https://github.com/citation-style-language/schema/raw/master/csl-citation.json"}</w:instrText>
      </w:r>
      <w:r>
        <w:fldChar w:fldCharType="separate"/>
      </w:r>
      <w:r w:rsidRPr="00337D9A">
        <w:rPr>
          <w:noProof/>
        </w:rPr>
        <w:t>Thoreau, 249.</w:t>
      </w:r>
      <w:r>
        <w:fldChar w:fldCharType="end"/>
      </w:r>
    </w:p>
  </w:footnote>
  <w:footnote w:id="61">
    <w:p w14:paraId="1C52F17E" w14:textId="7E945250" w:rsidR="00AB27A5" w:rsidRDefault="00AB27A5" w:rsidP="002138B7">
      <w:pPr>
        <w:pStyle w:val="FootnoteText"/>
      </w:pPr>
      <w:r w:rsidRPr="00D05B51">
        <w:rPr>
          <w:rStyle w:val="FootnoteReference"/>
        </w:rPr>
        <w:footnoteRef/>
      </w:r>
      <w:r>
        <w:t xml:space="preserve"> </w:t>
      </w:r>
      <w:r>
        <w:fldChar w:fldCharType="begin" w:fldLock="1"/>
      </w:r>
      <w:r>
        <w:instrText>ADDIN CSL_CITATION {"citationItems":[{"id":"ITEM-1","itemData":{"URL":"http://www.vision.org/henry-david-thoreau-biography-5887","accessed":{"date-parts":[["2018","11","14"]]},"author":[{"dropping-particle":"","family":"Newman","given":"Ashley","non-dropping-particle":"","parse-names":false,"suffix":""}],"id":"ITEM-1","issued":{"date-parts":[["2017"]]},"publisher":"Vision.org","title":"Biography: Henry David Thoreau: Ahead of His Time?","type":"webpage"},"uris":["http://www.mendeley.com/documents/?uuid=35a0b5da-e579-38a7-949f-0398ff5e2046"]}],"mendeley":{"formattedCitation":"Ashley Newman, “Biography: Henry David Thoreau: Ahead of His Time?” (Vision.org, 2017), http://www.vision.org/henry-david-thoreau-biography-5887.","plainTextFormattedCitation":"Ashley Newman, “Biography: Henry David Thoreau: Ahead of His Time?” (Vision.org, 2017), http://www.vision.org/henry-david-thoreau-biography-5887.","previouslyFormattedCitation":"Ashley Newman, “Biography: Henry David Thoreau: Ahead of His Time?” (Vision.org, 2017), http://www.vision.org/henry-david-thoreau-biography-5887."},"properties":{"noteIndex":60},"schema":"https://github.com/citation-style-language/schema/raw/master/csl-citation.json"}</w:instrText>
      </w:r>
      <w:r>
        <w:fldChar w:fldCharType="separate"/>
      </w:r>
      <w:r w:rsidRPr="004211C0">
        <w:rPr>
          <w:noProof/>
        </w:rPr>
        <w:t>Ashley Newman, “Biography: Henry David Thoreau: Ahead of His Time?” (Vision.org, 2017), http://www.vision.org/henry-david-thoreau-biography-5887.</w:t>
      </w:r>
      <w:r>
        <w:fldChar w:fldCharType="end"/>
      </w:r>
    </w:p>
  </w:footnote>
  <w:footnote w:id="62">
    <w:p w14:paraId="44884D66" w14:textId="6538F6EF" w:rsidR="00AB27A5" w:rsidRDefault="00AB27A5" w:rsidP="004B2BBB">
      <w:pPr>
        <w:pStyle w:val="FootnoteText"/>
      </w:pPr>
      <w:r w:rsidRPr="00D05B51">
        <w:rPr>
          <w:rStyle w:val="FootnoteReference"/>
        </w:rPr>
        <w:footnoteRef/>
      </w:r>
      <w:r>
        <w:t xml:space="preserve"> </w:t>
      </w:r>
      <w:r>
        <w:fldChar w:fldCharType="begin" w:fldLock="1"/>
      </w:r>
      <w:r>
        <w:instrText>ADDIN CSL_CITATION {"citationItems":[{"id":"ITEM-1","itemData":{"author":[{"dropping-particle":"","family":"Saunders","given":"Judith P.","non-dropping-particle":"","parse-names":false,"suffix":""}],"container-title":"Henry David Thoreau's \"Walden\"","id":"ITEM-1","issued":{"date-parts":[["1987"]]},"title":"Transcendental Capitalist at Walden","type":"article"},"locator":"59","uris":["http://www.mendeley.com/documents/?uuid=1a5415ce-9503-4318-9323-3d3d6373e2ac"]}],"mendeley":{"formattedCitation":"Judith P. Saunders, “Transcendental Capitalist at Walden,” &lt;i&gt;Henry David Thoreau’s “Walden,”&lt;/i&gt; 1987, 59.","plainTextFormattedCitation":"Judith P. Saunders, “Transcendental Capitalist at Walden,” Henry David Thoreau’s “Walden,” 1987, 59.","previouslyFormattedCitation":"Judith P. Saunders, “Transcendental Capitalist at Walden,” &lt;i&gt;Henry David Thoreau’s “Walden,”&lt;/i&gt; 1987, 59."},"properties":{"noteIndex":61},"schema":"https://github.com/citation-style-language/schema/raw/master/csl-citation.json"}</w:instrText>
      </w:r>
      <w:r>
        <w:fldChar w:fldCharType="separate"/>
      </w:r>
      <w:r w:rsidRPr="004E40C3">
        <w:rPr>
          <w:noProof/>
        </w:rPr>
        <w:t xml:space="preserve">Judith P. Saunders, “Transcendental Capitalist at Walden,” </w:t>
      </w:r>
      <w:r w:rsidRPr="004E40C3">
        <w:rPr>
          <w:i/>
          <w:noProof/>
        </w:rPr>
        <w:t>Henry David Thoreau’s “Walden,”</w:t>
      </w:r>
      <w:r w:rsidRPr="004E40C3">
        <w:rPr>
          <w:noProof/>
        </w:rPr>
        <w:t xml:space="preserve"> 1987, 59.</w:t>
      </w:r>
      <w:r>
        <w:fldChar w:fldCharType="end"/>
      </w:r>
    </w:p>
  </w:footnote>
  <w:footnote w:id="63">
    <w:p w14:paraId="7BDD41E0" w14:textId="1EF83A33"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{"citationItems":[{"id":"ITEM-1","itemData":{"author":[{"dropping-particle":"","family":"Alexander","given":"Samuel","non-dropping-particle":"","parse-names":false,"suffix":""}],"id":"ITEM-1","issued":{"date-parts":[["2011"]]},"publisher":"The Simplicity Collective","title":"Just Enough is Plenty: Thoreau's Alternative Economics","type":"report"},"locator":"80","uris":["http://www.mendeley.com/documents/?uuid=9ebfefa3-753c-3ddd-95a6-995131871dea"]}],"mendeley":{"formattedCitation":"Samuel Alexander, “Just Enough Is Plenty: Thoreau’s Alternative Economics” (The Simplicity Collective, 2011), 80, www.SimplicityCollective.com.","plainTextFormattedCitation":"Samuel Alexander, “Just Enough Is Plenty: Thoreau’s Alternative Economics” (The Simplicity Collective, 2011), 80, www.SimplicityCollective.com.","previouslyFormattedCitation":"Samuel Alexander, “Just Enough Is Plenty: Thoreau’s Alternative Economics” (The Simplicity Collective, 2011), 80, www.SimplicityCollective.com."},"properties":{"noteIndex":62},"schema":"https://github.com/citation-style-language/schema/raw/master/csl-citation.json"}</w:instrText>
      </w:r>
      <w:r>
        <w:fldChar w:fldCharType="separate"/>
      </w:r>
      <w:r w:rsidRPr="004F68CE">
        <w:rPr>
          <w:noProof/>
        </w:rPr>
        <w:t>Samuel Alexander, “Just Enough Is Plenty: Thoreau’s Alternative Economics” (The Simplicity Collective, 2011), 80, www.SimplicityCollective.com.</w:t>
      </w:r>
      <w:r>
        <w:fldChar w:fldCharType="end"/>
      </w:r>
    </w:p>
  </w:footnote>
  <w:footnote w:id="64">
    <w:p w14:paraId="7517BE0E" w14:textId="759325CC" w:rsidR="00AB27A5" w:rsidRDefault="00AB27A5" w:rsidP="00581B35">
      <w:pPr>
        <w:pStyle w:val="FootnoteText"/>
      </w:pPr>
      <w:r w:rsidRPr="00D05B51">
        <w:rPr>
          <w:rStyle w:val="FootnoteReference"/>
        </w:rPr>
        <w:footnoteRef/>
      </w:r>
      <w:r>
        <w:t xml:space="preserve"> </w:t>
      </w:r>
      <w:r>
        <w:fldChar w:fldCharType="begin" w:fldLock="1"/>
      </w:r>
      <w:r>
        <w:instrText>ADDIN CSL_CITATION {"citationItems":[{"id":"ITEM-1","itemData":{"author":[{"dropping-particle":"","family":"Quantis","given":"","non-dropping-particle":"","parse-names":false,"suffix":""},{"dropping-particle":"","family":"Earth Advantage","given":"","non-dropping-particle":"","parse-names":false,"suffix":""},{"dropping-particle":"","family":"Oregon Home Builders Association","given":"","non-dropping-particle":"","parse-names":false,"suffix":""}],"id":"ITEM-1","issued":{"date-parts":[["2010"]]},"title":"A Life Cycle Approach to Prioritizing Methods of Preventing Waste from the Residential Construction Sector in the State of Oregon Phase 2 Report, Version 1.4-Executive Summary Land Quality Division","type":"report"},"locator":"1","uris":["http://www.mendeley.com/documents/?uuid=0ff6b25c-c2cb-3c6e-9525-f4009ad0eebc"]}],"mendeley":{"formattedCitation":"Quantis, Earth Advantage, and Oregon Home Builders Association, “A Life Cycle Approach to Prioritizing Methods of Preventing Waste from the Residential Construction Sector in the State of Oregon Phase 2 Report, Version 1.4-Executive Summary Land Quality Division,” 2010, 1, https://www.oregon.gov/deq/FilterDocs/ADU-ResBldgLCA-Report.pdf.","plainTextFormattedCitation":"Quantis, Earth Advantage, and Oregon Home Builders Association, “A Life Cycle Approach to Prioritizing Methods of Preventing Waste from the Residential Construction Sector in the State of Oregon Phase 2 Report, Version 1.4-Executive Summary Land Quality Division,” 2010, 1, https://www.oregon.gov/deq/FilterDocs/ADU-ResBldgLCA-Report.pdf.","previouslyFormattedCitation":"Quantis, Earth Advantage, and Oregon Home Builders Association, “A Life Cycle Approach to Prioritizing Methods of Preventing Waste from the Residential Construction Sector in the State of Oregon Phase 2 Report, Version 1.4-Executive Summary Land Quality Division,” 2010, 1, https://www.oregon.gov/deq/FilterDocs/ADU-ResBldgLCA-Report.pdf."},"properties":{"noteIndex":63},"schema":"https://github.com/citation-style-language/schema/raw/master/csl-citation.json"}</w:instrText>
      </w:r>
      <w:r>
        <w:fldChar w:fldCharType="separate"/>
      </w:r>
      <w:r w:rsidRPr="00016DDA">
        <w:rPr>
          <w:noProof/>
        </w:rPr>
        <w:t>Quantis, Earth Advantage, and Oregon Home Builders Association, “A Life Cycle Approach to Prioritizing Methods of Preventing Waste from the Residential Construction Sector in the State of Oregon Phase 2 Report, Version 1.4-Executive Summary Land Quality Division,” 2010, 1, https://www.oregon.gov/deq/FilterDocs/ADU-ResBldgLCA-Report.pdf.</w:t>
      </w:r>
      <w:r>
        <w:fldChar w:fldCharType="end"/>
      </w:r>
    </w:p>
  </w:footnote>
  <w:footnote w:id="65">
    <w:p w14:paraId="00D38476" w14:textId="20DBEEE6"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{"citationItems":[{"id":"ITEM-1","itemData":{"author":[{"dropping-particle":"","family":"Quantis","given":"","non-dropping-particle":"","parse-names":false,"suffix":""},{"dropping-particle":"","family":"Earth Advantage","given":"","non-dropping-particle":"","parse-names":false,"suffix":""},{"dropping-particle":"","family":"Oregon Home Builders Association","given":"","non-dropping-particle":"","parse-names":false,"suffix":""}],"id":"ITEM-1","issued":{"date-parts":[["2010"]]},"title":"A Life Cycle Approach to Prioritizing Methods of Preventing Waste from the Residential Construction Sector in the State of Oregon Phase 2 Report, Version 1.4-Executive Summary Land Quality Division","type":"report"},"locator":"5","uris":["http://www.mendeley.com/documents/?uuid=0ff6b25c-c2cb-3c6e-9525-f4009ad0eebc"]}],"mendeley":{"formattedCitation":"Quantis, Earth Advantage, and Oregon Home Builders Association, 5.","plainTextFormattedCitation":"Quantis, Earth Advantage, and Oregon Home Builders Association, 5.","previouslyFormattedCitation":"Quantis, Earth Advantage, and Oregon Home Builders Association, 5."},"properties":{"noteIndex":64},"schema":"https://github.com/citation-style-language/schema/raw/master/csl-citation.json"}</w:instrText>
      </w:r>
      <w:r>
        <w:fldChar w:fldCharType="separate"/>
      </w:r>
      <w:r w:rsidRPr="00CD43F6">
        <w:rPr>
          <w:noProof/>
        </w:rPr>
        <w:t>Quantis, Earth Advantage, and Oregon Home Builders Association, 5.</w:t>
      </w:r>
      <w:r>
        <w:fldChar w:fldCharType="end"/>
      </w:r>
    </w:p>
  </w:footnote>
  <w:footnote w:id="66">
    <w:p w14:paraId="23210EB2" w14:textId="5B8097B2"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{"citationItems":[{"id":"ITEM-1","itemData":{"author":[{"dropping-particle":"","family":"Quantis","given":"","non-dropping-particle":"","parse-names":false,"suffix":""},{"dropping-particle":"","family":"Earth Advantage","given":"","non-dropping-particle":"","parse-names":false,"suffix":""},{"dropping-particle":"","family":"Oregon Home Builders Association","given":"","non-dropping-particle":"","parse-names":false,"suffix":""}],"id":"ITEM-1","issued":{"date-parts":[["2010"]]},"title":"A Life Cycle Approach to Prioritizing Methods of Preventing Waste from the Residential Construction Sector in the State of Oregon Phase 2 Report, Version 1.4-Executive Summary Land Quality Division","type":"report"},"locator":"8","uris":["http://www.mendeley.com/documents/?uuid=0ff6b25c-c2cb-3c6e-9525-f4009ad0eebc"]}],"mendeley":{"formattedCitation":"Quantis, Earth Advantage, and Oregon Home Builders Association, 8.","plainTextFormattedCitation":"Quantis, Earth Advantage, and Oregon Home Builders Association, 8.","previouslyFormattedCitation":"Quantis, Earth Advantage, and Oregon Home Builders Association, 8."},"properties":{"noteIndex":65},"schema":"https://github.com/citation-style-language/schema/raw/master/csl-citation.json"}</w:instrText>
      </w:r>
      <w:r>
        <w:fldChar w:fldCharType="separate"/>
      </w:r>
      <w:r w:rsidRPr="00DC010F">
        <w:rPr>
          <w:noProof/>
        </w:rPr>
        <w:t>Quantis, Earth Advantage, and Oregon Home Builders Association, 8.</w:t>
      </w:r>
      <w:r>
        <w:fldChar w:fldCharType="end"/>
      </w:r>
    </w:p>
  </w:footnote>
  <w:footnote w:id="67">
    <w:p w14:paraId="34E0ED0C" w14:textId="3DD831A7"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Wilson","given":"Alex","non-dropping-particle":"","parse-names":false,"suffix":""},{"dropping-particle":"","family":"Boehland","given":"Jessica","non-dropping-particle":"","parse-names":false,"suffix":""}],"container-title":"Journal of Industrial Ecology","id":"ITEM-1","issue":"1","issued":{"date-parts":[["0"]]},"page":"277-287","publisher":"Massachusettes Institute of Technology and Yale University","title":"Small is Beautiful: US House Size, Resource Use, and the Environment","type":"article-journal","volume":"9"},"locator":"279, 282","uris":["http://www.mendeley.com/documents/?uuid=ddc7d72c-c2d6-4e5c-8319-c278b9839737"]}],"mendeley":{"formattedCitation":"Alex Wilson and Jessica Boehland, “Small Is Beautiful: US House Size, Resource Use, and the Environment,” &lt;i&gt;Journal of Industrial Ecology&lt;/i&gt; 9, no. 1 (n.d.): 279, 282.","plainTextFormattedCitation":"Alex Wilson and Jessica Boehland, “Small Is Beautiful: US House Size, Resource Use, and the Environment,” Journal of Industrial Ecology 9, no. 1 (n.d.): 279, 282.","previouslyFormattedCitation":"Alex Wilson and Jessica Boehland, “Small Is Beautiful: US House Size, Resource Use, and the Environment,” &lt;i&gt;Journal of Industrial Ecology&lt;/i&gt; 9, no. 1 (n.d.): 279, 282."},"properties":{"noteIndex":66},"schema":"https://github.com/citation-style-language/schema/raw/master/csl-citation.json"}</w:instrText>
      </w:r>
      <w:r>
        <w:fldChar w:fldCharType="separate"/>
      </w:r>
      <w:r w:rsidRPr="00952EFE">
        <w:rPr>
          <w:noProof/>
        </w:rPr>
        <w:t xml:space="preserve">Alex Wilson and Jessica Boehland, “Small Is Beautiful: US House Size, Resource Use, and the Environment,” </w:t>
      </w:r>
      <w:r w:rsidRPr="00952EFE">
        <w:rPr>
          <w:i/>
          <w:noProof/>
        </w:rPr>
        <w:t>Journal of Industrial Ecology</w:t>
      </w:r>
      <w:r w:rsidRPr="00952EFE">
        <w:rPr>
          <w:noProof/>
        </w:rPr>
        <w:t xml:space="preserve"> 9, no. 1 (n.d.): 279, 282.</w:t>
      </w:r>
      <w:r>
        <w:fldChar w:fldCharType="end"/>
      </w:r>
    </w:p>
  </w:footnote>
  <w:footnote w:id="68">
    <w:p w14:paraId="08CDC0FD" w14:textId="667BEBF1" w:rsidR="00AB27A5" w:rsidRDefault="00AB27A5" w:rsidP="00E2439A">
      <w:pPr>
        <w:pStyle w:val="FootnoteText"/>
      </w:pPr>
      <w:r w:rsidRPr="00D05B51">
        <w:rPr>
          <w:rStyle w:val="FootnoteReference"/>
        </w:rPr>
        <w:footnoteRef/>
      </w:r>
      <w:r>
        <w:t xml:space="preserve"> </w:t>
      </w:r>
      <w:r>
        <w:fldChar w:fldCharType="begin" w:fldLock="1"/>
      </w:r>
      <w:r>
        <w:instrText>ADDIN CSL_CITATION {"citationItems":[{"id":"ITEM-1","itemData":{"URL":"https://www.thoughtco.com/usonian-style-home-frank-lloyd-wright-177787","accessed":{"date-parts":[["2018","12","12"]]},"author":[{"dropping-particle":"","family":"Craven","given":"Jackie","non-dropping-particle":"","parse-names":false,"suffix":""}],"container-title":"ThoughtCo","id":"ITEM-1","issued":{"date-parts":[["2018"]]},"title":"About the Usonian Vision of Frank Lloyd Wright","type":"webpage"},"uris":["http://www.mendeley.com/documents/?uuid=bd84e0bd-9a56-32bb-a039-f5a27bad6b0d"]}],"mendeley":{"formattedCitation":"Jackie Craven, “About the Usonian Vision of Frank Lloyd Wright,” ThoughtCo, 2018, https://www.thoughtco.com/usonian-style-home-frank-lloyd-wright-177787.","plainTextFormattedCitation":"Jackie Craven, “About the Usonian Vision of Frank Lloyd Wright,” ThoughtCo, 2018, https://www.thoughtco.com/usonian-style-home-frank-lloyd-wright-177787.","previouslyFormattedCitation":"Jackie Craven, “About the Usonian Vision of Frank Lloyd Wright,” ThoughtCo, 2018, https://www.thoughtco.com/usonian-style-home-frank-lloyd-wright-177787."},"properties":{"noteIndex":67},"schema":"https://github.com/citation-style-language/schema/raw/master/csl-citation.json"}</w:instrText>
      </w:r>
      <w:r>
        <w:fldChar w:fldCharType="separate"/>
      </w:r>
      <w:r w:rsidRPr="009A575E">
        <w:rPr>
          <w:noProof/>
        </w:rPr>
        <w:t>Jackie Craven, “About the Usonian Vision of Frank Lloyd Wright,” ThoughtCo, 2018, https://www.thoughtco.com/usonian-style-home-frank-lloyd-wright-177787.</w:t>
      </w:r>
      <w:r>
        <w:fldChar w:fldCharType="end"/>
      </w:r>
    </w:p>
  </w:footnote>
  <w:footnote w:id="69">
    <w:p w14:paraId="58715AC3" w14:textId="3F7F3B4E" w:rsidR="00AB27A5" w:rsidRDefault="00AB27A5" w:rsidP="00E2439A">
      <w:pPr>
        <w:pStyle w:val="FootnoteText"/>
      </w:pPr>
      <w:r w:rsidRPr="00D05B51">
        <w:rPr>
          <w:rStyle w:val="FootnoteReference"/>
        </w:rPr>
        <w:footnoteRef/>
      </w:r>
      <w:r>
        <w:t xml:space="preserve"> </w:t>
      </w:r>
      <w:r>
        <w:fldChar w:fldCharType="begin" w:fldLock="1"/>
      </w:r>
      <w:r>
        <w:instrText>ADDIN CSL_CITATION {"citationItems":[{"id":"ITEM-1","itemData":{"author":[{"dropping-particle":"","family":"Syken","given":"JM","non-dropping-particle":"","parse-names":false,"suffix":""}],"id":"ITEM-1","issued":{"date-parts":[["2014"]]},"publisher":"PDH Online","title":"Solar Hemicycle: Frank Lloyd Wright's Jacobs II Passive Solar House","type":"article"},"locator":"23","uris":["http://www.mendeley.com/documents/?uuid=80c56a8b-d6f9-3e8d-82a3-9dd7eb529e10"]}],"mendeley":{"formattedCitation":"JM Syken, “Solar Hemicycle: Frank Lloyd Wright’s Jacobs II Passive Solar House” (PDH Online, 2014), 23, https://pdhonline.com/courses/c683/c683slideshow.pdf.","plainTextFormattedCitation":"JM Syken, “Solar Hemicycle: Frank Lloyd Wright’s Jacobs II Passive Solar House” (PDH Online, 2014), 23, https://pdhonline.com/courses/c683/c683slideshow.pdf.","previouslyFormattedCitation":"JM Syken, “Solar Hemicycle: Frank Lloyd Wright’s Jacobs II Passive Solar House” (PDH Online, 2014), 23, https://pdhonline.com/courses/c683/c683slideshow.pdf."},"properties":{"noteIndex":68},"schema":"https://github.com/citation-style-language/schema/raw/master/csl-citation.json"}</w:instrText>
      </w:r>
      <w:r>
        <w:fldChar w:fldCharType="separate"/>
      </w:r>
      <w:r w:rsidRPr="00587C75">
        <w:rPr>
          <w:noProof/>
        </w:rPr>
        <w:t>JM Syken, “Solar Hemicycle: Frank Lloyd Wright’s Jacobs II Passive Solar House” (PDH Online, 2014), 23, https://pdhonline.com/courses/c683/c683slideshow.pdf.</w:t>
      </w:r>
      <w:r>
        <w:fldChar w:fldCharType="end"/>
      </w:r>
    </w:p>
  </w:footnote>
  <w:footnote w:id="70">
    <w:p w14:paraId="6A4AAC46" w14:textId="76BBA938"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{"citationItems":[{"id":"ITEM-1","itemData":{"author":[{"dropping-particle":"","family":"Syken","given":"JM","non-dropping-particle":"","parse-names":false,"suffix":""}],"id":"ITEM-1","issued":{"date-parts":[["2014"]]},"publisher":"PDH Online","title":"Solar Hemicycle: Frank Lloyd Wright's Jacobs II Passive Solar House","type":"article"},"locator":"28","uris":["http://www.mendeley.com/documents/?uuid=80c56a8b-d6f9-3e8d-82a3-9dd7eb529e10"]}],"mendeley":{"formattedCitation":"Syken, 28.","plainTextFormattedCitation":"Syken, 28.","previouslyFormattedCitation":"Syken, 28."},"properties":{"noteIndex":69},"schema":"https://github.com/citation-style-language/schema/raw/master/csl-citation.json"}</w:instrText>
      </w:r>
      <w:r>
        <w:fldChar w:fldCharType="separate"/>
      </w:r>
      <w:r w:rsidRPr="006D7739">
        <w:rPr>
          <w:noProof/>
        </w:rPr>
        <w:t>Syken, 28.</w:t>
      </w:r>
      <w:r>
        <w:fldChar w:fldCharType="end"/>
      </w:r>
    </w:p>
  </w:footnote>
  <w:footnote w:id="71">
    <w:p w14:paraId="0519C2AE" w14:textId="77392C89"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Morrissey","given":"J.","non-dropping-particle":"","parse-names":false,"suffix":""},{"dropping-particle":"","family":"Moore","given":"T.","non-dropping-particle":"","parse-names":false,"suffix":""},{"dropping-particle":"","family":"Horne","given":"R.E.","non-dropping-particle":"","parse-names":false,"suffix":""}],"container-title":"Renewable Energy: An International Journal","id":"ITEM-1","issued":{"date-parts":[["2011"]]},"page":"568-577","title":"Affordable passive solar design in a temperate climate: An experiment in residential building orientation","type":"article-journal","volume":"36"},"locator":"576","uris":["http://www.mendeley.com/documents/?uuid=24ac16ab-e4d5-3d18-ad8c-e70ffc2763ed"]}],"mendeley":{"formattedCitation":"J. Morrissey, T. Moore, and R.E. Horne, “Affordable Passive Solar Design in a Temperate Climate: An Experiment in Residential Building Orientation,” &lt;i&gt;Renewable Energy: An International Journal&lt;/i&gt; 36 (2011): 576, https://ac-els-cdn-com.ezproxy.lib.ou.edu/S0960148110003836/1-s2.0-S0960148110003836-main.pdf?_tid=6a65f0ef-eb82-4b09-8320-a55d580a5278&amp;acdnat=1546987215_204327bf76791ef35ae6e0bcd8aaaa61.","plainTextFormattedCitation":"J. Morrissey, T. Moore, and R.E. Horne, “Affordable Passive Solar Design in a Temperate Climate: An Experiment in Residential Building Orientation,” Renewable Energy: An International Journal 36 (2011): 576, https://ac-els-cdn-com.ezproxy.lib.ou.edu/S0960148110003836/1-s2.0-S0960148110003836-main.pdf?_tid=6a65f0ef-eb82-4b09-8320-a55d580a5278&amp;acdnat=1546987215_204327bf76791ef35ae6e0bcd8aaaa61.","previouslyFormattedCitation":"J. Morrissey, T. Moore, and R.E. Horne, “Affordable Passive Solar Design in a Temperate Climate: An Experiment in Residential Building Orientation,” &lt;i&gt;Renewable Energy: An International Journal&lt;/i&gt; 36 (2011): 576, https://ac-els-cdn-com.ezproxy.lib.ou.edu/S0960148110003836/1-s2.0-S0960148110003836-main.pdf?_tid=6a65f0ef-eb82-4b09-8320-a55d580a5278&amp;acdnat=1546987215_204327bf76791ef35ae6e0bcd8aaaa61."},"properties":{"noteIndex":70},"schema":"https://github.com/citation-style-language/schema/raw/master/csl-citation.json"}</w:instrText>
      </w:r>
      <w:r>
        <w:fldChar w:fldCharType="separate"/>
      </w:r>
      <w:r w:rsidRPr="00034684">
        <w:rPr>
          <w:noProof/>
        </w:rPr>
        <w:t xml:space="preserve">J. Morrissey, T. Moore, and R.E. Horne, “Affordable Passive Solar Design in a Temperate Climate: An Experiment in Residential Building Orientation,” </w:t>
      </w:r>
      <w:r w:rsidRPr="00034684">
        <w:rPr>
          <w:i/>
          <w:noProof/>
        </w:rPr>
        <w:t>Renewable Energy: An International Journal</w:t>
      </w:r>
      <w:r w:rsidRPr="00034684">
        <w:rPr>
          <w:noProof/>
        </w:rPr>
        <w:t xml:space="preserve"> 36 (2011): 576, https://ac-els-cdn-com.ezproxy.lib.ou.edu/S0960148110003836/1-s2.0-S0960148110003836-main.pdf?_tid=6a65f0ef-eb82-4b09-8320-a55d580a5278&amp;acdnat=1546987215_204327bf76791ef35ae6e0bcd8aaaa61.</w:t>
      </w:r>
      <w:r>
        <w:fldChar w:fldCharType="end"/>
      </w:r>
    </w:p>
  </w:footnote>
  <w:footnote w:id="72">
    <w:p w14:paraId="6F3B44FC" w14:textId="21CD5C68"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Morrissey","given":"J.","non-dropping-particle":"","parse-names":false,"suffix":""},{"dropping-particle":"","family":"Moore","given":"T.","non-dropping-particle":"","parse-names":false,"suffix":""},{"dropping-particle":"","family":"Horne","given":"R.E.","non-dropping-particle":"","parse-names":false,"suffix":""}],"container-title":"Renewable Energy: An International Journal","id":"ITEM-1","issued":{"date-parts":[["2011"]]},"page":"568-577","title":"Affordable passive solar design in a temperate climate: An experiment in residential building orientation","type":"article-journal","volume":"36"},"locator":"576","uris":["http://www.mendeley.com/documents/?uuid=24ac16ab-e4d5-3d18-ad8c-e70ffc2763ed"]}],"mendeley":{"formattedCitation":"Morrissey, Moore, and Horne, 576.","plainTextFormattedCitation":"Morrissey, Moore, and Horne, 576.","previouslyFormattedCitation":"Morrissey, Moore, and Horne, 576."},"properties":{"noteIndex":71},"schema":"https://github.com/citation-style-language/schema/raw/master/csl-citation.json"}</w:instrText>
      </w:r>
      <w:r>
        <w:fldChar w:fldCharType="separate"/>
      </w:r>
      <w:r w:rsidRPr="009F2F9C">
        <w:rPr>
          <w:noProof/>
        </w:rPr>
        <w:t>Morrissey, Moore, and Horne, 576.</w:t>
      </w:r>
      <w:r>
        <w:fldChar w:fldCharType="end"/>
      </w:r>
    </w:p>
  </w:footnote>
  <w:footnote w:id="73">
    <w:p w14:paraId="10196335" w14:textId="301F4501"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Morrissey","given":"J.","non-dropping-particle":"","parse-names":false,"suffix":""},{"dropping-particle":"","family":"Moore","given":"T.","non-dropping-particle":"","parse-names":false,"suffix":""},{"dropping-particle":"","family":"Horne","given":"R.E.","non-dropping-particle":"","parse-names":false,"suffix":""}],"container-title":"Renewable Energy: An International Journal","id":"ITEM-1","issued":{"date-parts":[["2011"]]},"page":"568-577","title":"Affordable passive solar design in a temperate climate: An experiment in residential building orientation","type":"article-journal","volume":"36"},"locator":"574","uris":["http://www.mendeley.com/documents/?uuid=24ac16ab-e4d5-3d18-ad8c-e70ffc2763ed"]}],"mendeley":{"formattedCitation":"Morrissey, Moore, and Horne, 574.","plainTextFormattedCitation":"Morrissey, Moore, and Horne, 574.","previouslyFormattedCitation":"Morrissey, Moore, and Horne, 574."},"properties":{"noteIndex":72},"schema":"https://github.com/citation-style-language/schema/raw/master/csl-citation.json"}</w:instrText>
      </w:r>
      <w:r>
        <w:fldChar w:fldCharType="separate"/>
      </w:r>
      <w:r w:rsidRPr="00BB4085">
        <w:rPr>
          <w:noProof/>
        </w:rPr>
        <w:t>Morrissey, Moore, and Horne, 574.</w:t>
      </w:r>
      <w:r>
        <w:fldChar w:fldCharType="end"/>
      </w:r>
    </w:p>
  </w:footnote>
  <w:footnote w:id="74">
    <w:p w14:paraId="1A7CCF62" w14:textId="4A21A722"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Morrissey","given":"J.","non-dropping-particle":"","parse-names":false,"suffix":""},{"dropping-particle":"","family":"Moore","given":"T.","non-dropping-particle":"","parse-names":false,"suffix":""},{"dropping-particle":"","family":"Horne","given":"R.E.","non-dropping-particle":"","parse-names":false,"suffix":""}],"container-title":"Renewable Energy: An International Journal","id":"ITEM-1","issued":{"date-parts":[["2011"]]},"page":"568-577","title":"Affordable passive solar design in a temperate climate: An experiment in residential building orientation","type":"article-journal","volume":"36"},"locator":"571","uris":["http://www.mendeley.com/documents/?uuid=24ac16ab-e4d5-3d18-ad8c-e70ffc2763ed"]}],"mendeley":{"formattedCitation":"Morrissey, Moore, and Horne, 571.","plainTextFormattedCitation":"Morrissey, Moore, and Horne, 571.","previouslyFormattedCitation":"Morrissey, Moore, and Horne, 571."},"properties":{"noteIndex":73},"schema":"https://github.com/citation-style-language/schema/raw/master/csl-citation.json"}</w:instrText>
      </w:r>
      <w:r>
        <w:fldChar w:fldCharType="separate"/>
      </w:r>
      <w:r w:rsidRPr="00782224">
        <w:rPr>
          <w:noProof/>
        </w:rPr>
        <w:t>Morrissey, Moore, and Horne, 571.</w:t>
      </w:r>
      <w:r>
        <w:fldChar w:fldCharType="end"/>
      </w:r>
    </w:p>
  </w:footnote>
  <w:footnote w:id="75">
    <w:p w14:paraId="1A8BA30E" w14:textId="19085B05"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{"citationItems":[{"id":"ITEM-1","itemData":{"author":[{"dropping-particle":"","family":"Perlin","given":"John","non-dropping-particle":"","parse-names":false,"suffix":""}],"container-title":"Encyclopedia of Energy","id":"ITEM-1","issued":{"date-parts":[["2004"]]},"page":"607-622","title":"History of Solar Energy","type":"article-journal","volume":"5"},"locator":"607","uris":["http://www.mendeley.com/documents/?uuid=a680d2eb-9052-3105-8449-4e9d92b1d53c"]}],"mendeley":{"formattedCitation":"John Perlin, “History of Solar Energy,” &lt;i&gt;Encyclopedia of Energy&lt;/i&gt; 5 (2004): 607, https://ac-els-cdn-com.ezproxy.lib.ou.edu/B012176480X000358/3-s2.0-B012176480X000358-main.pdf?_tid=1db2d2b9-6de9-420c-a96c-88828f51c503&amp;acdnat=1551446640_d7d857a35bc0a8368561553dad753430.","plainTextFormattedCitation":"John Perlin, “History of Solar Energy,” Encyclopedia of Energy 5 (2004): 607, https://ac-els-cdn-com.ezproxy.lib.ou.edu/B012176480X000358/3-s2.0-B012176480X000358-main.pdf?_tid=1db2d2b9-6de9-420c-a96c-88828f51c503&amp;acdnat=1551446640_d7d857a35bc0a8368561553dad753430.","previouslyFormattedCitation":"John Perlin, “History of Solar Energy,” &lt;i&gt;Encyclopedia of Energy&lt;/i&gt; 5 (2004): 607, https://ac-els-cdn-com.ezproxy.lib.ou.edu/B012176480X000358/3-s2.0-B012176480X000358-main.pdf?_tid=1db2d2b9-6de9-420c-a96c-88828f51c503&amp;acdnat=1551446640_d7d857a35bc0a8368561553dad753430."},"properties":{"noteIndex":74},"schema":"https://github.com/citation-style-language/schema/raw/master/csl-citation.json"}</w:instrText>
      </w:r>
      <w:r>
        <w:fldChar w:fldCharType="separate"/>
      </w:r>
      <w:r w:rsidRPr="00CF766E">
        <w:rPr>
          <w:noProof/>
        </w:rPr>
        <w:t xml:space="preserve">John Perlin, “History of Solar Energy,” </w:t>
      </w:r>
      <w:r w:rsidRPr="00CF766E">
        <w:rPr>
          <w:i/>
          <w:noProof/>
        </w:rPr>
        <w:t>Encyclopedia of Energy</w:t>
      </w:r>
      <w:r w:rsidRPr="00CF766E">
        <w:rPr>
          <w:noProof/>
        </w:rPr>
        <w:t xml:space="preserve"> 5 (2004): 607, https://ac-els-cdn-com.ezproxy.lib.ou.edu/B012176480X000358/3-s2.0-B012176480X000358-main.pdf?_tid=1db2d2b9-6de9-420c-a96c-88828f51c503&amp;acdnat=1551446640_d7d857a35bc0a8368561553dad753430.</w:t>
      </w:r>
      <w:r>
        <w:fldChar w:fldCharType="end"/>
      </w:r>
    </w:p>
  </w:footnote>
  <w:footnote w:id="76">
    <w:p w14:paraId="32A13467" w14:textId="3CF138C3"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{"citationItems":[{"id":"ITEM-1","itemData":{"author":[{"dropping-particle":"","family":"Perlin","given":"John","non-dropping-particle":"","parse-names":false,"suffix":""}],"container-title":"Encyclopedia of Energy","id":"ITEM-1","issued":{"date-parts":[["2004"]]},"page":"607-622","title":"History of Solar Energy","type":"article-journal","volume":"5"},"locator":"607","uris":["http://www.mendeley.com/documents/?uuid=a680d2eb-9052-3105-8449-4e9d92b1d53c"]}],"mendeley":{"formattedCitation":"Perlin, 607.","plainTextFormattedCitation":"Perlin, 607.","previouslyFormattedCitation":"Perlin, 607."},"properties":{"noteIndex":75},"schema":"https://github.com/citation-style-language/schema/raw/master/csl-citation.json"}</w:instrText>
      </w:r>
      <w:r>
        <w:fldChar w:fldCharType="separate"/>
      </w:r>
      <w:r w:rsidRPr="006D2C7D">
        <w:rPr>
          <w:noProof/>
        </w:rPr>
        <w:t>Perlin, 607.</w:t>
      </w:r>
      <w:r>
        <w:fldChar w:fldCharType="end"/>
      </w:r>
    </w:p>
  </w:footnote>
  <w:footnote w:id="77">
    <w:p w14:paraId="6B8088AF" w14:textId="67CAFE9A"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{"citationItems":[{"id":"ITEM-1","itemData":{"author":[{"dropping-particle":"","family":"Perlin","given":"John","non-dropping-particle":"","parse-names":false,"suffix":""}],"container-title":"Encyclopedia of Energy","id":"ITEM-1","issued":{"date-parts":[["2004"]]},"page":"607-622","title":"History of Solar Energy","type":"article-journal","volume":"5"},"locator":"608","uris":["http://www.mendeley.com/documents/?uuid=a680d2eb-9052-3105-8449-4e9d92b1d53c"]}],"mendeley":{"formattedCitation":"Perlin, 608.","plainTextFormattedCitation":"Perlin, 608.","previouslyFormattedCitation":"Perlin, 608."},"properties":{"noteIndex":76},"schema":"https://github.com/citation-style-language/schema/raw/master/csl-citation.json"}</w:instrText>
      </w:r>
      <w:r>
        <w:fldChar w:fldCharType="separate"/>
      </w:r>
      <w:r w:rsidRPr="00B46837">
        <w:rPr>
          <w:noProof/>
        </w:rPr>
        <w:t>Perlin, 608.</w:t>
      </w:r>
      <w:r>
        <w:fldChar w:fldCharType="end"/>
      </w:r>
    </w:p>
  </w:footnote>
  <w:footnote w:id="78">
    <w:p w14:paraId="53270D47" w14:textId="67F9112B"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{"citationItems":[{"id":"ITEM-1","itemData":{"abstract":"The design of low-rise commercial building envelopes is mainly driven by functional large volumes, and low-cost\r\nand lightweight materials that often present weak thermal performances. Thermal and visual comfort is a key\r\nparameter for these buildings' purpose, but poor envelope designs have significant consequences on the highenergy demand for HVAC and artificial lighting systems. Considering the resources outside the building envelope\r\nfor both cooling and heating seasons, this study aims to optimize the building design under various climates.\r\nEnergy for ventilation, heating and lighting, and summer thermal discomfort are mitigated considering natural\r\nresources such as solar energy, low sky temperatures, ground inertia, and ambient air. For this specific building\r\ntypology, main thermal fluxes are transmitted through large surfaces of soil (to the ground) and roof (to the\r\nenvironment). In the study, we found that summer thermal discomfort can be minimized, and near zero for some\r\nclimates, without active cooling system. This objective is balanced by the energy demand objective; a multiobjective optimization using the NSGA-II algorithm gave optimal solutions according to local climate and global\r\nwarming effects. This methodology and numerical results presented here can be helpful to design new commercial buildings and improve energy efficiency of existing ones. Most adapted set of design parameters for\r\npassive cooling solutions such as cool roofs and night natural ventilation are mapped for various climate, including climate change effects.","author":[{"dropping-particle":"","family":"Lapisa","given":"R.","non-dropping-particle":"","parse-names":false,"suffix":""},{"dropping-particle":"","family":"Bozonnet","given":"E.","non-dropping-particle":"","parse-names":false,"suffix":""},{"dropping-particle":"","family":"Salagnac","given":"P.","non-dropping-particle":"","parse-names":false,"suffix":""},{"dropping-particle":"","family":"Abadie","given":"M.O.","non-dropping-particle":"","parse-names":false,"suffix":""}],"container-title":"Building and Environment","id":"ITEM-1","issued":{"date-parts":[["2018"]]},"page":"83-95","title":"Optimized design of low-rise commercial buildings under various climates – Energy performance and passive cooling strategies","type":"article-journal","volume":"132"},"locator":"90","uris":["http://www.mendeley.com/documents/?uuid=a3834fc3-eb6f-3a35-93c0-63e482e3595d"]}],"mendeley":{"formattedCitation":"R. Lapisa et al., “Optimized Design of Low-Rise Commercial Buildings under Various Climates – Energy Performance and Passive Cooling Strategies,” &lt;i&gt;Building and Environment&lt;/i&gt; 132 (2018): 90, https://ac-els-cdn-com.ezproxy.lib.ou.edu/S0360132318300416/1-s2.0-S0360132318300416-main.pdf?_tid=9cb9db05-f5d0-4d56-a098-a0ba82861f0b&amp;acdnat=1552173274_37aa8cca9ea25e2f605a8010ec2cd911.","plainTextFormattedCitation":"R. Lapisa et al., “Optimized Design of Low-Rise Commercial Buildings under Various Climates – Energy Performance and Passive Cooling Strategies,” Building and Environment 132 (2018): 90, https://ac-els-cdn-com.ezproxy.lib.ou.edu/S0360132318300416/1-s2.0-S0360132318300416-main.pdf?_tid=9cb9db05-f5d0-4d56-a098-a0ba82861f0b&amp;acdnat=1552173274_37aa8cca9ea25e2f605a8010ec2cd911.","previouslyFormattedCitation":"R. Lapisa et al., “Optimized Design of Low-Rise Commercial Buildings under Various Climates – Energy Performance and Passive Cooling Strategies,” &lt;i&gt;Building and Environment&lt;/i&gt; 132 (2018): 90, https://ac-els-cdn-com.ezproxy.lib.ou.edu/S0360132318300416/1-s2.0-S0360132318300416-main.pdf?_tid=9cb9db05-f5d0-4d56-a098-a0ba82861f0b&amp;acdnat=1552173274_37aa8cca9ea25e2f605a8010ec2cd911."},"properties":{"noteIndex":77},"schema":"https://github.com/citation-style-language/schema/raw/master/csl-citation.json"}</w:instrText>
      </w:r>
      <w:r>
        <w:fldChar w:fldCharType="separate"/>
      </w:r>
      <w:r w:rsidRPr="00A45A60">
        <w:rPr>
          <w:noProof/>
        </w:rPr>
        <w:t xml:space="preserve">R. Lapisa et al., “Optimized Design of Low-Rise Commercial Buildings under Various Climates – Energy Performance and Passive Cooling Strategies,” </w:t>
      </w:r>
      <w:r w:rsidRPr="00A45A60">
        <w:rPr>
          <w:i/>
          <w:noProof/>
        </w:rPr>
        <w:t>Building and Environment</w:t>
      </w:r>
      <w:r w:rsidRPr="00A45A60">
        <w:rPr>
          <w:noProof/>
        </w:rPr>
        <w:t xml:space="preserve"> 132 (2018): 90, https://ac-els-cdn-com.ezproxy.lib.ou.edu/S0360132318300416/1-s2.0-S0360132318300416-main.pdf?_tid=9cb9db05-f5d0-4d56-a098-a0ba82861f0b&amp;acdnat=1552173274_37aa8cca9ea25e2f605a8010ec2cd911.</w:t>
      </w:r>
      <w:r>
        <w:fldChar w:fldCharType="end"/>
      </w:r>
    </w:p>
  </w:footnote>
  <w:footnote w:id="79">
    <w:p w14:paraId="4F0F0FC3" w14:textId="341F2603"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{"citationItems":[{"id":"ITEM-1","itemData":{"abstract":"The design of low-rise commercial building envelopes is mainly driven by functional large volumes, and low-cost\r\nand lightweight materials that often present weak thermal performances. Thermal and visual comfort is a key\r\nparameter for these buildings' purpose, but poor envelope designs have significant consequences on the highenergy demand for HVAC and artificial lighting systems. Considering the resources outside the building envelope\r\nfor both cooling and heating seasons, this study aims to optimize the building design under various climates.\r\nEnergy for ventilation, heating and lighting, and summer thermal discomfort are mitigated considering natural\r\nresources such as solar energy, low sky temperatures, ground inertia, and ambient air. For this specific building\r\ntypology, main thermal fluxes are transmitted through large surfaces of soil (to the ground) and roof (to the\r\nenvironment). In the study, we found that summer thermal discomfort can be minimized, and near zero for some\r\nclimates, without active cooling system. This objective is balanced by the energy demand objective; a multiobjective optimization using the NSGA-II algorithm gave optimal solutions according to local climate and global\r\nwarming effects. This methodology and numerical results presented here can be helpful to design new commercial buildings and improve energy efficiency of existing ones. Most adapted set of design parameters for\r\npassive cooling solutions such as cool roofs and night natural ventilation are mapped for various climate, including climate change effects.","author":[{"dropping-particle":"","family":"Lapisa","given":"R.","non-dropping-particle":"","parse-names":false,"suffix":""},{"dropping-particle":"","family":"Bozonnet","given":"E.","non-dropping-particle":"","parse-names":false,"suffix":""},{"dropping-particle":"","family":"Salagnac","given":"P.","non-dropping-particle":"","parse-names":false,"suffix":""},{"dropping-particle":"","family":"Abadie","given":"M.O.","non-dropping-particle":"","parse-names":false,"suffix":""}],"container-title":"Building and Environment","id":"ITEM-1","issued":{"date-parts":[["2018"]]},"page":"83-95","title":"Optimized design of low-rise commercial buildings under various climates – Energy performance and passive cooling strategies","type":"article-journal","volume":"132"},"locator":"91","uris":["http://www.mendeley.com/documents/?uuid=a3834fc3-eb6f-3a35-93c0-63e482e3595d"]}],"mendeley":{"formattedCitation":"Lapisa et al., 91.","plainTextFormattedCitation":"Lapisa et al., 91.","previouslyFormattedCitation":"Lapisa et al., 91."},"properties":{"noteIndex":78},"schema":"https://github.com/citation-style-language/schema/raw/master/csl-citation.json"}</w:instrText>
      </w:r>
      <w:r>
        <w:fldChar w:fldCharType="separate"/>
      </w:r>
      <w:r w:rsidRPr="00CC6B08">
        <w:rPr>
          <w:noProof/>
        </w:rPr>
        <w:t>Lapisa et al., 91.</w:t>
      </w:r>
      <w:r>
        <w:fldChar w:fldCharType="end"/>
      </w:r>
    </w:p>
  </w:footnote>
  <w:footnote w:id="80">
    <w:p w14:paraId="49BAB160" w14:textId="2A1188DA" w:rsidR="00AB27A5" w:rsidRDefault="00AB27A5">
      <w:pPr>
        <w:pStyle w:val="FootnoteText"/>
      </w:pPr>
      <w:r>
        <w:rPr>
          <w:rStyle w:val="FootnoteReference"/>
        </w:rPr>
        <w:footnoteRef/>
      </w:r>
      <w:r>
        <w:t xml:space="preserve"> </w:t>
      </w:r>
      <w:r>
        <w:fldChar w:fldCharType="begin" w:fldLock="1"/>
      </w:r>
      <w:r>
        <w:instrText>ADDIN CSL_CITATION {"citationItems":[{"id":"ITEM-1","itemData":{"URL":"https://articles.extension.org/pages/26272/designing-energy-efficient-new-homes-for-a-warm-climate","accessed":{"date-parts":[["2019","4","27"]]},"container-title":"eXtension","id":"ITEM-1","issued":{"date-parts":[["2014"]]},"title":"Designing Energy Efficient New Homes for a Warm Climate","type":"webpage"},"uris":["http://www.mendeley.com/documents/?uuid=e8d6204a-f61a-3c83-8eb2-da5a32318035"]}],"mendeley":{"formattedCitation":"“Designing Energy Efficient New Homes for a Warm Climate,” eXtension, 2014, https://articles.extension.org/pages/26272/designing-energy-efficient-new-homes-for-a-warm-climate.","plainTextFormattedCitation":"“Designing Energy Efficient New Homes for a Warm Climate,” eXtension, 2014, https://articles.extension.org/pages/26272/designing-energy-efficient-new-homes-for-a-warm-climate.","previouslyFormattedCitation":"“Designing Energy Efficient New Homes for a Warm Climate,” eXtension, 2014, https://articles.extension.org/pages/26272/designing-energy-efficient-new-homes-for-a-warm-climate."},"properties":{"noteIndex":79},"schema":"https://github.com/citation-style-language/schema/raw/master/csl-citation.json"}</w:instrText>
      </w:r>
      <w:r>
        <w:fldChar w:fldCharType="separate"/>
      </w:r>
      <w:r w:rsidRPr="00A669E6">
        <w:rPr>
          <w:noProof/>
        </w:rPr>
        <w:t>“Designing Energy Efficient New Homes for a Warm Climate,” eXtension, 2014, https://articles.extension.org/pages/26272/designing-energy-efficient-new-homes-for-a-warm-climate.</w:t>
      </w:r>
      <w:r>
        <w:fldChar w:fldCharType="end"/>
      </w:r>
    </w:p>
  </w:footnote>
  <w:footnote w:id="81">
    <w:p w14:paraId="52BDBC4F" w14:textId="3552D40E"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{"citationItems":[{"id":"ITEM-1","itemData":{"abstract":"In the past years, there has been a growing interest among architects and entrepreneurs to include intelligence in buildings, as a way for\r\nachieving energy-efficient buildings that comply with stringent energy codes and national goals of reducing dangerous emissions,\r\ntogether with improving corporate image.\r\nThe aim of this paper is to explore the influence of incorporating intelligence in buildings in hot climates, through the perspective of\r\nenergy consumption and user comfort with an emphasis on lighting. The paper will show how decisions taken in the early design stages\r\ncan affect those of later ones. Moreover, it will try to clarify how much building performance depends on early smart architectural design\r\ndecisions (passive design strategies) or if it can be left exclusively to later intelligent technological devices (active features).\r\nBy means of computer energy modelling, a prototype office unit is used to evaluate energy performance and visual comfort in three\r\nparametric series. The first one is the result of the incorporation of active features alone, the second one is guided by intelligent passive\r\ndesign strategies, and the third one is the combination of both approaches. Results show that a truly intelligent building needs to be the\r\nproduct of a design process that incorporates intelligence in all its stages while taking advantage of technological innovations.","author":[{"dropping-particle":"","family":"Ochoa","given":"Carlos Ernesto","non-dropping-particle":"","parse-names":false,"suffix":""},{"dropping-particle":"","family":"Capeluto","given":"Isaac Guedi","non-dropping-particle":"","parse-names":false,"suffix":""}],"container-title":"Building and Environment","id":"ITEM-1","issued":{"date-parts":[["2008"]]},"page":"1829-1839","title":"Strategic decision-making for intelligent buildings: Comparative impact of passive design strategies and active features in a hot climate","type":"article-journal","volume":"43"},"locator":"1831","uris":["http://www.mendeley.com/documents/?uuid=e7788435-19c5-38c0-927a-28b3d70ca081"]}],"mendeley":{"formattedCitation":"Carlos Ernesto Ochoa and Isaac Guedi Capeluto, “Strategic Decision-Making for Intelligent Buildings: Comparative Impact of Passive Design Strategies and Active Features in a Hot Climate,” &lt;i&gt;Building and Environment&lt;/i&gt; 43 (2008): 1831, https://ac-els-cdn-com.ezproxy.lib.ou.edu/S0360132307002090/1-s2.0-S0360132307002090-main.pdf?_tid=d5d12abd-55d7-4ce4-b10d-50874cc29f15&amp;acdnat=1552172476_5a16a2b9c7709d26622668523270fb0e.","plainTextFormattedCitation":"Carlos Ernesto Ochoa and Isaac Guedi Capeluto, “Strategic Decision-Making for Intelligent Buildings: Comparative Impact of Passive Design Strategies and Active Features in a Hot Climate,” Building and Environment 43 (2008): 1831, https://ac-els-cdn-com.ezproxy.lib.ou.edu/S0360132307002090/1-s2.0-S0360132307002090-main.pdf?_tid=d5d12abd-55d7-4ce4-b10d-50874cc29f15&amp;acdnat=1552172476_5a16a2b9c7709d26622668523270fb0e.","previouslyFormattedCitation":"Carlos Ernesto Ochoa and Isaac Guedi Capeluto, “Strategic Decision-Making for Intelligent Buildings: Comparative Impact of Passive Design Strategies and Active Features in a Hot Climate,” &lt;i&gt;Building and Environment&lt;/i&gt; 43 (2008): 1831, https://ac-els-cdn-com.ezproxy.lib.ou.edu/S0360132307002090/1-s2.0-S0360132307002090-main.pdf?_tid=d5d12abd-55d7-4ce4-b10d-50874cc29f15&amp;acdnat=1552172476_5a16a2b9c7709d26622668523270fb0e."},"properties":{"noteIndex":80},"schema":"https://github.com/citation-style-language/schema/raw/master/csl-citation.json"}</w:instrText>
      </w:r>
      <w:r>
        <w:fldChar w:fldCharType="separate"/>
      </w:r>
      <w:r w:rsidRPr="00FF28CC">
        <w:rPr>
          <w:noProof/>
        </w:rPr>
        <w:t xml:space="preserve">Carlos Ernesto Ochoa and Isaac Guedi Capeluto, “Strategic Decision-Making for Intelligent Buildings: Comparative Impact of Passive Design Strategies and Active Features in a Hot Climate,” </w:t>
      </w:r>
      <w:r w:rsidRPr="00FF28CC">
        <w:rPr>
          <w:i/>
          <w:noProof/>
        </w:rPr>
        <w:t>Building and Environment</w:t>
      </w:r>
      <w:r w:rsidRPr="00FF28CC">
        <w:rPr>
          <w:noProof/>
        </w:rPr>
        <w:t xml:space="preserve"> 43 (2008): 1831, https://ac-els-cdn-com.ezproxy.lib.ou.edu/S0360132307002090/1-s2.0-S0360132307002090-main.pdf?_tid=d5d12abd-55d7-4ce4-b10d-50874cc29f15&amp;acdnat=1552172476_5a16a2b9c7709d26622668523270fb0e.</w:t>
      </w:r>
      <w:r>
        <w:fldChar w:fldCharType="end"/>
      </w:r>
    </w:p>
  </w:footnote>
  <w:footnote w:id="82">
    <w:p w14:paraId="76929B6C" w14:textId="568ED72D"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{"citationItems":[{"id":"ITEM-1","itemData":{"abstract":"In the past years, there has been a growing interest among architects and entrepreneurs to include intelligence in buildings, as a way for\r\nachieving energy-efficient buildings that comply with stringent energy codes and national goals of reducing dangerous emissions,\r\ntogether with improving corporate image.\r\nThe aim of this paper is to explore the influence of incorporating intelligence in buildings in hot climates, through the perspective of\r\nenergy consumption and user comfort with an emphasis on lighting. The paper will show how decisions taken in the early design stages\r\ncan affect those of later ones. Moreover, it will try to clarify how much building performance depends on early smart architectural design\r\ndecisions (passive design strategies) or if it can be left exclusively to later intelligent technological devices (active features).\r\nBy means of computer energy modelling, a prototype office unit is used to evaluate energy performance and visual comfort in three\r\nparametric series. The first one is the result of the incorporation of active features alone, the second one is guided by intelligent passive\r\ndesign strategies, and the third one is the combination of both approaches. Results show that a truly intelligent building needs to be the\r\nproduct of a design process that incorporates intelligence in all its stages while taking advantage of technological innovations.","author":[{"dropping-particle":"","family":"Ochoa","given":"Carlos Ernesto","non-dropping-particle":"","parse-names":false,"suffix":""},{"dropping-particle":"","family":"Capeluto","given":"Isaac Guedi","non-dropping-particle":"","parse-names":false,"suffix":""}],"container-title":"Building and Environment","id":"ITEM-1","issued":{"date-parts":[["2008"]]},"page":"1829-1839","title":"Strategic decision-making for intelligent buildings: Comparative impact of passive design strategies and active features in a hot climate","type":"article-journal","volume":"43"},"locator":"1838","uris":["http://www.mendeley.com/documents/?uuid=e7788435-19c5-38c0-927a-28b3d70ca081"]}],"mendeley":{"formattedCitation":"Ochoa and Capeluto, 1838.","plainTextFormattedCitation":"Ochoa and Capeluto, 1838.","previouslyFormattedCitation":"Ochoa and Capeluto, 1838."},"properties":{"noteIndex":81},"schema":"https://github.com/citation-style-language/schema/raw/master/csl-citation.json"}</w:instrText>
      </w:r>
      <w:r>
        <w:fldChar w:fldCharType="separate"/>
      </w:r>
      <w:r w:rsidRPr="00942FA7">
        <w:rPr>
          <w:noProof/>
        </w:rPr>
        <w:t>Ochoa and Capeluto, 1838.</w:t>
      </w:r>
      <w:r>
        <w:fldChar w:fldCharType="end"/>
      </w:r>
    </w:p>
  </w:footnote>
  <w:footnote w:id="83">
    <w:p w14:paraId="4D026715" w14:textId="2C33DBE2"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{"citationItems":[{"id":"ITEM-1","itemData":{"abstract":"In the past years, there has been a growing interest among architects and entrepreneurs to include intelligence in buildings, as a way for\r\nachieving energy-efficient buildings that comply with stringent energy codes and national goals of reducing dangerous emissions,\r\ntogether with improving corporate image.\r\nThe aim of this paper is to explore the influence of incorporating intelligence in buildings in hot climates, through the perspective of\r\nenergy consumption and user comfort with an emphasis on lighting. The paper will show how decisions taken in the early design stages\r\ncan affect those of later ones. Moreover, it will try to clarify how much building performance depends on early smart architectural design\r\ndecisions (passive design strategies) or if it can be left exclusively to later intelligent technological devices (active features).\r\nBy means of computer energy modelling, a prototype office unit is used to evaluate energy performance and visual comfort in three\r\nparametric series. The first one is the result of the incorporation of active features alone, the second one is guided by intelligent passive\r\ndesign strategies, and the third one is the combination of both approaches. Results show that a truly intelligent building needs to be the\r\nproduct of a design process that incorporates intelligence in all its stages while taking advantage of technological innovations.","author":[{"dropping-particle":"","family":"Ochoa","given":"Carlos Ernesto","non-dropping-particle":"","parse-names":false,"suffix":""},{"dropping-particle":"","family":"Capeluto","given":"Isaac Guedi","non-dropping-particle":"","parse-names":false,"suffix":""}],"container-title":"Building and Environment","id":"ITEM-1","issued":{"date-parts":[["2008"]]},"page":"1829-1839","title":"Strategic decision-making for intelligent buildings: Comparative impact of passive design strategies and active features in a hot climate","type":"article-journal","volume":"43"},"locator":"1830","uris":["http://www.mendeley.com/documents/?uuid=e7788435-19c5-38c0-927a-28b3d70ca081"]}],"mendeley":{"formattedCitation":"Ochoa and Capeluto, 1830.","plainTextFormattedCitation":"Ochoa and Capeluto, 1830.","previouslyFormattedCitation":"Ochoa and Capeluto, 1830."},"properties":{"noteIndex":82},"schema":"https://github.com/citation-style-language/schema/raw/master/csl-citation.json"}</w:instrText>
      </w:r>
      <w:r>
        <w:fldChar w:fldCharType="separate"/>
      </w:r>
      <w:r w:rsidRPr="004A127F">
        <w:rPr>
          <w:noProof/>
        </w:rPr>
        <w:t>Ochoa and Capeluto, 1830.</w:t>
      </w:r>
      <w:r>
        <w:fldChar w:fldCharType="end"/>
      </w:r>
    </w:p>
  </w:footnote>
  <w:footnote w:id="84">
    <w:p w14:paraId="036F76BD" w14:textId="67E8A6E5"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{"citationItems":[{"id":"ITEM-1","itemData":{"author":[{"dropping-particle":"","family":"Gerston","given":"Jan","non-dropping-particle":"","parse-names":false,"suffix":""}],"container-title":"Texas Water Savers","id":"ITEM-1","issue":"2","issued":{"date-parts":[["1997"]]},"title":"Rainwater harvesting: a new water source","type":"report","volume":"3"},"locator":"2","uris":["http://www.mendeley.com/documents/?uuid=91d94496-82ae-3fb4-b340-4de0c6bfb405"]}],"mendeley":{"formattedCitation":"Jan Gerston, “Rainwater Harvesting: A New Water Source,” &lt;i&gt;Texas Water Savers&lt;/i&gt;, vol. 3, 1997, 2, http://twri.tamu.edu/newsletters/texaswatersavers/tws-v3n2.pdf.","plainTextFormattedCitation":"Jan Gerston, “Rainwater Harvesting: A New Water Source,” Texas Water Savers, vol. 3, 1997, 2, http://twri.tamu.edu/newsletters/texaswatersavers/tws-v3n2.pdf.","previouslyFormattedCitation":"Jan Gerston, “Rainwater Harvesting: A New Water Source,” &lt;i&gt;Texas Water Savers&lt;/i&gt;, vol. 3, 1997, 2, http://twri.tamu.edu/newsletters/texaswatersavers/tws-v3n2.pdf."},"properties":{"noteIndex":83},"schema":"https://github.com/citation-style-language/schema/raw/master/csl-citation.json"}</w:instrText>
      </w:r>
      <w:r>
        <w:fldChar w:fldCharType="separate"/>
      </w:r>
      <w:r w:rsidRPr="00B84218">
        <w:rPr>
          <w:noProof/>
        </w:rPr>
        <w:t xml:space="preserve">Jan Gerston, “Rainwater Harvesting: A New Water Source,” </w:t>
      </w:r>
      <w:r w:rsidRPr="00B84218">
        <w:rPr>
          <w:i/>
          <w:noProof/>
        </w:rPr>
        <w:t>Texas Water Savers</w:t>
      </w:r>
      <w:r w:rsidRPr="00B84218">
        <w:rPr>
          <w:noProof/>
        </w:rPr>
        <w:t>, vol. 3, 1997, 2, http://twri.tamu.edu/newsletters/texaswatersavers/tws-v3n2.pdf.</w:t>
      </w:r>
      <w:r>
        <w:fldChar w:fldCharType="end"/>
      </w:r>
    </w:p>
  </w:footnote>
  <w:footnote w:id="85">
    <w:p w14:paraId="5DA843A3" w14:textId="6F15E351"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{"citationItems":[{"id":"ITEM-1","itemData":{"author":[{"dropping-particle":"","family":"Gerston","given":"Jan","non-dropping-particle":"","parse-names":false,"suffix":""}],"container-title":"Texas Water Savers","id":"ITEM-1","issue":"2","issued":{"date-parts":[["1997"]]},"title":"Rainwater harvesting: a new water source","type":"report","volume":"3"},"locator":"2","uris":["http://www.mendeley.com/documents/?uuid=91d94496-82ae-3fb4-b340-4de0c6bfb405"]}],"mendeley":{"formattedCitation":"Gerston, 3:2.","plainTextFormattedCitation":"Gerston, 3:2.","previouslyFormattedCitation":"Gerston, 3:2."},"properties":{"noteIndex":84},"schema":"https://github.com/citation-style-language/schema/raw/master/csl-citation.json"}</w:instrText>
      </w:r>
      <w:r>
        <w:fldChar w:fldCharType="separate"/>
      </w:r>
      <w:r w:rsidRPr="005A1DD9">
        <w:rPr>
          <w:noProof/>
        </w:rPr>
        <w:t>Gerston, 3:2.</w:t>
      </w:r>
      <w:r>
        <w:fldChar w:fldCharType="end"/>
      </w:r>
    </w:p>
  </w:footnote>
  <w:footnote w:id="86">
    <w:p w14:paraId="797B73B8" w14:textId="3B964097"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{"citationItems":[{"id":"ITEM-1","itemData":{"author":[{"dropping-particle":"","family":"Leong","given":"Janet Yip Cheng","non-dropping-particle":"","parse-names":false,"suffix":""},{"dropping-particle":"","family":"Siang Oh","given":"Kai","non-dropping-particle":"","parse-names":false,"suffix":""},{"dropping-particle":"","family":"Eong Poh","given":"Phaik","non-dropping-particle":"","parse-names":false,"suffix":""},{"dropping-particle":"","family":"Nan Chong","given":"Meng","non-dropping-particle":"","parse-names":false,"suffix":""}],"container-title":"Journal of Cleaner Production","id":"ITEM-1","issue":"4","issued":{"date-parts":[["2017"]]},"page":"3014-3027","title":"Prospects of hybrid rainwater-greywater decentralised system for water recycling and reuse: A review","type":"article-journal","volume":"142"},"locator":"3024","uris":["http://www.mendeley.com/documents/?uuid=4e451b8b-d2b1-30bf-ac4c-b09b64ce7d9b"]}],"mendeley":{"formattedCitation":"Janet Yip Cheng Leong et al., “Prospects of Hybrid Rainwater-Greywater Decentralised System for Water Recycling and Reuse: A Review,” &lt;i&gt;Journal of Cleaner Production&lt;/i&gt; 142, no. 4 (2017): 3024, https://ac-els-cdn-com.ezproxy.lib.ou.edu/S095965261631798X/1-s2.0-S095965261631798X-main.pdf?_tid=9cd77e19-1120-4f6d-9778-75a4a4dd8287&amp;acdnat=1551710168_983103c67804b856ee1a6e0096109dbc.","plainTextFormattedCitation":"Janet Yip Cheng Leong et al., “Prospects of Hybrid Rainwater-Greywater Decentralised System for Water Recycling and Reuse: A Review,” Journal of Cleaner Production 142, no. 4 (2017): 3024, https://ac-els-cdn-com.ezproxy.lib.ou.edu/S095965261631798X/1-s2.0-S095965261631798X-main.pdf?_tid=9cd77e19-1120-4f6d-9778-75a4a4dd8287&amp;acdnat=1551710168_983103c67804b856ee1a6e0096109dbc.","previouslyFormattedCitation":"Janet Yip Cheng Leong et al., “Prospects of Hybrid Rainwater-Greywater Decentralised System for Water Recycling and Reuse: A Review,” &lt;i&gt;Journal of Cleaner Production&lt;/i&gt; 142, no. 4 (2017): 3024, https://ac-els-cdn-com.ezproxy.lib.ou.edu/S095965261631798X/1-s2.0-S095965261631798X-main.pdf?_tid=9cd77e19-1120-4f6d-9778-75a4a4dd8287&amp;acdnat=1551710168_983103c67804b856ee1a6e0096109dbc."},"properties":{"noteIndex":85},"schema":"https://github.com/citation-style-language/schema/raw/master/csl-citation.json"}</w:instrText>
      </w:r>
      <w:r>
        <w:fldChar w:fldCharType="separate"/>
      </w:r>
      <w:r w:rsidRPr="00183A4A">
        <w:rPr>
          <w:noProof/>
        </w:rPr>
        <w:t xml:space="preserve">Janet Yip Cheng Leong et al., “Prospects of Hybrid Rainwater-Greywater Decentralised System for Water Recycling and Reuse: A Review,” </w:t>
      </w:r>
      <w:r w:rsidRPr="00183A4A">
        <w:rPr>
          <w:i/>
          <w:noProof/>
        </w:rPr>
        <w:t>Journal of Cleaner Production</w:t>
      </w:r>
      <w:r w:rsidRPr="00183A4A">
        <w:rPr>
          <w:noProof/>
        </w:rPr>
        <w:t xml:space="preserve"> 142, no. 4 (2017): 3024, https://ac-els-cdn-com.ezproxy.lib.ou.edu/S095965261631798X/1-s2.0-S095965261631798X-main.pdf?_tid=9cd77e19-1120-4f6d-9778-75a4a4dd8287&amp;acdnat=1551710168_983103c67804b856ee1a6e0096109dbc.</w:t>
      </w:r>
      <w:r>
        <w:fldChar w:fldCharType="end"/>
      </w:r>
    </w:p>
  </w:footnote>
  <w:footnote w:id="87">
    <w:p w14:paraId="44EB9FEB" w14:textId="78E5500F"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{"citationItems":[{"id":"ITEM-1","itemData":{"author":[{"dropping-particle":"","family":"Leong","given":"Janet Yip Cheng","non-dropping-particle":"","parse-names":false,"suffix":""},{"dropping-particle":"","family":"Siang Oh","given":"Kai","non-dropping-particle":"","parse-names":false,"suffix":""},{"dropping-particle":"","family":"Eong Poh","given":"Phaik","non-dropping-particle":"","parse-names":false,"suffix":""},{"dropping-particle":"","family":"Nan Chong","given":"Meng","non-dropping-particle":"","parse-names":false,"suffix":""}],"container-title":"Journal of Cleaner Production","id":"ITEM-1","issue":"4","issued":{"date-parts":[["2017"]]},"page":"3014-3027","title":"Prospects of hybrid rainwater-greywater decentralised system for water recycling and reuse: A review","type":"article-journal","volume":"142"},"locator":"3025","uris":["http://www.mendeley.com/documents/?uuid=4e451b8b-d2b1-30bf-ac4c-b09b64ce7d9b"]}],"mendeley":{"formattedCitation":"Leong et al., 3025.","plainTextFormattedCitation":"Leong et al., 3025.","previouslyFormattedCitation":"Leong et al., 3025."},"properties":{"noteIndex":86},"schema":"https://github.com/citation-style-language/schema/raw/master/csl-citation.json"}</w:instrText>
      </w:r>
      <w:r>
        <w:fldChar w:fldCharType="separate"/>
      </w:r>
      <w:r w:rsidRPr="00540F3D">
        <w:rPr>
          <w:noProof/>
        </w:rPr>
        <w:t>Leong et al., 3025.</w:t>
      </w:r>
      <w:r>
        <w:fldChar w:fldCharType="end"/>
      </w:r>
    </w:p>
  </w:footnote>
  <w:footnote w:id="88">
    <w:p w14:paraId="47ADE1A3" w14:textId="18609730" w:rsidR="00AB27A5" w:rsidRDefault="00AB27A5">
      <w:pPr>
        <w:pStyle w:val="FootnoteText"/>
      </w:pPr>
      <w:r w:rsidRPr="00D05B51">
        <w:rPr>
          <w:rStyle w:val="FootnoteReference"/>
        </w:rPr>
        <w:footnoteRef/>
      </w:r>
      <w:r>
        <w:t xml:space="preserve"> Leong et al., </w:t>
      </w:r>
      <w:r w:rsidRPr="004D0618">
        <w:t>Proposed hybrid rainwater-greywater system designs</w:t>
      </w:r>
    </w:p>
  </w:footnote>
  <w:footnote w:id="89">
    <w:p w14:paraId="7620FC76" w14:textId="12A97C07"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{"citationItems":[{"id":"ITEM-1","itemData":{"DOI":"10.1016/j.watres.2017.08.062","abstract":"Net-zero greywater (NZGW) reuse, or nearly closed-loop recycle of greywater for all original uses, can recover both water and its attendant hot-water thermal energy, while avoiding the installation and maintenance of a separate greywater sewer in residential areas. Such a system, if portable, could also provide wash water for remote emergency health care units. However, such greywater reuse engenders human contact with the recycled water, and hence superior treatment. The purpose of this paper is to review processes applicable to the mineralization of organics, including control of oxidative byproducts such as bromate, and maintenance of disinfection consistent with potable reuse guidelines, in NZGW systems. Specifically, TiO 2-UV, UV-hydrogen peroxide, hydrogen peroxide-ozone, ozone-UV advanced oxidation processes, and UV, ozone, hydrogen peroxide, filtration, and chlorine disinfection processes were reviewed for performance, energy demand, environmental impact, and operational simplicity. Based on the literature reviewed, peroxone is the most energy-efficient process for organics minerali-zation. However, in portable applications where delivery of chemicals to the site is a concern, the UV-ozone process appears promising, at higher energy demand. In either case, reverse osmosis, nano-filtration, or ED may be useful in controlling the bromide precursor in make-up water, and a minor side-stream of ozone may be used to prevent microbial regrowth in the treated water. Where energy is not paramount, UV-hydrogen peroxide and UV-TiO 2 can be used to mineralize organics while avoiding bromate formation, but may require a secondary process to prevent microbial regrowth. Chlorine and ozone may be useful for maintenance of disinfection residual.","author":[{"dropping-particle":"","family":"Gassie","given":"Lucien W","non-dropping-particle":"","parse-names":false,"suffix":""},{"dropping-particle":"","family":"Englehardt","given":"James D","non-dropping-particle":"","parse-names":false,"suffix":""}],"container-title":"Water Research","id":"ITEM-1","issued":{"date-parts":[["2017"]]},"page":"384-399","title":"Advanced oxidation and disinfection processes for onsite net-zero greywater reuse: A review","type":"article-journal","volume":"125"},"locator":"385","uris":["http://www.mendeley.com/documents/?uuid=1fde582b-7ee9-3c88-b95f-bf47fbbc64f6"]}],"mendeley":{"formattedCitation":"Lucien W Gassie and James D Englehardt, “Advanced Oxidation and Disinfection Processes for Onsite Net-Zero Greywater Reuse: A Review,” &lt;i&gt;Water Research&lt;/i&gt; 125 (2017): 385, https://doi.org/10.1016/j.watres.2017.08.062.","plainTextFormattedCitation":"Lucien W Gassie and James D Englehardt, “Advanced Oxidation and Disinfection Processes for Onsite Net-Zero Greywater Reuse: A Review,” Water Research 125 (2017): 385, https://doi.org/10.1016/j.watres.2017.08.062.","previouslyFormattedCitation":"Lucien W Gassie and James D Englehardt, “Advanced Oxidation and Disinfection Processes for Onsite Net-Zero Greywater Reuse: A Review,” &lt;i&gt;Water Research&lt;/i&gt; 125 (2017): 385, https://doi.org/10.1016/j.watres.2017.08.062."},"properties":{"noteIndex":88},"schema":"https://github.com/citation-style-language/schema/raw/master/csl-citation.json"}</w:instrText>
      </w:r>
      <w:r>
        <w:fldChar w:fldCharType="separate"/>
      </w:r>
      <w:r w:rsidRPr="007F4FF3">
        <w:rPr>
          <w:noProof/>
        </w:rPr>
        <w:t xml:space="preserve">Lucien W Gassie and James D Englehardt, “Advanced Oxidation and Disinfection Processes for Onsite Net-Zero Greywater Reuse: A Review,” </w:t>
      </w:r>
      <w:r w:rsidRPr="007F4FF3">
        <w:rPr>
          <w:i/>
          <w:noProof/>
        </w:rPr>
        <w:t>Water Research</w:t>
      </w:r>
      <w:r w:rsidRPr="007F4FF3">
        <w:rPr>
          <w:noProof/>
        </w:rPr>
        <w:t xml:space="preserve"> 125 (2017): 385, https://doi.org/10.1016/j.watres.2017.08.062.</w:t>
      </w:r>
      <w:r>
        <w:fldChar w:fldCharType="end"/>
      </w:r>
    </w:p>
  </w:footnote>
  <w:footnote w:id="90">
    <w:p w14:paraId="149BA4D8" w14:textId="636BFB9A"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{"citationItems":[{"id":"ITEM-1","itemData":{"DOI":"10.1016/j.watres.2017.08.062","abstract":"Net-zero greywater (NZGW) reuse, or nearly closed-loop recycle of greywater for all original uses, can recover both water and its attendant hot-water thermal energy, while avoiding the installation and maintenance of a separate greywater sewer in residential areas. Such a system, if portable, could also provide wash water for remote emergency health care units. However, such greywater reuse engenders human contact with the recycled water, and hence superior treatment. The purpose of this paper is to review processes applicable to the mineralization of organics, including control of oxidative byproducts such as bromate, and maintenance of disinfection consistent with potable reuse guidelines, in NZGW systems. Specifically, TiO 2-UV, UV-hydrogen peroxide, hydrogen peroxide-ozone, ozone-UV advanced oxidation processes, and UV, ozone, hydrogen peroxide, filtration, and chlorine disinfection processes were reviewed for performance, energy demand, environmental impact, and operational simplicity. Based on the literature reviewed, peroxone is the most energy-efficient process for organics minerali-zation. However, in portable applications where delivery of chemicals to the site is a concern, the UV-ozone process appears promising, at higher energy demand. In either case, reverse osmosis, nano-filtration, or ED may be useful in controlling the bromide precursor in make-up water, and a minor side-stream of ozone may be used to prevent microbial regrowth in the treated water. Where energy is not paramount, UV-hydrogen peroxide and UV-TiO 2 can be used to mineralize organics while avoiding bromate formation, but may require a secondary process to prevent microbial regrowth. Chlorine and ozone may be useful for maintenance of disinfection residual.","author":[{"dropping-particle":"","family":"Gassie","given":"Lucien W","non-dropping-particle":"","parse-names":false,"suffix":""},{"dropping-particle":"","family":"Englehardt","given":"James D","non-dropping-particle":"","parse-names":false,"suffix":""}],"container-title":"Water Research","id":"ITEM-1","issued":{"date-parts":[["2017"]]},"page":"384-399","title":"Advanced oxidation and disinfection processes for onsite net-zero greywater reuse: A review","type":"article-journal","volume":"125"},"locator":"385","uris":["http://www.mendeley.com/documents/?uuid=1fde582b-7ee9-3c88-b95f-bf47fbbc64f6"]}],"mendeley":{"formattedCitation":"Gassie and Englehardt, 385.","plainTextFormattedCitation":"Gassie and Englehardt, 385.","previouslyFormattedCitation":"Gassie and Englehardt, 385."},"properties":{"noteIndex":89},"schema":"https://github.com/citation-style-language/schema/raw/master/csl-citation.json"}</w:instrText>
      </w:r>
      <w:r>
        <w:fldChar w:fldCharType="separate"/>
      </w:r>
      <w:r w:rsidRPr="00B728F1">
        <w:rPr>
          <w:noProof/>
        </w:rPr>
        <w:t>Gassie and Englehardt, 385.</w:t>
      </w:r>
      <w:r>
        <w:fldChar w:fldCharType="end"/>
      </w:r>
    </w:p>
  </w:footnote>
  <w:footnote w:id="91">
    <w:p w14:paraId="2E64ACF1" w14:textId="74532DA0"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{"citationItems":[{"id":"ITEM-1","itemData":{"DOI":"10.1016/j.watres.2017.08.062","abstract":"Net-zero greywater (NZGW) reuse, or nearly closed-loop recycle of greywater for all original uses, can recover both water and its attendant hot-water thermal energy, while avoiding the installation and maintenance of a separate greywater sewer in residential areas. Such a system, if portable, could also provide wash water for remote emergency health care units. However, such greywater reuse engenders human contact with the recycled water, and hence superior treatment. The purpose of this paper is to review processes applicable to the mineralization of organics, including control of oxidative byproducts such as bromate, and maintenance of disinfection consistent with potable reuse guidelines, in NZGW systems. Specifically, TiO 2-UV, UV-hydrogen peroxide, hydrogen peroxide-ozone, ozone-UV advanced oxidation processes, and UV, ozone, hydrogen peroxide, filtration, and chlorine disinfection processes were reviewed for performance, energy demand, environmental impact, and operational simplicity. Based on the literature reviewed, peroxone is the most energy-efficient process for organics minerali-zation. However, in portable applications where delivery of chemicals to the site is a concern, the UV-ozone process appears promising, at higher energy demand. In either case, reverse osmosis, nano-filtration, or ED may be useful in controlling the bromide precursor in make-up water, and a minor side-stream of ozone may be used to prevent microbial regrowth in the treated water. Where energy is not paramount, UV-hydrogen peroxide and UV-TiO 2 can be used to mineralize organics while avoiding bromate formation, but may require a secondary process to prevent microbial regrowth. Chlorine and ozone may be useful for maintenance of disinfection residual.","author":[{"dropping-particle":"","family":"Gassie","given":"Lucien W","non-dropping-particle":"","parse-names":false,"suffix":""},{"dropping-particle":"","family":"Englehardt","given":"James D","non-dropping-particle":"","parse-names":false,"suffix":""}],"container-title":"Water Research","id":"ITEM-1","issued":{"date-parts":[["2017"]]},"page":"384-399","title":"Advanced oxidation and disinfection processes for onsite net-zero greywater reuse: A review","type":"article-journal","volume":"125"},"locator":"396","uris":["http://www.mendeley.com/documents/?uuid=1fde582b-7ee9-3c88-b95f-bf47fbbc64f6"]}],"mendeley":{"formattedCitation":"Gassie and Englehardt, 396.","plainTextFormattedCitation":"Gassie and Englehardt, 396.","previouslyFormattedCitation":"Gassie and Englehardt, 396."},"properties":{"noteIndex":90},"schema":"https://github.com/citation-style-language/schema/raw/master/csl-citation.json"}</w:instrText>
      </w:r>
      <w:r>
        <w:fldChar w:fldCharType="separate"/>
      </w:r>
      <w:r w:rsidRPr="006673F6">
        <w:rPr>
          <w:noProof/>
        </w:rPr>
        <w:t>Gassie and Englehardt, 396.</w:t>
      </w:r>
      <w:r>
        <w:fldChar w:fldCharType="end"/>
      </w:r>
    </w:p>
  </w:footnote>
  <w:footnote w:id="92">
    <w:p w14:paraId="131CDA26" w14:textId="1D7B9F0C" w:rsidR="00AB27A5" w:rsidRDefault="00AB27A5" w:rsidP="005E1AF6">
      <w:pPr>
        <w:pStyle w:val="FootnoteText"/>
      </w:pPr>
      <w:r w:rsidRPr="00D05B51">
        <w:rPr>
          <w:rStyle w:val="FootnoteReference"/>
        </w:rPr>
        <w:footnoteRef/>
      </w:r>
      <w:r>
        <w:t xml:space="preserve"> </w:t>
      </w:r>
      <w:r>
        <w:fldChar w:fldCharType="begin" w:fldLock="1"/>
      </w:r>
      <w:r>
        <w:instrText>ADDIN CSL_CITATION {"citationItems":[{"id":"ITEM-1","itemData":{"DOI":"10.1016/j.watres.2017.08.062","abstract":"Net-zero greywater (NZGW) reuse, or nearly closed-loop recycle of greywater for all original uses, can recover both water and its attendant hot-water thermal energy, while avoiding the installation and maintenance of a separate greywater sewer in residential areas. Such a system, if portable, could also provide wash water for remote emergency health care units. However, such greywater reuse engenders human contact with the recycled water, and hence superior treatment. The purpose of this paper is to review processes applicable to the mineralization of organics, including control of oxidative byproducts such as bromate, and maintenance of disinfection consistent with potable reuse guidelines, in NZGW systems. Specifically, TiO 2-UV, UV-hydrogen peroxide, hydrogen peroxide-ozone, ozone-UV advanced oxidation processes, and UV, ozone, hydrogen peroxide, filtration, and chlorine disinfection processes were reviewed for performance, energy demand, environmental impact, and operational simplicity. Based on the literature reviewed, peroxone is the most energy-efficient process for organics minerali-zation. However, in portable applications where delivery of chemicals to the site is a concern, the UV-ozone process appears promising, at higher energy demand. In either case, reverse osmosis, nano-filtration, or ED may be useful in controlling the bromide precursor in make-up water, and a minor side-stream of ozone may be used to prevent microbial regrowth in the treated water. Where energy is not paramount, UV-hydrogen peroxide and UV-TiO 2 can be used to mineralize organics while avoiding bromate formation, but may require a secondary process to prevent microbial regrowth. Chlorine and ozone may be useful for maintenance of disinfection residual.","author":[{"dropping-particle":"","family":"Gassie","given":"Lucien W","non-dropping-particle":"","parse-names":false,"suffix":""},{"dropping-particle":"","family":"Englehardt","given":"James D","non-dropping-particle":"","parse-names":false,"suffix":""}],"container-title":"Water Research","id":"ITEM-1","issued":{"date-parts":[["2017"]]},"page":"384-399","title":"Advanced oxidation and disinfection processes for onsite net-zero greywater reuse: A review","type":"article-journal","volume":"125"},"locator":"385","uris":["http://www.mendeley.com/documents/?uuid=1fde582b-7ee9-3c88-b95f-bf47fbbc64f6"]}],"mendeley":{"formattedCitation":"Gassie and Englehardt, 385.","plainTextFormattedCitation":"Gassie and Englehardt, 385.","previouslyFormattedCitation":"Gassie and Englehardt, 385."},"properties":{"noteIndex":91},"schema":"https://github.com/citation-style-language/schema/raw/master/csl-citation.json"}</w:instrText>
      </w:r>
      <w:r>
        <w:fldChar w:fldCharType="separate"/>
      </w:r>
      <w:r w:rsidRPr="00F73AC2">
        <w:rPr>
          <w:noProof/>
        </w:rPr>
        <w:t>Gassie and Englehardt, 385.</w:t>
      </w:r>
      <w:r>
        <w:fldChar w:fldCharType="end"/>
      </w:r>
    </w:p>
  </w:footnote>
  <w:footnote w:id="93">
    <w:p w14:paraId="0991D9A1" w14:textId="30078ECE" w:rsidR="00AB27A5" w:rsidRDefault="00AB27A5" w:rsidP="00637EA1">
      <w:pPr>
        <w:pStyle w:val="FootnoteText"/>
      </w:pPr>
      <w:r>
        <w:rPr>
          <w:rStyle w:val="FootnoteReference"/>
        </w:rPr>
        <w:footnoteRef/>
      </w:r>
      <w:r>
        <w:t xml:space="preserve"> </w:t>
      </w:r>
      <w:r>
        <w:fldChar w:fldCharType="begin" w:fldLock="1"/>
      </w:r>
      <w:r>
        <w:instrText>ADDIN CSL_CITATION {"citationItems":[{"id":"ITEM-1","itemData":{"author":[{"dropping-particle":"","family":"Oliver","given":"Meghan H","non-dropping-particle":"","parse-names":false,"suffix":""}],"container-title":"Natural Science Collection pg","id":"ITEM-1","issue":"8","issued":{"date-parts":[["2006"]]},"title":"Slaking Astronauts' Thirst in Zero Gravity","type":"report","volume":"43"},"locator":"1","uris":["http://www.mendeley.com/documents/?uuid=09cd57bd-14ab-3423-a91c-1a46d3cb6d9a"]}],"mendeley":{"formattedCitation":"Meghan H Oliver, “Slaking Astronauts’ Thirst in Zero Gravity,” &lt;i&gt;Natural Science Collection Pg&lt;/i&gt;, vol. 43, 2006, 1, https://search-proquest-com.ezproxy.lib.ou.edu/docview/201452490/fulltextPDF/B23932C65649489EPQ/1?accountid=12964.","plainTextFormattedCitation":"Meghan H Oliver, “Slaking Astronauts’ Thirst in Zero Gravity,” Natural Science Collection Pg, vol. 43, 2006, 1, https://search-proquest-com.ezproxy.lib.ou.edu/docview/201452490/fulltextPDF/B23932C65649489EPQ/1?accountid=12964.","previouslyFormattedCitation":"Meghan H Oliver, “Slaking Astronauts’ Thirst in Zero Gravity,” &lt;i&gt;Natural Science Collection Pg&lt;/i&gt;, vol. 43, 2006, 1, https://search-proquest-com.ezproxy.lib.ou.edu/docview/201452490/fulltextPDF/B23932C65649489EPQ/1?accountid=12964."},"properties":{"noteIndex":92},"schema":"https://github.com/citation-style-language/schema/raw/master/csl-citation.json"}</w:instrText>
      </w:r>
      <w:r>
        <w:fldChar w:fldCharType="separate"/>
      </w:r>
      <w:r w:rsidRPr="004B2915">
        <w:rPr>
          <w:noProof/>
        </w:rPr>
        <w:t xml:space="preserve">Meghan H Oliver, “Slaking Astronauts’ Thirst in Zero Gravity,” </w:t>
      </w:r>
      <w:r w:rsidRPr="004B2915">
        <w:rPr>
          <w:i/>
          <w:noProof/>
        </w:rPr>
        <w:t>Natural Science Collection Pg</w:t>
      </w:r>
      <w:r w:rsidRPr="004B2915">
        <w:rPr>
          <w:noProof/>
        </w:rPr>
        <w:t>, vol. 43, 2006, 1, https://search-proquest-com.ezproxy.lib.ou.edu/docview/201452490/fulltextPDF/B23932C65649489EPQ/1?accountid=12964.</w:t>
      </w:r>
      <w:r>
        <w:fldChar w:fldCharType="end"/>
      </w:r>
    </w:p>
  </w:footnote>
  <w:footnote w:id="94">
    <w:p w14:paraId="3B569BA1" w14:textId="27E5729A" w:rsidR="00AB27A5" w:rsidRDefault="00AB27A5" w:rsidP="00637EA1">
      <w:pPr>
        <w:pStyle w:val="FootnoteText"/>
      </w:pPr>
      <w:r>
        <w:rPr>
          <w:rStyle w:val="FootnoteReference"/>
        </w:rPr>
        <w:footnoteRef/>
      </w:r>
      <w:r>
        <w:t xml:space="preserve"> </w:t>
      </w:r>
      <w:r>
        <w:fldChar w:fldCharType="begin" w:fldLock="1"/>
      </w:r>
      <w:r>
        <w:instrText>ADDIN CSL_CITATION {"citationItems":[{"id":"ITEM-1","itemData":{"author":[{"dropping-particle":"","family":"Oliver","given":"Meghan H","non-dropping-particle":"","parse-names":false,"suffix":""}],"container-title":"Natural Science Collection pg","id":"ITEM-1","issue":"8","issued":{"date-parts":[["2006"]]},"title":"Slaking Astronauts' Thirst in Zero Gravity","type":"report","volume":"43"},"locator":"2","uris":["http://www.mendeley.com/documents/?uuid=09cd57bd-14ab-3423-a91c-1a46d3cb6d9a"]}],"mendeley":{"formattedCitation":"Oliver, 43:2.","plainTextFormattedCitation":"Oliver, 43:2.","previouslyFormattedCitation":"Oliver, 43:2."},"properties":{"noteIndex":93},"schema":"https://github.com/citation-style-language/schema/raw/master/csl-citation.json"}</w:instrText>
      </w:r>
      <w:r>
        <w:fldChar w:fldCharType="separate"/>
      </w:r>
      <w:r w:rsidRPr="004B2915">
        <w:rPr>
          <w:noProof/>
        </w:rPr>
        <w:t>Oliver, 43:2.</w:t>
      </w:r>
      <w:r>
        <w:fldChar w:fldCharType="end"/>
      </w:r>
    </w:p>
  </w:footnote>
  <w:footnote w:id="95">
    <w:p w14:paraId="2F7C9A5E" w14:textId="3C4A72D9" w:rsidR="00AB27A5" w:rsidRDefault="00AB27A5" w:rsidP="00670D5B">
      <w:pPr>
        <w:pStyle w:val="FootnoteText"/>
      </w:pPr>
      <w:r w:rsidRPr="00D05B51">
        <w:rPr>
          <w:rStyle w:val="FootnoteReference"/>
        </w:rPr>
        <w:footnoteRef/>
      </w:r>
      <w:r>
        <w:t xml:space="preserve"> </w:t>
      </w:r>
      <w:r>
        <w:fldChar w:fldCharType="begin" w:fldLock="1"/>
      </w:r>
      <w:r>
        <w:instrText>ADDIN CSL_CITATION {"citationItems":[{"id":"ITEM-1","itemData":{"URL":"https://orbital-systems.com/company/","accessed":{"date-parts":[["2019","3","6"]]},"container-title":"Orbital Systems","id":"ITEM-1","issued":{"date-parts":[["0"]]},"title":"Orbital Systems","type":"webpage"},"uris":["http://www.mendeley.com/documents/?uuid=88836be9-94d4-30b6-b966-9ad2cecfa0d1"]}],"mendeley":{"formattedCitation":"“Orbital Systems,” Orbital Systems, accessed March 6, 2019, https://orbital-systems.com/company/.","plainTextFormattedCitation":"“Orbital Systems,” Orbital Systems, accessed March 6, 2019, https://orbital-systems.com/company/.","previouslyFormattedCitation":"“Orbital Systems,” Orbital Systems, accessed March 6, 2019, https://orbital-systems.com/company/."},"properties":{"noteIndex":94},"schema":"https://github.com/citation-style-language/schema/raw/master/csl-citation.json"}</w:instrText>
      </w:r>
      <w:r>
        <w:fldChar w:fldCharType="separate"/>
      </w:r>
      <w:r w:rsidRPr="00413510">
        <w:rPr>
          <w:noProof/>
        </w:rPr>
        <w:t>“Orbital Systems,” Orbital Systems, accessed March 6, 2019, https://orbital-systems.com/company/.</w:t>
      </w:r>
      <w:r>
        <w:fldChar w:fldCharType="end"/>
      </w:r>
    </w:p>
  </w:footnote>
  <w:footnote w:id="96">
    <w:p w14:paraId="3786F8A0" w14:textId="08900E16" w:rsidR="00AB27A5" w:rsidRDefault="00AB27A5" w:rsidP="00CA2DB8">
      <w:pPr>
        <w:pStyle w:val="FootnoteText"/>
      </w:pPr>
      <w:r w:rsidRPr="00D05B51">
        <w:rPr>
          <w:rStyle w:val="FootnoteReference"/>
        </w:rPr>
        <w:footnoteRef/>
      </w:r>
      <w:r>
        <w:t xml:space="preserve"> </w:t>
      </w:r>
      <w:r>
        <w:fldChar w:fldCharType="begin" w:fldLock="1"/>
      </w:r>
      <w:r>
        <w:instrText>ADDIN CSL_CITATION {"citationItems":[{"id":"ITEM-1","itemData":{"URL":"https://orbital-systems.com/product/","accessed":{"date-parts":[["2019","3","6"]]},"container-title":"Orbital Systems","id":"ITEM-1","issued":{"date-parts":[["0"]]},"title":"Digital Recirculating Shower System","type":"webpage"},"uris":["http://www.mendeley.com/documents/?uuid=3eb3b531-ebac-37d3-85c1-62fae4f702c5"]}],"mendeley":{"formattedCitation":"“Digital Recirculating Shower System,” Orbital Systems, accessed March 6, 2019, https://orbital-systems.com/product/.","plainTextFormattedCitation":"“Digital Recirculating Shower System,” Orbital Systems, accessed March 6, 2019, https://orbital-systems.com/product/.","previouslyFormattedCitation":"“Digital Recirculating Shower System,” Orbital Systems, accessed March 6, 2019, https://orbital-systems.com/product/."},"properties":{"noteIndex":95},"schema":"https://github.com/citation-style-language/schema/raw/master/csl-citation.json"}</w:instrText>
      </w:r>
      <w:r>
        <w:fldChar w:fldCharType="separate"/>
      </w:r>
      <w:r w:rsidRPr="00413510">
        <w:rPr>
          <w:noProof/>
        </w:rPr>
        <w:t>“Digital Recirculating Shower System,” Orbital Systems, accessed March 6, 2019, https://orbital-systems.com/product/.</w:t>
      </w:r>
      <w:r>
        <w:fldChar w:fldCharType="end"/>
      </w:r>
    </w:p>
  </w:footnote>
  <w:footnote w:id="97">
    <w:p w14:paraId="549130A2" w14:textId="791C2BC6" w:rsidR="00AB27A5" w:rsidRDefault="00AB27A5" w:rsidP="00ED61AA">
      <w:pPr>
        <w:pStyle w:val="FootnoteText"/>
      </w:pPr>
      <w:r w:rsidRPr="00D05B51">
        <w:rPr>
          <w:rStyle w:val="FootnoteReference"/>
        </w:rPr>
        <w:footnoteRef/>
      </w:r>
      <w:r>
        <w:t xml:space="preserve"> </w:t>
      </w:r>
      <w:r>
        <w:fldChar w:fldCharType="begin" w:fldLock="1"/>
      </w:r>
      <w:r>
        <w:instrText>ADDIN CSL_CITATION {"citationItems":[{"id":"ITEM-1","itemData":{"URL":"http://mississippirenewal.com/info/dayAug23-06b.html","accessed":{"date-parts":[["2018","12","4"]]},"author":[{"dropping-particle":"","family":"Brown","given":"Ben","non-dropping-particle":"","parse-names":false,"suffix":""}],"id":"ITEM-1","issued":{"date-parts":[["2006"]]},"publisher":"Mississippi Renewal Forum","title":"The Katrina Cottage Story: Tiny cottages become a growth industry","type":"webpage"},"uris":["http://www.mendeley.com/documents/?uuid=07cc339c-23b1-35ea-a320-587e218fb9aa"]}],"mendeley":{"formattedCitation":"Ben Brown, “The Katrina Cottage Story: Tiny Cottages Become a Growth Industry” (Mississippi Renewal Forum, 2006), http://mississippirenewal.com/info/dayAug23-06b.html.","plainTextFormattedCitation":"Ben Brown, “The Katrina Cottage Story: Tiny Cottages Become a Growth Industry” (Mississippi Renewal Forum, 2006), http://mississippirenewal.com/info/dayAug23-06b.html.","previouslyFormattedCitation":"Ben Brown, “The Katrina Cottage Story: Tiny Cottages Become a Growth Industry” (Mississippi Renewal Forum, 2006), http://mississippirenewal.com/info/dayAug23-06b.html."},"properties":{"noteIndex":96},"schema":"https://github.com/citation-style-language/schema/raw/master/csl-citation.json"}</w:instrText>
      </w:r>
      <w:r>
        <w:fldChar w:fldCharType="separate"/>
      </w:r>
      <w:r w:rsidRPr="00E8031E">
        <w:rPr>
          <w:noProof/>
        </w:rPr>
        <w:t>Ben Brown, “The Katrina Cottage Story: Tiny Cottages Become a Growth Industry” (Mississippi Renewal Forum, 2006), http://mississippirenewal.com/info/dayAug23-06b.html.</w:t>
      </w:r>
      <w:r>
        <w:fldChar w:fldCharType="end"/>
      </w:r>
    </w:p>
  </w:footnote>
  <w:footnote w:id="98">
    <w:p w14:paraId="61038CCB" w14:textId="579A5C09" w:rsidR="00AB27A5" w:rsidRDefault="00AB27A5" w:rsidP="00ED61AA">
      <w:pPr>
        <w:pStyle w:val="FootnoteText"/>
      </w:pPr>
      <w:r w:rsidRPr="00D05B51">
        <w:rPr>
          <w:rStyle w:val="FootnoteReference"/>
        </w:rPr>
        <w:footnoteRef/>
      </w:r>
      <w:r>
        <w:t xml:space="preserve"> </w:t>
      </w:r>
      <w:r>
        <w:fldChar w:fldCharType="begin" w:fldLock="1"/>
      </w:r>
      <w:r>
        <w:instrText>ADDIN CSL_CITATION {"citationItems":[{"id":"ITEM-1","itemData":{"URL":"http://ndagallery.cooperhewitt.org/MarianneCusato","accessed":{"date-parts":[["2018","12","4"]]},"author":[{"dropping-particle":"","family":"Cooper-Hewitt","given":"","non-dropping-particle":"","parse-names":false,"suffix":""}],"container-title":"The National Design Awards Gallery","id":"ITEM-1","issued":{"date-parts":[["2006"]]},"title":"People's Choice Award: Marianne Cusato","type":"webpage"},"uris":["http://www.mendeley.com/documents/?uuid=ffb3c1be-78e1-33a2-834a-46242889daf2"]}],"mendeley":{"formattedCitation":"Cooper-Hewitt, “People’s Choice Award: Marianne Cusato,” The National Design Awards Gallery, 2006, http://ndagallery.cooperhewitt.org/MarianneCusato.","plainTextFormattedCitation":"Cooper-Hewitt, “People’s Choice Award: Marianne Cusato,” The National Design Awards Gallery, 2006, http://ndagallery.cooperhewitt.org/MarianneCusato.","previouslyFormattedCitation":"Cooper-Hewitt, “People’s Choice Award: Marianne Cusato,” The National Design Awards Gallery, 2006, http://ndagallery.cooperhewitt.org/MarianneCusato."},"properties":{"noteIndex":97},"schema":"https://github.com/citation-style-language/schema/raw/master/csl-citation.json"}</w:instrText>
      </w:r>
      <w:r>
        <w:fldChar w:fldCharType="separate"/>
      </w:r>
      <w:r w:rsidRPr="001B65D1">
        <w:rPr>
          <w:noProof/>
        </w:rPr>
        <w:t>Cooper-Hewitt, “People’s Choice Award: Marianne Cusato,” The National Design Awards Gallery, 2006, http://ndagallery.cooperhewitt.org/MarianneCusato.</w:t>
      </w:r>
      <w:r>
        <w:fldChar w:fldCharType="end"/>
      </w:r>
    </w:p>
  </w:footnote>
  <w:footnote w:id="99">
    <w:p w14:paraId="603D2EB2" w14:textId="560A1D14" w:rsidR="00AB27A5" w:rsidRDefault="00AB27A5" w:rsidP="00ED61AA">
      <w:pPr>
        <w:pStyle w:val="FootnoteText"/>
      </w:pPr>
      <w:r w:rsidRPr="00D05B51">
        <w:rPr>
          <w:rStyle w:val="FootnoteReference"/>
        </w:rPr>
        <w:footnoteRef/>
      </w:r>
      <w:r>
        <w:t xml:space="preserve"> </w:t>
      </w:r>
      <w:r>
        <w:fldChar w:fldCharType="begin" w:fldLock="1"/>
      </w:r>
      <w:r>
        <w:instrText>ADDIN CSL_CITATION {"citationItems":[{"id":"ITEM-1","itemData":{"URL":"http://mississippirenewal.com/info/dayJan-11-06.html","accessed":{"date-parts":[["2018","12","4"]]},"author":[{"dropping-particle":"","family":"Brown","given":"Ben","non-dropping-particle":"","parse-names":false,"suffix":""}],"id":"ITEM-1","issued":{"date-parts":[["2006"]]},"publisher":"Mississippi Renewal Forum","title":"Katrina Cottage Unveiled: Affordable cottage a hit at builders' show","type":"webpage"},"uris":["http://www.mendeley.com/documents/?uuid=9ef8f3f8-dc71-3f52-9243-5dee07126674"]}],"mendeley":{"formattedCitation":"Ben Brown, “Katrina Cottage Unveiled: Affordable Cottage a Hit at Builders’ Show” (Mississippi Renewal Forum, 2006), http://mississippirenewal.com/info/dayJan-11-06.html.","plainTextFormattedCitation":"Ben Brown, “Katrina Cottage Unveiled: Affordable Cottage a Hit at Builders’ Show” (Mississippi Renewal Forum, 2006), http://mississippirenewal.com/info/dayJan-11-06.html.","previouslyFormattedCitation":"Ben Brown, “Katrina Cottage Unveiled: Affordable Cottage a Hit at Builders’ Show” (Mississippi Renewal Forum, 2006), http://mississippirenewal.com/info/dayJan-11-06.html."},"properties":{"noteIndex":98},"schema":"https://github.com/citation-style-language/schema/raw/master/csl-citation.json"}</w:instrText>
      </w:r>
      <w:r>
        <w:fldChar w:fldCharType="separate"/>
      </w:r>
      <w:r w:rsidRPr="00526A88">
        <w:rPr>
          <w:noProof/>
        </w:rPr>
        <w:t>Ben Brown, “Katrina Cottage Unveiled: Affordable Cottage a Hit at Builders’ Show” (Mississippi Renewal Forum, 2006), http://mississippirenewal.com/info/dayJan-11-06.html.</w:t>
      </w:r>
      <w:r>
        <w:fldChar w:fldCharType="end"/>
      </w:r>
    </w:p>
  </w:footnote>
  <w:footnote w:id="100">
    <w:p w14:paraId="26355289" w14:textId="74AAC9B4" w:rsidR="00AB27A5" w:rsidRDefault="00AB27A5" w:rsidP="00ED61AA">
      <w:pPr>
        <w:pStyle w:val="FootnoteText"/>
      </w:pPr>
      <w:r w:rsidRPr="00D05B51">
        <w:rPr>
          <w:rStyle w:val="FootnoteReference"/>
        </w:rPr>
        <w:footnoteRef/>
      </w:r>
      <w:r>
        <w:t xml:space="preserve"> </w:t>
      </w:r>
      <w:r>
        <w:fldChar w:fldCharType="begin" w:fldLock="1"/>
      </w:r>
      <w:r>
        <w:instrText>ADDIN CSL_CITATION {"citationItems":[{"id":"ITEM-1","itemData":{"URL":"http://www.originalgreen.org/blog/2015/what-was-gained-in-the.html","accessed":{"date-parts":[["2018","12","5"]]},"author":[{"dropping-particle":"","family":"Mouzon","given":"Steve","non-dropping-particle":"","parse-names":false,"suffix":""}],"container-title":"Original Green","id":"ITEM-1","issued":{"date-parts":[["2015"]]},"title":"What Was Gained in the Katrina Cottage Loss?","type":"webpage"},"uris":["http://www.mendeley.com/documents/?uuid=3036062b-ca32-3691-8975-4943f15a3d84"]}],"mendeley":{"formattedCitation":"Steve Mouzon, “What Was Gained in the Katrina Cottage Loss?,” Original Green, 2015, http://www.originalgreen.org/blog/2015/what-was-gained-in-the.html.","plainTextFormattedCitation":"Steve Mouzon, “What Was Gained in the Katrina Cottage Loss?,” Original Green, 2015, http://www.originalgreen.org/blog/2015/what-was-gained-in-the.html.","previouslyFormattedCitation":"Steve Mouzon, “What Was Gained in the Katrina Cottage Loss?,” Original Green, 2015, http://www.originalgreen.org/blog/2015/what-was-gained-in-the.html."},"properties":{"noteIndex":99},"schema":"https://github.com/citation-style-language/schema/raw/master/csl-citation.json"}</w:instrText>
      </w:r>
      <w:r>
        <w:fldChar w:fldCharType="separate"/>
      </w:r>
      <w:r w:rsidRPr="001B65D1">
        <w:rPr>
          <w:noProof/>
        </w:rPr>
        <w:t>Steve Mouzon, “What Was Gained in the Katrina Cottage Loss?,” Original Green, 2015, http://www.originalgreen.org/blog/2015/what-was-gained-in-the.html.</w:t>
      </w:r>
      <w:r>
        <w:fldChar w:fldCharType="end"/>
      </w:r>
    </w:p>
  </w:footnote>
  <w:footnote w:id="101">
    <w:p w14:paraId="66AC0C83" w14:textId="6A952D9F" w:rsidR="00AB27A5" w:rsidRDefault="00AB27A5" w:rsidP="00ED61AA">
      <w:pPr>
        <w:pStyle w:val="FootnoteText"/>
      </w:pPr>
      <w:r w:rsidRPr="00D05B51">
        <w:rPr>
          <w:rStyle w:val="FootnoteReference"/>
        </w:rPr>
        <w:footnoteRef/>
      </w:r>
      <w:r>
        <w:t xml:space="preserve"> </w:t>
      </w:r>
      <w:r>
        <w:fldChar w:fldCharType="begin" w:fldLock="1"/>
      </w:r>
      <w:r>
        <w:instrText>ADDIN CSL_CITATION {"citationItems":[{"id":"ITEM-1","itemData":{"author":[{"dropping-particle":"","family":"Mouzon","given":"Steve","non-dropping-particle":"","parse-names":false,"suffix":""}],"id":"ITEM-1","issued":{"date-parts":[["2010"]]},"number-of-pages":"280","publisher":"New Urban Guild Foundation","title":"The Original Green (Unlocking the Mystery of True Sustainability)","type":"book"},"label":"chapter","locator":"2","uris":["http://www.mendeley.com/documents/?uuid=1ae11b30-38f9-4fd7-9239-4bc64bb65591"]}],"mendeley":{"formattedCitation":"Steve Mouzon, &lt;i&gt;The Original Green (Unlocking the Mystery of True Sustainability)&lt;/i&gt; (New Urban Guild Foundation, 2010), chap. 2.","plainTextFormattedCitation":"Steve Mouzon, The Original Green (Unlocking the Mystery of True Sustainability) (New Urban Guild Foundation, 2010), chap. 2.","previouslyFormattedCitation":"Steve Mouzon, &lt;i&gt;The Original Green (Unlocking the Mystery of True Sustainability)&lt;/i&gt; (New Urban Guild Foundation, 2010), chap. 2."},"properties":{"noteIndex":100},"schema":"https://github.com/citation-style-language/schema/raw/master/csl-citation.json"}</w:instrText>
      </w:r>
      <w:r>
        <w:fldChar w:fldCharType="separate"/>
      </w:r>
      <w:r w:rsidRPr="00396AA4">
        <w:rPr>
          <w:noProof/>
        </w:rPr>
        <w:t xml:space="preserve">Steve Mouzon, </w:t>
      </w:r>
      <w:r w:rsidRPr="00396AA4">
        <w:rPr>
          <w:i/>
          <w:noProof/>
        </w:rPr>
        <w:t>The Original Green (Unlocking the Mystery of True Sustainability)</w:t>
      </w:r>
      <w:r w:rsidRPr="00396AA4">
        <w:rPr>
          <w:noProof/>
        </w:rPr>
        <w:t xml:space="preserve"> (New Urban Guild Foundation, 2010), chap. 2.</w:t>
      </w:r>
      <w:r>
        <w:fldChar w:fldCharType="end"/>
      </w:r>
    </w:p>
  </w:footnote>
  <w:footnote w:id="102">
    <w:p w14:paraId="7168E703" w14:textId="1A4CA1E2" w:rsidR="00AB27A5" w:rsidRDefault="00AB27A5" w:rsidP="00ED61AA">
      <w:pPr>
        <w:pStyle w:val="FootnoteText"/>
      </w:pPr>
      <w:r w:rsidRPr="00D05B51">
        <w:rPr>
          <w:rStyle w:val="FootnoteReference"/>
        </w:rPr>
        <w:footnoteRef/>
      </w:r>
      <w:r>
        <w:t xml:space="preserve"> </w:t>
      </w:r>
      <w:r>
        <w:fldChar w:fldCharType="begin" w:fldLock="1"/>
      </w:r>
      <w:r>
        <w:instrText>ADDIN CSL_CITATION {"citationItems":[{"id":"ITEM-1","itemData":{"URL":"http://www.originalgreen.org/blog/2015/what-was-gained-in-the.html","accessed":{"date-parts":[["2018","12","5"]]},"author":[{"dropping-particle":"","family":"Mouzon","given":"Steve","non-dropping-particle":"","parse-names":false,"suffix":""}],"container-title":"Original Green","id":"ITEM-1","issued":{"date-parts":[["2015"]]},"title":"What Was Gained in the Katrina Cottage Loss?","type":"webpage"},"uris":["http://www.mendeley.com/documents/?uuid=3036062b-ca32-3691-8975-4943f15a3d84"]}],"mendeley":{"formattedCitation":"Mouzon, “What Was Gained in the Katrina Cottage Loss?”","plainTextFormattedCitation":"Mouzon, “What Was Gained in the Katrina Cottage Loss?”","previouslyFormattedCitation":"Mouzon, “What Was Gained in the Katrina Cottage Loss?”"},"properties":{"noteIndex":101},"schema":"https://github.com/citation-style-language/schema/raw/master/csl-citation.json"}</w:instrText>
      </w:r>
      <w:r>
        <w:fldChar w:fldCharType="separate"/>
      </w:r>
      <w:r w:rsidRPr="003A6CA6">
        <w:rPr>
          <w:noProof/>
        </w:rPr>
        <w:t>Mouzon, “What Was Gained in the Katrina Cottage Loss?”</w:t>
      </w:r>
      <w:r>
        <w:fldChar w:fldCharType="end"/>
      </w:r>
    </w:p>
  </w:footnote>
  <w:footnote w:id="103">
    <w:p w14:paraId="60734DBB" w14:textId="08ADA1DD" w:rsidR="00AB27A5" w:rsidRDefault="00AB27A5" w:rsidP="00ED61AA">
      <w:pPr>
        <w:pStyle w:val="FootnoteText"/>
      </w:pPr>
      <w:r w:rsidRPr="00D05B51">
        <w:rPr>
          <w:rStyle w:val="FootnoteReference"/>
        </w:rPr>
        <w:footnoteRef/>
      </w:r>
      <w:r>
        <w:t xml:space="preserve"> </w:t>
      </w:r>
      <w:r>
        <w:fldChar w:fldCharType="begin" w:fldLock="1"/>
      </w:r>
      <w:r>
        <w:instrText>ADDIN CSL_CITATION {"citationItems":[{"id":"ITEM-1","itemData":{"URL":"http://www.studiosky.co/ideals/","accessed":{"date-parts":[["2018","12","5"]]},"author":[{"dropping-particle":"","family":"studioSky","given":"","non-dropping-particle":"","parse-names":false,"suffix":""}],"id":"ITEM-1","issued":{"date-parts":[["0"]]},"title":"Ideals","type":"webpage"},"uris":["http://www.mendeley.com/documents/?uuid=33482922-691b-3bec-a1b9-6529de584a29"]}],"mendeley":{"formattedCitation":"studioSky, “Ideals,” accessed December 5, 2018, http://www.studiosky.co/ideals/.","plainTextFormattedCitation":"studioSky, “Ideals,” accessed December 5, 2018, http://www.studiosky.co/ideals/.","previouslyFormattedCitation":"studioSky, “Ideals,” accessed December 5, 2018, http://www.studiosky.co/ideals/."},"properties":{"noteIndex":102},"schema":"https://github.com/citation-style-language/schema/raw/master/csl-citation.json"}</w:instrText>
      </w:r>
      <w:r>
        <w:fldChar w:fldCharType="separate"/>
      </w:r>
      <w:r w:rsidRPr="001B65D1">
        <w:rPr>
          <w:noProof/>
        </w:rPr>
        <w:t>studioSky, “Ideals,” accessed December 5, 2018, http://www.studiosky.co/ideals/.</w:t>
      </w:r>
      <w:r>
        <w:fldChar w:fldCharType="end"/>
      </w:r>
    </w:p>
  </w:footnote>
  <w:footnote w:id="104">
    <w:p w14:paraId="3CFADD65" w14:textId="03E281DD" w:rsidR="00AB27A5" w:rsidRDefault="00AB27A5" w:rsidP="00976867">
      <w:pPr>
        <w:pStyle w:val="FootnoteText"/>
      </w:pPr>
      <w:r w:rsidRPr="00D05B51">
        <w:rPr>
          <w:rStyle w:val="FootnoteReference"/>
        </w:rPr>
        <w:footnoteRef/>
      </w:r>
      <w:r>
        <w:t xml:space="preserve"> </w:t>
      </w:r>
      <w:r>
        <w:fldChar w:fldCharType="begin" w:fldLock="1"/>
      </w:r>
      <w:r>
        <w:instrText>ADDIN CSL_CITATION {"citationItems":[{"id":"ITEM-1","itemData":{"URL":"http://makeitright.org/where-we-work/new-orleans/","accessed":{"date-parts":[["2018","12","4"]]},"author":[{"dropping-particle":"","family":"Make It Right","given":"","non-dropping-particle":"","parse-names":false,"suffix":""}],"id":"ITEM-1","issued":{"date-parts":[["0"]]},"title":"Where We Work","type":"webpage"},"uris":["http://www.mendeley.com/documents/?uuid=f79fe73a-90e6-3b2e-add1-8504cd3fe960"]}],"mendeley":{"formattedCitation":"Make It Right, “Where We Work,” accessed December 4, 2018, http://makeitright.org/where-we-work/new-orleans/.","plainTextFormattedCitation":"Make It Right, “Where We Work,” accessed December 4, 2018, http://makeitright.org/where-we-work/new-orleans/.","previouslyFormattedCitation":"Make It Right, “Where We Work,” accessed December 4, 2018, http://makeitright.org/where-we-work/new-orleans/."},"properties":{"noteIndex":103},"schema":"https://github.com/citation-style-language/schema/raw/master/csl-citation.json"}</w:instrText>
      </w:r>
      <w:r>
        <w:fldChar w:fldCharType="separate"/>
      </w:r>
      <w:r w:rsidRPr="001B65D1">
        <w:rPr>
          <w:noProof/>
        </w:rPr>
        <w:t>Make It Right, “Where We Work,” accessed December 4, 2018, http://makeitright.org/where-we-work/new-orleans/.</w:t>
      </w:r>
      <w:r>
        <w:fldChar w:fldCharType="end"/>
      </w:r>
    </w:p>
  </w:footnote>
  <w:footnote w:id="105">
    <w:p w14:paraId="7F0C51E4" w14:textId="57A40A8D" w:rsidR="00AB27A5" w:rsidRDefault="00AB27A5" w:rsidP="00976867">
      <w:pPr>
        <w:pStyle w:val="FootnoteText"/>
      </w:pPr>
      <w:r w:rsidRPr="00D05B51">
        <w:rPr>
          <w:rStyle w:val="FootnoteReference"/>
        </w:rPr>
        <w:footnoteRef/>
      </w:r>
      <w:r>
        <w:t xml:space="preserve"> </w:t>
      </w:r>
      <w:r>
        <w:fldChar w:fldCharType="begin" w:fldLock="1"/>
      </w:r>
      <w:r>
        <w:instrText>ADDIN CSL_CITATION {"citationItems":[{"id":"ITEM-1","itemData":{"URL":"http://makeitright.org/about/faq/#q4","accessed":{"date-parts":[["2018","12","4"]]},"author":[{"dropping-particle":"","family":"Make It Right","given":"","non-dropping-particle":"","parse-names":false,"suffix":""}],"id":"ITEM-1","issued":{"date-parts":[["0"]]},"title":"Frequently Asked Questions","type":"webpage"},"uris":["http://www.mendeley.com/documents/?uuid=8d9af3cc-7e70-307f-884f-5325507ffa86"]}],"mendeley":{"formattedCitation":"Make It Right, “Frequently Asked Questions,” accessed December 4, 2018, http://makeitright.org/about/faq/#q4.","plainTextFormattedCitation":"Make It Right, “Frequently Asked Questions,” accessed December 4, 2018, http://makeitright.org/about/faq/#q4.","previouslyFormattedCitation":"Make It Right, “Frequently Asked Questions,” accessed December 4, 2018, http://makeitright.org/about/faq/#q4."},"properties":{"noteIndex":104},"schema":"https://github.com/citation-style-language/schema/raw/master/csl-citation.json"}</w:instrText>
      </w:r>
      <w:r>
        <w:fldChar w:fldCharType="separate"/>
      </w:r>
      <w:r w:rsidRPr="001B65D1">
        <w:rPr>
          <w:noProof/>
        </w:rPr>
        <w:t>Make It Right, “Frequently Asked Questions,” accessed December 4, 2018, http://makeitright.org/about/faq/#q4.</w:t>
      </w:r>
      <w:r>
        <w:fldChar w:fldCharType="end"/>
      </w:r>
    </w:p>
  </w:footnote>
  <w:footnote w:id="106">
    <w:p w14:paraId="5B384AAA" w14:textId="0DD37269" w:rsidR="00AB27A5" w:rsidRDefault="00AB27A5" w:rsidP="00ED61AA">
      <w:pPr>
        <w:pStyle w:val="FootnoteText"/>
      </w:pPr>
      <w:r w:rsidRPr="00D05B51">
        <w:rPr>
          <w:rStyle w:val="FootnoteReference"/>
        </w:rPr>
        <w:footnoteRef/>
      </w:r>
      <w:r>
        <w:t xml:space="preserve"> </w:t>
      </w:r>
      <w:r>
        <w:fldChar w:fldCharType="begin" w:fldLock="1"/>
      </w:r>
      <w:r>
        <w:instrText>ADDIN CSL_CITATION {"citationItems":[{"id":"ITEM-1","itemData":{"URL":"http://makeitright.org/about/","accessed":{"date-parts":[["2018","12","4"]]},"author":[{"dropping-particle":"","family":"Make It Right","given":"","non-dropping-particle":"","parse-names":false,"suffix":""}],"id":"ITEM-1","issued":{"date-parts":[["0"]]},"title":"About","type":"webpage"},"uris":["http://www.mendeley.com/documents/?uuid=4d841781-5c5c-3d39-852d-c7a7c8a9f50a"]}],"mendeley":{"formattedCitation":"Make It Right, “About,” accessed December 4, 2018, http://makeitright.org/about/.","plainTextFormattedCitation":"Make It Right, “About,” accessed December 4, 2018, http://makeitright.org/about/.","previouslyFormattedCitation":"Make It Right, “About,” accessed December 4, 2018, http://makeitright.org/about/."},"properties":{"noteIndex":105},"schema":"https://github.com/citation-style-language/schema/raw/master/csl-citation.json"}</w:instrText>
      </w:r>
      <w:r>
        <w:fldChar w:fldCharType="separate"/>
      </w:r>
      <w:r w:rsidRPr="001B65D1">
        <w:rPr>
          <w:noProof/>
        </w:rPr>
        <w:t>Make It Right, “About,” accessed December 4, 2018, http://makeitright.org/about/.</w:t>
      </w:r>
      <w:r>
        <w:fldChar w:fldCharType="end"/>
      </w:r>
    </w:p>
  </w:footnote>
  <w:footnote w:id="107">
    <w:p w14:paraId="1995420A" w14:textId="6D5BB9CD" w:rsidR="00AB27A5" w:rsidRDefault="00AB27A5" w:rsidP="00ED61AA">
      <w:pPr>
        <w:pStyle w:val="FootnoteText"/>
      </w:pPr>
      <w:r w:rsidRPr="00D05B51">
        <w:rPr>
          <w:rStyle w:val="FootnoteReference"/>
        </w:rPr>
        <w:footnoteRef/>
      </w:r>
      <w:r>
        <w:t xml:space="preserve"> Cradle-to-cradle is a life cycle approach to design created by Michael Braungart and William McDonough which creates a closed-loop system with the goal of eliminating all waste through reuse and recycling.</w:t>
      </w:r>
    </w:p>
  </w:footnote>
  <w:footnote w:id="108">
    <w:p w14:paraId="0E132ACA" w14:textId="1992CE1D" w:rsidR="00AB27A5" w:rsidRDefault="00AB27A5" w:rsidP="00ED61AA">
      <w:pPr>
        <w:pStyle w:val="FootnoteText"/>
      </w:pPr>
      <w:r w:rsidRPr="00D05B51">
        <w:rPr>
          <w:rStyle w:val="FootnoteReference"/>
        </w:rPr>
        <w:footnoteRef/>
      </w:r>
      <w:r>
        <w:t xml:space="preserve"> </w:t>
      </w:r>
      <w:r>
        <w:fldChar w:fldCharType="begin" w:fldLock="1"/>
      </w:r>
      <w:r>
        <w:instrText>ADDIN CSL_CITATION {"citationItems":[{"id":"ITEM-1","itemData":{"URL":"http://makeitright.org/c2c/","accessed":{"date-parts":[["2018","12","4"]]},"author":[{"dropping-particle":"","family":"Make It Right","given":"","non-dropping-particle":"","parse-names":false,"suffix":""}],"id":"ITEM-1","issued":{"date-parts":[["0"]]},"title":"Cradle to Cradle","type":"webpage"},"uris":["http://www.mendeley.com/documents/?uuid=56e6aa0c-1bcd-3c22-9d16-0f2a4bd0e75e"]}],"mendeley":{"formattedCitation":"Make It Right, “Cradle to Cradle,” accessed December 4, 2018, http://makeitright.org/c2c/.","plainTextFormattedCitation":"Make It Right, “Cradle to Cradle,” accessed December 4, 2018, http://makeitright.org/c2c/.","previouslyFormattedCitation":"Make It Right, “Cradle to Cradle,” accessed December 4, 2018, http://makeitright.org/c2c/."},"properties":{"noteIndex":107},"schema":"https://github.com/citation-style-language/schema/raw/master/csl-citation.json"}</w:instrText>
      </w:r>
      <w:r>
        <w:fldChar w:fldCharType="separate"/>
      </w:r>
      <w:r w:rsidRPr="001B65D1">
        <w:rPr>
          <w:noProof/>
        </w:rPr>
        <w:t>Make It Right, “Cradle to Cradle,” accessed December 4, 2018, http://makeitright.org/c2c/.</w:t>
      </w:r>
      <w:r>
        <w:fldChar w:fldCharType="end"/>
      </w:r>
    </w:p>
  </w:footnote>
  <w:footnote w:id="109">
    <w:p w14:paraId="105D40DB" w14:textId="0A951F55" w:rsidR="00AB27A5" w:rsidRDefault="00AB27A5" w:rsidP="00ED61AA">
      <w:pPr>
        <w:pStyle w:val="FootnoteText"/>
      </w:pPr>
      <w:r w:rsidRPr="00D05B51">
        <w:rPr>
          <w:rStyle w:val="FootnoteReference"/>
        </w:rPr>
        <w:footnoteRef/>
      </w:r>
      <w:r>
        <w:t xml:space="preserve"> </w:t>
      </w:r>
      <w:r>
        <w:fldChar w:fldCharType="begin" w:fldLock="1"/>
      </w:r>
      <w:r>
        <w:instrText>ADDIN CSL_CITATION {"citationItems":[{"id":"ITEM-1","itemData":{"URL":"http://blueberrypdx.com/leed-certification.htm","accessed":{"date-parts":[["2018","12","6"]]},"author":[{"dropping-particle":"","family":"Village Green Homes","given":"","non-dropping-particle":"","parse-names":false,"suffix":""}],"id":"ITEM-1","issued":{"date-parts":[["0"]]},"title":"LEED Platinum Certification Categories and Point System Explained","type":"webpage"},"uris":["http://www.mendeley.com/documents/?uuid=6c77f0a6-7726-389f-9503-e7898cbb6cde"]}],"mendeley":{"formattedCitation":"Village Green Homes, “LEED Platinum Certification Categories and Point System Explained,” accessed December 6, 2018, http://blueberrypdx.com/leed-certification.htm.","plainTextFormattedCitation":"Village Green Homes, “LEED Platinum Certification Categories and Point System Explained,” accessed December 6, 2018, http://blueberrypdx.com/leed-certification.htm.","previouslyFormattedCitation":"Village Green Homes, “LEED Platinum Certification Categories and Point System Explained,” accessed December 6, 2018, http://blueberrypdx.com/leed-certification.htm."},"properties":{"noteIndex":108},"schema":"https://github.com/citation-style-language/schema/raw/master/csl-citation.json"}</w:instrText>
      </w:r>
      <w:r>
        <w:fldChar w:fldCharType="separate"/>
      </w:r>
      <w:r w:rsidRPr="00EC2419">
        <w:rPr>
          <w:noProof/>
        </w:rPr>
        <w:t>Village Green Homes, “LEED Platinum Certification Categories and Point System Explained,” accessed December 6, 2018, http://blueberrypdx.com/leed-certification.htm.</w:t>
      </w:r>
      <w:r>
        <w:fldChar w:fldCharType="end"/>
      </w:r>
    </w:p>
  </w:footnote>
  <w:footnote w:id="110">
    <w:p w14:paraId="2DFFA782" w14:textId="40CAAD97" w:rsidR="00AB27A5" w:rsidRDefault="00AB27A5" w:rsidP="00846979">
      <w:pPr>
        <w:pStyle w:val="FootnoteText"/>
      </w:pPr>
      <w:r w:rsidRPr="00D05B51">
        <w:rPr>
          <w:rStyle w:val="FootnoteReference"/>
        </w:rPr>
        <w:footnoteRef/>
      </w:r>
      <w:r>
        <w:t xml:space="preserve"> </w:t>
      </w:r>
      <w:r>
        <w:fldChar w:fldCharType="begin" w:fldLock="1"/>
      </w:r>
      <w:r>
        <w:instrText>ADDIN CSL_CITATION {"citationItems":[{"id":"ITEM-1","itemData":{"URL":"https://www.theadvocate.com/new_orleans/news/article_258e70e8-b5e4-11e8-95d0-030296bbc61f.html","accessed":{"date-parts":[["2019","1","17"]]},"author":[{"dropping-particle":"","family":"Reckdahl","given":"Katy","non-dropping-particle":"","parse-names":false,"suffix":""}],"id":"ITEM-1","issued":{"date-parts":[["2018"]]},"publisher":"The Advocate","title":"Closer look at 'Make it Right' homes at center of lawsuit against Brad Pitt foundation","type":"webpage"},"uris":["http://www.mendeley.com/documents/?uuid=26cc7b89-c8fb-397d-bf92-8151be9a8552"]}],"mendeley":{"formattedCitation":"Katy Reckdahl, “Closer Look at ‘Make It Right’ Homes at Center of Lawsuit against Brad Pitt Foundation” (The Advocate, 2018), https://www.theadvocate.com/new_orleans/news/article_258e70e8-b5e4-11e8-95d0-030296bbc61f.html.","plainTextFormattedCitation":"Katy Reckdahl, “Closer Look at ‘Make It Right’ Homes at Center of Lawsuit against Brad Pitt Foundation” (The Advocate, 2018), https://www.theadvocate.com/new_orleans/news/article_258e70e8-b5e4-11e8-95d0-030296bbc61f.html.","previouslyFormattedCitation":"Katy Reckdahl, “Closer Look at ‘Make It Right’ Homes at Center of Lawsuit against Brad Pitt Foundation” (The Advocate, 2018), https://www.theadvocate.com/new_orleans/news/article_258e70e8-b5e4-11e8-95d0-030296bbc61f.html."},"properties":{"noteIndex":109},"schema":"https://github.com/citation-style-language/schema/raw/master/csl-citation.json"}</w:instrText>
      </w:r>
      <w:r>
        <w:fldChar w:fldCharType="separate"/>
      </w:r>
      <w:r w:rsidRPr="004322EE">
        <w:rPr>
          <w:noProof/>
        </w:rPr>
        <w:t>Katy Reckdahl, “Closer Look at ‘Make It Right’ Homes at Center of Lawsuit against Brad Pitt Foundation” (The Advocate, 2018), https://www.theadvocate.com/new_orleans/news/article_258e70e8-b5e4-11e8-95d0-030296bbc61f.html.</w:t>
      </w:r>
      <w:r>
        <w:fldChar w:fldCharType="end"/>
      </w:r>
    </w:p>
  </w:footnote>
  <w:footnote w:id="111">
    <w:p w14:paraId="323A9B3D" w14:textId="045CC530" w:rsidR="00AB27A5" w:rsidRDefault="00AB27A5" w:rsidP="00672152">
      <w:pPr>
        <w:pStyle w:val="FootnoteText"/>
      </w:pPr>
      <w:r w:rsidRPr="00D05B51">
        <w:rPr>
          <w:rStyle w:val="FootnoteReference"/>
        </w:rPr>
        <w:footnoteRef/>
      </w:r>
      <w:r>
        <w:t xml:space="preserve"> </w:t>
      </w:r>
      <w:r>
        <w:fldChar w:fldCharType="begin" w:fldLock="1"/>
      </w:r>
      <w:r>
        <w:instrText>ADDIN CSL_CITATION {"citationItems":[{"id":"ITEM-1","itemData":{"abstract":"We Combine The Best Properties Of Wood: paintable/stainable, strength, beautiful look and feel, easy to cut and machine, and cool to the touch. structural stability, extra strong non-corrosive fastener hold, effective carbon sequestering, up to 50% stronger, twice as hard, lower maintenance, sustainable, multiple life cycles. Our revolutionary chemistry and proprietary process transforms wood-inside and out-into a super-GlassWood product that is great for the environment, a great value for the consumer, durable, sustainable, and helps fight global warming.","author":[{"dropping-particle":"","family":"TimberSIL Products","given":"","non-dropping-particle":"","parse-names":false,"suffix":""}],"id":"ITEM-1","issued":{"date-parts":[["2011"]]},"title":"TimberSIL GlassWood Fusion Products","type":"report"},"locator":"1","uris":["http://www.mendeley.com/documents/?uuid=14506da4-9ca9-3833-a176-cb68e5c2f4bc"]}],"mendeley":{"formattedCitation":"TimberSIL Products, “TimberSIL GlassWood Fusion Products,” 2011, 1, www.timbersilwood.com.","plainTextFormattedCitation":"TimberSIL Products, “TimberSIL GlassWood Fusion Products,” 2011, 1, www.timbersilwood.com.","previouslyFormattedCitation":"TimberSIL Products, “TimberSIL GlassWood Fusion Products,” 2011, 1, www.timbersilwood.com."},"properties":{"noteIndex":110},"schema":"https://github.com/citation-style-language/schema/raw/master/csl-citation.json"}</w:instrText>
      </w:r>
      <w:r>
        <w:fldChar w:fldCharType="separate"/>
      </w:r>
      <w:r w:rsidRPr="00CC11F5">
        <w:rPr>
          <w:noProof/>
        </w:rPr>
        <w:t>TimberSIL Products, “TimberSIL GlassWood Fusion Products,” 2011, 1, www.timbersilwood.com.</w:t>
      </w:r>
      <w:r>
        <w:fldChar w:fldCharType="end"/>
      </w:r>
    </w:p>
  </w:footnote>
  <w:footnote w:id="112">
    <w:p w14:paraId="7890028B" w14:textId="4CEAA6DB"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mnn.com/your-home/remodeling-design/blogs/nontoxic-treated-wood-used-in-make-it-right-homes-starts-to-rot","accessed":{"date-parts":[["2019","2","2"]]},"author":[{"dropping-particle":"","family":"Hickman","given":"Matt","non-dropping-particle":"","parse-names":false,"suffix":""}],"container-title":"Mother Nature Network","id":"ITEM-1","issued":{"date-parts":[["2014"]]},"publisher":"The Advocate","title":"Nontoxic treated wood used in Make It Right homes starts to rot","type":"webpage"},"uris":["http://www.mendeley.com/documents/?uuid=4989b709-eafd-38e0-b6aa-8ffbe0455edb"]}],"mendeley":{"formattedCitation":"Matt Hickman, “Nontoxic Treated Wood Used in Make It Right Homes Starts to Rot,” Mother Nature Network (The Advocate, 2014), https://www.mnn.com/your-home/remodeling-design/blogs/nontoxic-treated-wood-used-in-make-it-right-homes-starts-to-rot.","plainTextFormattedCitation":"Matt Hickman, “Nontoxic Treated Wood Used in Make It Right Homes Starts to Rot,” Mother Nature Network (The Advocate, 2014), https://www.mnn.com/your-home/remodeling-design/blogs/nontoxic-treated-wood-used-in-make-it-right-homes-starts-to-rot.","previouslyFormattedCitation":"Matt Hickman, “Nontoxic Treated Wood Used in Make It Right Homes Starts to Rot,” Mother Nature Network (The Advocate, 2014), https://www.mnn.com/your-home/remodeling-design/blogs/nontoxic-treated-wood-used-in-make-it-right-homes-starts-to-rot."},"properties":{"noteIndex":111},"schema":"https://github.com/citation-style-language/schema/raw/master/csl-citation.json"}</w:instrText>
      </w:r>
      <w:r>
        <w:fldChar w:fldCharType="separate"/>
      </w:r>
      <w:r w:rsidRPr="005A483B">
        <w:rPr>
          <w:noProof/>
        </w:rPr>
        <w:t>Matt Hickman, “Nontoxic Treated Wood Used in Make It Right Homes Starts to Rot,” Mother Nature Network (The Advocate, 2014), https://www.mnn.com/your-home/remodeling-design/blogs/nontoxic-treated-wood-used-in-make-it-right-homes-starts-to-rot.</w:t>
      </w:r>
      <w:r>
        <w:fldChar w:fldCharType="end"/>
      </w:r>
    </w:p>
  </w:footnote>
  <w:footnote w:id="113">
    <w:p w14:paraId="122F1C9E" w14:textId="4F4798AD" w:rsidR="00AB27A5" w:rsidRDefault="00AB27A5" w:rsidP="002019BD">
      <w:pPr>
        <w:pStyle w:val="FootnoteText"/>
      </w:pPr>
      <w:r w:rsidRPr="00D05B51">
        <w:rPr>
          <w:rStyle w:val="FootnoteReference"/>
        </w:rPr>
        <w:footnoteRef/>
      </w:r>
      <w:r>
        <w:t xml:space="preserve"> </w:t>
      </w:r>
      <w:r>
        <w:fldChar w:fldCharType="begin" w:fldLock="1"/>
      </w:r>
      <w:r>
        <w:instrText>ADDIN CSL_CITATION {"citationItems":[{"id":"ITEM-1","itemData":{"URL":"https://www.insurancejournal.com/news/southcentral/2018/08/31/499921.htm","accessed":{"date-parts":[["2019","1","17"]]},"author":[{"dropping-particle":"","family":"Insurance Journal","given":"","non-dropping-particle":"","parse-names":false,"suffix":""}],"id":"ITEM-1","issued":{"date-parts":[["2018"]]},"title":"Lawsuit Planned Against Brad Pitt Foundation over New Orleans Homes","type":"webpage"},"uris":["http://www.mendeley.com/documents/?uuid=9dc5010d-fb51-3b43-801f-1aa9fc2ef17b"]}],"mendeley":{"formattedCitation":"Insurance Journal, “Lawsuit Planned Against Brad Pitt Foundation over New Orleans Homes,” 2018, https://www.insurancejournal.com/news/southcentral/2018/08/31/499921.htm.","plainTextFormattedCitation":"Insurance Journal, “Lawsuit Planned Against Brad Pitt Foundation over New Orleans Homes,” 2018, https://www.insurancejournal.com/news/southcentral/2018/08/31/499921.htm.","previouslyFormattedCitation":"Insurance Journal, “Lawsuit Planned Against Brad Pitt Foundation over New Orleans Homes,” 2018, https://www.insurancejournal.com/news/southcentral/2018/08/31/499921.htm."},"properties":{"noteIndex":112},"schema":"https://github.com/citation-style-language/schema/raw/master/csl-citation.json"}</w:instrText>
      </w:r>
      <w:r>
        <w:fldChar w:fldCharType="separate"/>
      </w:r>
      <w:r w:rsidRPr="00D71B62">
        <w:rPr>
          <w:noProof/>
        </w:rPr>
        <w:t>Insurance Journal, “Lawsuit Planned Against Brad Pitt Foundation over New Orleans Homes,” 2018, https://www.insurancejournal.com/news/southcentral/2018/08/31/499921.htm.</w:t>
      </w:r>
      <w:r>
        <w:fldChar w:fldCharType="end"/>
      </w:r>
    </w:p>
  </w:footnote>
  <w:footnote w:id="114">
    <w:p w14:paraId="743F41A6" w14:textId="30E37D9A" w:rsidR="00AB27A5" w:rsidRDefault="00AB27A5" w:rsidP="00CB2DCD">
      <w:pPr>
        <w:pStyle w:val="FootnoteText"/>
      </w:pPr>
      <w:r w:rsidRPr="00D05B51">
        <w:rPr>
          <w:rStyle w:val="FootnoteReference"/>
        </w:rPr>
        <w:footnoteRef/>
      </w:r>
      <w:r>
        <w:t xml:space="preserve"> </w:t>
      </w:r>
      <w:r>
        <w:fldChar w:fldCharType="begin" w:fldLock="1"/>
      </w:r>
      <w:r>
        <w:instrText>ADDIN CSL_CITATION {"citationItems":[{"id":"ITEM-1","itemData":{"URL":"https://www.news.com.au/lifestyle/home/outdoors/brad-pitt-slammed-over-rotting-homes-in-new-orleans/news-story/32a9a48316951567479c10cf25737f8e","accessed":{"date-parts":[["2019","1","17"]]},"author":[{"dropping-particle":"","family":"White","given":"Chris","non-dropping-particle":"","parse-names":false,"suffix":""}],"id":"ITEM-1","issued":{"date-parts":[["2018"]]},"publisher":"News.com.au","title":"Brad Pitt’s Hurricane Katrina homes in Louisiana are falling apart","type":"webpage"},"uris":["http://www.mendeley.com/documents/?uuid=ea86e3e4-b627-388e-8a9b-5c677e1a576f"]}],"mendeley":{"formattedCitation":"Chris White, “Brad Pitt’s Hurricane Katrina Homes in Louisiana Are Falling Apart” (News.com.au, 2018), https://www.news.com.au/lifestyle/home/outdoors/brad-pitt-slammed-over-rotting-homes-in-new-orleans/news-story/32a9a48316951567479c10cf25737f8e.","plainTextFormattedCitation":"Chris White, “Brad Pitt’s Hurricane Katrina Homes in Louisiana Are Falling Apart” (News.com.au, 2018), https://www.news.com.au/lifestyle/home/outdoors/brad-pitt-slammed-over-rotting-homes-in-new-orleans/news-story/32a9a48316951567479c10cf25737f8e.","previouslyFormattedCitation":"Chris White, “Brad Pitt’s Hurricane Katrina Homes in Louisiana Are Falling Apart” (News.com.au, 2018), https://www.news.com.au/lifestyle/home/outdoors/brad-pitt-slammed-over-rotting-homes-in-new-orleans/news-story/32a9a48316951567479c10cf25737f8e."},"properties":{"noteIndex":113},"schema":"https://github.com/citation-style-language/schema/raw/master/csl-citation.json"}</w:instrText>
      </w:r>
      <w:r>
        <w:fldChar w:fldCharType="separate"/>
      </w:r>
      <w:r w:rsidRPr="00C32016">
        <w:rPr>
          <w:noProof/>
        </w:rPr>
        <w:t>Chris White, “Brad Pitt’s Hurricane Katrina Homes in Louisiana Are Falling Apart” (News.com.au, 2018), https://www.news.com.au/lifestyle/home/outdoors/brad-pitt-slammed-over-rotting-homes-in-new-orleans/news-story/32a9a48316951567479c10cf25737f8e.</w:t>
      </w:r>
      <w:r>
        <w:fldChar w:fldCharType="end"/>
      </w:r>
    </w:p>
  </w:footnote>
  <w:footnote w:id="115">
    <w:p w14:paraId="45337DC5" w14:textId="34CFA11C" w:rsidR="00AB27A5" w:rsidRDefault="00AB27A5">
      <w:pPr>
        <w:pStyle w:val="FootnoteText"/>
      </w:pPr>
      <w:r>
        <w:rPr>
          <w:rStyle w:val="FootnoteReference"/>
        </w:rPr>
        <w:footnoteRef/>
      </w:r>
      <w:r>
        <w:t xml:space="preserve"> </w:t>
      </w:r>
      <w:r>
        <w:fldChar w:fldCharType="begin" w:fldLock="1"/>
      </w:r>
      <w:r>
        <w:instrText>ADDIN CSL_CITATION {"citationItems":[{"id":"ITEM-1","itemData":{"URL":"https://lowernine.org/about/","accessed":{"date-parts":[["2019","4","11"]]},"container-title":"lowernine.org","id":"ITEM-1","issued":{"date-parts":[["0"]]},"title":"About","type":"webpage"},"uris":["http://www.mendeley.com/documents/?uuid=f01a15fa-8f5b-31ed-af1a-b05da63fd9b0"]}],"mendeley":{"formattedCitation":"“About,” lowernine.org, accessed April 11, 2019, https://lowernine.org/about/.","plainTextFormattedCitation":"“About,” lowernine.org, accessed April 11, 2019, https://lowernine.org/about/.","previouslyFormattedCitation":"“About,” lowernine.org, accessed April 11, 2019, https://lowernine.org/about/."},"properties":{"noteIndex":114},"schema":"https://github.com/citation-style-language/schema/raw/master/csl-citation.json"}</w:instrText>
      </w:r>
      <w:r>
        <w:fldChar w:fldCharType="separate"/>
      </w:r>
      <w:r w:rsidRPr="00B174C1">
        <w:rPr>
          <w:noProof/>
        </w:rPr>
        <w:t>“About,” lowernine.org, accessed April 11, 2019, https://lowernine.org/about/.</w:t>
      </w:r>
      <w:r>
        <w:fldChar w:fldCharType="end"/>
      </w:r>
    </w:p>
  </w:footnote>
  <w:footnote w:id="116">
    <w:p w14:paraId="1305470F" w14:textId="7940736F"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{"citationItems":[{"id":"ITEM-1","itemData":{"URL":"https://news.ku.edu/tiny-house-prototype-seeks-provide-temporary-disaster-relief","accessed":{"date-parts":[["2018","12","9"]]},"author":[{"dropping-particle":"","family":"KU News","given":"","non-dropping-particle":"","parse-names":false,"suffix":""}],"id":"ITEM-1","issued":{"date-parts":[["2018"]]},"publisher":"University of Kansas","title":"'Tiny house' prototype designed for temporary disaster relief","type":"webpage"},"uris":["http://www.mendeley.com/documents/?uuid=f33897d2-bc3a-3a22-abb6-83d3a4214855"]}],"mendeley":{"formattedCitation":"KU News, “‘Tiny House’ Prototype Designed for Temporary Disaster Relief” (University of Kansas, 2018), https://news.ku.edu/tiny-house-prototype-seeks-provide-temporary-disaster-relief.","plainTextFormattedCitation":"KU News, “‘Tiny House’ Prototype Designed for Temporary Disaster Relief” (University of Kansas, 2018), https://news.ku.edu/tiny-house-prototype-seeks-provide-temporary-disaster-relief.","previouslyFormattedCitation":"KU News, “‘Tiny House’ Prototype Designed for Temporary Disaster Relief” (University of Kansas, 2018), https://news.ku.edu/tiny-house-prototype-seeks-provide-temporary-disaster-relief."},"properties":{"noteIndex":115},"schema":"https://github.com/citation-style-language/schema/raw/master/csl-citation.json"}</w:instrText>
      </w:r>
      <w:r>
        <w:fldChar w:fldCharType="separate"/>
      </w:r>
      <w:r w:rsidRPr="00F26582">
        <w:rPr>
          <w:noProof/>
        </w:rPr>
        <w:t>KU News, “‘Tiny House’ Prototype Designed for Temporary Disaster Relief” (University of Kansas, 2018), https://news.ku.edu/tiny-house-prototype-seeks-provide-temporary-disaster-relief.</w:t>
      </w:r>
      <w:r>
        <w:fldChar w:fldCharType="end"/>
      </w:r>
    </w:p>
  </w:footnote>
  <w:footnote w:id="117">
    <w:p w14:paraId="4C83B71B" w14:textId="4C065149"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URL":"https://www.youtube.com/watch?v=_AcLW_9i0lM","accessed":{"date-parts":[["2018","12","9"]]},"author":[{"dropping-particle":"","family":"Gjerde","given":"Jessica","non-dropping-particle":"","parse-names":false,"suffix":""}],"id":"ITEM-1","issued":{"date-parts":[["2018"]]},"publisher":"YouTube","title":"Tiny House for Disaster Relief","type":"webpage"},"uris":["http://www.mendeley.com/documents/?uuid=9f5430ae-300c-384d-97b7-7b985c70bd47"]}],"mendeley":{"formattedCitation":"Jessica Gjerde, “Tiny House for Disaster Relief” (YouTube, 2018), https://www.youtube.com/watch?v=_AcLW_9i0lM.","plainTextFormattedCitation":"Jessica Gjerde, “Tiny House for Disaster Relief” (YouTube, 2018), https://www.youtube.com/watch?v=_AcLW_9i0lM.","previouslyFormattedCitation":"Jessica Gjerde, “Tiny House for Disaster Relief” (YouTube, 2018), https://www.youtube.com/watch?v=_AcLW_9i0lM."},"properties":{"noteIndex":116},"schema":"https://github.com/citation-style-language/schema/raw/master/csl-citation.json"}</w:instrText>
      </w:r>
      <w:r>
        <w:fldChar w:fldCharType="separate"/>
      </w:r>
      <w:r w:rsidRPr="005670B6">
        <w:rPr>
          <w:noProof/>
        </w:rPr>
        <w:t>Jessica Gjerde, “Tiny House for Disaster Relief” (YouTube, 2018), https://www.youtube.com/watch?v=_AcLW_9i0lM.</w:t>
      </w:r>
      <w:r>
        <w:fldChar w:fldCharType="end"/>
      </w:r>
    </w:p>
  </w:footnote>
  <w:footnote w:id="118">
    <w:p w14:paraId="74146A89" w14:textId="2D357395"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Life","type":"thesis"},"uris":["http://www.mendeley.com/documents/?uuid=9d24f30f-5015-310e-913f-99a5a5b5d367"]}],"mendeley":{"formattedCitation":"Joseph D Brown, “A Minimalistic Approach to Adaptive, Emergency Relief Structures Embodied by Promoting a Downsized Way of Life” (Auburn University, 2013), https://etd.auburn.edu/bitstream/handle/10415/3705/Joseph D. Brown Final Thesis Document.pdf.","plainTextFormattedCitation":"Joseph D Brown, “A Minimalistic Approach to Adaptive, Emergency Relief Structures Embodied by Promoting a Downsized Way of Life” (Auburn University, 2013), https://etd.auburn.edu/bitstream/handle/10415/3705/Joseph D. Brown Final Thesis Document.pdf.","previouslyFormattedCitation":"Joseph D Brown, “A Minimalistic Approach to Adaptive, Emergency Relief Structures Embodied by Promoting a Downsized Way of Life” (Auburn University, 2013), https://etd.auburn.edu/bitstream/handle/10415/3705/Joseph D. Brown Final Thesis Document.pdf."},"properties":{"noteIndex":117},"schema":"https://github.com/citation-style-language/schema/raw/master/csl-citation.json"}</w:instrText>
      </w:r>
      <w:r>
        <w:fldChar w:fldCharType="separate"/>
      </w:r>
      <w:r w:rsidRPr="006101F1">
        <w:rPr>
          <w:noProof/>
        </w:rPr>
        <w:t>Joseph D Brown, “A Minimalistic Approach to Adaptive, Emergency Relief Structures Embodied by Promoting a Downsized Way of Life” (Auburn University, 2013), https://etd.auburn.edu/bitstream/handle/10415/3705/Joseph D. Brown Final Thesis Document.pdf.</w:t>
      </w:r>
      <w:r>
        <w:fldChar w:fldCharType="end"/>
      </w:r>
    </w:p>
  </w:footnote>
  <w:footnote w:id="119">
    <w:p w14:paraId="4E4800E8" w14:textId="0B09FD40"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Life","type":"thesis"},"locator":"57","uris":["http://www.mendeley.com/documents/?uuid=9d24f30f-5015-310e-913f-99a5a5b5d367"]}],"mendeley":{"formattedCitation":"Brown, 57.","plainTextFormattedCitation":"Brown, 57.","previouslyFormattedCitation":"Brown, 57."},"properties":{"noteIndex":118},"schema":"https://github.com/citation-style-language/schema/raw/master/csl-citation.json"}</w:instrText>
      </w:r>
      <w:r>
        <w:fldChar w:fldCharType="separate"/>
      </w:r>
      <w:r w:rsidRPr="00B73718">
        <w:rPr>
          <w:noProof/>
        </w:rPr>
        <w:t>Brown, 57.</w:t>
      </w:r>
      <w:r>
        <w:fldChar w:fldCharType="end"/>
      </w:r>
    </w:p>
  </w:footnote>
  <w:footnote w:id="120">
    <w:p w14:paraId="3B5796EE" w14:textId="18F38B20"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Life","type":"thesis"},"locator":"58","uris":["http://www.mendeley.com/documents/?uuid=9d24f30f-5015-310e-913f-99a5a5b5d367"]}],"mendeley":{"formattedCitation":"Brown, 58.","plainTextFormattedCitation":"Brown, 58.","previouslyFormattedCitation":"Brown, 58."},"properties":{"noteIndex":119},"schema":"https://github.com/citation-style-language/schema/raw/master/csl-citation.json"}</w:instrText>
      </w:r>
      <w:r>
        <w:fldChar w:fldCharType="separate"/>
      </w:r>
      <w:r w:rsidRPr="00334033">
        <w:rPr>
          <w:noProof/>
        </w:rPr>
        <w:t>Brown, 58.</w:t>
      </w:r>
      <w:r>
        <w:fldChar w:fldCharType="end"/>
      </w:r>
    </w:p>
  </w:footnote>
  <w:footnote w:id="121">
    <w:p w14:paraId="2A45E95A" w14:textId="2753A61A"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Life","type":"thesis"},"locator":"80","uris":["http://www.mendeley.com/documents/?uuid=9d24f30f-5015-310e-913f-99a5a5b5d367"]}],"mendeley":{"formattedCitation":"Brown, 80.","plainTextFormattedCitation":"Brown, 80.","previouslyFormattedCitation":"Brown, 80."},"properties":{"noteIndex":120},"schema":"https://github.com/citation-style-language/schema/raw/master/csl-citation.json"}</w:instrText>
      </w:r>
      <w:r>
        <w:fldChar w:fldCharType="separate"/>
      </w:r>
      <w:r w:rsidRPr="00334033">
        <w:rPr>
          <w:noProof/>
        </w:rPr>
        <w:t>Brown, 80.</w:t>
      </w:r>
      <w:r>
        <w:fldChar w:fldCharType="end"/>
      </w:r>
    </w:p>
  </w:footnote>
  <w:footnote w:id="122">
    <w:p w14:paraId="5715E0B5" w14:textId="4B2BAEB4"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Life","type":"thesis"},"locator":"101","uris":["http://www.mendeley.com/documents/?uuid=9d24f30f-5015-310e-913f-99a5a5b5d367"]}],"mendeley":{"formattedCitation":"Brown, 101.","plainTextFormattedCitation":"Brown, 101.","previouslyFormattedCitation":"Brown, 101."},"properties":{"noteIndex":121},"schema":"https://github.com/citation-style-language/schema/raw/master/csl-citation.json"}</w:instrText>
      </w:r>
      <w:r>
        <w:fldChar w:fldCharType="separate"/>
      </w:r>
      <w:r w:rsidRPr="00334033">
        <w:rPr>
          <w:noProof/>
        </w:rPr>
        <w:t>Brown, 101.</w:t>
      </w:r>
      <w:r>
        <w:fldChar w:fldCharType="end"/>
      </w:r>
    </w:p>
  </w:footnote>
  <w:footnote w:id="123">
    <w:p w14:paraId="7D5A76BD" w14:textId="77C8CE63"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Life","type":"thesis"},"locator":"85","uris":["http://www.mendeley.com/documents/?uuid=9d24f30f-5015-310e-913f-99a5a5b5d367"]}],"mendeley":{"formattedCitation":"Brown, 85.","plainTextFormattedCitation":"Brown, 85.","previouslyFormattedCitation":"Brown, 85."},"properties":{"noteIndex":122},"schema":"https://github.com/citation-style-language/schema/raw/master/csl-citation.json"}</w:instrText>
      </w:r>
      <w:r>
        <w:fldChar w:fldCharType="separate"/>
      </w:r>
      <w:r w:rsidRPr="00334033">
        <w:rPr>
          <w:noProof/>
        </w:rPr>
        <w:t>Brown, 85.</w:t>
      </w:r>
      <w:r>
        <w:fldChar w:fldCharType="end"/>
      </w:r>
    </w:p>
  </w:footnote>
  <w:footnote w:id="124">
    <w:p w14:paraId="128A1B96" w14:textId="56C549FA"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Life","type":"thesis"},"locator":"97","uris":["http://www.mendeley.com/documents/?uuid=9d24f30f-5015-310e-913f-99a5a5b5d367"]}],"mendeley":{"formattedCitation":"Brown, 97.","plainTextFormattedCitation":"Brown, 97.","previouslyFormattedCitation":"Brown, 97."},"properties":{"noteIndex":123},"schema":"https://github.com/citation-style-language/schema/raw/master/csl-citation.json"}</w:instrText>
      </w:r>
      <w:r>
        <w:fldChar w:fldCharType="separate"/>
      </w:r>
      <w:r w:rsidRPr="00334033">
        <w:rPr>
          <w:noProof/>
        </w:rPr>
        <w:t>Brown, 97.</w:t>
      </w:r>
      <w:r>
        <w:fldChar w:fldCharType="end"/>
      </w:r>
    </w:p>
  </w:footnote>
  <w:footnote w:id="125">
    <w:p w14:paraId="575104C2" w14:textId="2A0B4F95"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Life","type":"thesis"},"locator":"99","uris":["http://www.mendeley.com/documents/?uuid=9d24f30f-5015-310e-913f-99a5a5b5d367"]}],"mendeley":{"formattedCitation":"Brown, 99.","plainTextFormattedCitation":"Brown, 99.","previouslyFormattedCitation":"Brown, 99."},"properties":{"noteIndex":124},"schema":"https://github.com/citation-style-language/schema/raw/master/csl-citation.json"}</w:instrText>
      </w:r>
      <w:r>
        <w:fldChar w:fldCharType="separate"/>
      </w:r>
      <w:r w:rsidRPr="00334033">
        <w:rPr>
          <w:noProof/>
        </w:rPr>
        <w:t>Brown, 99.</w:t>
      </w:r>
      <w:r>
        <w:fldChar w:fldCharType="end"/>
      </w:r>
    </w:p>
  </w:footnote>
  <w:footnote w:id="126">
    <w:p w14:paraId="5A307A50" w14:textId="4B8D2F2D"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Life","type":"thesis"},"locator":"83","uris":["http://www.mendeley.com/documents/?uuid=9d24f30f-5015-310e-913f-99a5a5b5d367"]}],"mendeley":{"formattedCitation":"Brown, 83.","plainTextFormattedCitation":"Brown, 83.","previouslyFormattedCitation":"Brown, 83."},"properties":{"noteIndex":125},"schema":"https://github.com/citation-style-language/schema/raw/master/csl-citation.json"}</w:instrText>
      </w:r>
      <w:r>
        <w:fldChar w:fldCharType="separate"/>
      </w:r>
      <w:r w:rsidRPr="00334033">
        <w:rPr>
          <w:noProof/>
        </w:rPr>
        <w:t>Brown, 83.</w:t>
      </w:r>
      <w:r>
        <w:fldChar w:fldCharType="end"/>
      </w:r>
    </w:p>
  </w:footnote>
  <w:footnote w:id="127">
    <w:p w14:paraId="10D1483A" w14:textId="3CB3C179"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Life","type":"thesis"},"locator":"86","uris":["http://www.mendeley.com/documents/?uuid=9d24f30f-5015-310e-913f-99a5a5b5d367"]}],"mendeley":{"formattedCitation":"Brown, 86.","plainTextFormattedCitation":"Brown, 86.","previouslyFormattedCitation":"Brown, 86."},"properties":{"noteIndex":126},"schema":"https://github.com/citation-style-language/schema/raw/master/csl-citation.json"}</w:instrText>
      </w:r>
      <w:r>
        <w:fldChar w:fldCharType="separate"/>
      </w:r>
      <w:r w:rsidRPr="00334033">
        <w:rPr>
          <w:noProof/>
        </w:rPr>
        <w:t>Brown, 86.</w:t>
      </w:r>
      <w:r>
        <w:fldChar w:fldCharType="end"/>
      </w:r>
    </w:p>
  </w:footnote>
  <w:footnote w:id="128">
    <w:p w14:paraId="47CC8188" w14:textId="4185B22C"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{"citationItems":[{"id":"ITEM-1","itemData":{"abstract":"The aftermath of a natural disaster can be devastating. Thus, we all must become aware of the importance of having a plan before and after their occurrence. The tornado that swept through Birmingham, Alabama, and Hurricane Katrina that devastated the Gulf Coast are examples of natural disasters that took the lives of and left people homeless. Often times after a natural disaster, people are dismantled psychologically, food is scarce, and homes are destroyed. Therefore, the development of a modular system, from a single building unit, will be beneficial. In the time of crisis, the last thing on a family’s mind should be the concern of being homeless. Given the recent natural disasters and a busy summer storm season expected in 2013, what a better time for us as a nation to reexamine the way we live and allocate resources for those in need. Amid a rapidly growing population and infrastructures the world’s exposure to natural hazards is inevitably increasing; therefore, we cannot afford to continue allowing our appetites, dwellings, expenses and livelihoods to grow. With the economy in an upswing from 2009’s fall, new, energy conscious innovations should be leading the surge into the future of emergency relief and community development. This approach first addresses the need for a plan to house individuals after being displaced due to natural disasters. Furthermore, this approach draws attention to the need for the United States to become more cognizant of the built environment and the manner in which we consume natural resources. Lastly, this approach introduces solutions for addressing a longer term, smaller community development which will utilize and transform emergency relief structures into permanent dwellings. ii","author":[{"dropping-particle":"","family":"Brown","given":"Joseph D","non-dropping-particle":"","parse-names":false,"suffix":""}],"id":"ITEM-1","issued":{"date-parts":[["2013"]]},"publisher":"Auburn University","title":"A Minimalistic Approach to Adaptive, Emergency Relief Structures Embodied by Promoting a Downsized Way of Life","type":"thesis"},"locator":"77","uris":["http://www.mendeley.com/documents/?uuid=9d24f30f-5015-310e-913f-99a5a5b5d367"]}],"mendeley":{"formattedCitation":"Brown, 77.","plainTextFormattedCitation":"Brown, 77.","previouslyFormattedCitation":"Brown, 77."},"properties":{"noteIndex":127},"schema":"https://github.com/citation-style-language/schema/raw/master/csl-citation.json"}</w:instrText>
      </w:r>
      <w:r>
        <w:fldChar w:fldCharType="separate"/>
      </w:r>
      <w:r w:rsidRPr="00334033">
        <w:rPr>
          <w:noProof/>
        </w:rPr>
        <w:t>Brown, 77.</w:t>
      </w:r>
      <w:r>
        <w:fldChar w:fldCharType="end"/>
      </w:r>
    </w:p>
  </w:footnote>
  <w:footnote w:id="129">
    <w:p w14:paraId="0B921B8C" w14:textId="6974C79C"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{"citationItems":[{"id":"ITEM-1","itemData":{"abstract":"With the growing trend of the Tiny House Movement in the United States, more people are bucking the tradition of large homes and choosing to build their own smaller dwellings. As a result of these inexperienced builders, many tiny homes in existence today are too uncomfortable or unattractive to the general public, preventing the Tiny House Movement from progressing beyond its counterculture roots. Tiny houses provide a solution to a number of growing issues including sustainability, urban density, affordable housing and wastefulness, but the stigma associated with the movement results in a missed opportunity in the US. The inherent scale of tiny houses makes them a prime opportunity for prefabrication, modular design and mass production, which can greatly reduce costs and widen accessibility to a larger market. This thesis will investigate the role of prefabrication and modular design in the production of tiny houses, through the development of a modular building system. This system will then be tested at full scale in the construction of a caretaker’s cottage on the Kamama Prairie in Adams County, Ohio. This research will be accomplished through investigations of prefabrication and mass customization techniques introduced by Kieran Timberlake in Refabricating Architecture, House Company, the urban tiny homes at Boneyard Studios on Washington, DC and other owner-built tiny homes. This work will also delve into integrated design, sustainable modular construction techniques. This thesis aims to identify techniques and methods utilized by these sources and apply them to the improved production of tiny homes. Ultimately, this modular building system may be utilized to gain a wider audience of potential tiny house dwellers and better address the ecological, financial and social benefits of the Tiny House Movement.","author":[{"dropping-particle":"","family":"Schenk","given":"Kathryn","non-dropping-particle":"","parse-names":false,"suffix":""}],"id":"ITEM-1","issued":{"date-parts":[["2015"]]},"publisher":"ProQuest, LLC.","title":"Flex House: Prefabricating the Tiny House Movement","type":"thesis"},"locator":"44","uris":["http://www.mendeley.com/documents/?uuid=6d2c341a-0413-4544-8813-fa4fc5fbda7b","http://www.mendeley.com/documents/?uuid=d1f4e241-682f-4329-a09f-0514b6e7bb68"]}],"mendeley":{"formattedCitation":"Kathryn Schenk, “Flex House: Prefabricating the Tiny House Movement” (ProQuest, LLC., 2015), 44.","plainTextFormattedCitation":"Kathryn Schenk, “Flex House: Prefabricating the Tiny House Movement” (ProQuest, LLC., 2015), 44.","previouslyFormattedCitation":"Kathryn Schenk, “Flex House: Prefabricating the Tiny House Movement” (ProQuest, LLC., 2015), 44."},"properties":{"noteIndex":128},"schema":"https://github.com/citation-style-language/schema/raw/master/csl-citation.json"}</w:instrText>
      </w:r>
      <w:r>
        <w:fldChar w:fldCharType="separate"/>
      </w:r>
      <w:r w:rsidRPr="0001753F">
        <w:rPr>
          <w:noProof/>
        </w:rPr>
        <w:t xml:space="preserve">Kathryn Schenk, “Flex House: Prefabricating the </w:t>
      </w:r>
      <w:r>
        <w:rPr>
          <w:noProof/>
        </w:rPr>
        <w:t>Tiny House Movement</w:t>
      </w:r>
      <w:r w:rsidRPr="0001753F">
        <w:rPr>
          <w:noProof/>
        </w:rPr>
        <w:t>” (ProQuest, LLC., 2015), 44.</w:t>
      </w:r>
      <w:r>
        <w:fldChar w:fldCharType="end"/>
      </w:r>
    </w:p>
  </w:footnote>
  <w:footnote w:id="130">
    <w:p w14:paraId="7F3774DD" w14:textId="6C82B3B8"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{"citationItems":[{"id":"ITEM-1","itemData":{"abstract":"With the growing trend of the Tiny House Movement in the United States, more people are bucking the tradition of large homes and choosing to build their own smaller dwellings. As a result of these inexperienced builders, many tiny homes in existence today are too uncomfortable or unattractive to the general public, preventing the Tiny House Movement from progressing beyond its counterculture roots. Tiny houses provide a solution to a number of growing issues including sustainability, urban density, affordable housing and wastefulness, but the stigma associated with the movement results in a missed opportunity in the US. The inherent scale of tiny houses makes them a prime opportunity for prefabrication, modular design and mass production, which can greatly reduce costs and widen accessibility to a larger market. This thesis will investigate the role of prefabrication and modular design in the production of tiny houses, through the development of a modular building system. This system will then be tested at full scale in the construction of a caretaker’s cottage on the Kamama Prairie in Adams County, Ohio. This research will be accomplished through investigations of prefabrication and mass customization techniques introduced by Kieran Timberlake in Refabricating Architecture, House Company, the urban tiny homes at Boneyard Studios on Washington, DC and other owner-built tiny homes. This work will also delve into integrated design, sustainable modular construction techniques. This thesis aims to identify techniques and methods utilized by these sources and apply them to the improved production of tiny homes. Ultimately, this modular building system may be utilized to gain a wider audience of potential tiny house dwellers and better address the ecological, financial and social benefits of the Tiny House Movement.","author":[{"dropping-particle":"","family":"Schenk","given":"Kathryn","non-dropping-particle":"","parse-names":false,"suffix":""}],"id":"ITEM-1","issued":{"date-parts":[["2015"]]},"publisher":"ProQuest, LLC.","title":"Flex House: Prefabricating the Tiny House Movement","type":"thesis"},"locator":"68","uris":["http://www.mendeley.com/documents/?uuid=6d2c341a-0413-4544-8813-fa4fc5fbda7b"]}],"mendeley":{"formattedCitation":"Schenk, 68.","plainTextFormattedCitation":"Schenk, 68.","previouslyFormattedCitation":"Schenk, 68."},"properties":{"noteIndex":129},"schema":"https://github.com/citation-style-language/schema/raw/master/csl-citation.json"}</w:instrText>
      </w:r>
      <w:r>
        <w:fldChar w:fldCharType="separate"/>
      </w:r>
      <w:r w:rsidRPr="00700379">
        <w:rPr>
          <w:noProof/>
        </w:rPr>
        <w:t>Schenk, 68.</w:t>
      </w:r>
      <w:r>
        <w:fldChar w:fldCharType="end"/>
      </w:r>
    </w:p>
  </w:footnote>
  <w:footnote w:id="131">
    <w:p w14:paraId="0D8B4C88" w14:textId="31CDB178"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{"citationItems":[{"id":"ITEM-1","itemData":{"abstract":"With the growing trend of the Tiny House Movement in the United States, more people are bucking the tradition of large homes and choosing to build their own smaller dwellings. As a result of these inexperienced builders, many tiny homes in existence today are too uncomfortable or unattractive to the general public, preventing the Tiny House Movement from progressing beyond its counterculture roots. Tiny houses provide a solution to a number of growing issues including sustainability, urban density, affordable housing and wastefulness, but the stigma associated with the movement results in a missed opportunity in the US. The inherent scale of tiny houses makes them a prime opportunity for prefabrication, modular design and mass production, which can greatly reduce costs and widen accessibility to a larger market. This thesis will investigate the role of prefabrication and modular design in the production of tiny houses, through the development of a modular building system. This system will then be tested at full scale in the construction of a caretaker’s cottage on the Kamama Prairie in Adams County, Ohio. This research will be accomplished through investigations of prefabrication and mass customization techniques introduced by Kieran Timberlake in Refabricating Architecture, House Company, the urban tiny homes at Boneyard Studios on Washington, DC and other owner-built tiny homes. This work will also delve into integrated design, sustainable modular construction techniques. This thesis aims to identify techniques and methods utilized by these sources and apply them to the improved production of tiny homes. Ultimately, this modular building system may be utilized to gain a wider audience of potential tiny house dwellers and better address the ecological, financial and social benefits of the Tiny House Movement.","author":[{"dropping-particle":"","family":"Schenk","given":"Kathryn","non-dropping-particle":"","parse-names":false,"suffix":""}],"id":"ITEM-1","issued":{"date-parts":[["2015"]]},"publisher":"ProQuest, LLC.","title":"Flex House: Prefabricating the Tiny House Movement","type":"thesis"},"locator":"46","uris":["http://www.mendeley.com/documents/?uuid=6d2c341a-0413-4544-8813-fa4fc5fbda7b"]}],"mendeley":{"formattedCitation":"Schenk, 46.","plainTextFormattedCitation":"Schenk, 46.","previouslyFormattedCitation":"Schenk, 46."},"properties":{"noteIndex":130},"schema":"https://github.com/citation-style-language/schema/raw/master/csl-citation.json"}</w:instrText>
      </w:r>
      <w:r>
        <w:fldChar w:fldCharType="separate"/>
      </w:r>
      <w:r w:rsidRPr="00A42AEB">
        <w:rPr>
          <w:noProof/>
        </w:rPr>
        <w:t>Schenk, 46.</w:t>
      </w:r>
      <w:r>
        <w:fldChar w:fldCharType="end"/>
      </w:r>
    </w:p>
  </w:footnote>
  <w:footnote w:id="132">
    <w:p w14:paraId="3403B5D4" w14:textId="29FA4CAE" w:rsidR="00AB27A5" w:rsidRDefault="00AB27A5" w:rsidP="00DA5E7E">
      <w:pPr>
        <w:pStyle w:val="FootnoteText"/>
      </w:pPr>
      <w:r w:rsidRPr="00D05B51">
        <w:rPr>
          <w:rStyle w:val="FootnoteReference"/>
        </w:rPr>
        <w:footnoteRef/>
      </w:r>
      <w:r>
        <w:t xml:space="preserve"> </w:t>
      </w:r>
      <w:r>
        <w:fldChar w:fldCharType="begin" w:fldLock="1"/>
      </w:r>
      <w:r>
        <w:instrText>ADDIN CSL_CITATION {"citationItems":[{"id":"ITEM-1","itemData":{"abstract":"With the growing trend of the Tiny House Movement in the United States, more people are bucking the tradition of large homes and choosing to build their own smaller dwellings. As a result of these inexperienced builders, many tiny homes in existence today are too uncomfortable or unattractive to the general public, preventing the Tiny House Movement from progressing beyond its counterculture roots. Tiny houses provide a solution to a number of growing issues including sustainability, urban density, affordable housing and wastefulness, but the stigma associated with the movement results in a missed opportunity in the US. The inherent scale of tiny houses makes them a prime opportunity for prefabrication, modular design and mass production, which can greatly reduce costs and widen accessibility to a larger market. This thesis will investigate the role of prefabrication and modular design in the production of tiny houses, through the development of a modular building system. This system will then be tested at full scale in the construction of a caretaker’s cottage on the Kamama Prairie in Adams County, Ohio. This research will be accomplished through investigations of prefabrication and mass customization techniques introduced by Kieran Timberlake in Refabricating Architecture, House Company, the urban tiny homes at Boneyard Studios on Washington, DC and other owner-built tiny homes. This work will also delve into integrated design, sustainable modular construction techniques. This thesis aims to identify techniques and methods utilized by these sources and apply them to the improved production of tiny homes. Ultimately, this modular building system may be utilized to gain a wider audience of potential tiny house dwellers and better address the ecological, financial and social benefits of the Tiny House Movement.","author":[{"dropping-particle":"","family":"Schenk","given":"Kathryn","non-dropping-particle":"","parse-names":false,"suffix":""}],"id":"ITEM-1","issued":{"date-parts":[["2015"]]},"publisher":"ProQuest, LLC.","title":"Flex House: Prefabricating the Tiny House Movement","type":"thesis"},"locator":"58","uris":["http://www.mendeley.com/documents/?uuid=6d2c341a-0413-4544-8813-fa4fc5fbda7b"]}],"mendeley":{"formattedCitation":"Schenk, 58.","plainTextFormattedCitation":"Schenk, 58.","previouslyFormattedCitation":"Schenk, 58."},"properties":{"noteIndex":131},"schema":"https://github.com/citation-style-language/schema/raw/master/csl-citation.json"}</w:instrText>
      </w:r>
      <w:r>
        <w:fldChar w:fldCharType="separate"/>
      </w:r>
      <w:r w:rsidRPr="006D7739">
        <w:rPr>
          <w:noProof/>
        </w:rPr>
        <w:t>Schenk, 58.</w:t>
      </w:r>
      <w:r>
        <w:fldChar w:fldCharType="end"/>
      </w:r>
    </w:p>
  </w:footnote>
  <w:footnote w:id="133">
    <w:p w14:paraId="3EC30DC3" w14:textId="7F39810D" w:rsidR="00AB27A5" w:rsidRDefault="00AB27A5" w:rsidP="00753552">
      <w:pPr>
        <w:pStyle w:val="FootnoteText"/>
      </w:pPr>
      <w:r w:rsidRPr="00D05B51">
        <w:rPr>
          <w:rStyle w:val="FootnoteReference"/>
        </w:rPr>
        <w:footnoteRef/>
      </w:r>
      <w:r>
        <w:t xml:space="preserve"> </w:t>
      </w:r>
      <w:r>
        <w:fldChar w:fldCharType="begin" w:fldLock="1"/>
      </w:r>
      <w:r>
        <w:instrText>ADDIN CSL_CITATION {"citationItems":[{"id":"ITEM-1","itemData":{"abstract":"If you’re managing a LEED project, one of your first challenges will be getting your team to think a little differently about how the LEED project team works to(...)","author":[{"dropping-particle":"","family":"Bonelli","given":"Sherry","non-dropping-particle":"","parse-names":false,"suffix":""}],"id":"ITEM-1","issued":{"date-parts":[["2012"]]},"publisher":"Succeed @t LEED","title":"The Key to LEED Project Success – The Importance of a LEED Integrated Design Approach","type":"article-journal"},"uris":["http://www.mendeley.com/documents/?uuid=9e90db2b-5b33-30d6-8458-94228cc4a89d"]}],"mendeley":{"formattedCitation":"Sherry Bonelli, “The Key to LEED Project Success – The Importance of a LEED Integrated Design Approach,” 2012, http://succeedatleed.com/2012/02/the-key-to-leed-project-success-the-importance-of-a-leed-integrated-design-approach/.","plainTextFormattedCitation":"Sherry Bonelli, “The Key to LEED Project Success – The Importance of a LEED Integrated Design Approach,” 2012, http://succeedatleed.com/2012/02/the-key-to-leed-project-success-the-importance-of-a-leed-integrated-design-approach/.","previouslyFormattedCitation":"Sherry Bonelli, “The Key to LEED Project Success – The Importance of a LEED Integrated Design Approach,” 2012, http://succeedatleed.com/2012/02/the-key-to-leed-project-success-the-importance-of-a-leed-integrated-design-approach/."},"properties":{"noteIndex":132},"schema":"https://github.com/citation-style-language/schema/raw/master/csl-citation.json"}</w:instrText>
      </w:r>
      <w:r>
        <w:fldChar w:fldCharType="separate"/>
      </w:r>
      <w:r w:rsidRPr="005F6411">
        <w:rPr>
          <w:noProof/>
        </w:rPr>
        <w:t>Sherry Bonelli, “The Key to LEED Project Success – The Importance of a LEED Integrated Design Approach,” 2012, http://succeedatleed.com/2012/02/the-key-to-leed-project-success-the-importance-of-a-leed-integrated-design-approach/.</w:t>
      </w:r>
      <w:r>
        <w:fldChar w:fldCharType="end"/>
      </w:r>
    </w:p>
  </w:footnote>
  <w:footnote w:id="134">
    <w:p w14:paraId="5BF3D3E9" w14:textId="154840E1" w:rsidR="00AB27A5" w:rsidRDefault="00AB27A5" w:rsidP="00753552">
      <w:pPr>
        <w:pStyle w:val="FootnoteText"/>
      </w:pPr>
      <w:r w:rsidRPr="00D05B51">
        <w:rPr>
          <w:rStyle w:val="FootnoteReference"/>
        </w:rPr>
        <w:footnoteRef/>
      </w:r>
      <w:r>
        <w:t xml:space="preserve"> </w:t>
      </w:r>
      <w:r>
        <w:fldChar w:fldCharType="begin" w:fldLock="1"/>
      </w:r>
      <w:r>
        <w:instrText>ADDIN CSL_CITATION {"citationItems":[{"id":"ITEM-1","itemData":{"author":[{"dropping-particle":"","family":"White","given":"Philip","non-dropping-particle":"","parse-names":false,"suffix":""},{"dropping-particle":"St.","family":"Pierre","given":"Louise","non-dropping-particle":"","parse-names":false,"suffix":""},{"dropping-particle":"","family":"Belletire","given":"Steve","non-dropping-particle":"","parse-names":false,"suffix":""}],"container-title":"Okala Practitioner: Integrating Ecological Design","id":"ITEM-1","issued":{"date-parts":[["2013"]]},"title":"Okala - the ecodesign strategy wheel","type":"article-journal"},"uris":["http://www.mendeley.com/documents/?uuid=45a1c20a-79e7-4ac2-a888-b7bc482794a3"]}],"mendeley":{"formattedCitation":"Philip White, Louise St. Pierre, and Steve Belletire, “Okala - the Ecodesign Strategy Wheel,” &lt;i&gt;Okala Practitioner: Integrating Ecological Design&lt;/i&gt;, 2013, http://www.okala.net/Okala Ecodesign Strategy Guide 2012.pdf.","plainTextFormattedCitation":"Philip White, Louise St. Pierre, and Steve Belletire, “Okala - the Ecodesign Strategy Wheel,” Okala Practitioner: Integrating Ecological Design, 2013, http://www.okala.net/Okala Ecodesign Strategy Guide 2012.pdf.","previouslyFormattedCitation":"Philip White, Louise St. Pierre, and Steve Belletire, “Okala - the Ecodesign Strategy Wheel,” &lt;i&gt;Okala Practitioner: Integrating Ecological Design&lt;/i&gt;, 2013, http://www.okala.net/Okala Ecodesign Strategy Guide 2012.pdf."},"properties":{"noteIndex":133},"schema":"https://github.com/citation-style-language/schema/raw/master/csl-citation.json"}</w:instrText>
      </w:r>
      <w:r>
        <w:fldChar w:fldCharType="separate"/>
      </w:r>
      <w:r w:rsidRPr="00B77DCA">
        <w:rPr>
          <w:noProof/>
        </w:rPr>
        <w:t xml:space="preserve">Philip White, Louise St. Pierre, and Steve Belletire, “Okala - the Ecodesign Strategy Wheel,” </w:t>
      </w:r>
      <w:r w:rsidRPr="00B77DCA">
        <w:rPr>
          <w:i/>
          <w:noProof/>
        </w:rPr>
        <w:t>Okala Practitioner: Integrating Ecological Design</w:t>
      </w:r>
      <w:r w:rsidRPr="00B77DCA">
        <w:rPr>
          <w:noProof/>
        </w:rPr>
        <w:t>, 2013, http://www.okala.net/Okala Ecodesign Strategy Guide 2012.pdf.</w:t>
      </w:r>
      <w:r>
        <w:fldChar w:fldCharType="end"/>
      </w:r>
    </w:p>
  </w:footnote>
  <w:footnote w:id="135">
    <w:p w14:paraId="341579A5" w14:textId="69B428A1" w:rsidR="00AB27A5" w:rsidRDefault="00AB27A5" w:rsidP="00753552">
      <w:pPr>
        <w:pStyle w:val="FootnoteText"/>
      </w:pPr>
      <w:r w:rsidRPr="00D05B51">
        <w:rPr>
          <w:rStyle w:val="FootnoteReference"/>
        </w:rPr>
        <w:footnoteRef/>
      </w:r>
      <w:r>
        <w:t xml:space="preserve"> </w:t>
      </w:r>
      <w:r>
        <w:fldChar w:fldCharType="begin" w:fldLock="1"/>
      </w:r>
      <w:r>
        <w:instrText>ADDIN CSL_CITATION {"citationItems":[{"id":"ITEM-1","itemData":{"author":[{"dropping-particle":"","family":"LeadingGreen","given":"","non-dropping-particle":"","parse-names":false,"suffix":""}],"id":"ITEM-1","issued":{"date-parts":[["2017"]]},"title":"LEED Green Associate Study Guide v4 Edition","type":"article"},"locator":"26","uris":["http://www.mendeley.com/documents/?uuid=d0863531-6b8e-469f-931e-d880e1ff0689"]}],"mendeley":{"formattedCitation":"LeadingGreen, “LEED Green Associate Study Guide v4 Edition,” 2017, 26.","plainTextFormattedCitation":"LeadingGreen, “LEED Green Associate Study Guide v4 Edition,” 2017, 26.","previouslyFormattedCitation":"LeadingGreen, “LEED Green Associate Study Guide v4 Edition,” 2017, 26."},"properties":{"noteIndex":134},"schema":"https://github.com/citation-style-language/schema/raw/master/csl-citation.json"}</w:instrText>
      </w:r>
      <w:r>
        <w:fldChar w:fldCharType="separate"/>
      </w:r>
      <w:r w:rsidRPr="00D75639">
        <w:rPr>
          <w:noProof/>
        </w:rPr>
        <w:t>LeadingGreen, “LEED Green Associate Study Guide v4 Edition,” 2017, 26.</w:t>
      </w:r>
      <w:r>
        <w:fldChar w:fldCharType="end"/>
      </w:r>
    </w:p>
  </w:footnote>
  <w:footnote w:id="136">
    <w:p w14:paraId="36E88D47" w14:textId="611F47B3" w:rsidR="00AB27A5" w:rsidRDefault="00AB27A5" w:rsidP="00753552">
      <w:pPr>
        <w:pStyle w:val="FootnoteText"/>
      </w:pPr>
      <w:r w:rsidRPr="00D05B51">
        <w:rPr>
          <w:rStyle w:val="FootnoteReference"/>
        </w:rPr>
        <w:footnoteRef/>
      </w:r>
      <w:r>
        <w:t xml:space="preserve"> </w:t>
      </w:r>
      <w:r>
        <w:fldChar w:fldCharType="begin" w:fldLock="1"/>
      </w:r>
      <w:r>
        <w:instrText>ADDIN CSL_CITATION {"citationItems":[{"id":"ITEM-1","itemData":{"author":[{"dropping-particle":"","family":"LeadingGreen","given":"","non-dropping-particle":"","parse-names":false,"suffix":""}],"id":"ITEM-1","issued":{"date-parts":[["2017"]]},"title":"LEED Green Associate Study Guide v4 Edition","type":"article"},"locator":"27","uris":["http://www.mendeley.com/documents/?uuid=d0863531-6b8e-469f-931e-d880e1ff0689"]}],"mendeley":{"formattedCitation":"LeadingGreen, 27.","plainTextFormattedCitation":"LeadingGreen, 27.","previouslyFormattedCitation":"LeadingGreen, 27."},"properties":{"noteIndex":135},"schema":"https://github.com/citation-style-language/schema/raw/master/csl-citation.json"}</w:instrText>
      </w:r>
      <w:r>
        <w:fldChar w:fldCharType="separate"/>
      </w:r>
      <w:r w:rsidRPr="007C60C5">
        <w:rPr>
          <w:noProof/>
        </w:rPr>
        <w:t>LeadingGreen, 27.</w:t>
      </w:r>
      <w:r>
        <w:fldChar w:fldCharType="end"/>
      </w:r>
    </w:p>
  </w:footnote>
  <w:footnote w:id="137">
    <w:p w14:paraId="1280AA92" w14:textId="12E83AEC" w:rsidR="00AB27A5" w:rsidRDefault="00AB27A5" w:rsidP="00753552">
      <w:pPr>
        <w:pStyle w:val="FootnoteText"/>
      </w:pPr>
      <w:r w:rsidRPr="00D05B51">
        <w:rPr>
          <w:rStyle w:val="FootnoteReference"/>
        </w:rPr>
        <w:footnoteRef/>
      </w:r>
      <w:r>
        <w:t xml:space="preserve"> </w:t>
      </w:r>
      <w:r>
        <w:fldChar w:fldCharType="begin" w:fldLock="1"/>
      </w:r>
      <w:r>
        <w:instrText>ADDIN CSL_CITATION {"citationItems":[{"id":"ITEM-1","itemData":{"author":[{"dropping-particle":"","family":"LeadingGreen","given":"","non-dropping-particle":"","parse-names":false,"suffix":""}],"id":"ITEM-1","issued":{"date-parts":[["2017"]]},"title":"LEED Green Associate Study Guide v4 Edition","type":"article"},"locator":"28","uris":["http://www.mendeley.com/documents/?uuid=d0863531-6b8e-469f-931e-d880e1ff0689"]}],"mendeley":{"formattedCitation":"LeadingGreen, 28.","plainTextFormattedCitation":"LeadingGreen, 28.","previouslyFormattedCitation":"LeadingGreen, 28."},"properties":{"noteIndex":136},"schema":"https://github.com/citation-style-language/schema/raw/master/csl-citation.json"}</w:instrText>
      </w:r>
      <w:r>
        <w:fldChar w:fldCharType="separate"/>
      </w:r>
      <w:r w:rsidRPr="00FE13DF">
        <w:rPr>
          <w:noProof/>
        </w:rPr>
        <w:t>LeadingGreen, 28.</w:t>
      </w:r>
      <w:r>
        <w:fldChar w:fldCharType="end"/>
      </w:r>
    </w:p>
  </w:footnote>
  <w:footnote w:id="138">
    <w:p w14:paraId="6D1C6B58" w14:textId="6C7D890C" w:rsidR="00AB27A5" w:rsidRDefault="00AB27A5" w:rsidP="00753552">
      <w:pPr>
        <w:pStyle w:val="FootnoteText"/>
      </w:pPr>
      <w:r>
        <w:rPr>
          <w:rStyle w:val="FootnoteReference"/>
        </w:rPr>
        <w:footnoteRef/>
      </w:r>
      <w:r>
        <w:t xml:space="preserve"> </w:t>
      </w:r>
      <w:r>
        <w:fldChar w:fldCharType="begin" w:fldLock="1"/>
      </w:r>
      <w:r>
        <w:instrText>ADDIN CSL_CITATION {"citationItems":[{"id":"ITEM-1","itemData":{"author":[{"dropping-particle":"","family":"White","given":"Philip","non-dropping-particle":"","parse-names":false,"suffix":""},{"dropping-particle":"St.","family":"Pierre","given":"Louise","non-dropping-particle":"","parse-names":false,"suffix":""},{"dropping-particle":"","family":"Belletire","given":"Steve","non-dropping-particle":"","parse-names":false,"suffix":""}],"container-title":"Okala Practitioner: Integrating Ecological Design","id":"ITEM-1","issued":{"date-parts":[["2013"]]},"title":"Okala - the ecodesign strategy wheel","type":"article-journal"},"locator":"2","uris":["http://www.mendeley.com/documents/?uuid=45a1c20a-79e7-4ac2-a888-b7bc482794a3"]}],"mendeley":{"formattedCitation":"White, Pierre, and Belletire, “Okala - the Ecodesign Strategy Wheel,” 2.","plainTextFormattedCitation":"White, Pierre, and Belletire, “Okala - the Ecodesign Strategy Wheel,” 2.","previouslyFormattedCitation":"White, Pierre, and Belletire, “Okala - the Ecodesign Strategy Wheel,” 2."},"properties":{"noteIndex":137},"schema":"https://github.com/citation-style-language/schema/raw/master/csl-citation.json"}</w:instrText>
      </w:r>
      <w:r>
        <w:fldChar w:fldCharType="separate"/>
      </w:r>
      <w:r w:rsidRPr="00B77DCA">
        <w:rPr>
          <w:noProof/>
        </w:rPr>
        <w:t>White, Pierre, and Belletire, “Okala - the Ecodesign Strategy Wheel,” 2.</w:t>
      </w:r>
      <w:r>
        <w:fldChar w:fldCharType="end"/>
      </w:r>
    </w:p>
  </w:footnote>
  <w:footnote w:id="139">
    <w:p w14:paraId="764EF3AB" w14:textId="0D93C41D" w:rsidR="00AB27A5" w:rsidRDefault="00AB27A5" w:rsidP="00753552">
      <w:pPr>
        <w:pStyle w:val="FootnoteText"/>
      </w:pPr>
      <w:r>
        <w:rPr>
          <w:rStyle w:val="FootnoteReference"/>
        </w:rPr>
        <w:footnoteRef/>
      </w:r>
      <w:r>
        <w:t xml:space="preserve"> </w:t>
      </w:r>
      <w:r>
        <w:fldChar w:fldCharType="begin" w:fldLock="1"/>
      </w:r>
      <w:r>
        <w:instrText>ADDIN CSL_CITATION {"citationItems":[{"id":"ITEM-1","itemData":{"author":[{"dropping-particle":"","family":"White","given":"Philip","non-dropping-particle":"","parse-names":false,"suffix":""},{"dropping-particle":"St.","family":"Pierre","given":"Louise","non-dropping-particle":"","parse-names":false,"suffix":""},{"dropping-particle":"","family":"Belletire","given":"Steve","non-dropping-particle":"","parse-names":false,"suffix":""}],"container-title":"Okala Practitioner: Integrating Ecological Design","id":"ITEM-1","issued":{"date-parts":[["2013"]]},"title":"Okala - the ecodesign strategy wheel","type":"article-journal"},"locator":"5","uris":["http://www.mendeley.com/documents/?uuid=45a1c20a-79e7-4ac2-a888-b7bc482794a3"]}],"mendeley":{"formattedCitation":"White, Pierre, and Belletire, 5.","plainTextFormattedCitation":"White, Pierre, and Belletire, 5.","previouslyFormattedCitation":"White, Pierre, and Belletire, 5."},"properties":{"noteIndex":138},"schema":"https://github.com/citation-style-language/schema/raw/master/csl-citation.json"}</w:instrText>
      </w:r>
      <w:r>
        <w:fldChar w:fldCharType="separate"/>
      </w:r>
      <w:r w:rsidRPr="00CE40E1">
        <w:rPr>
          <w:noProof/>
        </w:rPr>
        <w:t>White, Pierre, and Belletire, 5.</w:t>
      </w:r>
      <w:r>
        <w:fldChar w:fldCharType="end"/>
      </w:r>
    </w:p>
  </w:footnote>
  <w:footnote w:id="140">
    <w:p w14:paraId="4DE6EC1E" w14:textId="01852478" w:rsidR="00AB27A5" w:rsidRDefault="00AB27A5" w:rsidP="00753552">
      <w:pPr>
        <w:pStyle w:val="FootnoteText"/>
      </w:pPr>
      <w:r>
        <w:rPr>
          <w:rStyle w:val="FootnoteReference"/>
        </w:rPr>
        <w:footnoteRef/>
      </w:r>
      <w:r>
        <w:t xml:space="preserve"> </w:t>
      </w:r>
      <w:r>
        <w:fldChar w:fldCharType="begin" w:fldLock="1"/>
      </w:r>
      <w:r>
        <w:instrText>ADDIN CSL_CITATION {"citationItems":[{"id":"ITEM-1","itemData":{"author":[{"dropping-particle":"","family":"White","given":"Philip","non-dropping-particle":"","parse-names":false,"suffix":""},{"dropping-particle":"St.","family":"Pierre","given":"Louise","non-dropping-particle":"","parse-names":false,"suffix":""},{"dropping-particle":"","family":"Belletire","given":"Steve","non-dropping-particle":"","parse-names":false,"suffix":""}],"container-title":"Okala Practitioner: Integrating Ecological Design","id":"ITEM-1","issued":{"date-parts":[["2013"]]},"title":"Okala - the ecodesign strategy wheel","type":"article-journal"},"locator":"14","uris":["http://www.mendeley.com/documents/?uuid=45a1c20a-79e7-4ac2-a888-b7bc482794a3"]}],"mendeley":{"formattedCitation":"White, Pierre, and Belletire, 14.","plainTextFormattedCitation":"White, Pierre, and Belletire, 14.","previouslyFormattedCitation":"White, Pierre, and Belletire, 14."},"properties":{"noteIndex":139},"schema":"https://github.com/citation-style-language/schema/raw/master/csl-citation.json"}</w:instrText>
      </w:r>
      <w:r>
        <w:fldChar w:fldCharType="separate"/>
      </w:r>
      <w:r w:rsidRPr="00134133">
        <w:rPr>
          <w:noProof/>
        </w:rPr>
        <w:t>White, Pierre, and Belletire, 14.</w:t>
      </w:r>
      <w:r>
        <w:fldChar w:fldCharType="end"/>
      </w:r>
    </w:p>
  </w:footnote>
  <w:footnote w:id="141">
    <w:p w14:paraId="2EFD24A0" w14:textId="53A439FF" w:rsidR="00AB27A5" w:rsidRDefault="00AB27A5" w:rsidP="00753552">
      <w:pPr>
        <w:pStyle w:val="FootnoteText"/>
      </w:pPr>
      <w:r>
        <w:rPr>
          <w:rStyle w:val="FootnoteReference"/>
        </w:rPr>
        <w:footnoteRef/>
      </w:r>
      <w:r>
        <w:t xml:space="preserve"> </w:t>
      </w:r>
      <w:r>
        <w:fldChar w:fldCharType="begin" w:fldLock="1"/>
      </w:r>
      <w:r>
        <w:instrText>ADDIN CSL_CITATION {"citationItems":[{"id":"ITEM-1","itemData":{"author":[{"dropping-particle":"","family":"White","given":"Philip","non-dropping-particle":"","parse-names":false,"suffix":""},{"dropping-particle":"St.","family":"Pierre","given":"Louise","non-dropping-particle":"","parse-names":false,"suffix":""},{"dropping-particle":"","family":"Belletire","given":"Steve","non-dropping-particle":"","parse-names":false,"suffix":""}],"container-title":"Okala Practitioner: Integrating Ecological Design","id":"ITEM-1","issued":{"date-parts":[["2013"]]},"title":"Okala - the ecodesign strategy wheel","type":"article-journal"},"locator":"22","uris":["http://www.mendeley.com/documents/?uuid=45a1c20a-79e7-4ac2-a888-b7bc482794a3"]}],"mendeley":{"formattedCitation":"White, Pierre, and Belletire, 22.","plainTextFormattedCitation":"White, Pierre, and Belletire, 22.","previouslyFormattedCitation":"White, Pierre, and Belletire, 22."},"properties":{"noteIndex":140},"schema":"https://github.com/citation-style-language/schema/raw/master/csl-citation.json"}</w:instrText>
      </w:r>
      <w:r>
        <w:fldChar w:fldCharType="separate"/>
      </w:r>
      <w:r w:rsidRPr="002A239B">
        <w:rPr>
          <w:noProof/>
        </w:rPr>
        <w:t>White, Pierre, and Belletire, 22.</w:t>
      </w:r>
      <w:r>
        <w:fldChar w:fldCharType="end"/>
      </w:r>
    </w:p>
  </w:footnote>
  <w:footnote w:id="142">
    <w:p w14:paraId="4072CCEA" w14:textId="59486FE1" w:rsidR="00AB27A5" w:rsidRDefault="00AB27A5" w:rsidP="00753552">
      <w:pPr>
        <w:pStyle w:val="FootnoteText"/>
      </w:pPr>
      <w:r>
        <w:rPr>
          <w:rStyle w:val="FootnoteReference"/>
        </w:rPr>
        <w:footnoteRef/>
      </w:r>
      <w:r>
        <w:t xml:space="preserve"> </w:t>
      </w:r>
      <w:r>
        <w:fldChar w:fldCharType="begin" w:fldLock="1"/>
      </w:r>
      <w:r>
        <w:instrText>ADDIN CSL_CITATION {"citationItems":[{"id":"ITEM-1","itemData":{"author":[{"dropping-particle":"","family":"White","given":"Philip","non-dropping-particle":"","parse-names":false,"suffix":""},{"dropping-particle":"St.","family":"Pierre","given":"Louise","non-dropping-particle":"","parse-names":false,"suffix":""},{"dropping-particle":"","family":"Belletire","given":"Steve","non-dropping-particle":"","parse-names":false,"suffix":""}],"container-title":"Okala Practitioner: Integrating Ecological Design","id":"ITEM-1","issued":{"date-parts":[["2013"]]},"title":"Okala - the ecodesign strategy wheel","type":"article-journal"},"locator":"30","uris":["http://www.mendeley.com/documents/?uuid=45a1c20a-79e7-4ac2-a888-b7bc482794a3"]}],"mendeley":{"formattedCitation":"White, Pierre, and Belletire, 30.","plainTextFormattedCitation":"White, Pierre, and Belletire, 30.","previouslyFormattedCitation":"White, Pierre, and Belletire, 30."},"properties":{"noteIndex":141},"schema":"https://github.com/citation-style-language/schema/raw/master/csl-citation.json"}</w:instrText>
      </w:r>
      <w:r>
        <w:fldChar w:fldCharType="separate"/>
      </w:r>
      <w:r w:rsidRPr="00A32142">
        <w:rPr>
          <w:noProof/>
        </w:rPr>
        <w:t>White, Pierre, and Belletire, 30.</w:t>
      </w:r>
      <w:r>
        <w:fldChar w:fldCharType="end"/>
      </w:r>
    </w:p>
  </w:footnote>
  <w:footnote w:id="143">
    <w:p w14:paraId="0F2C0F18" w14:textId="781FD5D6" w:rsidR="00AB27A5" w:rsidRDefault="00AB27A5" w:rsidP="00753552">
      <w:pPr>
        <w:pStyle w:val="FootnoteText"/>
      </w:pPr>
      <w:r>
        <w:rPr>
          <w:rStyle w:val="FootnoteReference"/>
        </w:rPr>
        <w:footnoteRef/>
      </w:r>
      <w:r>
        <w:t xml:space="preserve"> </w:t>
      </w:r>
      <w:r>
        <w:fldChar w:fldCharType="begin" w:fldLock="1"/>
      </w:r>
      <w:r>
        <w:instrText>ADDIN CSL_CITATION {"citationItems":[{"id":"ITEM-1","itemData":{"author":[{"dropping-particle":"","family":"White","given":"Philip","non-dropping-particle":"","parse-names":false,"suffix":""},{"dropping-particle":"St.","family":"Pierre","given":"Louise","non-dropping-particle":"","parse-names":false,"suffix":""},{"dropping-particle":"","family":"Belletire","given":"Steve","non-dropping-particle":"","parse-names":false,"suffix":""}],"container-title":"Okala Practitioner: Integrating Ecological Design","id":"ITEM-1","issued":{"date-parts":[["2013"]]},"title":"Okala - the ecodesign strategy wheel","type":"article-journal"},"locator":"36","uris":["http://www.mendeley.com/documents/?uuid=45a1c20a-79e7-4ac2-a888-b7bc482794a3"]}],"mendeley":{"formattedCitation":"White, Pierre, and Belletire, 36.","plainTextFormattedCitation":"White, Pierre, and Belletire, 36.","previouslyFormattedCitation":"White, Pierre, and Belletire, 36."},"properties":{"noteIndex":142},"schema":"https://github.com/citation-style-language/schema/raw/master/csl-citation.json"}</w:instrText>
      </w:r>
      <w:r>
        <w:fldChar w:fldCharType="separate"/>
      </w:r>
      <w:r w:rsidRPr="00A0072A">
        <w:rPr>
          <w:noProof/>
        </w:rPr>
        <w:t>White, Pierre, and Belletire, 36.</w:t>
      </w:r>
      <w:r>
        <w:fldChar w:fldCharType="end"/>
      </w:r>
    </w:p>
  </w:footnote>
  <w:footnote w:id="144">
    <w:p w14:paraId="284BB648" w14:textId="150AB577" w:rsidR="00AB27A5" w:rsidRDefault="00AB27A5" w:rsidP="00753552">
      <w:pPr>
        <w:pStyle w:val="FootnoteText"/>
      </w:pPr>
      <w:r>
        <w:rPr>
          <w:rStyle w:val="FootnoteReference"/>
        </w:rPr>
        <w:footnoteRef/>
      </w:r>
      <w:r>
        <w:t xml:space="preserve"> </w:t>
      </w:r>
      <w:r>
        <w:fldChar w:fldCharType="begin" w:fldLock="1"/>
      </w:r>
      <w:r>
        <w:instrText>ADDIN CSL_CITATION {"citationItems":[{"id":"ITEM-1","itemData":{"author":[{"dropping-particle":"","family":"White","given":"Philip","non-dropping-particle":"","parse-names":false,"suffix":""},{"dropping-particle":"St.","family":"Pierre","given":"Louise","non-dropping-particle":"","parse-names":false,"suffix":""},{"dropping-particle":"","family":"Belletire","given":"Steve","non-dropping-particle":"","parse-names":false,"suffix":""}],"container-title":"Okala Practitioner: Integrating Ecological Design","id":"ITEM-1","issued":{"date-parts":[["2013"]]},"title":"Okala - the ecodesign strategy wheel","type":"article-journal"},"locator":"43","uris":["http://www.mendeley.com/documents/?uuid=45a1c20a-79e7-4ac2-a888-b7bc482794a3"]}],"mendeley":{"formattedCitation":"White, Pierre, and Belletire, 43.","plainTextFormattedCitation":"White, Pierre, and Belletire, 43.","previouslyFormattedCitation":"White, Pierre, and Belletire, 43."},"properties":{"noteIndex":143},"schema":"https://github.com/citation-style-language/schema/raw/master/csl-citation.json"}</w:instrText>
      </w:r>
      <w:r>
        <w:fldChar w:fldCharType="separate"/>
      </w:r>
      <w:r w:rsidRPr="00E859BE">
        <w:rPr>
          <w:noProof/>
        </w:rPr>
        <w:t>White, Pierre, and Belletire, 43.</w:t>
      </w:r>
      <w:r>
        <w:fldChar w:fldCharType="end"/>
      </w:r>
    </w:p>
  </w:footnote>
  <w:footnote w:id="145">
    <w:p w14:paraId="7B9CA239" w14:textId="2FA6BAF6" w:rsidR="00AB27A5" w:rsidRDefault="00AB27A5" w:rsidP="00753552">
      <w:pPr>
        <w:pStyle w:val="FootnoteText"/>
      </w:pPr>
      <w:r>
        <w:rPr>
          <w:rStyle w:val="FootnoteReference"/>
        </w:rPr>
        <w:footnoteRef/>
      </w:r>
      <w:r>
        <w:t xml:space="preserve"> </w:t>
      </w:r>
      <w:r>
        <w:fldChar w:fldCharType="begin" w:fldLock="1"/>
      </w:r>
      <w:r>
        <w:instrText>ADDIN CSL_CITATION {"citationItems":[{"id":"ITEM-1","itemData":{"author":[{"dropping-particle":"","family":"White","given":"Philip","non-dropping-particle":"","parse-names":false,"suffix":""},{"dropping-particle":"St.","family":"Pierre","given":"Louise","non-dropping-particle":"","parse-names":false,"suffix":""},{"dropping-particle":"","family":"Belletire","given":"Steve","non-dropping-particle":"","parse-names":false,"suffix":""}],"container-title":"Okala Practitioner: Integrating Ecological Design","id":"ITEM-1","issued":{"date-parts":[["2013"]]},"title":"Okala - the ecodesign strategy wheel","type":"article-journal"},"locator":"49","uris":["http://www.mendeley.com/documents/?uuid=45a1c20a-79e7-4ac2-a888-b7bc482794a3"]}],"mendeley":{"formattedCitation":"White, Pierre, and Belletire, 49.","plainTextFormattedCitation":"White, Pierre, and Belletire, 49.","previouslyFormattedCitation":"White, Pierre, and Belletire, 49."},"properties":{"noteIndex":144},"schema":"https://github.com/citation-style-language/schema/raw/master/csl-citation.json"}</w:instrText>
      </w:r>
      <w:r>
        <w:fldChar w:fldCharType="separate"/>
      </w:r>
      <w:r w:rsidRPr="00CA6D2E">
        <w:rPr>
          <w:noProof/>
        </w:rPr>
        <w:t>White, Pierre, and Belletire, 49.</w:t>
      </w:r>
      <w:r>
        <w:fldChar w:fldCharType="end"/>
      </w:r>
    </w:p>
  </w:footnote>
  <w:footnote w:id="146">
    <w:p w14:paraId="43085C25" w14:textId="67208CBC" w:rsidR="00AB27A5" w:rsidRDefault="00AB27A5" w:rsidP="00753552">
      <w:pPr>
        <w:pStyle w:val="FootnoteText"/>
      </w:pPr>
      <w:r>
        <w:rPr>
          <w:rStyle w:val="FootnoteReference"/>
        </w:rPr>
        <w:footnoteRef/>
      </w:r>
      <w:r>
        <w:t xml:space="preserve"> </w:t>
      </w:r>
      <w:r>
        <w:fldChar w:fldCharType="begin" w:fldLock="1"/>
      </w:r>
      <w:r>
        <w:instrText>ADDIN CSL_CITATION {"citationItems":[{"id":"ITEM-1","itemData":{"author":[{"dropping-particle":"","family":"White","given":"Philip","non-dropping-particle":"","parse-names":false,"suffix":""},{"dropping-particle":"St.","family":"Pierre","given":"Louise","non-dropping-particle":"","parse-names":false,"suffix":""},{"dropping-particle":"","family":"Belletire","given":"Steve","non-dropping-particle":"","parse-names":false,"suffix":""}],"container-title":"Okala Practitioner: Integrating Ecological Design","id":"ITEM-1","issued":{"date-parts":[["2013"]]},"title":"Okala - the ecodesign strategy wheel","type":"article-journal"},"locator":"53","uris":["http://www.mendeley.com/documents/?uuid=45a1c20a-79e7-4ac2-a888-b7bc482794a3"]}],"mendeley":{"formattedCitation":"White, Pierre, and Belletire, 53.","plainTextFormattedCitation":"White, Pierre, and Belletire, 53.","previouslyFormattedCitation":"White, Pierre, and Belletire, 53."},"properties":{"noteIndex":145},"schema":"https://github.com/citation-style-language/schema/raw/master/csl-citation.json"}</w:instrText>
      </w:r>
      <w:r>
        <w:fldChar w:fldCharType="separate"/>
      </w:r>
      <w:r w:rsidRPr="00DC0738">
        <w:rPr>
          <w:noProof/>
        </w:rPr>
        <w:t>White, Pierre, and Belletire, 53.</w:t>
      </w:r>
      <w:r>
        <w:fldChar w:fldCharType="end"/>
      </w:r>
    </w:p>
  </w:footnote>
  <w:footnote w:id="147">
    <w:p w14:paraId="32C3BF99" w14:textId="451C71ED" w:rsidR="00AB27A5" w:rsidRDefault="00AB27A5" w:rsidP="00753552">
      <w:pPr>
        <w:pStyle w:val="FootnoteText"/>
      </w:pPr>
      <w:r w:rsidRPr="00D05B51">
        <w:rPr>
          <w:rStyle w:val="FootnoteReference"/>
        </w:rPr>
        <w:footnoteRef/>
      </w:r>
      <w:r>
        <w:t xml:space="preserve"> </w:t>
      </w:r>
      <w:r>
        <w:fldChar w:fldCharType="begin" w:fldLock="1"/>
      </w:r>
      <w:r>
        <w:instrText>ADDIN CSL_CITATION {"citationItems":[{"id":"ITEM-1","itemData":{"author":[{"dropping-particle":"","family":"LeadingGreen","given":"","non-dropping-particle":"","parse-names":false,"suffix":""}],"id":"ITEM-1","issued":{"date-parts":[["2017"]]},"title":"LEED Green Associate Study Guide v4 Edition","type":"article"},"locator":"6","uris":["http://www.mendeley.com/documents/?uuid=d0863531-6b8e-469f-931e-d880e1ff0689"]}],"mendeley":{"formattedCitation":"LeadingGreen, “LEED Green Associate Study Guide v4 Edition,” 6.","plainTextFormattedCitation":"LeadingGreen, “LEED Green Associate Study Guide v4 Edition,” 6.","previouslyFormattedCitation":"LeadingGreen, “LEED Green Associate Study Guide v4 Edition,” 6."},"properties":{"noteIndex":146},"schema":"https://github.com/citation-style-language/schema/raw/master/csl-citation.json"}</w:instrText>
      </w:r>
      <w:r>
        <w:fldChar w:fldCharType="separate"/>
      </w:r>
      <w:r w:rsidRPr="004F31DB">
        <w:rPr>
          <w:noProof/>
        </w:rPr>
        <w:t>LeadingGreen, “LEED Green Associate Study Guide v4 Edition,” 6.</w:t>
      </w:r>
      <w:r>
        <w:fldChar w:fldCharType="end"/>
      </w:r>
    </w:p>
  </w:footnote>
  <w:footnote w:id="148">
    <w:p w14:paraId="1A9A275A" w14:textId="4CD4DA5C" w:rsidR="00AB27A5" w:rsidRDefault="00AB27A5" w:rsidP="00753552">
      <w:pPr>
        <w:pStyle w:val="FootnoteText"/>
      </w:pPr>
      <w:r w:rsidRPr="00D05B51">
        <w:rPr>
          <w:rStyle w:val="FootnoteReference"/>
        </w:rPr>
        <w:footnoteRef/>
      </w:r>
      <w:r>
        <w:t xml:space="preserve"> </w:t>
      </w:r>
      <w:r>
        <w:fldChar w:fldCharType="begin" w:fldLock="1"/>
      </w:r>
      <w:r>
        <w:instrText>ADDIN CSL_CITATION {"citationItems":[{"id":"ITEM-1","itemData":{"author":[{"dropping-particle":"","family":"LeadingGreen","given":"","non-dropping-particle":"","parse-names":false,"suffix":""}],"id":"ITEM-1","issued":{"date-parts":[["2017"]]},"title":"LEED Green Associate Study Guide v4 Edition","type":"article"},"locator":"28","uris":["http://www.mendeley.com/documents/?uuid=d0863531-6b8e-469f-931e-d880e1ff0689"]}],"mendeley":{"formattedCitation":"LeadingGreen, 28.","plainTextFormattedCitation":"LeadingGreen, 28.","previouslyFormattedCitation":"LeadingGreen, 28."},"properties":{"noteIndex":147},"schema":"https://github.com/citation-style-language/schema/raw/master/csl-citation.json"}</w:instrText>
      </w:r>
      <w:r>
        <w:fldChar w:fldCharType="separate"/>
      </w:r>
      <w:r w:rsidRPr="000723E6">
        <w:rPr>
          <w:noProof/>
        </w:rPr>
        <w:t>LeadingGreen, 28.</w:t>
      </w:r>
      <w:r>
        <w:fldChar w:fldCharType="end"/>
      </w:r>
    </w:p>
  </w:footnote>
  <w:footnote w:id="149">
    <w:p w14:paraId="71BCB464" w14:textId="19A027FA" w:rsidR="00AB27A5" w:rsidRDefault="00AB27A5" w:rsidP="00F26523">
      <w:pPr>
        <w:pStyle w:val="FootnoteText"/>
      </w:pPr>
      <w:r w:rsidRPr="00D05B51">
        <w:rPr>
          <w:rStyle w:val="FootnoteReference"/>
        </w:rPr>
        <w:footnoteRef/>
      </w:r>
      <w:r>
        <w:t xml:space="preserve"> </w:t>
      </w:r>
      <w:r>
        <w:fldChar w:fldCharType="begin" w:fldLock="1"/>
      </w:r>
      <w:r>
        <w:instrText>ADDIN CSL_CITATION {"citationItems":[{"id":"ITEM-1","itemData":{"abstract":"Post-disaster recovery processes should be considered as opportunities for development, by revitalizing the local economy and upgrading livelihoods and living conditions. Social capital, which is defined as a function of trust, social norms, participation, and network, can play an important role in recovery. This paper examines the role of social capital in the post earthquake rehabilitation and reconstruction programs in two cases: Kobe, Japan and Gujarat, India. The Kobe case study shows that the community with social capital and with a tradition of community activities can pro-actively participate in the reconstruction program, and thereby can make a successful and speedy recovery. A model for bonding, bridging and linking social capital was developed from the Kobe experience, and was applied to Gujarat in four different communities. It was observed that the community with social capital records the highest satisfaction rate for the new town planning and has the speediest recovery rate. The role of community leaders has been prominent in utilizing social capital in the recovery process, and facilitating collective decision-making. Thus, although the two case studies differ in socio-economic and cultural contexts, the community’s social capital and leadership are found to be the most effective elements in both cases in enhancing collective actions and disaster recovery","author":[{"dropping-particle":"","family":"Shaw","given":"Rajib","non-dropping-particle":"","parse-names":false,"suffix":""},{"dropping-particle":"","family":"Nakagawa","given":"Yuko","non-dropping-particle":"","parse-names":false,"suffix":""}],"container-title":"International Journal of Mass Emergencies and Disasters","id":"ITEM-1","issue":"March","issued":{"date-parts":[["2004"]]},"page":"5-34","title":"Social Capital : A Missing Link to Disaster Recovery","type":"article-journal","volume":"22"},"locator":"5","uris":["http://www.mendeley.com/documents/?uuid=bd1e5b0f-f119-4504-b268-7f3089faf0cb"]}],"mendeley":{"formattedCitation":"Rajib Shaw and Yuko Nakagawa, “Social Capital : A Missing Link to Disaster Recovery,” &lt;i&gt;International Journal of Mass Emergencies and Disasters&lt;/i&gt; 22, no. March (2004): 5.","plainTextFormattedCitation":"Rajib Shaw and Yuko Nakagawa, “Social Capital : A Missing Link to Disaster Recovery,” International Journal of Mass Emergencies and Disasters 22, no. March (2004): 5.","previouslyFormattedCitation":"Rajib Shaw and Yuko Nakagawa, “Social Capital : A Missing Link to Disaster Recovery,” &lt;i&gt;International Journal of Mass Emergencies and Disasters&lt;/i&gt; 22, no. March (2004): 5."},"properties":{"noteIndex":148},"schema":"https://github.com/citation-style-language/schema/raw/master/csl-citation.json"}</w:instrText>
      </w:r>
      <w:r>
        <w:fldChar w:fldCharType="separate"/>
      </w:r>
      <w:r w:rsidRPr="00664F4B">
        <w:rPr>
          <w:noProof/>
        </w:rPr>
        <w:t xml:space="preserve">Rajib Shaw and Yuko Nakagawa, “Social Capital : A Missing Link to Disaster Recovery,” </w:t>
      </w:r>
      <w:r w:rsidRPr="00664F4B">
        <w:rPr>
          <w:i/>
          <w:noProof/>
        </w:rPr>
        <w:t>International Journal of Mass Emergencies and Disasters</w:t>
      </w:r>
      <w:r w:rsidRPr="00664F4B">
        <w:rPr>
          <w:noProof/>
        </w:rPr>
        <w:t xml:space="preserve"> 22, no. March (2004): 5.</w:t>
      </w:r>
      <w:r>
        <w:fldChar w:fldCharType="end"/>
      </w:r>
    </w:p>
  </w:footnote>
  <w:footnote w:id="150">
    <w:p w14:paraId="2BD310E6" w14:textId="420ADD7D"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{"citationItems":[{"id":"ITEM-1","itemData":{"abstract":"Post-disaster recovery processes should be considered as opportunities for development, by revitalizing the local economy and upgrading livelihoods and living conditions. Social capital, which is defined as a function of trust, social norms, participation, and network, can play an important role in recovery. This paper examines the role of social capital in the post earthquake rehabilitation and reconstruction programs in two cases: Kobe, Japan and Gujarat, India. The Kobe case study shows that the community with social capital and with a tradition of community activities can pro-actively participate in the reconstruction program, and thereby can make a successful and speedy recovery. A model for bonding, bridging and linking social capital was developed from the Kobe experience, and was applied to Gujarat in four different communities. It was observed that the community with social capital records the highest satisfaction rate for the new town planning and has the speediest recovery rate. The role of community leaders has been prominent in utilizing social capital in the recovery process, and facilitating collective decision-making. Thus, although the two case studies differ in socio-economic and cultural contexts, the community’s social capital and leadership are found to be the most effective elements in both cases in enhancing collective actions and disaster recovery","author":[{"dropping-particle":"","family":"Shaw","given":"Rajib","non-dropping-particle":"","parse-names":false,"suffix":""},{"dropping-particle":"","family":"Nakagawa","given":"Yuko","non-dropping-particle":"","parse-names":false,"suffix":""}],"container-title":"International Journal of Mass Emergencies and Disasters","id":"ITEM-1","issue":"March","issued":{"date-parts":[["2004"]]},"page":"5-34","title":"Social Capital : A Missing Link to Disaster Recovery","type":"article-journal","volume":"22"},"locator":"16","uris":["http://www.mendeley.com/documents/?uuid=bd1e5b0f-f119-4504-b268-7f3089faf0cb"]}],"mendeley":{"formattedCitation":"Shaw and Nakagawa, 16.","plainTextFormattedCitation":"Shaw and Nakagawa, 16.","previouslyFormattedCitation":"Shaw and Nakagawa, 16."},"properties":{"noteIndex":149},"schema":"https://github.com/citation-style-language/schema/raw/master/csl-citation.json"}</w:instrText>
      </w:r>
      <w:r>
        <w:fldChar w:fldCharType="separate"/>
      </w:r>
      <w:r w:rsidRPr="00811172">
        <w:rPr>
          <w:noProof/>
        </w:rPr>
        <w:t>Shaw and Nakagawa, 16.</w:t>
      </w:r>
      <w:r>
        <w:fldChar w:fldCharType="end"/>
      </w:r>
    </w:p>
  </w:footnote>
  <w:footnote w:id="151">
    <w:p w14:paraId="6D7E2837" w14:textId="14E0958B"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{"citationItems":[{"id":"ITEM-1","itemData":{"abstract":"Post-disaster recovery processes should be considered as opportunities for development, by revitalizing the local economy and upgrading livelihoods and living conditions. Social capital, which is defined as a function of trust, social norms, participation, and network, can play an important role in recovery. This paper examines the role of social capital in the post earthquake rehabilitation and reconstruction programs in two cases: Kobe, Japan and Gujarat, India. The Kobe case study shows that the community with social capital and with a tradition of community activities can pro-actively participate in the reconstruction program, and thereby can make a successful and speedy recovery. A model for bonding, bridging and linking social capital was developed from the Kobe experience, and was applied to Gujarat in four different communities. It was observed that the community with social capital records the highest satisfaction rate for the new town planning and has the speediest recovery rate. The role of community leaders has been prominent in utilizing social capital in the recovery process, and facilitating collective decision-making. Thus, although the two case studies differ in socio-economic and cultural contexts, the community’s social capital and leadership are found to be the most effective elements in both cases in enhancing collective actions and disaster recovery","author":[{"dropping-particle":"","family":"Shaw","given":"Rajib","non-dropping-particle":"","parse-names":false,"suffix":""},{"dropping-particle":"","family":"Nakagawa","given":"Yuko","non-dropping-particle":"","parse-names":false,"suffix":""}],"container-title":"International Journal of Mass Emergencies and Disasters","id":"ITEM-1","issue":"March","issued":{"date-parts":[["2004"]]},"page":"5-34","title":"Social Capital : A Missing Link to Disaster Recovery","type":"article-journal","volume":"22"},"locator":"17","uris":["http://www.mendeley.com/documents/?uuid=bd1e5b0f-f119-4504-b268-7f3089faf0cb"]}],"mendeley":{"formattedCitation":"Shaw and Nakagawa, 17.","plainTextFormattedCitation":"Shaw and Nakagawa, 17.","previouslyFormattedCitation":"Shaw and Nakagawa, 17."},"properties":{"noteIndex":150},"schema":"https://github.com/citation-style-language/schema/raw/master/csl-citation.json"}</w:instrText>
      </w:r>
      <w:r>
        <w:fldChar w:fldCharType="separate"/>
      </w:r>
      <w:r w:rsidRPr="00FD7124">
        <w:rPr>
          <w:noProof/>
        </w:rPr>
        <w:t>Shaw and Nakagawa, 17.</w:t>
      </w:r>
      <w:r>
        <w:fldChar w:fldCharType="end"/>
      </w:r>
    </w:p>
  </w:footnote>
  <w:footnote w:id="152">
    <w:p w14:paraId="5AC40DE8" w14:textId="3FB822D7"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{"citationItems":[{"id":"ITEM-1","itemData":{"DOI":"10.1177/0002764214550299","abstract":"Despite the ubiquity of disaster and the increasing toll in human lives and financial costs, much research and policy remain focused on physical infrastructure-centered approaches to such events. Governmental organizations such as the Development continue to spend heavily on hardening levees, raising existing homes, and repairing damaged facilities despite evidence that social, not physical, infrastructure drives resilience. This article highlights the critical role of social capital and networks in disaster survival and recovery and lays out recent literature and evidence on the topic. We look at definitions of social capital, measurement and proxies, types of social capital, and mechanisms and application. The article concludes with concrete policy recommendations for disaster managers, government decision makers, and nongovernmental organizations for increasing resilience to catastrophe through strengthening social infrastructure at the community level. Keywords community resilience, social capital, disaster recovery, mortality, public policy, disaster Catastrophes and disasters regularly affect more people around the world than highly publicized, but rarer, events such as terrorist attacks. In March 2011, the 9.0 magnitude earthquake, tsunami, and nuclear meltdowns in Tohoku, Japan, killed more than 18,500 people and displaced nearly half a million. In November 2013, Typhoon","author":[{"dropping-particle":"","family":"Aldrich","given":"Daniel P","non-dropping-particle":"","parse-names":false,"suffix":""},{"dropping-particle":"","family":"Meyer","given":"Michelle A","non-dropping-particle":"","parse-names":false,"suffix":""}],"container-title":"American Behavioral Scientist","id":"ITEM-1","issue":"2","issued":{"date-parts":[["2015"]]},"page":"254-269","publisher":"Sage","title":"Social Capital and Community Resilience","type":"article-journal","volume":"59"},"locator":"256","uris":["http://www.mendeley.com/documents/?uuid=7c28b1a2-fc94-3c76-9c3b-ea640c398b28"]}],"mendeley":{"formattedCitation":"Daniel P Aldrich and Michelle A Meyer, “Social Capital and Community Resilience,” &lt;i&gt;American Behavioral Scientist&lt;/i&gt; 59, no. 2 (2015): 256, https://doi.org/10.1177/0002764214550299.","plainTextFormattedCitation":"Daniel P Aldrich and Michelle A Meyer, “Social Capital and Community Resilience,” American Behavioral Scientist 59, no. 2 (2015): 256, https://doi.org/10.1177/0002764214550299.","previouslyFormattedCitation":"Daniel P Aldrich and Michelle A Meyer, “Social Capital and Community Resilience,” &lt;i&gt;American Behavioral Scientist&lt;/i&gt; 59, no. 2 (2015): 256, https://doi.org/10.1177/0002764214550299."},"properties":{"noteIndex":151},"schema":"https://github.com/citation-style-language/schema/raw/master/csl-citation.json"}</w:instrText>
      </w:r>
      <w:r>
        <w:fldChar w:fldCharType="separate"/>
      </w:r>
      <w:r w:rsidRPr="00101DC3">
        <w:rPr>
          <w:noProof/>
        </w:rPr>
        <w:t xml:space="preserve">Daniel P Aldrich and Michelle A Meyer, “Social Capital and Community Resilience,” </w:t>
      </w:r>
      <w:r w:rsidRPr="00101DC3">
        <w:rPr>
          <w:i/>
          <w:noProof/>
        </w:rPr>
        <w:t>American Behavioral Scientist</w:t>
      </w:r>
      <w:r w:rsidRPr="00101DC3">
        <w:rPr>
          <w:noProof/>
        </w:rPr>
        <w:t xml:space="preserve"> 59, no. 2 (2015): 256, https://doi.org/10.1177/0002764214550299.</w:t>
      </w:r>
      <w:r>
        <w:fldChar w:fldCharType="end"/>
      </w:r>
    </w:p>
  </w:footnote>
  <w:footnote w:id="153">
    <w:p w14:paraId="7F43C445" w14:textId="485B1427"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{"citationItems":[{"id":"ITEM-1","itemData":{"DOI":"10.1177/0002764214550299","abstract":"Despite the ubiquity of disaster and the increasing toll in human lives and financial costs, much research and policy remain focused on physical infrastructure-centered approaches to such events. Governmental organizations such as the Development continue to spend heavily on hardening levees, raising existing homes, and repairing damaged facilities despite evidence that social, not physical, infrastructure drives resilience. This article highlights the critical role of social capital and networks in disaster survival and recovery and lays out recent literature and evidence on the topic. We look at definitions of social capital, measurement and proxies, types of social capital, and mechanisms and application. The article concludes with concrete policy recommendations for disaster managers, government decision makers, and nongovernmental organizations for increasing resilience to catastrophe through strengthening social infrastructure at the community level. Keywords community resilience, social capital, disaster recovery, mortality, public policy, disaster Catastrophes and disasters regularly affect more people around the world than highly publicized, but rarer, events such as terrorist attacks. In March 2011, the 9.0 magnitude earthquake, tsunami, and nuclear meltdowns in Tohoku, Japan, killed more than 18,500 people and displaced nearly half a million. In November 2013, Typhoon","author":[{"dropping-particle":"","family":"Aldrich","given":"Daniel P","non-dropping-particle":"","parse-names":false,"suffix":""},{"dropping-particle":"","family":"Meyer","given":"Michelle A","non-dropping-particle":"","parse-names":false,"suffix":""}],"container-title":"American Behavioral Scientist","id":"ITEM-1","issue":"2","issued":{"date-parts":[["2015"]]},"page":"254-269","publisher":"Sage","title":"Social Capital and Community Resilience","type":"article-journal","volume":"59"},"locator":"260","uris":["http://www.mendeley.com/documents/?uuid=7c28b1a2-fc94-3c76-9c3b-ea640c398b28"]}],"mendeley":{"formattedCitation":"Aldrich and Meyer, 260.","plainTextFormattedCitation":"Aldrich and Meyer, 260.","previouslyFormattedCitation":"Aldrich and Meyer, 260."},"properties":{"noteIndex":152},"schema":"https://github.com/citation-style-language/schema/raw/master/csl-citation.json"}</w:instrText>
      </w:r>
      <w:r>
        <w:fldChar w:fldCharType="separate"/>
      </w:r>
      <w:r w:rsidRPr="005906D4">
        <w:rPr>
          <w:noProof/>
        </w:rPr>
        <w:t>Aldrich and Meyer, 260.</w:t>
      </w:r>
      <w:r>
        <w:fldChar w:fldCharType="end"/>
      </w:r>
    </w:p>
  </w:footnote>
  <w:footnote w:id="154">
    <w:p w14:paraId="1689C640" w14:textId="382475F0"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{"citationItems":[{"id":"ITEM-1","itemData":{"author":[{"dropping-particle":"","family":"Brisson","given":"Daniel S","non-dropping-particle":"","parse-names":false,"suffix":""},{"dropping-particle":"","family":"Usher","given":"Charles L","non-dropping-particle":"","parse-names":false,"suffix":""}],"container-title":"Source: Family Relations","id":"ITEM-1","issue":"5","issued":{"date-parts":[["2005"]]},"number-of-pages":"644-653","title":"Bonding Social Capital in Low-Income Neighborhoods","type":"report","volume":"54"},"locator":"646","uris":["http://www.mendeley.com/documents/?uuid=41dabf73-e41c-3efc-9684-eb8eb8d61d37"]}],"mendeley":{"formattedCitation":"Daniel S Brisson and Charles L Usher, “Bonding Social Capital in Low-Income Neighborhoods,” &lt;i&gt;Source: Family Relations&lt;/i&gt;, vol. 54, 2005, 646, https://www-jstor-org.ezproxy.lib.ou.edu/stable/pdf/40005268.pdf?refreqid=excelsior%3Ac12e1900d0be10ec2f487d174a01a32b.","plainTextFormattedCitation":"Daniel S Brisson and Charles L Usher, “Bonding Social Capital in Low-Income Neighborhoods,” Source: Family Relations, vol. 54, 2005, 646, https://www-jstor-org.ezproxy.lib.ou.edu/stable/pdf/40005268.pdf?refreqid=excelsior%3Ac12e1900d0be10ec2f487d174a01a32b.","previouslyFormattedCitation":"Daniel S Brisson and Charles L Usher, “Bonding Social Capital in Low-Income Neighborhoods,” &lt;i&gt;Source: Family Relations&lt;/i&gt;, vol. 54, 2005, 646, https://www-jstor-org.ezproxy.lib.ou.edu/stable/pdf/40005268.pdf?refreqid=excelsior%3Ac12e1900d0be10ec2f487d174a01a32b."},"properties":{"noteIndex":153},"schema":"https://github.com/citation-style-language/schema/raw/master/csl-citation.json"}</w:instrText>
      </w:r>
      <w:r>
        <w:fldChar w:fldCharType="separate"/>
      </w:r>
      <w:r w:rsidRPr="00FB0659">
        <w:rPr>
          <w:noProof/>
        </w:rPr>
        <w:t xml:space="preserve">Daniel S Brisson and Charles L Usher, “Bonding Social Capital in Low-Income Neighborhoods,” </w:t>
      </w:r>
      <w:r w:rsidRPr="00FB0659">
        <w:rPr>
          <w:i/>
          <w:noProof/>
        </w:rPr>
        <w:t>Source: Family Relations</w:t>
      </w:r>
      <w:r w:rsidRPr="00FB0659">
        <w:rPr>
          <w:noProof/>
        </w:rPr>
        <w:t>, vol. 54, 2005, 646, https://www-jstor-org.ezproxy.lib.ou.edu/stable/pdf/40005268.pdf?refreqid=excelsior%3Ac12e1900d0be10ec2f487d174a01a32b.</w:t>
      </w:r>
      <w:r>
        <w:fldChar w:fldCharType="end"/>
      </w:r>
    </w:p>
  </w:footnote>
  <w:footnote w:id="155">
    <w:p w14:paraId="0AC75099" w14:textId="17227CDF"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Lash","given":"Dave","non-dropping-particle":"","parse-names":false,"suffix":""},{"dropping-particle":"","family":"Belfiore","given":"Grace","non-dropping-particle":"","parse-names":false,"suffix":""}],"container-title":"MyWays Student Success Series - Next Generation Learning Challenge","id":"ITEM-1","issued":{"date-parts":[["2017"]]},"title":"5 Essentials in Building Social Capital","type":"report"},"locator":"2","uris":["http://www.mendeley.com/documents/?uuid=eac51e72-fdfa-34bb-97b7-5b0127a5b6fd"]}],"mendeley":{"formattedCitation":"Dave Lash and Grace Belfiore, “5 Essentials in Building Social Capital,” &lt;i&gt;MyWays Student Success Series - Next Generation Learning Challenge&lt;/i&gt;, 2017, 2, https://s3.amazonaws.com/nglc/resource-files/MyWays_04Essentials.pdf.","plainTextFormattedCitation":"Dave Lash and Grace Belfiore, “5 Essentials in Building Social Capital,” MyWays Student Success Series - Next Generation Learning Challenge, 2017, 2, https://s3.amazonaws.com/nglc/resource-files/MyWays_04Essentials.pdf.","previouslyFormattedCitation":"Dave Lash and Grace Belfiore, “5 Essentials in Building Social Capital,” &lt;i&gt;MyWays Student Success Series - Next Generation Learning Challenge&lt;/i&gt;, 2017, 2, https://s3.amazonaws.com/nglc/resource-files/MyWays_04Essentials.pdf."},"properties":{"noteIndex":154},"schema":"https://github.com/citation-style-language/schema/raw/master/csl-citation.json"}</w:instrText>
      </w:r>
      <w:r>
        <w:fldChar w:fldCharType="separate"/>
      </w:r>
      <w:r w:rsidRPr="00FB0659">
        <w:rPr>
          <w:noProof/>
        </w:rPr>
        <w:t xml:space="preserve">Dave Lash and Grace Belfiore, “5 Essentials in Building Social Capital,” </w:t>
      </w:r>
      <w:r w:rsidRPr="00FB0659">
        <w:rPr>
          <w:i/>
          <w:noProof/>
        </w:rPr>
        <w:t>MyWays Student Success Series - Next Generation Learning Challenge</w:t>
      </w:r>
      <w:r w:rsidRPr="00FB0659">
        <w:rPr>
          <w:noProof/>
        </w:rPr>
        <w:t>, 2017, 2, https://s3.amazonaws.com/nglc/resource-files/MyWays_04Essentials.pdf.</w:t>
      </w:r>
      <w:r>
        <w:fldChar w:fldCharType="end"/>
      </w:r>
    </w:p>
  </w:footnote>
  <w:footnote w:id="156">
    <w:p w14:paraId="28358658" w14:textId="49FE6031"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Lash","given":"Dave","non-dropping-particle":"","parse-names":false,"suffix":""},{"dropping-particle":"","family":"Belfiore","given":"Grace","non-dropping-particle":"","parse-names":false,"suffix":""}],"container-title":"MyWays Student Success Series - Next Generation Learning Challenge","id":"ITEM-1","issued":{"date-parts":[["2017"]]},"title":"5 Essentials in Building Social Capital","type":"report"},"locator":"7","uris":["http://www.mendeley.com/documents/?uuid=eac51e72-fdfa-34bb-97b7-5b0127a5b6fd"]}],"mendeley":{"formattedCitation":"Lash and Belfiore, 7.","plainTextFormattedCitation":"Lash and Belfiore, 7.","previouslyFormattedCitation":"Lash and Belfiore, 7."},"properties":{"noteIndex":155},"schema":"https://github.com/citation-style-language/schema/raw/master/csl-citation.json"}</w:instrText>
      </w:r>
      <w:r>
        <w:fldChar w:fldCharType="separate"/>
      </w:r>
      <w:r w:rsidRPr="00FB0659">
        <w:rPr>
          <w:noProof/>
        </w:rPr>
        <w:t>Lash and Belfiore, 7.</w:t>
      </w:r>
      <w:r>
        <w:fldChar w:fldCharType="end"/>
      </w:r>
    </w:p>
  </w:footnote>
  <w:footnote w:id="157">
    <w:p w14:paraId="14EBBBFB" w14:textId="6665BB88"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Lash","given":"Dave","non-dropping-particle":"","parse-names":false,"suffix":""},{"dropping-particle":"","family":"Belfiore","given":"Grace","non-dropping-particle":"","parse-names":false,"suffix":""}],"container-title":"MyWays Student Success Series - Next Generation Learning Challenge","id":"ITEM-1","issued":{"date-parts":[["2017"]]},"title":"5 Essentials in Building Social Capital","type":"report"},"locator":"7","uris":["http://www.mendeley.com/documents/?uuid=eac51e72-fdfa-34bb-97b7-5b0127a5b6fd"]}],"mendeley":{"formattedCitation":"Lash and Belfiore, 7.","plainTextFormattedCitation":"Lash and Belfiore, 7.","previouslyFormattedCitation":"Lash and Belfiore, 7."},"properties":{"noteIndex":156},"schema":"https://github.com/citation-style-language/schema/raw/master/csl-citation.json"}</w:instrText>
      </w:r>
      <w:r>
        <w:fldChar w:fldCharType="separate"/>
      </w:r>
      <w:r w:rsidRPr="00FB0659">
        <w:rPr>
          <w:noProof/>
        </w:rPr>
        <w:t>Lash and Belfiore, 7.</w:t>
      </w:r>
      <w:r>
        <w:fldChar w:fldCharType="end"/>
      </w:r>
    </w:p>
  </w:footnote>
  <w:footnote w:id="158">
    <w:p w14:paraId="5B892599" w14:textId="1F83B74C"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{"citationItems":[{"id":"ITEM-1","itemData":{"author":[{"dropping-particle":"","family":"Brisson","given":"Daniel S","non-dropping-particle":"","parse-names":false,"suffix":""},{"dropping-particle":"","family":"Usher","given":"Charles L","non-dropping-particle":"","parse-names":false,"suffix":""}],"container-title":"Source: Family Relations","id":"ITEM-1","issue":"5","issued":{"date-parts":[["2005"]]},"number-of-pages":"644-653","title":"Bonding Social Capital in Low-Income Neighborhoods","type":"report","volume":"54"},"locator":"646","uris":["http://www.mendeley.com/documents/?uuid=41dabf73-e41c-3efc-9684-eb8eb8d61d37"]}],"mendeley":{"formattedCitation":"Brisson and Usher, “Bonding Social Capital in Low-Income Neighborhoods,” 54:646.","plainTextFormattedCitation":"Brisson and Usher, “Bonding Social Capital in Low-Income Neighborhoods,” 54:646.","previouslyFormattedCitation":"Brisson and Usher, “Bonding Social Capital in Low-Income Neighborhoods,” 54:646."},"properties":{"noteIndex":157},"schema":"https://github.com/citation-style-language/schema/raw/master/csl-citation.json"}</w:instrText>
      </w:r>
      <w:r>
        <w:fldChar w:fldCharType="separate"/>
      </w:r>
      <w:r w:rsidRPr="00FB0659">
        <w:rPr>
          <w:noProof/>
        </w:rPr>
        <w:t>Brisson and Usher, “Bonding Social Capital in Low-Income Neighborhoods,” 54:646.</w:t>
      </w:r>
      <w:r>
        <w:fldChar w:fldCharType="end"/>
      </w:r>
    </w:p>
  </w:footnote>
  <w:footnote w:id="159">
    <w:p w14:paraId="23ACB894" w14:textId="6BE8DF48"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{"citationItems":[{"id":"ITEM-1","itemData":{"author":[{"dropping-particle":"","family":"Durston","given":"John","non-dropping-particle":"","parse-names":false,"suffix":""}],"id":"ITEM-1","issued":{"date-parts":[["1998"]]},"title":"BUILDING SOCIAL CAPITAL IN RURAL COMMUNITIES (where it doesn't exist) Theoretical and Policy Implications of Peasant Empowerment in Chiquimula, Guatemala","type":"report"},"locator":"3","uris":["http://www.mendeley.com/documents/?uuid=7bc568e9-5890-3ec7-b188-4a8e357ea022"]}],"mendeley":{"formattedCitation":"John Durston, “BUILDING SOCIAL CAPITAL IN RURAL COMMUNITIES (Where It Doesn’t Exist) Theoretical and Policy Implications of Peasant Empowerment in Chiquimula, Guatemala,” 1998, 3, http://www.eclac.org.","plainTextFormattedCitation":"John Durston, “BUILDING SOCIAL CAPITAL IN RURAL COMMUNITIES (Where It Doesn’t Exist) Theoretical and Policy Implications of Peasant Empowerment in Chiquimula, Guatemala,” 1998, 3, http://www.eclac.org.","previouslyFormattedCitation":"John Durston, “BUILDING SOCIAL CAPITAL IN RURAL COMMUNITIES (Where It Doesn’t Exist) Theoretical and Policy Implications of Peasant Empowerment in Chiquimula, Guatemala,” 1998, 3, http://www.eclac.org."},"properties":{"noteIndex":158},"schema":"https://github.com/citation-style-language/schema/raw/master/csl-citation.json"}</w:instrText>
      </w:r>
      <w:r>
        <w:fldChar w:fldCharType="separate"/>
      </w:r>
      <w:r w:rsidRPr="00727A54">
        <w:rPr>
          <w:noProof/>
        </w:rPr>
        <w:t>John Durston, “BUILDING SOCIAL CAPITAL IN RURAL COMMUNITIES (Where It Doesn’t Exist) Theoretical and Policy Implications of Peasant Empowerment in Chiquimula, Guatemala,” 1998, 3, http://www.eclac.org.</w:t>
      </w:r>
      <w:r>
        <w:fldChar w:fldCharType="end"/>
      </w:r>
    </w:p>
  </w:footnote>
  <w:footnote w:id="160">
    <w:p w14:paraId="6388C3C6" w14:textId="1CBA014C"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{"citationItems":[{"id":"ITEM-1","itemData":{"author":[{"dropping-particle":"","family":"Durston","given":"John","non-dropping-particle":"","parse-names":false,"suffix":""}],"id":"ITEM-1","issued":{"date-parts":[["1998"]]},"title":"BUILDING SOCIAL CAPITAL IN RURAL COMMUNITIES (where it doesn't exist) Theoretical and Policy Implications of Peasant Empowerment in Chiquimula, Guatemala","type":"report"},"locator":"4","uris":["http://www.mendeley.com/documents/?uuid=7bc568e9-5890-3ec7-b188-4a8e357ea022"]}],"mendeley":{"formattedCitation":"Durston, 4.","plainTextFormattedCitation":"Durston, 4.","previouslyFormattedCitation":"Durston, 4."},"properties":{"noteIndex":159},"schema":"https://github.com/citation-style-language/schema/raw/master/csl-citation.json"}</w:instrText>
      </w:r>
      <w:r>
        <w:fldChar w:fldCharType="separate"/>
      </w:r>
      <w:r w:rsidRPr="00727A54">
        <w:rPr>
          <w:noProof/>
        </w:rPr>
        <w:t>Durston, 4.</w:t>
      </w:r>
      <w:r>
        <w:fldChar w:fldCharType="end"/>
      </w:r>
    </w:p>
  </w:footnote>
  <w:footnote w:id="161">
    <w:p w14:paraId="4868A8B9" w14:textId="20A20F11"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{"citationItems":[{"id":"ITEM-1","itemData":{"author":[{"dropping-particle":"","family":"Durston","given":"John","non-dropping-particle":"","parse-names":false,"suffix":""}],"id":"ITEM-1","issued":{"date-parts":[["1998"]]},"title":"BUILDING SOCIAL CAPITAL IN RURAL COMMUNITIES (where it doesn't exist) Theoretical and Policy Implications of Peasant Empowerment in Chiquimula, Guatemala","type":"report"},"locator":"6","uris":["http://www.mendeley.com/documents/?uuid=7bc568e9-5890-3ec7-b188-4a8e357ea022"]}],"mendeley":{"formattedCitation":"Durston, 6.","plainTextFormattedCitation":"Durston, 6.","previouslyFormattedCitation":"Durston, 6."},"properties":{"noteIndex":160},"schema":"https://github.com/citation-style-language/schema/raw/master/csl-citation.json"}</w:instrText>
      </w:r>
      <w:r>
        <w:fldChar w:fldCharType="separate"/>
      </w:r>
      <w:r w:rsidRPr="00727A54">
        <w:rPr>
          <w:noProof/>
        </w:rPr>
        <w:t>Durston, 6.</w:t>
      </w:r>
      <w:r>
        <w:fldChar w:fldCharType="end"/>
      </w:r>
    </w:p>
  </w:footnote>
  <w:footnote w:id="162">
    <w:p w14:paraId="22F1B45B" w14:textId="35F34F0F"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{"citationItems":[{"id":"ITEM-1","itemData":{"author":[{"dropping-particle":"","family":"Durston","given":"John","non-dropping-particle":"","parse-names":false,"suffix":""}],"id":"ITEM-1","issued":{"date-parts":[["1998"]]},"title":"BUILDING SOCIAL CAPITAL IN RURAL COMMUNITIES (where it doesn't exist) Theoretical and Policy Implications of Peasant Empowerment in Chiquimula, Guatemala","type":"report"},"locator":"6","uris":["http://www.mendeley.com/documents/?uuid=7bc568e9-5890-3ec7-b188-4a8e357ea022"]}],"mendeley":{"formattedCitation":"Durston, 6.","plainTextFormattedCitation":"Durston, 6.","previouslyFormattedCitation":"Durston, 6."},"properties":{"noteIndex":161},"schema":"https://github.com/citation-style-language/schema/raw/master/csl-citation.json"}</w:instrText>
      </w:r>
      <w:r>
        <w:fldChar w:fldCharType="separate"/>
      </w:r>
      <w:r w:rsidRPr="00FB0659">
        <w:rPr>
          <w:noProof/>
        </w:rPr>
        <w:t>Durston, 6.</w:t>
      </w:r>
      <w:r>
        <w:fldChar w:fldCharType="end"/>
      </w:r>
    </w:p>
  </w:footnote>
  <w:footnote w:id="163">
    <w:p w14:paraId="41E61E23" w14:textId="01CB8720"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{"citationItems":[{"id":"ITEM-1","itemData":{"author":[{"dropping-particle":"","family":"Durston","given":"John","non-dropping-particle":"","parse-names":false,"suffix":""}],"id":"ITEM-1","issued":{"date-parts":[["1998"]]},"title":"BUILDING SOCIAL CAPITAL IN RURAL COMMUNITIES (where it doesn't exist) Theoretical and Policy Implications of Peasant Empowerment in Chiquimula, Guatemala","type":"report"},"locator":"7","uris":["http://www.mendeley.com/documents/?uuid=7bc568e9-5890-3ec7-b188-4a8e357ea022"]}],"mendeley":{"formattedCitation":"Durston, 7.","plainTextFormattedCitation":"Durston, 7.","previouslyFormattedCitation":"Durston, 7."},"properties":{"noteIndex":162},"schema":"https://github.com/citation-style-language/schema/raw/master/csl-citation.json"}</w:instrText>
      </w:r>
      <w:r>
        <w:fldChar w:fldCharType="separate"/>
      </w:r>
      <w:r w:rsidRPr="00FB0659">
        <w:rPr>
          <w:noProof/>
        </w:rPr>
        <w:t>Durston, 7.</w:t>
      </w:r>
      <w:r>
        <w:fldChar w:fldCharType="end"/>
      </w:r>
    </w:p>
  </w:footnote>
  <w:footnote w:id="164">
    <w:p w14:paraId="2A231655" w14:textId="162DB13F"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{"citationItems":[{"id":"ITEM-1","itemData":{"author":[{"dropping-particle":"","family":"Durston","given":"John","non-dropping-particle":"","parse-names":false,"suffix":""}],"id":"ITEM-1","issued":{"date-parts":[["1998"]]},"title":"BUILDING SOCIAL CAPITAL IN RURAL COMMUNITIES (where it doesn't exist) Theoretical and Policy Implications of Peasant Empowerment in Chiquimula, Guatemala","type":"report"},"locator":"7","uris":["http://www.mendeley.com/documents/?uuid=7bc568e9-5890-3ec7-b188-4a8e357ea022"]}],"mendeley":{"formattedCitation":"Durston, 7.","plainTextFormattedCitation":"Durston, 7.","previouslyFormattedCitation":"Durston, 7."},"properties":{"noteIndex":163},"schema":"https://github.com/citation-style-language/schema/raw/master/csl-citation.json"}</w:instrText>
      </w:r>
      <w:r>
        <w:fldChar w:fldCharType="separate"/>
      </w:r>
      <w:r w:rsidRPr="00FB0659">
        <w:rPr>
          <w:noProof/>
        </w:rPr>
        <w:t>Durston, 7.</w:t>
      </w:r>
      <w:r>
        <w:fldChar w:fldCharType="end"/>
      </w:r>
    </w:p>
  </w:footnote>
  <w:footnote w:id="165">
    <w:p w14:paraId="690E3AC6" w14:textId="28FB1DA2" w:rsidR="00AB27A5" w:rsidRDefault="00AB27A5">
      <w:pPr>
        <w:pStyle w:val="FootnoteText"/>
      </w:pPr>
      <w:r>
        <w:rPr>
          <w:rStyle w:val="FootnoteReference"/>
        </w:rPr>
        <w:footnoteRef/>
      </w:r>
      <w:r>
        <w:t xml:space="preserve"> </w:t>
      </w:r>
      <w:r>
        <w:fldChar w:fldCharType="begin" w:fldLock="1"/>
      </w:r>
      <w:r>
        <w:instrText>ADDIN CSL_CITATION {"citationItems":[{"id":"ITEM-1","itemData":{"DOI":"10.1126/science.1112122","abstract":"Social and ecological vulnerability to disasters and outcomes of any particular extreme\r\nevent are influenced by buildup or erosion of resilience both before and after disasters\r\noccur. Resilient social-ecological systems incorporate diverse mechanisms for living\r\nwith, and learning from, change and unexpected shocks. Disaster management requires\r\nmultilevel governance systems that can enhance the capacity to cope with uncertainty\r\nand surprise by mobilizing diverse sources of resilience.","author":[{"dropping-particle":"","family":"Adger","given":"W Neil","non-dropping-particle":"","parse-names":false,"suffix":""},{"dropping-particle":"","family":"Hughes","given":"Terence Patrick","non-dropping-particle":"","parse-names":false,"suffix":""},{"dropping-particle":"","family":"Folke","given":"Carl","non-dropping-particle":"","parse-names":false,"suffix":""},{"dropping-particle":"","family":"Carpenter","given":"Stephen R","non-dropping-particle":"","parse-names":false,"suffix":""},{"dropping-particle":"","family":"Rockström","given":"Johan","non-dropping-particle":"","parse-names":false,"suffix":""}],"container-title":"Science","id":"ITEM-1","issued":{"date-parts":[["2005"]]},"page":"1036-1039","title":"Social-Ecological Resilience to Coastal Disasters","type":"article-journal","volume":"309"},"locator":"1036","uris":["http://www.mendeley.com/documents/?uuid=85787292-b8c4-3a20-9f83-b789bc0b454e"]}],"mendeley":{"formattedCitation":"W Neil Adger et al., “Social-Ecological Resilience to Coastal Disasters,” &lt;i&gt;Science&lt;/i&gt; 309 (2005): 1036, https://doi.org/10.1126/science.1112122.","plainTextFormattedCitation":"W Neil Adger et al., “Social-Ecological Resilience to Coastal Disasters,” Science 309 (2005): 1036, https://doi.org/10.1126/science.1112122.","previouslyFormattedCitation":"W Neil Adger et al., “Social-Ecological Resilience to Coastal Disasters,” &lt;i&gt;Science&lt;/i&gt; 309 (2005): 1036, https://doi.org/10.1126/science.1112122."},"properties":{"noteIndex":164},"schema":"https://github.com/citation-style-language/schema/raw/master/csl-citation.json"}</w:instrText>
      </w:r>
      <w:r>
        <w:fldChar w:fldCharType="separate"/>
      </w:r>
      <w:r w:rsidRPr="00E00322">
        <w:rPr>
          <w:noProof/>
        </w:rPr>
        <w:t xml:space="preserve">W Neil Adger et al., “Social-Ecological Resilience to Coastal Disasters,” </w:t>
      </w:r>
      <w:r w:rsidRPr="00E00322">
        <w:rPr>
          <w:i/>
          <w:noProof/>
        </w:rPr>
        <w:t>Science</w:t>
      </w:r>
      <w:r w:rsidRPr="00E00322">
        <w:rPr>
          <w:noProof/>
        </w:rPr>
        <w:t xml:space="preserve"> 309 (2005): 1036, https://doi.org/10.1126/science.1112122.</w:t>
      </w:r>
      <w:r>
        <w:fldChar w:fldCharType="end"/>
      </w:r>
    </w:p>
  </w:footnote>
  <w:footnote w:id="166">
    <w:p w14:paraId="1763B23B" w14:textId="4EA1117C" w:rsidR="00AB27A5" w:rsidRDefault="00AB27A5">
      <w:pPr>
        <w:pStyle w:val="FootnoteText"/>
      </w:pPr>
      <w:r>
        <w:rPr>
          <w:rStyle w:val="FootnoteReference"/>
        </w:rPr>
        <w:footnoteRef/>
      </w:r>
      <w:r>
        <w:t xml:space="preserve"> </w:t>
      </w:r>
      <w:r>
        <w:fldChar w:fldCharType="begin" w:fldLock="1"/>
      </w:r>
      <w:r>
        <w:instrText>ADDIN CSL_CITATION {"citationItems":[{"id":"ITEM-1","itemData":{"DOI":"10.1126/science.1112122","abstract":"Social and ecological vulnerability to disasters and outcomes of any particular extreme\r\nevent are influenced by buildup or erosion of resilience both before and after disasters\r\noccur. Resilient social-ecological systems incorporate diverse mechanisms for living\r\nwith, and learning from, change and unexpected shocks. Disaster management requires\r\nmultilevel governance systems that can enhance the capacity to cope with uncertainty\r\nand surprise by mobilizing diverse sources of resilience.","author":[{"dropping-particle":"","family":"Adger","given":"W Neil","non-dropping-particle":"","parse-names":false,"suffix":""},{"dropping-particle":"","family":"Hughes","given":"Terence Patrick","non-dropping-particle":"","parse-names":false,"suffix":""},{"dropping-particle":"","family":"Folke","given":"Carl","non-dropping-particle":"","parse-names":false,"suffix":""},{"dropping-particle":"","family":"Carpenter","given":"Stephen R","non-dropping-particle":"","parse-names":false,"suffix":""},{"dropping-particle":"","family":"Rockström","given":"Johan","non-dropping-particle":"","parse-names":false,"suffix":""}],"container-title":"Science","id":"ITEM-1","issued":{"date-parts":[["2005"]]},"page":"1036-1039","title":"Social-Ecological Resilience to Coastal Disasters","type":"article-journal","volume":"309"},"locator":"1037","uris":["http://www.mendeley.com/documents/?uuid=85787292-b8c4-3a20-9f83-b789bc0b454e"]}],"mendeley":{"formattedCitation":"Adger et al., 1037.","plainTextFormattedCitation":"Adger et al., 1037.","previouslyFormattedCitation":"Adger et al., 1037."},"properties":{"noteIndex":165},"schema":"https://github.com/citation-style-language/schema/raw/master/csl-citation.json"}</w:instrText>
      </w:r>
      <w:r>
        <w:fldChar w:fldCharType="separate"/>
      </w:r>
      <w:r w:rsidRPr="0096489D">
        <w:rPr>
          <w:noProof/>
        </w:rPr>
        <w:t>Adger et al., 1037.</w:t>
      </w:r>
      <w:r>
        <w:fldChar w:fldCharType="end"/>
      </w:r>
    </w:p>
  </w:footnote>
  <w:footnote w:id="167">
    <w:p w14:paraId="0EEC733D" w14:textId="7D8D8977" w:rsidR="00AB27A5" w:rsidRDefault="00AB27A5">
      <w:pPr>
        <w:pStyle w:val="FootnoteText"/>
      </w:pPr>
      <w:r>
        <w:rPr>
          <w:rStyle w:val="FootnoteReference"/>
        </w:rPr>
        <w:footnoteRef/>
      </w:r>
      <w:r>
        <w:t xml:space="preserve"> </w:t>
      </w:r>
      <w:r>
        <w:fldChar w:fldCharType="begin" w:fldLock="1"/>
      </w:r>
      <w:r>
        <w:instrText>ADDIN CSL_CITATION {"citationItems":[{"id":"ITEM-1","itemData":{"DOI":"10.1126/science.1112122","abstract":"Social and ecological vulnerability to disasters and outcomes of any particular extreme\r\nevent are influenced by buildup or erosion of resilience both before and after disasters\r\noccur. Resilient social-ecological systems incorporate diverse mechanisms for living\r\nwith, and learning from, change and unexpected shocks. Disaster management requires\r\nmultilevel governance systems that can enhance the capacity to cope with uncertainty\r\nand surprise by mobilizing diverse sources of resilience.","author":[{"dropping-particle":"","family":"Adger","given":"W Neil","non-dropping-particle":"","parse-names":false,"suffix":""},{"dropping-particle":"","family":"Hughes","given":"Terence Patrick","non-dropping-particle":"","parse-names":false,"suffix":""},{"dropping-particle":"","family":"Folke","given":"Carl","non-dropping-particle":"","parse-names":false,"suffix":""},{"dropping-particle":"","family":"Carpenter","given":"Stephen R","non-dropping-particle":"","parse-names":false,"suffix":""},{"dropping-particle":"","family":"Rockström","given":"Johan","non-dropping-particle":"","parse-names":false,"suffix":""}],"container-title":"Science","id":"ITEM-1","issued":{"date-parts":[["2005"]]},"page":"1036-1039","title":"Social-Ecological Resilience to Coastal Disasters","type":"article-journal","volume":"309"},"locator":"1038","uris":["http://www.mendeley.com/documents/?uuid=85787292-b8c4-3a20-9f83-b789bc0b454e"]}],"mendeley":{"formattedCitation":"Adger et al., 1038.","plainTextFormattedCitation":"Adger et al., 1038.","previouslyFormattedCitation":"Adger et al., 1038."},"properties":{"noteIndex":166},"schema":"https://github.com/citation-style-language/schema/raw/master/csl-citation.json"}</w:instrText>
      </w:r>
      <w:r>
        <w:fldChar w:fldCharType="separate"/>
      </w:r>
      <w:r w:rsidRPr="00262EC5">
        <w:rPr>
          <w:noProof/>
        </w:rPr>
        <w:t>Adger et al., 1038.</w:t>
      </w:r>
      <w:r>
        <w:fldChar w:fldCharType="end"/>
      </w:r>
    </w:p>
  </w:footnote>
  <w:footnote w:id="168">
    <w:p w14:paraId="49DB2498" w14:textId="574172AA" w:rsidR="00AB27A5" w:rsidRDefault="00AB27A5">
      <w:pPr>
        <w:pStyle w:val="FootnoteText"/>
      </w:pPr>
      <w:r>
        <w:rPr>
          <w:rStyle w:val="FootnoteReference"/>
        </w:rPr>
        <w:footnoteRef/>
      </w:r>
      <w:r>
        <w:t xml:space="preserve"> </w:t>
      </w:r>
      <w:r>
        <w:fldChar w:fldCharType="begin" w:fldLock="1"/>
      </w:r>
      <w:r>
        <w:instrText>ADDIN CSL_CITATION {"citationItems":[{"id":"ITEM-1","itemData":{"DOI":"10.1126/science.1112122","abstract":"Social and ecological vulnerability to disasters and outcomes of any particular extreme\r\nevent are influenced by buildup or erosion of resilience both before and after disasters\r\noccur. Resilient social-ecological systems incorporate diverse mechanisms for living\r\nwith, and learning from, change and unexpected shocks. Disaster management requires\r\nmultilevel governance systems that can enhance the capacity to cope with uncertainty\r\nand surprise by mobilizing diverse sources of resilience.","author":[{"dropping-particle":"","family":"Adger","given":"W Neil","non-dropping-particle":"","parse-names":false,"suffix":""},{"dropping-particle":"","family":"Hughes","given":"Terence Patrick","non-dropping-particle":"","parse-names":false,"suffix":""},{"dropping-particle":"","family":"Folke","given":"Carl","non-dropping-particle":"","parse-names":false,"suffix":""},{"dropping-particle":"","family":"Carpenter","given":"Stephen R","non-dropping-particle":"","parse-names":false,"suffix":""},{"dropping-particle":"","family":"Rockström","given":"Johan","non-dropping-particle":"","parse-names":false,"suffix":""}],"container-title":"Science","id":"ITEM-1","issued":{"date-parts":[["2005"]]},"page":"1036-1039","title":"Social-Ecological Resilience to Coastal Disasters","type":"article-journal","volume":"309"},"locator":"1038","uris":["http://www.mendeley.com/documents/?uuid=85787292-b8c4-3a20-9f83-b789bc0b454e"]}],"mendeley":{"formattedCitation":"Adger et al., 1038.","plainTextFormattedCitation":"Adger et al., 1038.","previouslyFormattedCitation":"Adger et al., 1038."},"properties":{"noteIndex":167},"schema":"https://github.com/citation-style-language/schema/raw/master/csl-citation.json"}</w:instrText>
      </w:r>
      <w:r>
        <w:fldChar w:fldCharType="separate"/>
      </w:r>
      <w:r w:rsidRPr="00262EC5">
        <w:rPr>
          <w:noProof/>
        </w:rPr>
        <w:t>Adger et al., 1038.</w:t>
      </w:r>
      <w:r>
        <w:fldChar w:fldCharType="end"/>
      </w:r>
    </w:p>
  </w:footnote>
  <w:footnote w:id="169">
    <w:p w14:paraId="77A42A7D" w14:textId="46D92F9E" w:rsidR="00AB27A5" w:rsidRDefault="00AB27A5">
      <w:pPr>
        <w:pStyle w:val="FootnoteText"/>
      </w:pPr>
      <w:r>
        <w:rPr>
          <w:rStyle w:val="FootnoteReference"/>
        </w:rPr>
        <w:footnoteRef/>
      </w:r>
      <w:r>
        <w:t xml:space="preserve"> </w:t>
      </w:r>
      <w:r>
        <w:fldChar w:fldCharType="begin" w:fldLock="1"/>
      </w:r>
      <w:r>
        <w:instrText>ADDIN CSL_CITATION {"citationItems":[{"id":"ITEM-1","itemData":{"DOI":"10.1126/science.1112122","abstract":"Social and ecological vulnerability to disasters and outcomes of any particular extreme\r\nevent are influenced by buildup or erosion of resilience both before and after disasters\r\noccur. Resilient social-ecological systems incorporate diverse mechanisms for living\r\nwith, and learning from, change and unexpected shocks. Disaster management requires\r\nmultilevel governance systems that can enhance the capacity to cope with uncertainty\r\nand surprise by mobilizing diverse sources of resilience.","author":[{"dropping-particle":"","family":"Adger","given":"W Neil","non-dropping-particle":"","parse-names":false,"suffix":""},{"dropping-particle":"","family":"Hughes","given":"Terence Patrick","non-dropping-particle":"","parse-names":false,"suffix":""},{"dropping-particle":"","family":"Folke","given":"Carl","non-dropping-particle":"","parse-names":false,"suffix":""},{"dropping-particle":"","family":"Carpenter","given":"Stephen R","non-dropping-particle":"","parse-names":false,"suffix":""},{"dropping-particle":"","family":"Rockström","given":"Johan","non-dropping-particle":"","parse-names":false,"suffix":""}],"container-title":"Science","id":"ITEM-1","issued":{"date-parts":[["2005"]]},"page":"1036-1039","title":"Social-Ecological Resilience to Coastal Disasters","type":"article-journal","volume":"309"},"locator":"1039","uris":["http://www.mendeley.com/documents/?uuid=85787292-b8c4-3a20-9f83-b789bc0b454e"]}],"mendeley":{"formattedCitation":"Adger et al., 1039.","plainTextFormattedCitation":"Adger et al., 1039.","previouslyFormattedCitation":"Adger et al., 1039."},"properties":{"noteIndex":168},"schema":"https://github.com/citation-style-language/schema/raw/master/csl-citation.json"}</w:instrText>
      </w:r>
      <w:r>
        <w:fldChar w:fldCharType="separate"/>
      </w:r>
      <w:r w:rsidRPr="003E395C">
        <w:rPr>
          <w:noProof/>
        </w:rPr>
        <w:t>Adger et al., 1039.</w:t>
      </w:r>
      <w:r>
        <w:fldChar w:fldCharType="end"/>
      </w:r>
    </w:p>
  </w:footnote>
  <w:footnote w:id="170">
    <w:p w14:paraId="1D4EA2AF" w14:textId="359FCABC"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{"citationItems":[{"id":"ITEM-1","itemData":{"author":[{"dropping-particle":"","family":"Brisson","given":"Daniel S","non-dropping-particle":"","parse-names":false,"suffix":""},{"dropping-particle":"","family":"Usher","given":"Charles L","non-dropping-particle":"","parse-names":false,"suffix":""}],"container-title":"Source: Family Relations","id":"ITEM-1","issue":"5","issued":{"date-parts":[["2005"]]},"number-of-pages":"644-653","title":"Bonding Social Capital in Low-Income Neighborhoods","type":"report","volume":"54"},"locator":"646","uris":["http://www.mendeley.com/documents/?uuid=41dabf73-e41c-3efc-9684-eb8eb8d61d37"]}],"mendeley":{"formattedCitation":"Brisson and Usher, “Bonding Social Capital in Low-Income Neighborhoods,” 54:646.","plainTextFormattedCitation":"Brisson and Usher, “Bonding Social Capital in Low-Income Neighborhoods,” 54:646.","previouslyFormattedCitation":"Brisson and Usher, “Bonding Social Capital in Low-Income Neighborhoods,” 54:646."},"properties":{"noteIndex":169},"schema":"https://github.com/citation-style-language/schema/raw/master/csl-citation.json"}</w:instrText>
      </w:r>
      <w:r>
        <w:fldChar w:fldCharType="separate"/>
      </w:r>
      <w:r w:rsidRPr="0066392D">
        <w:rPr>
          <w:noProof/>
        </w:rPr>
        <w:t>Brisson and Usher, “Bonding Social Capital in Low-Income Neighborhoods,” 54:646.</w:t>
      </w:r>
      <w:r>
        <w:fldChar w:fldCharType="end"/>
      </w:r>
    </w:p>
  </w:footnote>
  <w:footnote w:id="171">
    <w:p w14:paraId="5120B3AF" w14:textId="33AD3AAB"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{"citationItems":[{"id":"ITEM-1","itemData":{"author":[{"dropping-particle":"","family":"Brisson","given":"Daniel S","non-dropping-particle":"","parse-names":false,"suffix":""},{"dropping-particle":"","family":"Usher","given":"Charles L","non-dropping-particle":"","parse-names":false,"suffix":""}],"container-title":"Source: Family Relations","id":"ITEM-1","issue":"5","issued":{"date-parts":[["2005"]]},"number-of-pages":"644-653","title":"Bonding Social Capital in Low-Income Neighborhoods","type":"report","volume":"54"},"locator":"645","uris":["http://www.mendeley.com/documents/?uuid=41dabf73-e41c-3efc-9684-eb8eb8d61d37"]}],"mendeley":{"formattedCitation":"Brisson and Usher, 54:645.","plainTextFormattedCitation":"Brisson and Usher, 54:645.","previouslyFormattedCitation":"Brisson and Usher, 54:645."},"properties":{"noteIndex":170},"schema":"https://github.com/citation-style-language/schema/raw/master/csl-citation.json"}</w:instrText>
      </w:r>
      <w:r>
        <w:fldChar w:fldCharType="separate"/>
      </w:r>
      <w:r w:rsidRPr="0066392D">
        <w:rPr>
          <w:noProof/>
        </w:rPr>
        <w:t>Brisson and Usher, 54:645.</w:t>
      </w:r>
      <w:r>
        <w:fldChar w:fldCharType="end"/>
      </w:r>
    </w:p>
  </w:footnote>
  <w:footnote w:id="172">
    <w:p w14:paraId="3401D7B9" w14:textId="2659C575"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{"citationItems":[{"id":"ITEM-1","itemData":{"abstract":"The process of home-making changes over a lifetime. For many, including newly resettled homeless people, the home-making process is difficult, challenging, and sometimes unsuccessful. This paper draws on research concerning the experiences of homeless individuals and families in New York and studies of single homeless adults in London and Dublin. It argues that there are supports and barriers to the home process, which include social, physical, environmental, financial, and practical factors. Central conclusions are that home does not arrive with a roof over a person’s head, but rather that home-making is a complex social psychological process. Developing supports to home-making may offer tangible ways to enable this process to flourish.","author":[{"dropping-particle":"","family":"Rivlin","given":"Leanne G","non-dropping-particle":"","parse-names":false,"suffix":""},{"dropping-particle":"","family":"Moore","given":"Jeanne","non-dropping-particle":"","parse-names":false,"suffix":""}],"container-title":"Journal of Social Distress and the Homeless","id":"ITEM-1","issue":"4","issued":{"date-parts":[["2001"]]},"page":"323-336","publisher":"Human Sciences Press, Inc.","title":"Home-Making: Supports and Barriers to the Process of Home","type":"article-journal","volume":"10"},"locator":"324","uris":["http://www.mendeley.com/documents/?uuid=5e37f359-bc00-4e9e-8c42-aeba91334bdb"]}],"mendeley":{"formattedCitation":"Leanne G Rivlin and Jeanne Moore, “Home-Making: Supports and Barriers to the Process of Home,” &lt;i&gt;Journal of Social Distress and the Homeless&lt;/i&gt; 10, no. 4 (2001): 324.","plainTextFormattedCitation":"Leanne G Rivlin and Jeanne Moore, “Home-Making: Supports and Barriers to the Process of Home,” Journal of Social Distress and the Homeless 10, no. 4 (2001): 324.","previouslyFormattedCitation":"Leanne G Rivlin and Jeanne Moore, “Home-Making: Supports and Barriers to the Process of Home,” &lt;i&gt;Journal of Social Distress and the Homeless&lt;/i&gt; 10, no. 4 (2001): 324."},"properties":{"noteIndex":171},"schema":"https://github.com/citation-style-language/schema/raw/master/csl-citation.json"}</w:instrText>
      </w:r>
      <w:r>
        <w:fldChar w:fldCharType="separate"/>
      </w:r>
      <w:r w:rsidRPr="00755F34">
        <w:rPr>
          <w:noProof/>
        </w:rPr>
        <w:t xml:space="preserve">Leanne G Rivlin and Jeanne Moore, “Home-Making: Supports and Barriers to the Process of Home,” </w:t>
      </w:r>
      <w:r w:rsidRPr="00755F34">
        <w:rPr>
          <w:i/>
          <w:noProof/>
        </w:rPr>
        <w:t>Journal of Social Distress and the Homeless</w:t>
      </w:r>
      <w:r w:rsidRPr="00755F34">
        <w:rPr>
          <w:noProof/>
        </w:rPr>
        <w:t xml:space="preserve"> 10, no. 4 (2001): 324.</w:t>
      </w:r>
      <w:r>
        <w:fldChar w:fldCharType="end"/>
      </w:r>
    </w:p>
  </w:footnote>
  <w:footnote w:id="173">
    <w:p w14:paraId="643DCB7F" w14:textId="23B2B39F" w:rsidR="00AB27A5" w:rsidRDefault="00AB27A5" w:rsidP="00A04418">
      <w:pPr>
        <w:pStyle w:val="FootnoteText"/>
      </w:pPr>
      <w:r w:rsidRPr="00D05B51">
        <w:rPr>
          <w:rStyle w:val="FootnoteReference"/>
        </w:rPr>
        <w:footnoteRef/>
      </w:r>
      <w:r>
        <w:t xml:space="preserve"> </w:t>
      </w:r>
      <w:r>
        <w:fldChar w:fldCharType="begin" w:fldLock="1"/>
      </w:r>
      <w:r>
        <w:instrText>ADDIN CSL_CITATION {"citationItems":[{"id":"ITEM-1","itemData":{"abstract":"The process of home-making changes over a lifetime. For many, including newly resettled homeless people, the home-making process is difficult, challenging, and sometimes unsuccessful. This paper draws on research concerning the experiences of homeless individuals and families in New York and studies of single homeless adults in London and Dublin. It argues that there are supports and barriers to the home process, which include social, physical, environmental, financial, and practical factors. Central conclusions are that home does not arrive with a roof over a person’s head, but rather that home-making is a complex social psychological process. Developing supports to home-making may offer tangible ways to enable this process to flourish.","author":[{"dropping-particle":"","family":"Rivlin","given":"Leanne G","non-dropping-particle":"","parse-names":false,"suffix":""},{"dropping-particle":"","family":"Moore","given":"Jeanne","non-dropping-particle":"","parse-names":false,"suffix":""}],"container-title":"Journal of Social Distress and the Homeless","id":"ITEM-1","issue":"4","issued":{"date-parts":[["2001"]]},"page":"323-336","publisher":"Human Sciences Press, Inc.","title":"Home-Making: Supports and Barriers to the Process of Home","type":"article-journal","volume":"10"},"locator":"330","uris":["http://www.mendeley.com/documents/?uuid=5e37f359-bc00-4e9e-8c42-aeba91334bdb"]}],"mendeley":{"formattedCitation":"Rivlin and Moore, 330.","plainTextFormattedCitation":"Rivlin and Moore, 330.","previouslyFormattedCitation":"Rivlin and Moore, 330."},"properties":{"noteIndex":172},"schema":"https://github.com/citation-style-language/schema/raw/master/csl-citation.json"}</w:instrText>
      </w:r>
      <w:r>
        <w:fldChar w:fldCharType="separate"/>
      </w:r>
      <w:r w:rsidRPr="007226EB">
        <w:rPr>
          <w:noProof/>
        </w:rPr>
        <w:t>Rivlin and Moore, 330.</w:t>
      </w:r>
      <w:r>
        <w:fldChar w:fldCharType="end"/>
      </w:r>
    </w:p>
  </w:footnote>
  <w:footnote w:id="174">
    <w:p w14:paraId="31B4BA14" w14:textId="6FD0BAA5" w:rsidR="00AB27A5" w:rsidRDefault="00AB27A5" w:rsidP="00A04418">
      <w:pPr>
        <w:pStyle w:val="FootnoteText"/>
      </w:pPr>
      <w:r w:rsidRPr="00D05B51">
        <w:rPr>
          <w:rStyle w:val="FootnoteReference"/>
        </w:rPr>
        <w:footnoteRef/>
      </w:r>
      <w:r>
        <w:t xml:space="preserve"> </w:t>
      </w:r>
      <w:r>
        <w:fldChar w:fldCharType="begin" w:fldLock="1"/>
      </w:r>
      <w:r>
        <w:instrText>ADDIN CSL_CITATION {"citationItems":[{"id":"ITEM-1","itemData":{"abstract":"The process of home-making changes over a lifetime. For many, including newly resettled homeless people, the home-making process is difficult, challenging, and sometimes unsuccessful. This paper draws on research concerning the experiences of homeless individuals and families in New York and studies of single homeless adults in London and Dublin. It argues that there are supports and barriers to the home process, which include social, physical, environmental, financial, and practical factors. Central conclusions are that home does not arrive with a roof over a person’s head, but rather that home-making is a complex social psychological process. Developing supports to home-making may offer tangible ways to enable this process to flourish.","author":[{"dropping-particle":"","family":"Rivlin","given":"Leanne G","non-dropping-particle":"","parse-names":false,"suffix":""},{"dropping-particle":"","family":"Moore","given":"Jeanne","non-dropping-particle":"","parse-names":false,"suffix":""}],"container-title":"Journal of Social Distress and the Homeless","id":"ITEM-1","issue":"4","issued":{"date-parts":[["2001"]]},"page":"323-336","publisher":"Human Sciences Press, Inc.","title":"Home-Making: Supports and Barriers to the Process of Home","type":"article-journal","volume":"10"},"locator":"331","uris":["http://www.mendeley.com/documents/?uuid=5e37f359-bc00-4e9e-8c42-aeba91334bdb"]}],"mendeley":{"formattedCitation":"Rivlin and Moore, 331.","plainTextFormattedCitation":"Rivlin and Moore, 331.","previouslyFormattedCitation":"Rivlin and Moore, 331."},"properties":{"noteIndex":173},"schema":"https://github.com/citation-style-language/schema/raw/master/csl-citation.json"}</w:instrText>
      </w:r>
      <w:r>
        <w:fldChar w:fldCharType="separate"/>
      </w:r>
      <w:r w:rsidRPr="0099546C">
        <w:rPr>
          <w:noProof/>
        </w:rPr>
        <w:t>Rivlin and Moore, 331.</w:t>
      </w:r>
      <w:r>
        <w:fldChar w:fldCharType="end"/>
      </w:r>
    </w:p>
  </w:footnote>
  <w:footnote w:id="175">
    <w:p w14:paraId="15B7D5CF" w14:textId="06DFC196" w:rsidR="00AB27A5" w:rsidRDefault="00AB27A5" w:rsidP="0040260D">
      <w:pPr>
        <w:pStyle w:val="FootnoteText"/>
      </w:pPr>
      <w:r w:rsidRPr="00D05B51">
        <w:rPr>
          <w:rStyle w:val="FootnoteReference"/>
        </w:rPr>
        <w:footnoteRef/>
      </w:r>
      <w:r>
        <w:t xml:space="preserve"> </w:t>
      </w:r>
      <w:r>
        <w:fldChar w:fldCharType="begin" w:fldLock="1"/>
      </w:r>
      <w:r>
        <w:instrText>ADDIN CSL_CITATION {"citationItems":[{"id":"ITEM-1","itemData":{"abstract":"The process of home-making changes over a lifetime. For many, including newly resettled homeless people, the home-making process is difficult, challenging, and sometimes unsuccessful. This paper draws on research concerning the experiences of homeless individuals and families in New York and studies of single homeless adults in London and Dublin. It argues that there are supports and barriers to the home process, which include social, physical, environmental, financial, and practical factors. Central conclusions are that home does not arrive with a roof over a person’s head, but rather that home-making is a complex social psychological process. Developing supports to home-making may offer tangible ways to enable this process to flourish.","author":[{"dropping-particle":"","family":"Rivlin","given":"Leanne G","non-dropping-particle":"","parse-names":false,"suffix":""},{"dropping-particle":"","family":"Moore","given":"Jeanne","non-dropping-particle":"","parse-names":false,"suffix":""}],"container-title":"Journal of Social Distress and the Homeless","id":"ITEM-1","issue":"4","issued":{"date-parts":[["2001"]]},"page":"323-336","publisher":"Human Sciences Press, Inc.","title":"Home-Making: Supports and Barriers to the Process of Home","type":"article-journal","volume":"10"},"locator":"332","uris":["http://www.mendeley.com/documents/?uuid=5e37f359-bc00-4e9e-8c42-aeba91334bdb"]}],"mendeley":{"formattedCitation":"Rivlin and Moore, 332.","plainTextFormattedCitation":"Rivlin and Moore, 332.","previouslyFormattedCitation":"Rivlin and Moore, 332."},"properties":{"noteIndex":174},"schema":"https://github.com/citation-style-language/schema/raw/master/csl-citation.json"}</w:instrText>
      </w:r>
      <w:r>
        <w:fldChar w:fldCharType="separate"/>
      </w:r>
      <w:r w:rsidRPr="00A6463A">
        <w:rPr>
          <w:noProof/>
        </w:rPr>
        <w:t>Rivlin and Moore, 332.</w:t>
      </w:r>
      <w:r>
        <w:fldChar w:fldCharType="end"/>
      </w:r>
    </w:p>
  </w:footnote>
  <w:footnote w:id="176">
    <w:p w14:paraId="2538AD66" w14:textId="3D01145F" w:rsidR="00AB27A5" w:rsidRDefault="00AB27A5" w:rsidP="002F2071">
      <w:pPr>
        <w:pStyle w:val="FootnoteText"/>
      </w:pPr>
      <w:r w:rsidRPr="00D05B51">
        <w:rPr>
          <w:rStyle w:val="FootnoteReference"/>
        </w:rPr>
        <w:footnoteRef/>
      </w:r>
      <w:r>
        <w:t xml:space="preserve"> </w:t>
      </w:r>
      <w:r>
        <w:fldChar w:fldCharType="begin" w:fldLock="1"/>
      </w:r>
      <w:r>
        <w:instrText>ADDIN CSL_CITATION {"citationItems":[{"id":"ITEM-1","itemData":{"abstract":"The process of home-making changes over a lifetime. For many, including newly resettled homeless people, the home-making process is difficult, challenging, and sometimes unsuccessful. This paper draws on research concerning the experiences of homeless individuals and families in New York and studies of single homeless adults in London and Dublin. It argues that there are supports and barriers to the home process, which include social, physical, environmental, financial, and practical factors. Central conclusions are that home does not arrive with a roof over a person’s head, but rather that home-making is a complex social psychological process. Developing supports to home-making may offer tangible ways to enable this process to flourish.","author":[{"dropping-particle":"","family":"Rivlin","given":"Leanne G","non-dropping-particle":"","parse-names":false,"suffix":""},{"dropping-particle":"","family":"Moore","given":"Jeanne","non-dropping-particle":"","parse-names":false,"suffix":""}],"container-title":"Journal of Social Distress and the Homeless","id":"ITEM-1","issue":"4","issued":{"date-parts":[["2001"]]},"page":"323-336","publisher":"Human Sciences Press, Inc.","title":"Home-Making: Supports and Barriers to the Process of Home","type":"article-journal","volume":"10"},"locator":"333","uris":["http://www.mendeley.com/documents/?uuid=5e37f359-bc00-4e9e-8c42-aeba91334bdb"]}],"mendeley":{"formattedCitation":"Rivlin and Moore, 333.","plainTextFormattedCitation":"Rivlin and Moore, 333.","previouslyFormattedCitation":"Rivlin and Moore, 333."},"properties":{"noteIndex":175},"schema":"https://github.com/citation-style-language/schema/raw/master/csl-citation.json"}</w:instrText>
      </w:r>
      <w:r>
        <w:fldChar w:fldCharType="separate"/>
      </w:r>
      <w:r w:rsidRPr="00230780">
        <w:rPr>
          <w:noProof/>
        </w:rPr>
        <w:t>Rivlin and Moore, 333.</w:t>
      </w:r>
      <w:r>
        <w:fldChar w:fldCharType="end"/>
      </w:r>
    </w:p>
  </w:footnote>
  <w:footnote w:id="177">
    <w:p w14:paraId="2E87B242" w14:textId="1B903664"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{"citationItems":[{"id":"ITEM-1","itemData":{"author":[{"dropping-particle":"","family":"Kilman","given":"Charlie","non-dropping-particle":"","parse-names":false,"suffix":""}],"container-title":"Undergraduate Journal of Humanistic Studies • Winter","id":"ITEM-1","issued":{"date-parts":[["2016"]]},"title":"Small House, Big Impact: The Effect of Tiny Houses on Community and Environment","type":"report","volume":"2"},"locator":"7","uris":["http://www.mendeley.com/documents/?uuid=5fe739e1-6387-3c09-b090-52da66b08670"]}],"mendeley":{"formattedCitation":"Charlie Kilman, “Small House, Big Impact: The Effect of Tiny Houses on Community and Environment,” &lt;i&gt;Undergraduate Journal of Humanistic Studies • Winter&lt;/i&gt;, vol. 2, 2016, 7, http://tinyhousecommunity.com/faq.htm.","plainTextFormattedCitation":"Charlie Kilman, “Small House, Big Impact: The Effect of Tiny Houses on Community and Environment,” Undergraduate Journal of Humanistic Studies • Winter, vol. 2, 2016, 7, http://tinyhousecommunity.com/faq.htm.","previouslyFormattedCitation":"Charlie Kilman, “Small House, Big Impact: The Effect of Tiny Houses on Community and Environment,” &lt;i&gt;Undergraduate Journal of Humanistic Studies • Winter&lt;/i&gt;, vol. 2, 2016, 7, http://tinyhousecommunity.com/faq.htm."},"properties":{"noteIndex":176},"schema":"https://github.com/citation-style-language/schema/raw/master/csl-citation.json"}</w:instrText>
      </w:r>
      <w:r>
        <w:fldChar w:fldCharType="separate"/>
      </w:r>
      <w:r w:rsidRPr="001E3163">
        <w:rPr>
          <w:noProof/>
        </w:rPr>
        <w:t xml:space="preserve">Charlie Kilman, “Small House, Big Impact: The Effect of Tiny Houses on Community and Environment,” </w:t>
      </w:r>
      <w:r w:rsidRPr="001E3163">
        <w:rPr>
          <w:i/>
          <w:noProof/>
        </w:rPr>
        <w:t>Undergraduate Journal of Humanistic Studies • Winter</w:t>
      </w:r>
      <w:r w:rsidRPr="001E3163">
        <w:rPr>
          <w:noProof/>
        </w:rPr>
        <w:t>, vol. 2, 2016, 7, http://tinyhousecommunity.com/faq.htm.</w:t>
      </w:r>
      <w:r>
        <w:fldChar w:fldCharType="end"/>
      </w:r>
    </w:p>
  </w:footnote>
  <w:footnote w:id="178">
    <w:p w14:paraId="532073EE" w14:textId="658F2BC4" w:rsidR="00AB27A5" w:rsidRDefault="00AB27A5" w:rsidP="00E74C99">
      <w:pPr>
        <w:pStyle w:val="FootnoteText"/>
      </w:pPr>
      <w:r>
        <w:rPr>
          <w:rStyle w:val="FootnoteReference"/>
        </w:rPr>
        <w:footnoteRef/>
      </w:r>
      <w:r>
        <w:t xml:space="preserve"> </w:t>
      </w:r>
      <w:r>
        <w:fldChar w:fldCharType="begin" w:fldLock="1"/>
      </w:r>
      <w:r>
        <w:instrText>ADDIN CSL_CITATION {"citationItems":[{"id":"ITEM-1","itemData":{"author":[{"dropping-particle":"","family":"Kilman","given":"Charlie","non-dropping-particle":"","parse-names":false,"suffix":""}],"container-title":"Undergraduate Journal of Humanistic Studies • Winter","id":"ITEM-1","issued":{"date-parts":[["2016"]]},"title":"Small House, Big Impact: The Effect of Tiny Houses on Community and Environment","type":"report","volume":"2"},"locator":"7","uris":["http://www.mendeley.com/documents/?uuid=5fe739e1-6387-3c09-b090-52da66b08670"]}],"mendeley":{"formattedCitation":"Kilman, 2:7.","plainTextFormattedCitation":"Kilman, 2:7.","previouslyFormattedCitation":"Kilman, 2:7."},"properties":{"noteIndex":177},"schema":"https://github.com/citation-style-language/schema/raw/master/csl-citation.json"}</w:instrText>
      </w:r>
      <w:r>
        <w:fldChar w:fldCharType="separate"/>
      </w:r>
      <w:r w:rsidRPr="00E74C99">
        <w:rPr>
          <w:noProof/>
        </w:rPr>
        <w:t>Kilman, 2:7.</w:t>
      </w:r>
      <w:r>
        <w:fldChar w:fldCharType="end"/>
      </w:r>
    </w:p>
  </w:footnote>
  <w:footnote w:id="179">
    <w:p w14:paraId="2A444CAD" w14:textId="4DF97AE7"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{"citationItems":[{"id":"ITEM-1","itemData":{"author":[{"dropping-particle":"","family":"Kilman","given":"Charlie","non-dropping-particle":"","parse-names":false,"suffix":""}],"container-title":"Undergraduate Journal of Humanistic Studies • Winter","id":"ITEM-1","issued":{"date-parts":[["2016"]]},"title":"Small House, Big Impact: The Effect of Tiny Houses on Community and Environment","type":"report","volume":"2"},"locator":"9","uris":["http://www.mendeley.com/documents/?uuid=5fe739e1-6387-3c09-b090-52da66b08670"]}],"mendeley":{"formattedCitation":"Kilman, 2:9.","plainTextFormattedCitation":"Kilman, 2:9.","previouslyFormattedCitation":"Kilman, 2:9."},"properties":{"noteIndex":178},"schema":"https://github.com/citation-style-language/schema/raw/master/csl-citation.json"}</w:instrText>
      </w:r>
      <w:r>
        <w:fldChar w:fldCharType="separate"/>
      </w:r>
      <w:r w:rsidRPr="00293F78">
        <w:rPr>
          <w:noProof/>
        </w:rPr>
        <w:t>Kilman, 2:9.</w:t>
      </w:r>
      <w:r>
        <w:fldChar w:fldCharType="end"/>
      </w:r>
    </w:p>
  </w:footnote>
  <w:footnote w:id="180">
    <w:p w14:paraId="69719F6F" w14:textId="0699421C"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{"citationItems":[{"id":"ITEM-1","itemData":{"author":[{"dropping-particle":"","family":"Kilman","given":"Charlie","non-dropping-particle":"","parse-names":false,"suffix":""}],"container-title":"Undergraduate Journal of Humanistic Studies • Winter","id":"ITEM-1","issued":{"date-parts":[["2016"]]},"title":"Small House, Big Impact: The Effect of Tiny Houses on Community and Environment","type":"report","volume":"2"},"locator":"9","uris":["http://www.mendeley.com/documents/?uuid=5fe739e1-6387-3c09-b090-52da66b08670"]}],"mendeley":{"formattedCitation":"Kilman, 2:9.","plainTextFormattedCitation":"Kilman, 2:9.","previouslyFormattedCitation":"Kilman, 2:9."},"properties":{"noteIndex":179},"schema":"https://github.com/citation-style-language/schema/raw/master/csl-citation.json"}</w:instrText>
      </w:r>
      <w:r>
        <w:fldChar w:fldCharType="separate"/>
      </w:r>
      <w:r w:rsidRPr="0055282A">
        <w:rPr>
          <w:noProof/>
        </w:rPr>
        <w:t>Kilman, 2:9.</w:t>
      </w:r>
      <w:r>
        <w:fldChar w:fldCharType="end"/>
      </w:r>
    </w:p>
  </w:footnote>
  <w:footnote w:id="181">
    <w:p w14:paraId="75F989E4" w14:textId="7EFFBF7F" w:rsidR="00AB27A5" w:rsidRDefault="00AB27A5" w:rsidP="00F02F70">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ACTIONS","type":"article"},"locator":"3","uris":["http://www.mendeley.com/documents/?uuid=ed36c996-7245-4af3-abe4-3c8ebf1bafcb"]}],"mendeley":{"formattedCitation":"Arc Eziyi O Ibem and Egidario B Aduwo, “A FRAMEWORK FOR UNDERSTANDING SUSTAINABLE HOUSING FOR POLICY DEVELOPMENT AND PRACTICAL ACTIONS,” &lt;i&gt;Architects Registration Council of Nigeria&lt;/i&gt;, 2015, 3, https://doi.org/10.1002/9781119196563.ch1.","plainTextFormattedCitation":"Arc Eziyi O Ibem and Egidario B Aduwo, “A FRAMEWORK FOR UNDERSTANDING SUSTAINABLE HOUSING FOR POLICY DEVELOPMENT AND PRACTICAL ACTIONS,” Architects Registration Council of Nigeria, 2015, 3, https://doi.org/10.1002/9781119196563.ch1.","previouslyFormattedCitation":"Arc Eziyi O Ibem and Egidario B Aduwo, “A FRAMEWORK FOR UNDERSTANDING SUSTAINABLE HOUSING FOR POLICY DEVELOPMENT AND PRACTICAL ACTIONS,” &lt;i&gt;Architects Registration Council of Nigeria&lt;/i&gt;, 2015, 3, https://doi.org/10.1002/9781119196563.ch1."},"properties":{"noteIndex":180},"schema":"https://github.com/citation-style-language/schema/raw/master/csl-citation.json"}</w:instrText>
      </w:r>
      <w:r>
        <w:fldChar w:fldCharType="separate"/>
      </w:r>
      <w:r>
        <w:rPr>
          <w:noProof/>
        </w:rPr>
        <w:t xml:space="preserve">Arc Eziyi O Ibem and Egidario B Aduwo, “A FRAMEWORK FOR UNDERSTANDING SUSTAINABLE HOUSING FOR POLICY DEVELOPMENT AND PRACTICAL ACTIONS,” </w:t>
      </w:r>
      <w:r>
        <w:rPr>
          <w:i/>
          <w:noProof/>
        </w:rPr>
        <w:t>Architects Registration Council of Nigeria</w:t>
      </w:r>
      <w:r>
        <w:rPr>
          <w:noProof/>
        </w:rPr>
        <w:t>, 2015, 3, https://doi.org/10.1002/9781119196563.ch1.</w:t>
      </w:r>
      <w:r>
        <w:fldChar w:fldCharType="end"/>
      </w:r>
    </w:p>
  </w:footnote>
  <w:footnote w:id="182">
    <w:p w14:paraId="012BD5BC" w14:textId="75CD4917" w:rsidR="00AB27A5" w:rsidRDefault="00AB27A5" w:rsidP="00F02F70">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ACTIONS","type":"article"},"locator":"6","uris":["http://www.mendeley.com/documents/?uuid=ed36c996-7245-4af3-abe4-3c8ebf1bafcb"]}],"mendeley":{"formattedCitation":"Ibem and Aduwo, 6.","plainTextFormattedCitation":"Ibem and Aduwo, 6.","previouslyFormattedCitation":"Ibem and Aduwo, 6."},"properties":{"noteIndex":181},"schema":"https://github.com/citation-style-language/schema/raw/master/csl-citation.json"}</w:instrText>
      </w:r>
      <w:r>
        <w:fldChar w:fldCharType="separate"/>
      </w:r>
      <w:r>
        <w:rPr>
          <w:noProof/>
        </w:rPr>
        <w:t>Ibem and Aduwo, 6.</w:t>
      </w:r>
      <w:r>
        <w:fldChar w:fldCharType="end"/>
      </w:r>
    </w:p>
  </w:footnote>
  <w:footnote w:id="183">
    <w:p w14:paraId="0B0C0358" w14:textId="1C51F0D7" w:rsidR="00AB27A5" w:rsidRDefault="00AB27A5" w:rsidP="001B12B8">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ACTIONS","type":"article"},"locator":"12","uris":["http://www.mendeley.com/documents/?uuid=ed36c996-7245-4af3-abe4-3c8ebf1bafcb"]}],"mendeley":{"formattedCitation":"Ibem and Aduwo, 12.","plainTextFormattedCitation":"Ibem and Aduwo, 12.","previouslyFormattedCitation":"Ibem and Aduwo, 12."},"properties":{"noteIndex":182},"schema":"https://github.com/citation-style-language/schema/raw/master/csl-citation.json"}</w:instrText>
      </w:r>
      <w:r>
        <w:fldChar w:fldCharType="separate"/>
      </w:r>
      <w:r>
        <w:rPr>
          <w:noProof/>
        </w:rPr>
        <w:t>Ibem and Aduwo, 12.</w:t>
      </w:r>
      <w:r>
        <w:fldChar w:fldCharType="end"/>
      </w:r>
    </w:p>
  </w:footnote>
  <w:footnote w:id="184">
    <w:p w14:paraId="66E8EC5B" w14:textId="37DD65E5" w:rsidR="00AB27A5" w:rsidRDefault="00AB27A5" w:rsidP="001B12B8">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ACTIONS","type":"article"},"locator":"13","uris":["http://www.mendeley.com/documents/?uuid=ed36c996-7245-4af3-abe4-3c8ebf1bafcb"]}],"mendeley":{"formattedCitation":"Ibem and Aduwo, 13.","plainTextFormattedCitation":"Ibem and Aduwo, 13.","previouslyFormattedCitation":"Ibem and Aduwo, 13."},"properties":{"noteIndex":183},"schema":"https://github.com/citation-style-language/schema/raw/master/csl-citation.json"}</w:instrText>
      </w:r>
      <w:r>
        <w:fldChar w:fldCharType="separate"/>
      </w:r>
      <w:r>
        <w:rPr>
          <w:noProof/>
        </w:rPr>
        <w:t>Ibem and Aduwo, 13.</w:t>
      </w:r>
      <w:r>
        <w:fldChar w:fldCharType="end"/>
      </w:r>
    </w:p>
  </w:footnote>
  <w:footnote w:id="185">
    <w:p w14:paraId="53839DAF" w14:textId="76AADFF1" w:rsidR="00AB27A5" w:rsidRDefault="00AB27A5" w:rsidP="001B12B8">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ACTIONS","type":"article"},"locator":"14-15","uris":["http://www.mendeley.com/documents/?uuid=ed36c996-7245-4af3-abe4-3c8ebf1bafcb"]}],"mendeley":{"formattedCitation":"Ibem and Aduwo, 14–15.","plainTextFormattedCitation":"Ibem and Aduwo, 14–15.","previouslyFormattedCitation":"Ibem and Aduwo, 14–15."},"properties":{"noteIndex":184},"schema":"https://github.com/citation-style-language/schema/raw/master/csl-citation.json"}</w:instrText>
      </w:r>
      <w:r>
        <w:fldChar w:fldCharType="separate"/>
      </w:r>
      <w:r>
        <w:rPr>
          <w:noProof/>
        </w:rPr>
        <w:t>Ibem and Aduwo, 14–15.</w:t>
      </w:r>
      <w:r>
        <w:fldChar w:fldCharType="end"/>
      </w:r>
    </w:p>
  </w:footnote>
  <w:footnote w:id="186">
    <w:p w14:paraId="09B341FA" w14:textId="616E23B0" w:rsidR="00AB27A5" w:rsidRDefault="00AB27A5" w:rsidP="00F02F70">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ACTIONS","type":"article"},"locator":"9","uris":["http://www.mendeley.com/documents/?uuid=ed36c996-7245-4af3-abe4-3c8ebf1bafcb"]}],"mendeley":{"formattedCitation":"Ibem and Aduwo, 9.","plainTextFormattedCitation":"Ibem and Aduwo, 9.","previouslyFormattedCitation":"Ibem and Aduwo, 9."},"properties":{"noteIndex":185},"schema":"https://github.com/citation-style-language/schema/raw/master/csl-citation.json"}</w:instrText>
      </w:r>
      <w:r>
        <w:fldChar w:fldCharType="separate"/>
      </w:r>
      <w:r>
        <w:rPr>
          <w:noProof/>
        </w:rPr>
        <w:t>Ibem and Aduwo, 9.</w:t>
      </w:r>
      <w:r>
        <w:fldChar w:fldCharType="end"/>
      </w:r>
    </w:p>
  </w:footnote>
  <w:footnote w:id="187">
    <w:p w14:paraId="3CF6BB89" w14:textId="073645CC" w:rsidR="00AB27A5" w:rsidRDefault="00AB27A5" w:rsidP="00F02F70">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ACTIONS","type":"article"},"locator":"13-14","uris":["http://www.mendeley.com/documents/?uuid=ed36c996-7245-4af3-abe4-3c8ebf1bafcb"]}],"mendeley":{"formattedCitation":"Ibem and Aduwo, 13–14.","plainTextFormattedCitation":"Ibem and Aduwo, 13–14.","previouslyFormattedCitation":"Ibem and Aduwo, 13–14."},"properties":{"noteIndex":186},"schema":"https://github.com/citation-style-language/schema/raw/master/csl-citation.json"}</w:instrText>
      </w:r>
      <w:r>
        <w:fldChar w:fldCharType="separate"/>
      </w:r>
      <w:r>
        <w:rPr>
          <w:noProof/>
        </w:rPr>
        <w:t>Ibem and Aduwo, 13–14.</w:t>
      </w:r>
      <w:r>
        <w:fldChar w:fldCharType="end"/>
      </w:r>
    </w:p>
  </w:footnote>
  <w:footnote w:id="188">
    <w:p w14:paraId="60854016" w14:textId="59E7F830" w:rsidR="00AB27A5" w:rsidRDefault="00AB27A5" w:rsidP="00F02F70">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ACTIONS","type":"article"},"locator":"7","uris":["http://www.mendeley.com/documents/?uuid=ed36c996-7245-4af3-abe4-3c8ebf1bafcb"]}],"mendeley":{"formattedCitation":"Ibem and Aduwo, 7.","plainTextFormattedCitation":"Ibem and Aduwo, 7.","previouslyFormattedCitation":"Ibem and Aduwo, 7."},"properties":{"noteIndex":187},"schema":"https://github.com/citation-style-language/schema/raw/master/csl-citation.json"}</w:instrText>
      </w:r>
      <w:r>
        <w:fldChar w:fldCharType="separate"/>
      </w:r>
      <w:r>
        <w:rPr>
          <w:noProof/>
        </w:rPr>
        <w:t>Ibem and Aduwo, 7.</w:t>
      </w:r>
      <w:r>
        <w:fldChar w:fldCharType="end"/>
      </w:r>
    </w:p>
  </w:footnote>
  <w:footnote w:id="189">
    <w:p w14:paraId="72F86EE5" w14:textId="68534AF3" w:rsidR="00AB27A5" w:rsidRDefault="00AB27A5" w:rsidP="00F02F70">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ACTIONS","type":"article"},"locator":"8-9","uris":["http://www.mendeley.com/documents/?uuid=ed36c996-7245-4af3-abe4-3c8ebf1bafcb"]}],"mendeley":{"formattedCitation":"Ibem and Aduwo, 8–9.","plainTextFormattedCitation":"Ibem and Aduwo, 8–9.","previouslyFormattedCitation":"Ibem and Aduwo, 8–9."},"properties":{"noteIndex":188},"schema":"https://github.com/citation-style-language/schema/raw/master/csl-citation.json"}</w:instrText>
      </w:r>
      <w:r>
        <w:fldChar w:fldCharType="separate"/>
      </w:r>
      <w:r>
        <w:rPr>
          <w:noProof/>
        </w:rPr>
        <w:t>Ibem and Aduwo, 8–9.</w:t>
      </w:r>
      <w:r>
        <w:fldChar w:fldCharType="end"/>
      </w:r>
    </w:p>
  </w:footnote>
  <w:footnote w:id="190">
    <w:p w14:paraId="3FC33E67" w14:textId="253D5F87" w:rsidR="00AB27A5" w:rsidRDefault="00AB27A5" w:rsidP="00F02F70">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ACTIONS","type":"article"},"locator":"11","uris":["http://www.mendeley.com/documents/?uuid=ed36c996-7245-4af3-abe4-3c8ebf1bafcb"]}],"mendeley":{"formattedCitation":"Ibem and Aduwo, 11.","plainTextFormattedCitation":"Ibem and Aduwo, 11.","previouslyFormattedCitation":"Ibem and Aduwo, 11."},"properties":{"noteIndex":189},"schema":"https://github.com/citation-style-language/schema/raw/master/csl-citation.json"}</w:instrText>
      </w:r>
      <w:r>
        <w:fldChar w:fldCharType="separate"/>
      </w:r>
      <w:r>
        <w:rPr>
          <w:noProof/>
        </w:rPr>
        <w:t>Ibem and Aduwo, 11.</w:t>
      </w:r>
      <w:r>
        <w:fldChar w:fldCharType="end"/>
      </w:r>
    </w:p>
  </w:footnote>
  <w:footnote w:id="191">
    <w:p w14:paraId="718C927F" w14:textId="4E687B89" w:rsidR="00AB27A5" w:rsidRDefault="00AB27A5">
      <w:pPr>
        <w:pStyle w:val="FootnoteText"/>
      </w:pPr>
      <w:r>
        <w:rPr>
          <w:rStyle w:val="FootnoteReference"/>
        </w:rPr>
        <w:footnoteRef/>
      </w:r>
      <w:r>
        <w:t xml:space="preserve"> </w:t>
      </w:r>
      <w:r>
        <w:fldChar w:fldCharType="begin" w:fldLock="1"/>
      </w:r>
      <w:r>
        <w:instrText>ADDIN CSL_CITATION {"citationItems":[{"id":"ITEM-1","itemData":{"DOI":"10.1002/9781119196563.ch1","author":[{"dropping-particle":"","family":"Ibem","given":"Arc Eziyi O","non-dropping-particle":"","parse-names":false,"suffix":""},{"dropping-particle":"","family":"Aduwo","given":"Egidario B","non-dropping-particle":"","parse-names":false,"suffix":""}],"container-title":"Architects Registration Council of Nigeria","id":"ITEM-1","issue":"June","issued":{"date-parts":[["2015"]]},"page":"1-59","title":"A FRAMEWORK FOR UNDERSTANDING SUSTAINABLE HOUSING FOR POLICY DEVELOPMENT AND PRACTICAL ACTIONS","type":"article"},"locator":"4","uris":["http://www.mendeley.com/documents/?uuid=ed36c996-7245-4af3-abe4-3c8ebf1bafcb"]}],"mendeley":{"formattedCitation":"Ibem and Aduwo, 4.","plainTextFormattedCitation":"Ibem and Aduwo, 4.","previouslyFormattedCitation":"Ibem and Aduwo, 4."},"properties":{"noteIndex":190},"schema":"https://github.com/citation-style-language/schema/raw/master/csl-citation.json"}</w:instrText>
      </w:r>
      <w:r>
        <w:fldChar w:fldCharType="separate"/>
      </w:r>
      <w:r w:rsidRPr="00D94128">
        <w:rPr>
          <w:noProof/>
        </w:rPr>
        <w:t>Ibem and Aduwo, 4.</w:t>
      </w:r>
      <w:r>
        <w:fldChar w:fldCharType="end"/>
      </w:r>
    </w:p>
  </w:footnote>
  <w:footnote w:id="192">
    <w:p w14:paraId="5F4B2C45" w14:textId="43CA2925"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{"citationItems":[{"id":"ITEM-1","itemData":{"abstract":"Some have criticized the Federal Emergency Management Agency's (FEMA's) emergency housing policies, particularly its approach to health and safety standards (as exemplified by the evidence of formaldehyde in both trailers and mobile homes), as well as its overall strategy to perform its housing mission. To address disaster housing issues, Congress could opt to consider questions such as the following. How have disaster housing needs traditionally been addressed under the Stafford Disaster Relief and Emergency Assistance Act (P.L. 93-288, as amended)? How did FEMA's approach during Hurricane Katrina differ from previous disasters and why? With a substantial amount of available funding provided by Congress, but without requesting expanded authority, FEMA found its sole option was to use traditional disaster housing practices. Those practices, successful for disasters of a historically familiar size, were hard-pressed to meet the unprecedented demands of the Katrina catastrophic disaster.","author":[{"dropping-particle":"","family":"Mccarthy","given":"Francis X","non-dropping-particle":"","parse-names":false,"suffix":""}],"id":"ITEM-1","issued":{"date-parts":[["2008"]]},"title":"FEMA Disaster Housing and Hurricane Katrina: Overview, Analysis, and Congressional Issues Analyst, Emergency Management Policy Government and Finance Division","type":"report"},"locator":"14","uris":["http://www.mendeley.com/documents/?uuid=61bfffa3-3c7b-330c-bf0c-496153f4ebe0"]}],"mendeley":{"formattedCitation":"Mccarthy, “FEMA Disaster Housing and Hurricane Katrina: Overview, Analysis, and Congressional Issues Analyst, Emergency Management Policy Government and Finance Division,” 14.","plainTextFormattedCitation":"Mccarthy, “FEMA Disaster Housing and Hurricane Katrina: Overview, Analysis, and Congressional Issues Analyst, Emergency Management Policy Government and Finance Division,” 14.","previouslyFormattedCitation":"Mccarthy, “FEMA Disaster Housing and Hurricane Katrina: Overview, Analysis, and Congressional Issues Analyst, Emergency Management Policy Government and Finance Division,” 14."},"properties":{"noteIndex":191},"schema":"https://github.com/citation-style-language/schema/raw/master/csl-citation.json"}</w:instrText>
      </w:r>
      <w:r>
        <w:fldChar w:fldCharType="separate"/>
      </w:r>
      <w:r w:rsidRPr="000B54A6">
        <w:rPr>
          <w:noProof/>
        </w:rPr>
        <w:t>Mccarthy, “FEMA Disaster Housing and Hurricane Katrina: Overview, Analysis, and Congressional Issues Analyst, Emergency Management Policy Government and Finance Division,” 14.</w:t>
      </w:r>
      <w:r>
        <w:fldChar w:fldCharType="end"/>
      </w:r>
    </w:p>
  </w:footnote>
  <w:footnote w:id="193">
    <w:p w14:paraId="643A1EAC" w14:textId="3E79B5E5"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minimotives.com/budget/","accessed":{"date-parts":[["2019","3","7"]]},"author":[{"dropping-particle":"","family":"Miller","given":"Macy","non-dropping-particle":"","parse-names":false,"suffix":""}],"container-title":"MiniMotives","id":"ITEM-1","issued":{"date-parts":[["2011"]]},"title":"Budget","type":"webpage"},"uris":["http://www.mendeley.com/documents/?uuid=28e07661-7980-31d4-a5f7-64d017f7dafe"]}],"mendeley":{"formattedCitation":"Macy Miller, “Budget,” MiniMotives, 2011, http://minimotives.com/budget/.","plainTextFormattedCitation":"Macy Miller, “Budget,” MiniMotives, 2011, http://minimotives.com/budget/.","previouslyFormattedCitation":"Macy Miller, “Budget,” MiniMotives, 2011, http://minimotives.com/budget/."},"properties":{"noteIndex":192},"schema":"https://github.com/citation-style-language/schema/raw/master/csl-citation.json"}</w:instrText>
      </w:r>
      <w:r>
        <w:fldChar w:fldCharType="separate"/>
      </w:r>
      <w:r w:rsidRPr="00EA2C26">
        <w:rPr>
          <w:noProof/>
        </w:rPr>
        <w:t>Macy Miller, “Budget,” MiniMotives, 2011, http://minimotives.com/budget/.</w:t>
      </w:r>
      <w:r>
        <w:fldChar w:fldCharType="end"/>
      </w:r>
    </w:p>
  </w:footnote>
  <w:footnote w:id="194">
    <w:p w14:paraId="7CF7B45F" w14:textId="11D1F063"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{"citationItems":[{"id":"ITEM-1","itemData":{"URL":"https://motivatedmontanan.weebly.com/quick-facts.html","accessed":{"date-parts":[["2019","3","7"]]},"container-title":"Motivated Montanan","id":"ITEM-1","issued":{"date-parts":[["0"]]},"title":"Quick Facts","type":"webpage"},"uris":["http://www.mendeley.com/documents/?uuid=a192645c-b3eb-302b-a848-5811d2e8156c"]},{"id":"ITEM-2","itemData":{"URL":"https://motivatedmontanan.weebly.com/budgeting-resources.html","accessed":{"date-parts":[["2019","3","7"]]},"container-title":"Motivated Montanan","id":"ITEM-2","issued":{"date-parts":[["0"]]},"title":"Budgeting Resources","type":"webpage"},"uris":["http://www.mendeley.com/documents/?uuid=5050bca1-1001-352f-ae2e-652d36dc56f8"]}],"mendeley":{"formattedCitation":"“Quick Facts,” Motivated Montanan, accessed March 7, 2019, https://motivatedmontanan.weebly.com/quick-facts.html; “Budgeting Resources,” Motivated Montanan, accessed March 7, 2019, https://motivatedmontanan.weebly.com/budgeting-resources.html.","plainTextFormattedCitation":"“Quick Facts,” Motivated Montanan, accessed March 7, 2019, https://motivatedmontanan.weebly.com/quick-facts.html; “Budgeting Resources,” Motivated Montanan, accessed March 7, 2019, https://motivatedmontanan.weebly.com/budgeting-resources.html.","previouslyFormattedCitation":"“Quick Facts,” Motivated Montanan, accessed March 7, 2019, https://motivatedmontanan.weebly.com/quick-facts.html; “Budgeting Resources,” Motivated Montanan, accessed March 7, 2019, https://motivatedmontanan.weebly.com/budgeting-resources.html."},"properties":{"noteIndex":193},"schema":"https://github.com/citation-style-language/schema/raw/master/csl-citation.json"}</w:instrText>
      </w:r>
      <w:r>
        <w:fldChar w:fldCharType="separate"/>
      </w:r>
      <w:r w:rsidRPr="0091746A">
        <w:rPr>
          <w:noProof/>
        </w:rPr>
        <w:t>“Quick Facts,” Motivated Montanan, accessed March 7, 2019, https://motivatedmontanan.weebly.com/quick-facts.html; “Budgeting Resources,” Motivated Montanan, accessed March 7, 2019, https://motivatedmontanan.weebly.com/budgeting-resources.html.</w:t>
      </w:r>
      <w:r>
        <w:fldChar w:fldCharType="end"/>
      </w:r>
    </w:p>
  </w:footnote>
  <w:footnote w:id="195">
    <w:p w14:paraId="5DD7840D" w14:textId="3E1D25B5"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dezeen.com/2017/07/08/cabin-jacobschang-treehouse-upstate-new-york-architecture-residential-woodland-usa/","accessed":{"date-parts":[["2019","3","7"]]},"author":[{"dropping-particle":"","family":"Brillon","given":"James","non-dropping-particle":"","parse-names":false,"suffix":""}],"container-title":"Dezeen","id":"ITEM-1","issued":{"date-parts":[["2017"]]},"title":"Cabin by JacobsChang is set among trees in upstate New York","type":"webpage"},"uris":["http://www.mendeley.com/documents/?uuid=539e1835-98ef-33ac-9c84-a852257b3008"]}],"mendeley":{"formattedCitation":"James Brillon, “Cabin by JacobsChang Is Set among Trees in Upstate New York,” Dezeen, 2017, https://www.dezeen.com/2017/07/08/cabin-jacobschang-treehouse-upstate-new-york-architecture-residential-woodland-usa/.","plainTextFormattedCitation":"James Brillon, “Cabin by JacobsChang Is Set among Trees in Upstate New York,” Dezeen, 2017, https://www.dezeen.com/2017/07/08/cabin-jacobschang-treehouse-upstate-new-york-architecture-residential-woodland-usa/.","previouslyFormattedCitation":"James Brillon, “Cabin by JacobsChang Is Set among Trees in Upstate New York,” Dezeen, 2017, https://www.dezeen.com/2017/07/08/cabin-jacobschang-treehouse-upstate-new-york-architecture-residential-woodland-usa/."},"properties":{"noteIndex":194},"schema":"https://github.com/citation-style-language/schema/raw/master/csl-citation.json"}</w:instrText>
      </w:r>
      <w:r>
        <w:fldChar w:fldCharType="separate"/>
      </w:r>
      <w:r w:rsidRPr="00504862">
        <w:rPr>
          <w:noProof/>
        </w:rPr>
        <w:t>James Brillon, “Cabin by JacobsChang Is Set among Trees in Upstate New York,” Dezeen, 2017, https://www.dezeen.com/2017/07/08/cabin-jacobschang-treehouse-upstate-new-york-architecture-residential-woodland-usa/.</w:t>
      </w:r>
      <w:r>
        <w:fldChar w:fldCharType="end"/>
      </w:r>
    </w:p>
  </w:footnote>
  <w:footnote w:id="196">
    <w:p w14:paraId="7F8DB31D" w14:textId="1A62BF95"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{"citationItems":[{"id":"ITEM-1","itemData":{"URL":"https://www.tinyhomebuilders.com/tiny-house-marketplace/tiny-house-for-sale-","accessed":{"date-parts":[["2019","3","15"]]},"container-title":"Tiny Home Builders","id":"ITEM-1","issued":{"date-parts":[["0"]]},"title":"Springtown Tiny House","type":"webpage"},"uris":["http://www.mendeley.com/documents/?uuid=fc4e2c22-2911-3e79-8b7f-4212ceb9ca55"]}],"mendeley":{"formattedCitation":"“Springtown Tiny House,” Tiny Home Builders, accessed March 15, 2019, https://www.tinyhomebuilders.com/tiny-house-marketplace/tiny-house-for-sale-.","plainTextFormattedCitation":"“Springtown Tiny House,” Tiny Home Builders, accessed March 15, 2019, https://www.tinyhomebuilders.com/tiny-house-marketplace/tiny-house-for-sale-.","previouslyFormattedCitation":"“Springtown Tiny House,” Tiny Home Builders, accessed March 15, 2019, https://www.tinyhomebuilders.com/tiny-house-marketplace/tiny-house-for-sale-."},"properties":{"noteIndex":195},"schema":"https://github.com/citation-style-language/schema/raw/master/csl-citation.json"}</w:instrText>
      </w:r>
      <w:r>
        <w:fldChar w:fldCharType="separate"/>
      </w:r>
      <w:r w:rsidRPr="00304E6D">
        <w:rPr>
          <w:noProof/>
        </w:rPr>
        <w:t>“Springtown Tiny House,” Tiny Home Builders, accessed March 15, 2019, https://www.tinyhomebuilders.com/tiny-house-marketplace/tiny-house-for-sale-.</w:t>
      </w:r>
      <w:r>
        <w:fldChar w:fldCharType="end"/>
      </w:r>
    </w:p>
  </w:footnote>
  <w:footnote w:id="197">
    <w:p w14:paraId="6EE2F86B" w14:textId="5FF2D693"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tinyhousetalk.com/27-foot-modern-tiny-house-with-dual-lofts-for-22k/","accessed":{"date-parts":[["2019","3","15"]]},"author":[{"dropping-particle":"","family":"Alex","given":"","non-dropping-particle":"","parse-names":false,"suffix":""}],"container-title":"Tiny House Talk","id":"ITEM-1","issued":{"date-parts":[["2018"]]},"title":"27-Foot Modern Tiny House with Dual Lofts for $22k","type":"webpage"},"uris":["http://www.mendeley.com/documents/?uuid=20cf365a-f10b-32a2-a253-219526d3396a"]}],"mendeley":{"formattedCitation":"Alex, “27-Foot Modern Tiny House with Dual Lofts for $22k,” Tiny House Talk, 2018, https://tinyhousetalk.com/27-foot-modern-tiny-house-with-dual-lofts-for-22k/.","plainTextFormattedCitation":"Alex, “27-Foot Modern Tiny House with Dual Lofts for $22k,” Tiny House Talk, 2018, https://tinyhousetalk.com/27-foot-modern-tiny-house-with-dual-lofts-for-22k/.","previouslyFormattedCitation":"Alex, “27-Foot Modern Tiny House with Dual Lofts for $22k,” Tiny House Talk, 2018, https://tinyhousetalk.com/27-foot-modern-tiny-house-with-dual-lofts-for-22k/."},"properties":{"noteIndex":196},"schema":"https://github.com/citation-style-language/schema/raw/master/csl-citation.json"}</w:instrText>
      </w:r>
      <w:r>
        <w:fldChar w:fldCharType="separate"/>
      </w:r>
      <w:r w:rsidRPr="00C74D92">
        <w:rPr>
          <w:noProof/>
        </w:rPr>
        <w:t>Alex, “27-Foot Modern Tiny House with Dual Lofts for $22k,” Tiny House Talk, 2018, https://tinyhousetalk.com/27-foot-modern-tiny-house-with-dual-lofts-for-22k/.</w:t>
      </w:r>
      <w:r>
        <w:fldChar w:fldCharType="end"/>
      </w:r>
    </w:p>
  </w:footnote>
  <w:footnote w:id="198">
    <w:p w14:paraId="26603091" w14:textId="263C2025"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{"citationItems":[{"id":"ITEM-1","itemData":{"URL":"http://tinymaison.blogspot.com/","accessed":{"date-parts":[["2019","3","6"]]},"container-title":"Tiny Maison","id":"ITEM-1","issued":{"date-parts":[["2014"]]},"title":"La Petite Maison","type":"webpage"},"uris":["http://www.mendeley.com/documents/?uuid=f6c9761d-6aa7-3fac-89df-ce435e22e4e7"]}],"mendeley":{"formattedCitation":"“La Petite Maison,” Tiny Maison, 2014, http://tinymaison.blogspot.com/.","plainTextFormattedCitation":"“La Petite Maison,” Tiny Maison, 2014, http://tinymaison.blogspot.com/.","previouslyFormattedCitation":"“La Petite Maison,” Tiny Maison, 2014, http://tinymaison.blogspot.com/."},"properties":{"noteIndex":197},"schema":"https://github.com/citation-style-language/schema/raw/master/csl-citation.json"}</w:instrText>
      </w:r>
      <w:r>
        <w:fldChar w:fldCharType="separate"/>
      </w:r>
      <w:r w:rsidRPr="00EE1511">
        <w:rPr>
          <w:noProof/>
        </w:rPr>
        <w:t>“La Petite Maison,” Tiny Maison, 2014, http://tinymaison.blogspot.com/.</w:t>
      </w:r>
      <w:r>
        <w:fldChar w:fldCharType="end"/>
      </w:r>
    </w:p>
  </w:footnote>
  <w:footnote w:id="199">
    <w:p w14:paraId="006796C4" w14:textId="66CC7CB2"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{"citationItems":[{"id":"ITEM-1","itemData":{"URL":"https://blog.ted.com/a-recap-of-session-2-of-tedyouth-2014/","accessed":{"date-parts":[["2019","3","7"]]},"author":[{"dropping-particle":"","family":"TED Staff","given":"","non-dropping-particle":"","parse-names":false,"suffix":""}],"container-title":"TED Blog","id":"ITEM-1","issued":{"date-parts":[["2014"]]},"title":"A recap of Session 2 of TEDYouth 2014","type":"webpage"},"uris":["http://www.mendeley.com/documents/?uuid=1e6443c6-cdc6-351b-a33b-c86d1193c285"]}],"mendeley":{"formattedCitation":"TED Staff, “A Recap of Session 2 of TEDYouth 2014,” TED Blog, 2014, https://blog.ted.com/a-recap-of-session-2-of-tedyouth-2014/.","plainTextFormattedCitation":"TED Staff, “A Recap of Session 2 of TEDYouth 2014,” TED Blog, 2014, https://blog.ted.com/a-recap-of-session-2-of-tedyouth-2014/.","previouslyFormattedCitation":"TED Staff, “A Recap of Session 2 of TEDYouth 2014,” TED Blog, 2014, https://blog.ted.com/a-recap-of-session-2-of-tedyouth-2014/."},"properties":{"noteIndex":198},"schema":"https://github.com/citation-style-language/schema/raw/master/csl-citation.json"}</w:instrText>
      </w:r>
      <w:r>
        <w:fldChar w:fldCharType="separate"/>
      </w:r>
      <w:r w:rsidRPr="00EE1511">
        <w:rPr>
          <w:noProof/>
        </w:rPr>
        <w:t>TED Staff, “A Recap of Session 2 of TEDYouth 2014,” TED Blog, 2014, https://blog.ted.com/a-recap-of-session-2-of-tedyouth-2014/.</w:t>
      </w:r>
      <w:r>
        <w:fldChar w:fldCharType="end"/>
      </w:r>
    </w:p>
  </w:footnote>
  <w:footnote w:id="200">
    <w:p w14:paraId="21559404" w14:textId="5DA41D5D"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homeharmonizing.com/berzins-familys-heroic-reaction-to-2008s-recession-a-168-sq-ft-diy-tiny-house/","accessed":{"date-parts":[["2019","3","11"]]},"author":[{"dropping-particle":"","family":"Chauhan","given":"Kuldeep","non-dropping-particle":"","parse-names":false,"suffix":""}],"container-title":"Home Harmonizing","id":"ITEM-1","issued":{"date-parts":[["0"]]},"title":"Berzins family's 168 sq ft DIY tiny house costs just $12,000","type":"webpage"},"uris":["http://www.mendeley.com/documents/?uuid=de913bf5-85d1-3588-8f6d-127ef5fe2b7c"]}],"mendeley":{"formattedCitation":"Kuldeep Chauhan, “Berzins Family’s 168 Sq Ft DIY Tiny House Costs Just $12,000,” Home Harmonizing, accessed March 11, 2019, http://homeharmonizing.com/berzins-familys-heroic-reaction-to-2008s-recession-a-168-sq-ft-diy-tiny-house/.","plainTextFormattedCitation":"Kuldeep Chauhan, “Berzins Family’s 168 Sq Ft DIY Tiny House Costs Just $12,000,” Home Harmonizing, accessed March 11, 2019, http://homeharmonizing.com/berzins-familys-heroic-reaction-to-2008s-recession-a-168-sq-ft-diy-tiny-house/.","previouslyFormattedCitation":"Kuldeep Chauhan, “Berzins Family’s 168 Sq Ft DIY Tiny House Costs Just $12,000,” Home Harmonizing, accessed March 11, 2019, http://homeharmonizing.com/berzins-familys-heroic-reaction-to-2008s-recession-a-168-sq-ft-diy-tiny-house/."},"properties":{"noteIndex":199},"schema":"https://github.com/citation-style-language/schema/raw/master/csl-citation.json"}</w:instrText>
      </w:r>
      <w:r>
        <w:fldChar w:fldCharType="separate"/>
      </w:r>
      <w:r w:rsidRPr="00FE2578">
        <w:rPr>
          <w:noProof/>
        </w:rPr>
        <w:t>Kuldeep Chauhan, “Berzins Family’s 168 Sq Ft DIY Tiny House Costs Just $12,000,” Home Harmonizing, accessed March 11, 2019, http://homeharmonizing.com/berzins-familys-heroic-reaction-to-2008s-recession-a-168-sq-ft-diy-tiny-house/.</w:t>
      </w:r>
      <w:r>
        <w:fldChar w:fldCharType="end"/>
      </w:r>
    </w:p>
  </w:footnote>
  <w:footnote w:id="201">
    <w:p w14:paraId="6CF7C944" w14:textId="65A6DC49"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businessinsider.com/house-built-one-day-apis-cor-2017-3","accessed":{"date-parts":[["2019","3","7"]]},"author":[{"dropping-particle":"","family":"Garfield","given":"Leanna","non-dropping-particle":"","parse-names":false,"suffix":""}],"container-title":"Business Insider","id":"ITEM-1","issued":{"date-parts":[["2017"]]},"title":"Apis Cor invented a $10,000 house that can be built in one day","type":"webpage"},"uris":["http://www.mendeley.com/documents/?uuid=490fc9b5-293a-34c0-be62-571fa967b4d0"]}],"mendeley":{"formattedCitation":"Leanna Garfield, “Apis Cor Invented a $10,000 House That Can Be Built in One Day,” Business Insider, 2017, https://www.businessinsider.com/house-built-one-day-apis-cor-2017-3.","plainTextFormattedCitation":"Leanna Garfield, “Apis Cor Invented a $10,000 House That Can Be Built in One Day,” Business Insider, 2017, https://www.businessinsider.com/house-built-one-day-apis-cor-2017-3.","previouslyFormattedCitation":"Leanna Garfield, “Apis Cor Invented a $10,000 House That Can Be Built in One Day,” Business Insider, 2017, https://www.businessinsider.com/house-built-one-day-apis-cor-2017-3."},"properties":{"noteIndex":200},"schema":"https://github.com/citation-style-language/schema/raw/master/csl-citation.json"}</w:instrText>
      </w:r>
      <w:r>
        <w:fldChar w:fldCharType="separate"/>
      </w:r>
      <w:r w:rsidRPr="002B4187">
        <w:rPr>
          <w:noProof/>
        </w:rPr>
        <w:t>Leanna Garfield, “Apis Cor Invented a $10,000 House That Can Be Built in One Day,” Business Insider, 2017, https://www.businessinsider.com/house-built-one-day-apis-cor-2017-3.</w:t>
      </w:r>
      <w:r>
        <w:fldChar w:fldCharType="end"/>
      </w:r>
    </w:p>
  </w:footnote>
  <w:footnote w:id="202">
    <w:p w14:paraId="029082E2" w14:textId="120630BC"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{"citationItems":[{"id":"ITEM-1","itemData":{"URL":"http://www.tinyhomesmap.com/diy-tiny-home-under-9000-10-hq-pictures/","accessed":{"date-parts":[["2019","3","11"]]},"container-title":"Tiny Homes Map","id":"ITEM-1","issued":{"date-parts":[["0"]]},"title":"DIY Tiny Home Under $9000","type":"webpage"},"uris":["http://www.mendeley.com/documents/?uuid=c4cf7763-ce49-3d2f-9ea7-f5eb75db92a2"]},{"id":"ITEM-2","itemData":{"URL":"https://erinanddondi.wordpress.com/","accessed":{"date-parts":[["2019","3","11"]]},"author":[{"dropping-particle":"","family":"Erin and Dondi","given":"","non-dropping-particle":"","parse-names":false,"suffix":""}],"id":"ITEM-2","issued":{"date-parts":[["2014"]]},"title":"Erin and Dondi | Our travels, exploits, and adventures","type":"webpage"},"uris":["http://www.mendeley.com/documents/?uuid=704965fe-5659-306f-b53c-3f2735ca0961"]}],"mendeley":{"formattedCitation":"“DIY Tiny Home Under $9000,” Tiny Homes Map, accessed March 11, 2019, http://www.tinyhomesmap.com/diy-tiny-home-under-9000-10-hq-pictures/; Erin and Dondi, “Erin and Dondi | Our Travels, Exploits, and Adventures,” 2014, https://erinanddondi.wordpress.com/.","plainTextFormattedCitation":"“DIY Tiny Home Under $9000,” Tiny Homes Map, accessed March 11, 2019, http://www.tinyhomesmap.com/diy-tiny-home-under-9000-10-hq-pictures/; Erin and Dondi, “Erin and Dondi | Our Travels, Exploits, and Adventures,” 2014, https://erinanddondi.wordpress.com/.","previouslyFormattedCitation":"“DIY Tiny Home Under $9000,” Tiny Homes Map, accessed March 11, 2019, http://www.tinyhomesmap.com/diy-tiny-home-under-9000-10-hq-pictures/; Erin and Dondi, “Erin and Dondi | Our Travels, Exploits, and Adventures,” 2014, https://erinanddondi.wordpress.com/."},"properties":{"noteIndex":201},"schema":"https://github.com/citation-style-language/schema/raw/master/csl-citation.json"}</w:instrText>
      </w:r>
      <w:r>
        <w:fldChar w:fldCharType="separate"/>
      </w:r>
      <w:r w:rsidRPr="00FE2578">
        <w:rPr>
          <w:noProof/>
        </w:rPr>
        <w:t>“DIY Tiny Home Under $9000,” Tiny Homes Map, accessed March 11, 2019, http://www.tinyhomesmap.com/diy-tiny-home-under-9000-10-hq-pictures/; Erin and Dondi, “Erin and Dondi | Our Travels, Exploits, and Adventures,” 2014, https://erinanddondi.wordpress.com/.</w:t>
      </w:r>
      <w:r>
        <w:fldChar w:fldCharType="end"/>
      </w:r>
    </w:p>
  </w:footnote>
  <w:footnote w:id="203">
    <w:p w14:paraId="7597832C" w14:textId="48B7D992"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yesmagazine.org/issues/sustainable-happiness/living-large-in-a-tiny-house","accessed":{"date-parts":[["2019","3","15"]]},"author":[{"dropping-particle":"","family":"Estes","given":"Carol","non-dropping-particle":"","parse-names":false,"suffix":""}],"container-title":"Yes Magazine","id":"ITEM-1","issued":{"date-parts":[["2008"]]},"title":"Living Large in a Tiny House","type":"webpage"},"uris":["http://www.mendeley.com/documents/?uuid=b4b6beca-3d39-33ae-bfba-e354ffa0d778"]}],"mendeley":{"formattedCitation":"Carol Estes, “Living Large in a Tiny House,” Yes Magazine, 2008, https://www.yesmagazine.org/issues/sustainable-happiness/living-large-in-a-tiny-house.","plainTextFormattedCitation":"Carol Estes, “Living Large in a Tiny House,” Yes Magazine, 2008, https://www.yesmagazine.org/issues/sustainable-happiness/living-large-in-a-tiny-house.","previouslyFormattedCitation":"Carol Estes, “Living Large in a Tiny House,” Yes Magazine, 2008, https://www.yesmagazine.org/issues/sustainable-happiness/living-large-in-a-tiny-house."},"properties":{"noteIndex":202},"schema":"https://github.com/citation-style-language/schema/raw/master/csl-citation.json"}</w:instrText>
      </w:r>
      <w:r>
        <w:fldChar w:fldCharType="separate"/>
      </w:r>
      <w:r w:rsidRPr="007B2C72">
        <w:rPr>
          <w:noProof/>
        </w:rPr>
        <w:t>Carol Estes, “Living Large in a Tiny House,” Yes Magazine, 2008, https://www.yesmagazine.org/issues/sustainable-happiness/living-large-in-a-tiny-house.</w:t>
      </w:r>
      <w:r>
        <w:fldChar w:fldCharType="end"/>
      </w:r>
    </w:p>
  </w:footnote>
  <w:footnote w:id="204">
    <w:p w14:paraId="05C3128A" w14:textId="4D2043F4"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{"citationItems":[{"id":"ITEM-1","itemData":{"author":[{"dropping-particle":"","family":"US Energy Information Administration","given":"","non-dropping-particle":"","parse-names":false,"suffix":""}],"id":"ITEM-1","issued":{"date-parts":[["2015"]]},"title":"Summary annual household site consumption and expenditures in the US - totals and intensities, 2015","type":"report"},"locator":"2","uris":["http://www.mendeley.com/documents/?uuid=93bdaaa2-539a-302d-93b5-6e165bde834a"]}],"mendeley":{"formattedCitation":"US Energy Information Administration, “Summary Annual Household Site Consumption and Expenditures in the US - Totals and Intensities, 2015,” 2015, 2, https://www.eia.gov/consumption/residential/data/2015/c&amp;e/pdf/ce1.1.pdf.","plainTextFormattedCitation":"US Energy Information Administration, “Summary Annual Household Site Consumption and Expenditures in the US - Totals and Intensities, 2015,” 2015, 2, https://www.eia.gov/consumption/residential/data/2015/c&amp;e/pdf/ce1.1.pdf.","previouslyFormattedCitation":"US Energy Information Administration, “Summary Annual Household Site Consumption and Expenditures in the US - Totals and Intensities, 2015,” 2015, 2, https://www.eia.gov/consumption/residential/data/2015/c&amp;e/pdf/ce1.1.pdf."},"properties":{"noteIndex":203},"schema":"https://github.com/citation-style-language/schema/raw/master/csl-citation.json"}</w:instrText>
      </w:r>
      <w:r>
        <w:fldChar w:fldCharType="separate"/>
      </w:r>
      <w:r w:rsidRPr="00996CB1">
        <w:rPr>
          <w:noProof/>
        </w:rPr>
        <w:t>US Energy Information Administration, “Summary Annual Household Site Consumption and Expenditures in the US - Totals and Intensities, 2015,” 2015, 2, https://www.eia.gov/consumption/residential/data/2015/c&amp;e/pdf/ce1.1.pdf.</w:t>
      </w:r>
      <w:r>
        <w:fldChar w:fldCharType="end"/>
      </w:r>
    </w:p>
  </w:footnote>
  <w:footnote w:id="205">
    <w:p w14:paraId="6C80BC11" w14:textId="478C72CD" w:rsidR="00AB27A5" w:rsidRDefault="00AB27A5" w:rsidP="000B745F">
      <w:pPr>
        <w:pStyle w:val="FootnoteText"/>
      </w:pPr>
      <w:r w:rsidRPr="00D05B51">
        <w:rPr>
          <w:rStyle w:val="FootnoteReference"/>
        </w:rPr>
        <w:footnoteRef/>
      </w:r>
      <w:r>
        <w:t xml:space="preserve"> </w:t>
      </w:r>
      <w:r>
        <w:fldChar w:fldCharType="begin" w:fldLock="1"/>
      </w:r>
      <w:r>
        <w:instrText>ADDIN CSL_CITATION {"citationItems":[{"id":"ITEM-1","itemData":{"URL":"https://www.wholesalesolar.com/solar-information/start-here/offgrid-calculator#load-evaluation","accessed":{"date-parts":[["2019","3","5"]]},"container-title":"Whole Sale Solar","id":"ITEM-1","issued":{"date-parts":[["0"]]},"title":"Off-Grid Solar System Calculator","type":"webpage"},"uris":["http://www.mendeley.com/documents/?uuid=e97aa756-0f47-3af1-a6be-d2ac7db2b1cc"]}],"mendeley":{"formattedCitation":"“Off-Grid Solar System Calculator,” Whole Sale Solar, accessed March 5, 2019, https://www.wholesalesolar.com/solar-information/start-here/offgrid-calculator#load-evaluation.","plainTextFormattedCitation":"“Off-Grid Solar System Calculator,” Whole Sale Solar, accessed March 5, 2019, https://www.wholesalesolar.com/solar-information/start-here/offgrid-calculator#load-evaluation.","previouslyFormattedCitation":"“Off-Grid Solar System Calculator,” Whole Sale Solar, accessed March 5, 2019, https://www.wholesalesolar.com/solar-information/start-here/offgrid-calculator#load-evaluation."},"properties":{"noteIndex":204},"schema":"https://github.com/citation-style-language/schema/raw/master/csl-citation.json"}</w:instrText>
      </w:r>
      <w:r>
        <w:fldChar w:fldCharType="separate"/>
      </w:r>
      <w:r w:rsidRPr="006518A2">
        <w:rPr>
          <w:noProof/>
        </w:rPr>
        <w:t>“Off-Grid Solar System Calculator,” Whole Sale Solar, accessed March 5, 2019, https://www.wholesalesolar.com/solar-information/start-here/offgrid-calculator#load-evaluation.</w:t>
      </w:r>
      <w:r>
        <w:fldChar w:fldCharType="end"/>
      </w:r>
    </w:p>
  </w:footnote>
  <w:footnote w:id="206">
    <w:p w14:paraId="3853C2E5" w14:textId="383694EF" w:rsidR="00AB27A5" w:rsidRDefault="00AB27A5" w:rsidP="00D21665">
      <w:pPr>
        <w:pStyle w:val="FootnoteText"/>
      </w:pPr>
      <w:r w:rsidRPr="00D05B51">
        <w:rPr>
          <w:rStyle w:val="FootnoteReference"/>
        </w:rPr>
        <w:footnoteRef/>
      </w:r>
      <w:r>
        <w:t xml:space="preserve"> </w:t>
      </w:r>
      <w:r>
        <w:fldChar w:fldCharType="begin" w:fldLock="1"/>
      </w:r>
      <w:r>
        <w:instrText>ADDIN CSL_CITATION {"citationItems":[{"id":"ITEM-1","itemData":{"URL":"https://www.altestore.com/store/calculators/load_calculator/","accessed":{"date-parts":[["2019","3","5"]]},"container-title":"altE Store","id":"ITEM-1","issued":{"date-parts":[["0"]]},"title":"Load Calculators","type":"webpage"},"uris":["http://www.mendeley.com/documents/?uuid=68c43e7c-28a1-3d55-8c1c-57daee5e7706"]}],"mendeley":{"formattedCitation":"“Load Calculators,” altE Store, accessed March 5, 2019, https://www.altestore.com/store/calculators/load_calculator/.","plainTextFormattedCitation":"“Load Calculators,” altE Store, accessed March 5, 2019, https://www.altestore.com/store/calculators/load_calculator/.","previouslyFormattedCitation":"“Load Calculators,” altE Store, accessed March 5, 2019, https://www.altestore.com/store/calculators/load_calculator/."},"properties":{"noteIndex":205},"schema":"https://github.com/citation-style-language/schema/raw/master/csl-citation.json"}</w:instrText>
      </w:r>
      <w:r>
        <w:fldChar w:fldCharType="separate"/>
      </w:r>
      <w:r w:rsidRPr="00D55A51">
        <w:rPr>
          <w:noProof/>
        </w:rPr>
        <w:t>“Load Calculators,” altE Store, accessed March 5, 2019, https://www.altestore.com/store/calculators/load_calculator/.</w:t>
      </w:r>
      <w:r>
        <w:fldChar w:fldCharType="end"/>
      </w:r>
    </w:p>
  </w:footnote>
  <w:footnote w:id="207">
    <w:p w14:paraId="00689A18" w14:textId="4F34B27F" w:rsidR="00AB27A5" w:rsidRDefault="00AB27A5" w:rsidP="00D21665">
      <w:pPr>
        <w:pStyle w:val="FootnoteText"/>
      </w:pPr>
      <w:r w:rsidRPr="00D05B51">
        <w:rPr>
          <w:rStyle w:val="FootnoteReference"/>
        </w:rPr>
        <w:footnoteRef/>
      </w:r>
      <w:r>
        <w:t xml:space="preserve"> </w:t>
      </w:r>
      <w:r>
        <w:fldChar w:fldCharType="begin" w:fldLock="1"/>
      </w:r>
      <w:r>
        <w:instrText>ADDIN CSL_CITATION {"citationItems":[{"id":"ITEM-1","itemData":{"URL":"https://www.altestore.com/blog/2017/05/solar-panels-tiny-house/#.XA-5iOhKhhE","accessed":{"date-parts":[["2018","12","11"]]},"author":[{"dropping-particle":"","family":"Beaudet","given":"Amy","non-dropping-particle":"","parse-names":false,"suffix":""}],"container-title":"altE Store","id":"ITEM-1","issued":{"date-parts":[["2017"]]},"title":"Solar Panels for a Tiny House","type":"webpage"},"uris":["http://www.mendeley.com/documents/?uuid=68fedb33-2719-3dd2-9746-e87c133dbf46"]}],"mendeley":{"formattedCitation":"Amy Beaudet, “Solar Panels for a Tiny House,” altE Store, 2017, https://www.altestore.com/blog/2017/05/solar-panels-tiny-house/#.XA-5iOhKhhE.","plainTextFormattedCitation":"Amy Beaudet, “Solar Panels for a Tiny House,” altE Store, 2017, https://www.altestore.com/blog/2017/05/solar-panels-tiny-house/#.XA-5iOhKhhE.","previouslyFormattedCitation":"Amy Beaudet, “Solar Panels for a Tiny House,” altE Store, 2017, https://www.altestore.com/blog/2017/05/solar-panels-tiny-house/#.XA-5iOhKhhE."},"properties":{"noteIndex":206},"schema":"https://github.com/citation-style-language/schema/raw/master/csl-citation.json"}</w:instrText>
      </w:r>
      <w:r>
        <w:fldChar w:fldCharType="separate"/>
      </w:r>
      <w:r w:rsidRPr="004272A1">
        <w:rPr>
          <w:noProof/>
        </w:rPr>
        <w:t>Amy Beaudet, “Solar Panels for a Tiny House,” altE Store, 2017, https://www.altestore.com/blog/2017/05/solar-panels-tiny-house/#.XA-5iOhKhhE.</w:t>
      </w:r>
      <w:r>
        <w:fldChar w:fldCharType="end"/>
      </w:r>
    </w:p>
  </w:footnote>
  <w:footnote w:id="208">
    <w:p w14:paraId="6428E9E0" w14:textId="64C91D63" w:rsidR="00AB27A5" w:rsidRDefault="00AB27A5" w:rsidP="00CC3755">
      <w:pPr>
        <w:pStyle w:val="FootnoteText"/>
      </w:pPr>
      <w:r w:rsidRPr="00D05B51">
        <w:rPr>
          <w:rStyle w:val="FootnoteReference"/>
        </w:rPr>
        <w:footnoteRef/>
      </w:r>
      <w:r>
        <w:t xml:space="preserve"> </w:t>
      </w:r>
      <w:r>
        <w:fldChar w:fldCharType="begin" w:fldLock="1"/>
      </w:r>
      <w:r>
        <w:instrText>ADDIN CSL_CITATION {"citationItems":[{"id":"ITEM-1","itemData":{"author":[{"dropping-particle":"","family":"Fu","given":"Ran","non-dropping-particle":"","parse-names":false,"suffix":""},{"dropping-particle":"","family":"Feldman","given":"David","non-dropping-particle":"","parse-names":false,"suffix":""},{"dropping-particle":"","family":"Margolis","given":"Robert","non-dropping-particle":"","parse-names":false,"suffix":""},{"dropping-particle":"","family":"Woodhouse","given":"Mike","non-dropping-particle":"","parse-names":false,"suffix":""},{"dropping-particle":"","family":"Ardani","given":"Kristen","non-dropping-particle":"","parse-names":false,"suffix":""}],"id":"ITEM-1","issued":{"date-parts":[["2009"]]},"title":"U.S. Solar Photovoltaic System Cost Benchmark: Q1 2017","type":"report"},"locator":"vi","uris":["http://www.mendeley.com/documents/?uuid=50175289-ac20-3623-8df3-b44af5babdec"]}],"mendeley":{"formattedCitation":"Ran Fu et al., “U.S. Solar Photovoltaic System Cost Benchmark: Q1 2017,” 2009, vi, www.nrel.gov/publications.","plainTextFormattedCitation":"Ran Fu et al., “U.S. Solar Photovoltaic System Cost Benchmark: Q1 2017,” 2009, vi, www.nrel.gov/publications.","previouslyFormattedCitation":"Ran Fu et al., “U.S. Solar Photovoltaic System Cost Benchmark: Q1 2017,” 2009, vi, www.nrel.gov/publications."},"properties":{"noteIndex":207},"schema":"https://github.com/citation-style-language/schema/raw/master/csl-citation.json"}</w:instrText>
      </w:r>
      <w:r>
        <w:fldChar w:fldCharType="separate"/>
      </w:r>
      <w:r w:rsidRPr="00023590">
        <w:rPr>
          <w:noProof/>
        </w:rPr>
        <w:t>Ran Fu et al., “U.S. Solar Photovoltaic System Cost Benchmark: Q1 2017,” 2009, vi, www.nrel.gov/publications.</w:t>
      </w:r>
      <w:r>
        <w:fldChar w:fldCharType="end"/>
      </w:r>
    </w:p>
  </w:footnote>
  <w:footnote w:id="209">
    <w:p w14:paraId="10A12C64" w14:textId="48A7526F" w:rsidR="00AB27A5" w:rsidRDefault="00AB27A5" w:rsidP="00CC3755">
      <w:pPr>
        <w:pStyle w:val="FootnoteText"/>
      </w:pPr>
      <w:r w:rsidRPr="00D05B51">
        <w:rPr>
          <w:rStyle w:val="FootnoteReference"/>
        </w:rPr>
        <w:footnoteRef/>
      </w:r>
      <w:r>
        <w:t xml:space="preserve"> </w:t>
      </w:r>
      <w:r>
        <w:fldChar w:fldCharType="begin" w:fldLock="1"/>
      </w:r>
      <w:r>
        <w:instrText>ADDIN CSL_CITATION {"citationItems":[{"id":"ITEM-1","itemData":{"author":[{"dropping-particle":"","family":"Fu","given":"Ran","non-dropping-particle":"","parse-names":false,"suffix":""},{"dropping-particle":"","family":"Feldman","given":"David","non-dropping-particle":"","parse-names":false,"suffix":""},{"dropping-particle":"","family":"Margolis","given":"Robert","non-dropping-particle":"","parse-names":false,"suffix":""},{"dropping-particle":"","family":"Woodhouse","given":"Mike","non-dropping-particle":"","parse-names":false,"suffix":""},{"dropping-particle":"","family":"Ardani","given":"Kristen","non-dropping-particle":"","parse-names":false,"suffix":""}],"id":"ITEM-1","issued":{"date-parts":[["2009"]]},"title":"U.S. Solar Photovoltaic System Cost Benchmark: Q1 2017","type":"report"},"locator":"iv","uris":["http://www.mendeley.com/documents/?uuid=50175289-ac20-3623-8df3-b44af5babdec"]}],"mendeley":{"formattedCitation":"Fu et al., iv.","plainTextFormattedCitation":"Fu et al., iv.","previouslyFormattedCitation":"Fu et al., iv."},"properties":{"noteIndex":208},"schema":"https://github.com/citation-style-language/schema/raw/master/csl-citation.json"}</w:instrText>
      </w:r>
      <w:r>
        <w:fldChar w:fldCharType="separate"/>
      </w:r>
      <w:r w:rsidRPr="002715FE">
        <w:rPr>
          <w:noProof/>
        </w:rPr>
        <w:t>Fu et al., iv.</w:t>
      </w:r>
      <w:r>
        <w:fldChar w:fldCharType="end"/>
      </w:r>
    </w:p>
  </w:footnote>
  <w:footnote w:id="210">
    <w:p w14:paraId="29661EB5" w14:textId="4D935277" w:rsidR="00AB27A5" w:rsidRDefault="00AB27A5" w:rsidP="009278DF">
      <w:pPr>
        <w:pStyle w:val="FootnoteText"/>
      </w:pPr>
      <w:r w:rsidRPr="00D05B51">
        <w:rPr>
          <w:rStyle w:val="FootnoteReference"/>
        </w:rPr>
        <w:footnoteRef/>
      </w:r>
      <w:r>
        <w:t xml:space="preserve"> </w:t>
      </w:r>
      <w:r>
        <w:fldChar w:fldCharType="begin" w:fldLock="1"/>
      </w:r>
      <w:r>
        <w:instrText>ADDIN CSL_CITATION {"citationItems":[{"id":"ITEM-1","itemData":{"abstract":"PREFACE This version of the Deadliest, Costliest, and Most Intense United States Tropical Cyclones extends the work of Blake et al. (2007) to include 2007-2010 and revised hurricane best track data from the period 1915-1930. In addition, estimates from several storms are updated to correct errors as well as to include a more standardized methodology. In most storms since 1995, estimates of flood damage from the National Flood Insurance Program are included in the total damage estimates for a more realistic total. The technical memorandum also continues the methodology of Pielke et al. (2008) to produce an estimate of the monetary loss that historical hurricanes could exact on the current property-at-risk in the same location. ABSTRACT This technical memorandum lists the deadliest tropical cyclones in the United States during 1851-2010 and the costliest tropical cyclones in the United States during 1900-2010. The compilation ranks damage, as expressed by monetary losses, in three ways: 1) contemporaneous estimates; 2) contemporaneous estimates adjusted by inflation to 2010 dollars; and 3) contemporaneous estimates adjusted for inflation and the growth of population and personal wealth (Pielke et al. 2008) to 2010 dollars. In addition, the most intense (i.e., major 1) hurricanes to make landfall in the United States during the 160-year period are listed. Also presented are some additional statistics on United States hurricanes and tropical cyclones in general.","author":[{"dropping-particle":"","family":"Blake","given":"Eric S","non-dropping-particle":"","parse-names":false,"suffix":""},{"dropping-particle":"","family":"Landsea","given":"Christopher W","non-dropping-particle":"","parse-names":false,"suffix":""},{"dropping-particle":"","family":"Miami","given":"Nhc","non-dropping-particle":"","parse-names":false,"suffix":""},{"dropping-particle":"","family":"Gibney","given":"Ethan J","non-dropping-particle":"","parse-names":false,"suffix":""}],"id":"ITEM-1","issued":{"date-parts":[["2011"]]},"title":"NOAA Technical Memorandum NWS NHC-6 THE DEADLIEST, COSTLIEST, AND MOST INTENSE UNITED STATES TROPICAL CYCLONES FROM 1851 TO 2010 (AND OTHER FREQUENTLY REQUESTED HURRICANE FACTS)","type":"report"},"locator":"30","uris":["http://www.mendeley.com/documents/?uuid=3b7df10b-8707-3555-a7ea-fb5e83eba67c"]}],"mendeley":{"formattedCitation":"Eric S Blake et al., “NOAA Technical Memorandum NWS NHC-6 THE DEADLIEST, COSTLIEST, AND MOST INTENSE UNITED STATES TROPICAL CYCLONES FROM 1851 TO 2010 (AND OTHER FREQUENTLY REQUESTED HURRICANE FACTS),” 2011, 30, https://www.nhc.noaa.gov/pdf/nws-nhc-6.pdf.","plainTextFormattedCitation":"Eric S Blake et al., “NOAA Technical Memorandum NWS NHC-6 THE DEADLIEST, COSTLIEST, AND MOST INTENSE UNITED STATES TROPICAL CYCLONES FROM 1851 TO 2010 (AND OTHER FREQUENTLY REQUESTED HURRICANE FACTS),” 2011, 30, https://www.nhc.noaa.gov/pdf/nws-nhc-6.pdf.","previouslyFormattedCitation":"Eric S Blake et al., “NOAA Technical Memorandum NWS NHC-6 THE DEADLIEST, COSTLIEST, AND MOST INTENSE UNITED STATES TROPICAL CYCLONES FROM 1851 TO 2010 (AND OTHER FREQUENTLY REQUESTED HURRICANE FACTS),” 2011, 30, https://www.nhc.noaa.gov/pdf/nws-nhc-6.pdf."},"properties":{"noteIndex":209},"schema":"https://github.com/citation-style-language/schema/raw/master/csl-citation.json"}</w:instrText>
      </w:r>
      <w:r>
        <w:fldChar w:fldCharType="separate"/>
      </w:r>
      <w:r w:rsidRPr="00305783">
        <w:rPr>
          <w:noProof/>
        </w:rPr>
        <w:t>Eric S Blake et al., “NOAA Technical Memorandum NWS NHC-6 THE DEADLIEST, COSTLIEST, AND MOST INTENSE UNITED STATES TROPICAL CYCLONES FROM 1851 TO 2010 (AND OTHER FREQUENTLY REQUESTED HURRICANE FACTS),” 2011, 30, https://www.nhc.noaa.gov/pdf/nws-nhc-6.pdf.</w:t>
      </w:r>
      <w:r>
        <w:fldChar w:fldCharType="end"/>
      </w:r>
    </w:p>
  </w:footnote>
  <w:footnote w:id="211">
    <w:p w14:paraId="4DB4D34E" w14:textId="231D3F6C" w:rsidR="00AB27A5" w:rsidRDefault="00AB27A5" w:rsidP="009278DF">
      <w:pPr>
        <w:pStyle w:val="FootnoteText"/>
      </w:pPr>
      <w:r w:rsidRPr="00D05B51">
        <w:rPr>
          <w:rStyle w:val="FootnoteReference"/>
        </w:rPr>
        <w:footnoteRef/>
      </w:r>
      <w:r>
        <w:t xml:space="preserve"> </w:t>
      </w:r>
      <w:r>
        <w:fldChar w:fldCharType="begin" w:fldLock="1"/>
      </w:r>
      <w:r>
        <w:instrText>ADDIN CSL_CITATION {"citationItems":[{"id":"ITEM-1","itemData":{"URL":"https://www1.ncdc.noaa.gov/pub/data/ccd-data/pctposrank.txt","accessed":{"date-parts":[["2019","3","6"]]},"author":[{"dropping-particle":"","family":"National Oceanic and Atmospheric Administration","given":"","non-dropping-particle":"","parse-names":false,"suffix":""}],"id":"ITEM-1","issued":{"date-parts":[["2004"]]},"title":"RANKING OF CITIES BASED ON % ANNUAL POSSIBLE SUNSHINE IN DESCENDING  ORDER FROM MOST TO LEAST AVERAGE POSSIBLE SUNSHINE","type":"webpage"},"uris":["http://www.mendeley.com/documents/?uuid=c914911f-6f80-37d2-a890-443bd546404c"]}],"mendeley":{"formattedCitation":"National Oceanic and Atmospheric Administration, “RANKING OF CITIES BASED ON % ANNUAL POSSIBLE SUNSHINE IN DESCENDING  ORDER FROM MOST TO LEAST AVERAGE POSSIBLE SUNSHINE,” 2004, https://www1.ncdc.noaa.gov/pub/data/ccd-data/pctposrank.txt.","plainTextFormattedCitation":"National Oceanic and Atmospheric Administration, “RANKING OF CITIES BASED ON % ANNUAL POSSIBLE SUNSHINE IN DESCENDING  ORDER FROM MOST TO LEAST AVERAGE POSSIBLE SUNSHINE,” 2004, https://www1.ncdc.noaa.gov/pub/data/ccd-data/pctposrank.txt.","previouslyFormattedCitation":"National Oceanic and Atmospheric Administration, “RANKING OF CITIES BASED ON % ANNUAL POSSIBLE SUNSHINE IN DESCENDING  ORDER FROM MOST TO LEAST AVERAGE POSSIBLE SUNSHINE,” 2004, https://www1.ncdc.noaa.gov/pub/data/ccd-data/pctposrank.txt."},"properties":{"noteIndex":210},"schema":"https://github.com/citation-style-language/schema/raw/master/csl-citation.json"}</w:instrText>
      </w:r>
      <w:r>
        <w:fldChar w:fldCharType="separate"/>
      </w:r>
      <w:r w:rsidRPr="005F0FDF">
        <w:rPr>
          <w:noProof/>
        </w:rPr>
        <w:t>National Oceanic and Atmospheric Administration, “RANKING OF CITIES BASED ON % ANNUAL POSSIBLE SUNSHINE IN DESCENDING  ORDER FROM MOST TO LEAST AVERAGE POSSIBLE SUNSHINE,” 2004, https://www1.ncdc.noaa.gov/pub/data/ccd-data/pctposrank.txt.</w:t>
      </w:r>
      <w:r>
        <w:fldChar w:fldCharType="end"/>
      </w:r>
    </w:p>
  </w:footnote>
  <w:footnote w:id="212">
    <w:p w14:paraId="2D1B311A" w14:textId="53609E16" w:rsidR="00AB27A5" w:rsidRDefault="00AB27A5" w:rsidP="009278DF">
      <w:pPr>
        <w:pStyle w:val="FootnoteText"/>
      </w:pPr>
      <w:r w:rsidRPr="00D05B51">
        <w:rPr>
          <w:rStyle w:val="FootnoteReference"/>
        </w:rPr>
        <w:footnoteRef/>
      </w:r>
      <w:r>
        <w:t xml:space="preserve"> </w:t>
      </w:r>
      <w:r>
        <w:fldChar w:fldCharType="begin" w:fldLock="1"/>
      </w:r>
      <w:r>
        <w:instrText>ADDIN CSL_CITATION {"citationItems":[{"id":"ITEM-1","itemData":{"URL":"https://www1.ncdc.noaa.gov/pub/data/ccd-data/clpcdy15.dat","accessed":{"date-parts":[["2019","3","6"]]},"author":[{"dropping-particle":"","family":"National Oceanic and Atmospheric Administration","given":"","non-dropping-particle":"","parse-names":false,"suffix":""}],"id":"ITEM-1","issued":{"date-parts":[["0"]]},"title":"Cloudiness - Mean Number of Days","type":"webpage"},"uris":["http://www.mendeley.com/documents/?uuid=0afa1cc1-f21e-3ef6-a014-6d478631ee0f"]}],"mendeley":{"formattedCitation":"National Oceanic and Atmospheric Administration, “Cloudiness - Mean Number of Days,” accessed March 6, 2019, https://www1.ncdc.noaa.gov/pub/data/ccd-data/clpcdy15.dat.","plainTextFormattedCitation":"National Oceanic and Atmospheric Administration, “Cloudiness - Mean Number of Days,” accessed March 6, 2019, https://www1.ncdc.noaa.gov/pub/data/ccd-data/clpcdy15.dat.","previouslyFormattedCitation":"National Oceanic and Atmospheric Administration, “Cloudiness - Mean Number of Days,” accessed March 6, 2019, https://www1.ncdc.noaa.gov/pub/data/ccd-data/clpcdy15.dat."},"properties":{"noteIndex":211},"schema":"https://github.com/citation-style-language/schema/raw/master/csl-citation.json"}</w:instrText>
      </w:r>
      <w:r>
        <w:fldChar w:fldCharType="separate"/>
      </w:r>
      <w:r w:rsidRPr="005F1845">
        <w:rPr>
          <w:noProof/>
        </w:rPr>
        <w:t>National Oceanic and Atmospheric Administration, “Cloudiness - Mean Number of Days,” accessed March 6, 2019, https://www1.ncdc.noaa.gov/pub/data/ccd-data/clpcdy15.dat.</w:t>
      </w:r>
      <w:r>
        <w:fldChar w:fldCharType="end"/>
      </w:r>
    </w:p>
  </w:footnote>
  <w:footnote w:id="213">
    <w:p w14:paraId="07377D27" w14:textId="61212307" w:rsidR="00AB27A5" w:rsidRDefault="00AB27A5" w:rsidP="009278DF">
      <w:pPr>
        <w:pStyle w:val="FootnoteText"/>
      </w:pPr>
      <w:r w:rsidRPr="00D05B51">
        <w:rPr>
          <w:rStyle w:val="FootnoteReference"/>
        </w:rPr>
        <w:footnoteRef/>
      </w:r>
      <w:r>
        <w:t xml:space="preserve"> </w:t>
      </w:r>
      <w:r>
        <w:fldChar w:fldCharType="begin" w:fldLock="1"/>
      </w:r>
      <w:r>
        <w:instrText>ADDIN CSL_CITATION {"citationItems":[{"id":"ITEM-1","itemData":{"URL":"https://weatherspark.com/y/11799/Average-Weather-in-New-Orleans-Louisiana-United-States-Year-Round","accessed":{"date-parts":[["2019","3","6"]]},"container-title":"WeatherSpark","id":"ITEM-1","issued":{"date-parts":[["0"]]},"title":"Average Weather in New Orleans","type":"webpage"},"uris":["http://www.mendeley.com/documents/?uuid=695aaa26-a413-3ad2-a7b3-d07b5c5d3f89"]}],"mendeley":{"formattedCitation":"“Average Weather in New Orleans,” WeatherSpark, accessed March 6, 2019, https://weatherspark.com/y/11799/Average-Weather-in-New-Orleans-Louisiana-United-States-Year-Round.","plainTextFormattedCitation":"“Average Weather in New Orleans,” WeatherSpark, accessed March 6, 2019, https://weatherspark.com/y/11799/Average-Weather-in-New-Orleans-Louisiana-United-States-Year-Round.","previouslyFormattedCitation":"“Average Weather in New Orleans,” WeatherSpark, accessed March 6, 2019, https://weatherspark.com/y/11799/Average-Weather-in-New-Orleans-Louisiana-United-States-Year-Round."},"properties":{"noteIndex":212},"schema":"https://github.com/citation-style-language/schema/raw/master/csl-citation.json"}</w:instrText>
      </w:r>
      <w:r>
        <w:fldChar w:fldCharType="separate"/>
      </w:r>
      <w:r w:rsidRPr="00515743">
        <w:rPr>
          <w:noProof/>
        </w:rPr>
        <w:t>“Average Weather in New Orleans,” WeatherSpark, accessed March 6, 2019, https://weatherspark.com/y/11799/Average-Weather-in-New-Orleans-Louisiana-United-States-Year-Round.</w:t>
      </w:r>
      <w:r>
        <w:fldChar w:fldCharType="end"/>
      </w:r>
    </w:p>
  </w:footnote>
  <w:footnote w:id="214">
    <w:p w14:paraId="76C8F850" w14:textId="47D21A5A" w:rsidR="00AB27A5" w:rsidRDefault="00AB27A5" w:rsidP="009278DF">
      <w:pPr>
        <w:pStyle w:val="FootnoteText"/>
      </w:pPr>
      <w:r w:rsidRPr="00D05B51">
        <w:rPr>
          <w:rStyle w:val="FootnoteReference"/>
        </w:rPr>
        <w:footnoteRef/>
      </w:r>
      <w:r>
        <w:t xml:space="preserve"> </w:t>
      </w:r>
      <w:r>
        <w:fldChar w:fldCharType="begin" w:fldLock="1"/>
      </w:r>
      <w:r>
        <w:instrText>ADDIN CSL_CITATION {"citationItems":[{"id":"ITEM-1","itemData":{"URL":"https://padtinyhouses.com/power-your-tiny-house-with-solar/","accessed":{"date-parts":[["2019","3","10"]]},"author":[{"dropping-particle":"","family":"pad tiny houses","given":"","non-dropping-particle":"","parse-names":false,"suffix":""}],"id":"ITEM-1","issued":{"date-parts":[["2017"]]},"title":"How to Power Your Tiny House With Solar Power","type":"webpage"},"uris":["http://www.mendeley.com/documents/?uuid=e1988fc8-24a6-3683-95a5-cf07f823cba9"]}],"mendeley":{"formattedCitation":"pad tiny houses, “How to Power Your Tiny House With Solar Power,” 2017, https://padtinyhouses.com/power-your-tiny-house-with-solar/.","plainTextFormattedCitation":"pad tiny houses, “How to Power Your Tiny House With Solar Power,” 2017, https://padtinyhouses.com/power-your-tiny-house-with-solar/.","previouslyFormattedCitation":"pad tiny houses, “How to Power Your Tiny House With Solar Power,” 2017, https://padtinyhouses.com/power-your-tiny-house-with-solar/."},"properties":{"noteIndex":213},"schema":"https://github.com/citation-style-language/schema/raw/master/csl-citation.json"}</w:instrText>
      </w:r>
      <w:r>
        <w:fldChar w:fldCharType="separate"/>
      </w:r>
      <w:r w:rsidRPr="008E5232">
        <w:rPr>
          <w:noProof/>
        </w:rPr>
        <w:t>pad tiny houses, “How to Power Your Tiny House With Solar Power,” 2017, https://padtinyhouses.com/power-your-tiny-house-with-solar/.</w:t>
      </w:r>
      <w:r>
        <w:fldChar w:fldCharType="end"/>
      </w:r>
    </w:p>
  </w:footnote>
  <w:footnote w:id="215">
    <w:p w14:paraId="646655C1" w14:textId="383DEC27" w:rsidR="00AB27A5" w:rsidRDefault="00AB27A5" w:rsidP="0087138C">
      <w:pPr>
        <w:pStyle w:val="FootnoteText"/>
      </w:pPr>
      <w:r>
        <w:rPr>
          <w:rStyle w:val="FootnoteReference"/>
        </w:rPr>
        <w:footnoteRef/>
      </w:r>
      <w:r>
        <w:t xml:space="preserve"> </w:t>
      </w:r>
      <w:r>
        <w:fldChar w:fldCharType="begin" w:fldLock="1"/>
      </w:r>
      <w:r>
        <w:instrText>ADDIN CSL_CITATION {"citationItems":[{"id":"ITEM-1","itemData":{"author":[{"dropping-particle":"","family":"Bureau of Governmental Research","given":"","non-dropping-particle":"","parse-names":false,"suffix":""}],"id":"ITEM-1","issued":{"date-parts":[["2012"]]},"title":"The Proposed S&amp;amp;WB Rate Increases in Perspective","type":"report"},"locator":"3","uris":["http://www.mendeley.com/documents/?uuid=4e4f05d5-f34d-366d-bfff-845c0bf2cc13"]}],"mendeley":{"formattedCitation":"Bureau of Governmental Research, “The Proposed S&amp;amp;WB Rate Increases in Perspective,” 2012, 3, https://www.bgr.org/wp-content/uploads/2017/07/BGR_SWB-rate-proposal-.pdf.","plainTextFormattedCitation":"Bureau of Governmental Research, “The Proposed S&amp;amp;WB Rate Increases in Perspective,” 2012, 3, https://www.bgr.org/wp-content/uploads/2017/07/BGR_SWB-rate-proposal-.pdf.","previouslyFormattedCitation":"Bureau of Governmental Research, “The Proposed S&amp;amp;WB Rate Increases in Perspective,” 2012, 3, https://www.bgr.org/wp-content/uploads/2017/07/BGR_SWB-rate-proposal-.pdf."},"properties":{"noteIndex":214},"schema":"https://github.com/citation-style-language/schema/raw/master/csl-citation.json"}</w:instrText>
      </w:r>
      <w:r>
        <w:fldChar w:fldCharType="separate"/>
      </w:r>
      <w:r w:rsidRPr="00BE204F">
        <w:rPr>
          <w:noProof/>
        </w:rPr>
        <w:t>Bureau of Governmental Research, “The Proposed S&amp;amp;WB Rate Increases in Perspective,” 2012, 3, https://www.bgr.org/wp-content/uploads/2017/07/BGR_SWB-rate-proposal-.pdf.</w:t>
      </w:r>
      <w:r>
        <w:fldChar w:fldCharType="end"/>
      </w:r>
    </w:p>
  </w:footnote>
  <w:footnote w:id="216">
    <w:p w14:paraId="67A35584" w14:textId="1E54A1DD"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angieslist.com/articles/future-shower-technology.htm","accessed":{"date-parts":[["2019","3","6"]]},"author":[{"dropping-particle":"","family":"Braden","given":"Linda","non-dropping-particle":"","parse-names":false,"suffix":""}],"container-title":"Angie's List","id":"ITEM-1","issued":{"date-parts":[["2016"]]},"title":"The Future of Shower Technology","type":"webpage"},"uris":["http://www.mendeley.com/documents/?uuid=3039043c-a252-3db9-9fb1-5bc90c15dcee"]}],"mendeley":{"formattedCitation":"Linda Braden, “The Future of Shower Technology,” Angie’s List, 2016, https://www.angieslist.com/articles/future-shower-technology.htm.","plainTextFormattedCitation":"Linda Braden, “The Future of Shower Technology,” Angie’s List, 2016, https://www.angieslist.com/articles/future-shower-technology.htm.","previouslyFormattedCitation":"Linda Braden, “The Future of Shower Technology,” Angie’s List, 2016, https://www.angieslist.com/articles/future-shower-technology.htm."},"properties":{"noteIndex":215},"schema":"https://github.com/citation-style-language/schema/raw/master/csl-citation.json"}</w:instrText>
      </w:r>
      <w:r>
        <w:fldChar w:fldCharType="separate"/>
      </w:r>
      <w:r w:rsidRPr="00750D4E">
        <w:rPr>
          <w:noProof/>
        </w:rPr>
        <w:t>Linda Braden, “The Future of Shower Technology,” Angie’s List, 2016, https://www.angieslist.com/articles/future-shower-technology.htm.</w:t>
      </w:r>
      <w:r>
        <w:fldChar w:fldCharType="end"/>
      </w:r>
    </w:p>
  </w:footnote>
  <w:footnote w:id="217">
    <w:p w14:paraId="4A257F15" w14:textId="25CA649A"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{"citationItems":[{"id":"ITEM-1","itemData":{"URL":"https://www3.epa.gov/carbon-footprint-calculator/","abstract":"An interactive calculator to estimate your household's carbon footprint. This tool will estimate carbon pollution emissions from your daily activities and show how to reduce your emissions and save money through simple steps.","accessed":{"date-parts":[["2019","3","8"]]},"author":[{"dropping-particle":"","family":"US Environmental Protection Agency","given":"","non-dropping-particle":"","parse-names":false,"suffix":""}],"id":"ITEM-1","issued":{"date-parts":[["0"]]},"title":"Carbon Footprint Calculator","type":"webpage"},"uris":["http://www.mendeley.com/documents/?uuid=7a8ab411-0f03-3716-971c-c2df6e8e55fc"]}],"mendeley":{"formattedCitation":"US Environmental Protection Agency, “Carbon Footprint Calculator,” accessed March 8, 2019, https://www3.epa.gov/carbon-footprint-calculator/.","plainTextFormattedCitation":"US Environmental Protection Agency, “Carbon Footprint Calculator,” accessed March 8, 2019, https://www3.epa.gov/carbon-footprint-calculator/.","previouslyFormattedCitation":"US Environmental Protection Agency, “Carbon Footprint Calculator,” accessed March 8, 2019, https://www3.epa.gov/carbon-footprint-calculator/."},"properties":{"noteIndex":216},"schema":"https://github.com/citation-style-language/schema/raw/master/csl-citation.json"}</w:instrText>
      </w:r>
      <w:r>
        <w:fldChar w:fldCharType="separate"/>
      </w:r>
      <w:r w:rsidRPr="00C270D8">
        <w:rPr>
          <w:noProof/>
        </w:rPr>
        <w:t>US Environmental Protection Agency, “Carbon Footprint Calculator,” accessed March 8, 2019, https://www3.epa.gov/carbon-footprint-calculator/.</w:t>
      </w:r>
      <w:r>
        <w:fldChar w:fldCharType="end"/>
      </w:r>
    </w:p>
  </w:footnote>
  <w:footnote w:id="218">
    <w:p w14:paraId="0278CAF0" w14:textId="32EF497D" w:rsidR="00AB27A5" w:rsidRDefault="00AB27A5" w:rsidP="00974AF1">
      <w:pPr>
        <w:pStyle w:val="FootnoteText"/>
      </w:pPr>
      <w:r w:rsidRPr="00D05B51">
        <w:rPr>
          <w:rStyle w:val="FootnoteReference"/>
        </w:rPr>
        <w:footnoteRef/>
      </w:r>
      <w:r>
        <w:t xml:space="preserve"> </w:t>
      </w:r>
      <w:r>
        <w:fldChar w:fldCharType="begin" w:fldLock="1"/>
      </w:r>
      <w:r>
        <w:instrText>ADDIN CSL_CITATION {"citationItems":[{"id":"ITEM-1","itemData":{"URL":"http://www.gogreen.org/blog/tiny-houses-the-answer-to-our-environmental","accessed":{"date-parts":[["2018","11","11"]]},"author":[{"dropping-particle":"","family":"Thompson","given":"A","non-dropping-particle":"","parse-names":false,"suffix":""}],"container-title":"GoGreen.org","id":"ITEM-1","issued":{"date-parts":[["2017"]]},"title":"Tiny Houses the Answer to Our Environmental Problems?","type":"webpage"},"uris":["http://www.mendeley.com/documents/?uuid=44a7d909-a83c-3a8b-8be8-13a53faabe41"]}],"mendeley":{"formattedCitation":"A Thompson, “Tiny Houses the Answer to Our Environmental Problems?,” GoGreen.org, 2017, http://www.gogreen.org/blog/tiny-houses-the-answer-to-our-environmental.","plainTextFormattedCitation":"A Thompson, “Tiny Houses the Answer to Our Environmental Problems?,” GoGreen.org, 2017, http://www.gogreen.org/blog/tiny-houses-the-answer-to-our-environmental.","previouslyFormattedCitation":"A Thompson, “Tiny Houses the Answer to Our Environmental Problems?,” GoGreen.org, 2017, http://www.gogreen.org/blog/tiny-houses-the-answer-to-our-environmental."},"properties":{"noteIndex":217},"schema":"https://github.com/citation-style-language/schema/raw/master/csl-citation.json"}</w:instrText>
      </w:r>
      <w:r>
        <w:fldChar w:fldCharType="separate"/>
      </w:r>
      <w:r w:rsidRPr="00725883">
        <w:rPr>
          <w:noProof/>
        </w:rPr>
        <w:t>A Thompson, “Tiny Houses the Answer to Our Environmental Problems?,” GoGreen.org, 2017, http://www.gogreen.org/blog/tiny-houses-the-answer-to-our-environmental.</w:t>
      </w:r>
      <w:r>
        <w:fldChar w:fldCharType="end"/>
      </w:r>
    </w:p>
  </w:footnote>
  <w:footnote w:id="219">
    <w:p w14:paraId="6F0DFFA0" w14:textId="4E00A24C" w:rsidR="00AB27A5" w:rsidRDefault="00AB27A5" w:rsidP="00974AF1">
      <w:pPr>
        <w:pStyle w:val="FootnoteText"/>
      </w:pPr>
      <w:r w:rsidRPr="00D05B51">
        <w:rPr>
          <w:rStyle w:val="FootnoteReference"/>
        </w:rPr>
        <w:footnoteRef/>
      </w:r>
      <w:r>
        <w:t xml:space="preserve"> </w:t>
      </w:r>
      <w:r>
        <w:fldChar w:fldCharType="begin" w:fldLock="1"/>
      </w:r>
      <w:r>
        <w:instrText>ADDIN CSL_CITATION {"citationItems":[{"id":"ITEM-1","itemData":{"URL":"https://www.aia.org/articles/141631-sustainable-and-small-the-tiny-house-moveme:36","accessed":{"date-parts":[["2018","9","4"]]},"author":[{"dropping-particle":"","family":"James Hardie Building Products","given":"","non-dropping-particle":"","parse-names":false,"suffix":""}],"id":"ITEM-1","issued":{"date-parts":[["2017"]]},"publisher":"American Institute of Architects","title":"Sustainable and small: The tiny house movement","type":"webpage"},"uris":["http://www.mendeley.com/documents/?uuid=1302dda2-c95a-309c-b1e0-e784d9166462"]}],"mendeley":{"formattedCitation":"James Hardie Building Products, “Sustainable and Small: The Tiny House Movement” (American Institute of Architects, 2017), https://www.aia.org/articles/141631-sustainable-and-small-the-tiny-house-moveme:36.","plainTextFormattedCitation":"James Hardie Building Products, “Sustainable and Small: The Tiny House Movement” (American Institute of Architects, 2017), https://www.aia.org/articles/141631-sustainable-and-small-the-tiny-house-moveme:36.","previouslyFormattedCitation":"James Hardie Building Products, “Sustainable and Small: The Tiny House Movement” (American Institute of Architects, 2017), https://www.aia.org/articles/141631-sustainable-and-small-the-tiny-house-moveme:36."},"properties":{"noteIndex":218},"schema":"https://github.com/citation-style-language/schema/raw/master/csl-citation.json"}</w:instrText>
      </w:r>
      <w:r>
        <w:fldChar w:fldCharType="separate"/>
      </w:r>
      <w:r w:rsidRPr="002E3AD6">
        <w:rPr>
          <w:noProof/>
        </w:rPr>
        <w:t xml:space="preserve">James Hardie Building Products, “Sustainable and Small: The </w:t>
      </w:r>
      <w:r>
        <w:rPr>
          <w:noProof/>
        </w:rPr>
        <w:t>Tiny House Movement</w:t>
      </w:r>
      <w:r w:rsidRPr="002E3AD6">
        <w:rPr>
          <w:noProof/>
        </w:rPr>
        <w:t>” (American Institute of Architects, 2017), https://www.aia.org/articles/141631-sustainable-and-small-the-tiny-house-moveme:36.</w:t>
      </w:r>
      <w:r>
        <w:fldChar w:fldCharType="end"/>
      </w:r>
    </w:p>
  </w:footnote>
  <w:footnote w:id="220">
    <w:p w14:paraId="07147DF0" w14:textId="04E42A4D" w:rsidR="00AB27A5" w:rsidRDefault="00AB27A5" w:rsidP="00974AF1">
      <w:pPr>
        <w:pStyle w:val="FootnoteText"/>
      </w:pPr>
      <w:r w:rsidRPr="00D05B51">
        <w:rPr>
          <w:rStyle w:val="FootnoteReference"/>
        </w:rPr>
        <w:footnoteRef/>
      </w:r>
      <w:r>
        <w:t xml:space="preserve"> </w:t>
      </w:r>
      <w:r>
        <w:fldChar w:fldCharType="begin" w:fldLock="1"/>
      </w:r>
      <w:r>
        <w:instrText>ADDIN CSL_CITATION {"citationItems":[{"id":"ITEM-1","itemData":{"URL":"https://www.renewableenergyworld.com/ugc/articles/2015/12/tiny-houses-have-even-tinier-carbon-footprints.html","accessed":{"date-parts":[["2018","11","11"]]},"author":[{"dropping-particle":"","family":"Stanford","given":"Daphne","non-dropping-particle":"","parse-names":false,"suffix":""}],"container-title":"Renewable Energy World","id":"ITEM-1","issued":{"date-parts":[["2015"]]},"title":"Tiny Houses Have Even Tinier Carbon Footprints","type":"webpage"},"uris":["http://www.mendeley.com/documents/?uuid=aadb1784-9fae-3b0c-b986-b05bdd1a3dfa"]}],"mendeley":{"formattedCitation":"Daphne Stanford, “Tiny Houses Have Even Tinier Carbon Footprints,” Renewable Energy World, 2015, https://www.renewableenergyworld.com/ugc/articles/2015/12/tiny-houses-have-even-tinier-carbon-footprints.html.","plainTextFormattedCitation":"Daphne Stanford, “Tiny Houses Have Even Tinier Carbon Footprints,” Renewable Energy World, 2015, https://www.renewableenergyworld.com/ugc/articles/2015/12/tiny-houses-have-even-tinier-carbon-footprints.html.","previouslyFormattedCitation":"Daphne Stanford, “Tiny Houses Have Even Tinier Carbon Footprints,” Renewable Energy World, 2015, https://www.renewableenergyworld.com/ugc/articles/2015/12/tiny-houses-have-even-tinier-carbon-footprints.html."},"properties":{"noteIndex":219},"schema":"https://github.com/citation-style-language/schema/raw/master/csl-citation.json"}</w:instrText>
      </w:r>
      <w:r>
        <w:fldChar w:fldCharType="separate"/>
      </w:r>
      <w:r w:rsidRPr="00D731F4">
        <w:rPr>
          <w:noProof/>
        </w:rPr>
        <w:t>Daphne Stanford, “Tiny Houses Have Even Tinier Carbon Footprints,” Renewable Energy World, 2015, https://www.renewableenergyworld.com/ugc/articles/2015/12/tiny-houses-have-even-tinier-carbon-footprints.html.</w:t>
      </w:r>
      <w:r>
        <w:fldChar w:fldCharType="end"/>
      </w:r>
    </w:p>
  </w:footnote>
  <w:footnote w:id="221">
    <w:p w14:paraId="2343BC8E" w14:textId="36D0F334"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{"citationItems":[{"id":"ITEM-1","itemData":{"URL":"https://www.home-water-works.org/indoor-use/showers","accessed":{"date-parts":[["2019","3","7"]]},"container-title":"Home Water Works","id":"ITEM-1","issued":{"date-parts":[["0"]]},"title":"Showers | Home Water Works","type":"webpage"},"uris":["http://www.mendeley.com/documents/?uuid=5934a48f-19a3-3ea8-8ce2-5d27799de003"]}],"mendeley":{"formattedCitation":"“Showers | Home Water Works,” Home Water Works, accessed March 7, 2019, https://www.home-water-works.org/indoor-use/showers.","plainTextFormattedCitation":"“Showers | Home Water Works,” Home Water Works, accessed March 7, 2019, https://www.home-water-works.org/indoor-use/showers.","previouslyFormattedCitation":"“Showers | Home Water Works,” Home Water Works, accessed March 7, 2019, https://www.home-water-works.org/indoor-use/showers."},"properties":{"noteIndex":220},"schema":"https://github.com/citation-style-language/schema/raw/master/csl-citation.json"}</w:instrText>
      </w:r>
      <w:r>
        <w:fldChar w:fldCharType="separate"/>
      </w:r>
      <w:r w:rsidRPr="008A5CE6">
        <w:rPr>
          <w:noProof/>
        </w:rPr>
        <w:t>“Showers | Home Water Works,” Home Water Works, accessed March 7, 2019, https://www.home-water-works.org/indoor-use/showers.</w:t>
      </w:r>
      <w:r>
        <w:fldChar w:fldCharType="end"/>
      </w:r>
    </w:p>
  </w:footnote>
  <w:footnote w:id="222">
    <w:p w14:paraId="6F1324B1" w14:textId="5A2FD7D2"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health24.com/Lifestyle/Environmental-health/see-how-much-water-do-you-use-per-day-20170613","accessed":{"date-parts":[["2019","3","7"]]},"author":[{"dropping-particle":"","family":"Rose-Innes","given":"Olivia","non-dropping-particle":"","parse-names":false,"suffix":""}],"container-title":"Health24","id":"ITEM-1","issued":{"date-parts":[["2018"]]},"title":"How much water do you use per day?","type":"webpage"},"uris":["http://www.mendeley.com/documents/?uuid=4d9f0912-001b-3d42-b0c0-306a0f62a96c"]}],"mendeley":{"formattedCitation":"Olivia Rose-Innes, “How Much Water Do You Use per Day?,” Health24, 2018, https://www.health24.com/Lifestyle/Environmental-health/see-how-much-water-do-you-use-per-day-20170613.","plainTextFormattedCitation":"Olivia Rose-Innes, “How Much Water Do You Use per Day?,” Health24, 2018, https://www.health24.com/Lifestyle/Environmental-health/see-how-much-water-do-you-use-per-day-20170613.","previouslyFormattedCitation":"Olivia Rose-Innes, “How Much Water Do You Use per Day?,” Health24, 2018, https://www.health24.com/Lifestyle/Environmental-health/see-how-much-water-do-you-use-per-day-20170613."},"properties":{"noteIndex":221},"schema":"https://github.com/citation-style-language/schema/raw/master/csl-citation.json"}</w:instrText>
      </w:r>
      <w:r>
        <w:fldChar w:fldCharType="separate"/>
      </w:r>
      <w:r w:rsidRPr="005279D0">
        <w:rPr>
          <w:noProof/>
        </w:rPr>
        <w:t>Olivia Rose-Innes, “How Much Water Do You Use per Day?,” Health24, 2018, https://www.health24.com/Lifestyle/Environmental-health/see-how-much-water-do-you-use-per-day-20170613.</w:t>
      </w:r>
      <w:r>
        <w:fldChar w:fldCharType="end"/>
      </w:r>
    </w:p>
  </w:footnote>
  <w:footnote w:id="223">
    <w:p w14:paraId="1C3A1CA1" w14:textId="72D4EEC6"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{"citationItems":[{"id":"ITEM-1","itemData":{"URL":"https://homeguides.sfgate.com/many-gallons-water-flush-toilet-88812.html","accessed":{"date-parts":[["2019","3","8"]]},"container-title":"Home Guides","id":"ITEM-1","issued":{"date-parts":[["0"]]},"title":"How Many Gallons of Water Does It Take to Flush a Toilet?","type":"webpage"},"uris":["http://www.mendeley.com/documents/?uuid=9e781785-0222-352b-850e-45878341d3cd"]}],"mendeley":{"formattedCitation":"“How Many Gallons of Water Does It Take to Flush a Toilet?,” Home Guides, accessed March 8, 2019, https://homeguides.sfgate.com/many-gallons-water-flush-toilet-88812.html.","plainTextFormattedCitation":"“How Many Gallons of Water Does It Take to Flush a Toilet?,” Home Guides, accessed March 8, 2019, https://homeguides.sfgate.com/many-gallons-water-flush-toilet-88812.html.","previouslyFormattedCitation":"“How Many Gallons of Water Does It Take to Flush a Toilet?,” Home Guides, accessed March 8, 2019, https://homeguides.sfgate.com/many-gallons-water-flush-toilet-88812.html."},"properties":{"noteIndex":222},"schema":"https://github.com/citation-style-language/schema/raw/master/csl-citation.json"}</w:instrText>
      </w:r>
      <w:r>
        <w:fldChar w:fldCharType="separate"/>
      </w:r>
      <w:r w:rsidRPr="00B177AF">
        <w:rPr>
          <w:noProof/>
        </w:rPr>
        <w:t>“How Many Gallons of Water Does It Take to Flush a Toilet?,” Home Guides, accessed March 8, 2019, https://homeguides.sfgate.com/many-gallons-water-flush-toilet-88812.html.</w:t>
      </w:r>
      <w:r>
        <w:fldChar w:fldCharType="end"/>
      </w:r>
    </w:p>
  </w:footnote>
  <w:footnote w:id="224">
    <w:p w14:paraId="03BFC4B0" w14:textId="4ED65D5F" w:rsidR="00AB27A5" w:rsidRDefault="00AB27A5" w:rsidP="00045328">
      <w:pPr>
        <w:pStyle w:val="FootnoteText"/>
      </w:pPr>
      <w:r w:rsidRPr="00D05B51">
        <w:rPr>
          <w:rStyle w:val="FootnoteReference"/>
        </w:rPr>
        <w:footnoteRef/>
      </w:r>
      <w:r>
        <w:t xml:space="preserve"> </w:t>
      </w:r>
      <w:r>
        <w:fldChar w:fldCharType="begin" w:fldLock="1"/>
      </w:r>
      <w:r>
        <w:instrText>ADDIN CSL_CITATION {"citationItems":[{"id":"ITEM-1","itemData":{"author":[{"dropping-particle":"","family":"Black","given":"Marilyn","non-dropping-particle":"","parse-names":false,"suffix":""}],"id":"ITEM-1","issued":{"date-parts":[["2012"]]},"publisher":"WHO Children’s Health Committee","title":"A Formaldehyde Update","type":"report"},"uris":["http://www.mendeley.com/documents/?uuid=3705338c-0b05-34c0-9077-8dd4ff9da91f"]}],"mendeley":{"formattedCitation":"Marilyn Black, “A Formaldehyde Update” (WHO Children’s Health Committee, 2012), https://ulchemicalsafety.org/wp-content/uploads/2017/06/Doc-1-A-Formaldehyde-Update-Prepared-for-WHO.pdf.","plainTextFormattedCitation":"Marilyn Black, “A Formaldehyde Update” (WHO Children’s Health Committee, 2012), https://ulchemicalsafety.org/wp-content/uploads/2017/06/Doc-1-A-Formaldehyde-Update-Prepared-for-WHO.pdf.","previouslyFormattedCitation":"Marilyn Black, “A Formaldehyde Update” (WHO Children’s Health Committee, 2012), https://ulchemicalsafety.org/wp-content/uploads/2017/06/Doc-1-A-Formaldehyde-Update-Prepared-for-WHO.pdf."},"properties":{"noteIndex":223},"schema":"https://github.com/citation-style-language/schema/raw/master/csl-citation.json"}</w:instrText>
      </w:r>
      <w:r>
        <w:fldChar w:fldCharType="separate"/>
      </w:r>
      <w:r w:rsidRPr="00EB382C">
        <w:rPr>
          <w:noProof/>
        </w:rPr>
        <w:t>Marilyn Black, “A Formaldehyde Update” (WHO Children’s Health Committee, 2012), https://ulchemicalsafety.org/wp-content/uploads/2017/06/Doc-1-A-Formaldehyde-Update-Prepared-for-WHO.pdf.</w:t>
      </w:r>
      <w:r>
        <w:fldChar w:fldCharType="end"/>
      </w:r>
    </w:p>
  </w:footnote>
  <w:footnote w:id="225">
    <w:p w14:paraId="6EE93EB8" w14:textId="77777777" w:rsidR="00AB27A5" w:rsidRDefault="00AB27A5" w:rsidP="00045328">
      <w:pPr>
        <w:pStyle w:val="FootnoteText"/>
      </w:pPr>
      <w:r w:rsidRPr="00D05B51">
        <w:rPr>
          <w:rStyle w:val="FootnoteReference"/>
        </w:rPr>
        <w:footnoteRef/>
      </w:r>
      <w:r>
        <w:t xml:space="preserve"> </w:t>
      </w:r>
      <w:r w:rsidRPr="00483AFB">
        <w:t>US Congress, House of Representatives, Committee on Oversight and Government Reform. “Manufacturers of FEMA Trailers and Elevated Formaldehyde Levels.” 110th Cong., 2nd sess., 2008.</w:t>
      </w:r>
    </w:p>
  </w:footnote>
  <w:footnote w:id="226">
    <w:p w14:paraId="4DE5D26E" w14:textId="27627667" w:rsidR="00AB27A5" w:rsidRDefault="00AB27A5" w:rsidP="00045328">
      <w:pPr>
        <w:pStyle w:val="FootnoteText"/>
      </w:pPr>
      <w:r w:rsidRPr="00D05B51">
        <w:rPr>
          <w:rStyle w:val="FootnoteReference"/>
        </w:rPr>
        <w:footnoteRef/>
      </w:r>
      <w:r>
        <w:t xml:space="preserve"> </w:t>
      </w:r>
      <w:r>
        <w:fldChar w:fldCharType="begin" w:fldLock="1"/>
      </w:r>
      <w:r>
        <w:instrText>ADDIN CSL_CITATION {"citationItems":[{"id":"ITEM-1","itemData":{"DOI":"10.1016/j.proeng.2015.08.1054","abstract":"Relief housings are used to quickly provide disaster victims with a temporary living place whenever there is a natural disaster. However, few previous studies on the influences of the deterioration in living environments on the health of the disaster victims in relief housings might be identified. Therefore, a study on the influence of the deteriorations in living environments on the health of disaster victims following a severe natural disaster has been carried out and the study results are reported in this paper. Field tests on the thermal environment inside relief housings and questionnaire survey on the health of disaster victims in relief housings in Wenchuan earthquake disaster settlement area were performed. The study found that the thermal environment in relief housings was very poor in summer days, and that the deteriorations in the living environment had significantly negative impacts on the disaster victims’ mental state, sleep duration, appetite, and body weight. It also found that frequency of sickness, especially cold and heatstroke increased after moving into the relief housings. In addition, the number of doctor visitings by disaster victims in tents and in prefabricated houses increased by 55.4% and 44.4%, respectively. The study results revealed that it is of great urgency to improve the living environments in relief housings following a natural disaster for the better health of disaster victims.","author":[{"dropping-particle":"","family":"Wang","given":"Yan","non-dropping-particle":"","parse-names":false,"suffix":""},{"dropping-particle":"","family":"Deng","given":"Shiming","non-dropping-particle":"","parse-names":false,"suffix":""},{"dropping-particle":"","family":"Wang","given":"Lei","non-dropping-particle":"","parse-names":false,"suffix":""},{"dropping-particle":"","family":"Xiang","given":"Mingming","non-dropping-particle":"","parse-names":false,"suffix":""},{"dropping-particle":"","family":"Long","given":"Enshen","non-dropping-particle":"","parse-names":false,"suffix":""}],"container-title":"Procedia Engineering","id":"ITEM-1","issued":{"date-parts":[["2015"]]},"page":"203-211","publisher":"Elsevier Ltd","title":"The Influence of the Deteriorations in Living Environments on the Health of Disaster Victims Following a Natural Disaster","type":"article-journal","volume":"121"},"locator":"206","uris":["http://www.mendeley.com/documents/?uuid=36a8b332-5911-34f7-b7e7-72754aeecf9d"]}],"mendeley":{"formattedCitation":"Yan Wang et al., “The Influence of the Deteriorations in Living Environments on the Health of Disaster Victims Following a Natural Disaster,” &lt;i&gt;Procedia Engineering&lt;/i&gt; 121 (2015): 206, https://doi.org/10.1016/j.proeng.2015.08.1054.","plainTextFormattedCitation":"Yan Wang et al., “The Influence of the Deteriorations in Living Environments on the Health of Disaster Victims Following a Natural Disaster,” Procedia Engineering 121 (2015): 206, https://doi.org/10.1016/j.proeng.2015.08.1054.","previouslyFormattedCitation":"Yan Wang et al., “The Influence of the Deteriorations in Living Environments on the Health of Disaster Victims Following a Natural Disaster,” &lt;i&gt;Procedia Engineering&lt;/i&gt; 121 (2015): 206, https://doi.org/10.1016/j.proeng.2015.08.1054."},"properties":{"noteIndex":225},"schema":"https://github.com/citation-style-language/schema/raw/master/csl-citation.json"}</w:instrText>
      </w:r>
      <w:r>
        <w:fldChar w:fldCharType="separate"/>
      </w:r>
      <w:r w:rsidRPr="00086FA6">
        <w:rPr>
          <w:noProof/>
        </w:rPr>
        <w:t xml:space="preserve">Yan Wang et al., “The Influence of the Deteriorations in Living Environments on the Health of Disaster Victims Following a Natural Disaster,” </w:t>
      </w:r>
      <w:r w:rsidRPr="00086FA6">
        <w:rPr>
          <w:i/>
          <w:noProof/>
        </w:rPr>
        <w:t>Procedia Engineering</w:t>
      </w:r>
      <w:r w:rsidRPr="00086FA6">
        <w:rPr>
          <w:noProof/>
        </w:rPr>
        <w:t xml:space="preserve"> 121 (2015): 206, https://doi.org/10.1016/j.proeng.2015.08.1054.</w:t>
      </w:r>
      <w:r>
        <w:fldChar w:fldCharType="end"/>
      </w:r>
    </w:p>
  </w:footnote>
  <w:footnote w:id="227">
    <w:p w14:paraId="04C6AD5E" w14:textId="092FCE63" w:rsidR="00AB27A5" w:rsidRDefault="00AB27A5" w:rsidP="00045328">
      <w:pPr>
        <w:pStyle w:val="FootnoteText"/>
      </w:pPr>
      <w:r w:rsidRPr="00D05B51">
        <w:rPr>
          <w:rStyle w:val="FootnoteReference"/>
        </w:rPr>
        <w:footnoteRef/>
      </w:r>
      <w:r>
        <w:t xml:space="preserve"> </w:t>
      </w:r>
      <w:r>
        <w:fldChar w:fldCharType="begin" w:fldLock="1"/>
      </w:r>
      <w:r>
        <w:instrText>ADDIN CSL_CITATION {"citationItems":[{"id":"ITEM-1","itemData":{"DOI":"10.1016/j.proeng.2015.08.1054","abstract":"Relief housings are used to quickly provide disaster victims with a temporary living place whenever there is a natural disaster. However, few previous studies on the influences of the deterioration in living environments on the health of the disaster victims in relief housings might be identified. Therefore, a study on the influence of the deteriorations in living environments on the health of disaster victims following a severe natural disaster has been carried out and the study results are reported in this paper. Field tests on the thermal environment inside relief housings and questionnaire survey on the health of disaster victims in relief housings in Wenchuan earthquake disaster settlement area were performed. The study found that the thermal environment in relief housings was very poor in summer days, and that the deteriorations in the living environment had significantly negative impacts on the disaster victims’ mental state, sleep duration, appetite, and body weight. It also found that frequency of sickness, especially cold and heatstroke increased after moving into the relief housings. In addition, the number of doctor visitings by disaster victims in tents and in prefabricated houses increased by 55.4% and 44.4%, respectively. The study results revealed that it is of great urgency to improve the living environments in relief housings following a natural disaster for the better health of disaster victims.","author":[{"dropping-particle":"","family":"Wang","given":"Yan","non-dropping-particle":"","parse-names":false,"suffix":""},{"dropping-particle":"","family":"Deng","given":"Shiming","non-dropping-particle":"","parse-names":false,"suffix":""},{"dropping-particle":"","family":"Wang","given":"Lei","non-dropping-particle":"","parse-names":false,"suffix":""},{"dropping-particle":"","family":"Xiang","given":"Mingming","non-dropping-particle":"","parse-names":false,"suffix":""},{"dropping-particle":"","family":"Long","given":"Enshen","non-dropping-particle":"","parse-names":false,"suffix":""}],"container-title":"Procedia Engineering","id":"ITEM-1","issued":{"date-parts":[["2015"]]},"page":"203-211","publisher":"Elsevier Ltd","title":"The Influence of the Deteriorations in Living Environments on the Health of Disaster Victims Following a Natural Disaster","type":"article-journal","volume":"121"},"locator":"208","uris":["http://www.mendeley.com/documents/?uuid=36a8b332-5911-34f7-b7e7-72754aeecf9d"]}],"mendeley":{"formattedCitation":"Wang et al., 208.","plainTextFormattedCitation":"Wang et al., 208.","previouslyFormattedCitation":"Wang et al., 208."},"properties":{"noteIndex":226},"schema":"https://github.com/citation-style-language/schema/raw/master/csl-citation.json"}</w:instrText>
      </w:r>
      <w:r>
        <w:fldChar w:fldCharType="separate"/>
      </w:r>
      <w:r w:rsidRPr="00FE4E3E">
        <w:rPr>
          <w:noProof/>
        </w:rPr>
        <w:t>Wang et al., 208.</w:t>
      </w:r>
      <w:r>
        <w:fldChar w:fldCharType="end"/>
      </w:r>
    </w:p>
  </w:footnote>
  <w:footnote w:id="228">
    <w:p w14:paraId="54F595BC" w14:textId="39ECE80F" w:rsidR="00AB27A5" w:rsidRDefault="00AB27A5" w:rsidP="00045328">
      <w:pPr>
        <w:pStyle w:val="FootnoteText"/>
      </w:pPr>
      <w:r w:rsidRPr="00D05B51">
        <w:rPr>
          <w:rStyle w:val="FootnoteReference"/>
        </w:rPr>
        <w:footnoteRef/>
      </w:r>
      <w:r>
        <w:t xml:space="preserve"> </w:t>
      </w:r>
      <w:r>
        <w:fldChar w:fldCharType="begin" w:fldLock="1"/>
      </w:r>
      <w:r>
        <w:instrText>ADDIN CSL_CITATION {"citationItems":[{"id":"ITEM-1","itemData":{"URL":"https://www.inverse.com/article/44155-brain-heat-switch-kills-hunger-pangs","author":[{"dropping-particle":"","family":"Litman-Navarro","given":"Kevin","non-dropping-particle":"","parse-names":false,"suffix":""}],"container-title":"Inverse","id":"ITEM-1","issued":{"date-parts":[["2018"]]},"title":"Brain 'Heat Switch' Reveals Why You're Not Hungry After an Intense Workout: Suppressing your appetite may boil down to body heat.","type":"webpage"},"uris":["http://www.mendeley.com/documents/?uuid=acf469bf-3a9e-45b1-b93e-dcda1a326c85"]}],"mendeley":{"formattedCitation":"Kevin Litman-Navarro, “Brain ‘Heat Switch’ Reveals Why You’re Not Hungry After an Intense Workout: Suppressing Your Appetite May Boil down to Body Heat.,” Inverse, 2018, https://www.inverse.com/article/44155-brain-heat-switch-kills-hunger-pangs.","plainTextFormattedCitation":"Kevin Litman-Navarro, “Brain ‘Heat Switch’ Reveals Why You’re Not Hungry After an Intense Workout: Suppressing Your Appetite May Boil down to Body Heat.,” Inverse, 2018, https://www.inverse.com/article/44155-brain-heat-switch-kills-hunger-pangs.","previouslyFormattedCitation":"Kevin Litman-Navarro, “Brain ‘Heat Switch’ Reveals Why You’re Not Hungry After an Intense Workout: Suppressing Your Appetite May Boil down to Body Heat.,” Inverse, 2018, https://www.inverse.com/article/44155-brain-heat-switch-kills-hunger-pangs."},"properties":{"noteIndex":227},"schema":"https://github.com/citation-style-language/schema/raw/master/csl-citation.json"}</w:instrText>
      </w:r>
      <w:r>
        <w:fldChar w:fldCharType="separate"/>
      </w:r>
      <w:r w:rsidRPr="0066781F">
        <w:rPr>
          <w:noProof/>
        </w:rPr>
        <w:t>Kevin Litman-Navarro, “Brain ‘Heat Switch’ Reveals Why You’re Not Hungry After an Intense Workout: Suppressing Your Appetite May Boil down to Body Heat.,” Inverse, 2018, https://www.inverse.com/article/44155-brain-heat-switch-kills-hunger-pangs.</w:t>
      </w:r>
      <w:r>
        <w:fldChar w:fldCharType="end"/>
      </w:r>
    </w:p>
  </w:footnote>
  <w:footnote w:id="229">
    <w:p w14:paraId="6C7E3C0A" w14:textId="02238D93" w:rsidR="00AB27A5" w:rsidRDefault="00AB27A5" w:rsidP="00045328">
      <w:pPr>
        <w:pStyle w:val="FootnoteText"/>
      </w:pPr>
      <w:r w:rsidRPr="00D05B51">
        <w:rPr>
          <w:rStyle w:val="FootnoteReference"/>
        </w:rPr>
        <w:footnoteRef/>
      </w:r>
      <w:r>
        <w:t xml:space="preserve"> </w:t>
      </w:r>
      <w:r>
        <w:fldChar w:fldCharType="begin" w:fldLock="1"/>
      </w:r>
      <w:r>
        <w:instrText>ADDIN CSL_CITATION {"citationItems":[{"id":"ITEM-1","itemData":{"DOI":"10.1016/j.proeng.2015.08.1054","abstract":"Relief housings are used to quickly provide disaster victims with a temporary living place whenever there is a natural disaster. However, few previous studies on the influences of the deterioration in living environments on the health of the disaster victims in relief housings might be identified. Therefore, a study on the influence of the deteriorations in living environments on the health of disaster victims following a severe natural disaster has been carried out and the study results are reported in this paper. Field tests on the thermal environment inside relief housings and questionnaire survey on the health of disaster victims in relief housings in Wenchuan earthquake disaster settlement area were performed. The study found that the thermal environment in relief housings was very poor in summer days, and that the deteriorations in the living environment had significantly negative impacts on the disaster victims’ mental state, sleep duration, appetite, and body weight. It also found that frequency of sickness, especially cold and heatstroke increased after moving into the relief housings. In addition, the number of doctor visitings by disaster victims in tents and in prefabricated houses increased by 55.4% and 44.4%, respectively. The study results revealed that it is of great urgency to improve the living environments in relief housings following a natural disaster for the better health of disaster victims.","author":[{"dropping-particle":"","family":"Wang","given":"Yan","non-dropping-particle":"","parse-names":false,"suffix":""},{"dropping-particle":"","family":"Deng","given":"Shiming","non-dropping-particle":"","parse-names":false,"suffix":""},{"dropping-particle":"","family":"Wang","given":"Lei","non-dropping-particle":"","parse-names":false,"suffix":""},{"dropping-particle":"","family":"Xiang","given":"Mingming","non-dropping-particle":"","parse-names":false,"suffix":""},{"dropping-particle":"","family":"Long","given":"Enshen","non-dropping-particle":"","parse-names":false,"suffix":""}],"container-title":"Procedia Engineering","id":"ITEM-1","issued":{"date-parts":[["2015"]]},"page":"203-211","publisher":"Elsevier Ltd","title":"The Influence of the Deteriorations in Living Environments on the Health of Disaster Victims Following a Natural Disaster","type":"article-journal","volume":"121"},"locator":"209","uris":["http://www.mendeley.com/documents/?uuid=36a8b332-5911-34f7-b7e7-72754aeecf9d"]}],"mendeley":{"formattedCitation":"Wang et al., “The Influence of the Deteriorations in Living Environments on the Health of Disaster Victims Following a Natural Disaster,” 209.","plainTextFormattedCitation":"Wang et al., “The Influence of the Deteriorations in Living Environments on the Health of Disaster Victims Following a Natural Disaster,” 209.","previouslyFormattedCitation":"Wang et al., “The Influence of the Deteriorations in Living Environments on the Health of Disaster Victims Following a Natural Disaster,” 209."},"properties":{"noteIndex":228},"schema":"https://github.com/citation-style-language/schema/raw/master/csl-citation.json"}</w:instrText>
      </w:r>
      <w:r>
        <w:fldChar w:fldCharType="separate"/>
      </w:r>
      <w:r w:rsidRPr="0066781F">
        <w:rPr>
          <w:noProof/>
        </w:rPr>
        <w:t>Wang et al., “The Influence of the Deteriorations in Living Environments on the Health of Disaster Victims Following a Natural Disaster,” 209.</w:t>
      </w:r>
      <w:r>
        <w:fldChar w:fldCharType="end"/>
      </w:r>
    </w:p>
  </w:footnote>
  <w:footnote w:id="230">
    <w:p w14:paraId="41D2374E" w14:textId="7C687FE7" w:rsidR="00AB27A5" w:rsidRDefault="00AB27A5" w:rsidP="00045328">
      <w:pPr>
        <w:pStyle w:val="FootnoteText"/>
      </w:pPr>
      <w:r w:rsidRPr="00D05B51">
        <w:rPr>
          <w:rStyle w:val="FootnoteReference"/>
        </w:rPr>
        <w:footnoteRef/>
      </w:r>
      <w:r>
        <w:t xml:space="preserve"> </w:t>
      </w:r>
      <w:r>
        <w:fldChar w:fldCharType="begin" w:fldLock="1"/>
      </w:r>
      <w:r>
        <w:instrText>ADDIN CSL_CITATION {"citationItems":[{"id":"ITEM-1","itemData":{"DOI":"10.1016/j.proeng.2015.08.1054","abstract":"Relief housings are used to quickly provide disaster victims with a temporary living place whenever there is a natural disaster. However, few previous studies on the influences of the deterioration in living environments on the health of the disaster victims in relief housings might be identified. Therefore, a study on the influence of the deteriorations in living environments on the health of disaster victims following a severe natural disaster has been carried out and the study results are reported in this paper. Field tests on the thermal environment inside relief housings and questionnaire survey on the health of disaster victims in relief housings in Wenchuan earthquake disaster settlement area were performed. The study found that the thermal environment in relief housings was very poor in summer days, and that the deteriorations in the living environment had significantly negative impacts on the disaster victims’ mental state, sleep duration, appetite, and body weight. It also found that frequency of sickness, especially cold and heatstroke increased after moving into the relief housings. In addition, the number of doctor visitings by disaster victims in tents and in prefabricated houses increased by 55.4% and 44.4%, respectively. The study results revealed that it is of great urgency to improve the living environments in relief housings following a natural disaster for the better health of disaster victims.","author":[{"dropping-particle":"","family":"Wang","given":"Yan","non-dropping-particle":"","parse-names":false,"suffix":""},{"dropping-particle":"","family":"Deng","given":"Shiming","non-dropping-particle":"","parse-names":false,"suffix":""},{"dropping-particle":"","family":"Wang","given":"Lei","non-dropping-particle":"","parse-names":false,"suffix":""},{"dropping-particle":"","family":"Xiang","given":"Mingming","non-dropping-particle":"","parse-names":false,"suffix":""},{"dropping-particle":"","family":"Long","given":"Enshen","non-dropping-particle":"","parse-names":false,"suffix":""}],"container-title":"Procedia Engineering","id":"ITEM-1","issued":{"date-parts":[["2015"]]},"page":"203-211","publisher":"Elsevier Ltd","title":"The Influence of the Deteriorations in Living Environments on the Health of Disaster Victims Following a Natural Disaster","type":"article-journal","volume":"121"},"locator":"210","uris":["http://www.mendeley.com/documents/?uuid=36a8b332-5911-34f7-b7e7-72754aeecf9d"]}],"mendeley":{"formattedCitation":"Wang et al., 210.","plainTextFormattedCitation":"Wang et al., 210.","previouslyFormattedCitation":"Wang et al., 210."},"properties":{"noteIndex":229},"schema":"https://github.com/citation-style-language/schema/raw/master/csl-citation.json"}</w:instrText>
      </w:r>
      <w:r>
        <w:fldChar w:fldCharType="separate"/>
      </w:r>
      <w:r w:rsidRPr="000F1F1F">
        <w:rPr>
          <w:noProof/>
        </w:rPr>
        <w:t>Wang et al., 210.</w:t>
      </w:r>
      <w:r>
        <w:fldChar w:fldCharType="end"/>
      </w:r>
    </w:p>
  </w:footnote>
  <w:footnote w:id="231">
    <w:p w14:paraId="793211E8" w14:textId="2CECB26C" w:rsidR="00AB27A5" w:rsidRDefault="00AB27A5" w:rsidP="00DE2EAC">
      <w:pPr>
        <w:pStyle w:val="FootnoteText"/>
      </w:pPr>
      <w:r w:rsidRPr="00D05B51">
        <w:rPr>
          <w:rStyle w:val="FootnoteReference"/>
        </w:rPr>
        <w:footnoteRef/>
      </w:r>
      <w:r>
        <w:t xml:space="preserve"> </w:t>
      </w:r>
      <w:r>
        <w:fldChar w:fldCharType="begin" w:fldLock="1"/>
      </w:r>
      <w:r>
        <w:instrText>ADDIN CSL_CITATION {"citationItems":[{"id":"ITEM-1","itemData":{"author":[{"dropping-particle":"","family":"US Government Accountability Office","given":"","non-dropping-particle":"","parse-names":false,"suffix":""}],"id":"ITEM-1","issued":{"date-parts":[["2007"]]},"title":"Ineffective FEMA Oversight of Housing Maintenance Contracts in Mississippi Resulted in Millions of Dollars of Waste and Potential Fraud","type":"report"},"locator":"5","uris":["http://www.mendeley.com/documents/?uuid=3b2c4e21-b6e9-3f6b-b63f-88b9235729a4"]}],"mendeley":{"formattedCitation":"US Government Accountability Office, “Ineffective FEMA Oversight of Housing Maintenance Contracts in Mississippi Resulted in Millions of Dollars of Waste and Potential Fraud,” 2007, 5, https://www.gao.gov/new.items/d08106.pdf.","plainTextFormattedCitation":"US Government Accountability Office, “Ineffective FEMA Oversight of Housing Maintenance Contracts in Mississippi Resulted in Millions of Dollars of Waste and Potential Fraud,” 2007, 5, https://www.gao.gov/new.items/d08106.pdf.","previouslyFormattedCitation":"US Government Accountability Office, “Ineffective FEMA Oversight of Housing Maintenance Contracts in Mississippi Resulted in Millions of Dollars of Waste and Potential Fraud,” 2007, 5, https://www.gao.gov/new.items/d08106.pdf."},"properties":{"noteIndex":230},"schema":"https://github.com/citation-style-language/schema/raw/master/csl-citation.json"}</w:instrText>
      </w:r>
      <w:r>
        <w:fldChar w:fldCharType="separate"/>
      </w:r>
      <w:r w:rsidRPr="00517DBA">
        <w:rPr>
          <w:noProof/>
        </w:rPr>
        <w:t>US Government Accountability Office, “Ineffective FEMA Oversight of Housing Maintenance Contracts in Mississippi Resulted in Millions of Dollars of Waste and Potential Fraud,” 2007, 5, https://www.gao.gov/new.items/d08106.pdf.</w:t>
      </w:r>
      <w:r>
        <w:fldChar w:fldCharType="end"/>
      </w:r>
    </w:p>
  </w:footnote>
  <w:footnote w:id="232">
    <w:p w14:paraId="10E5F23C" w14:textId="0E3EADE3" w:rsidR="00AB27A5" w:rsidRDefault="00AB27A5" w:rsidP="00DE2EAC">
      <w:pPr>
        <w:pStyle w:val="FootnoteText"/>
      </w:pPr>
      <w:r w:rsidRPr="00D05B51">
        <w:rPr>
          <w:rStyle w:val="FootnoteReference"/>
        </w:rPr>
        <w:footnoteRef/>
      </w:r>
      <w:r>
        <w:t xml:space="preserve"> </w:t>
      </w:r>
      <w:r>
        <w:fldChar w:fldCharType="begin" w:fldLock="1"/>
      </w:r>
      <w:r>
        <w:instrText>ADDIN CSL_CITATION {"citationItems":[{"id":"ITEM-1","itemData":{"URL":"https://www.zillow.com/homes/for_sale/New-Orleans-LA/house_type/19594_rid/220000-229000_price/918-955_mp/globalrelevanceex_sort/30.422624,-89.407425,29.653449,-90.357743_rect/9_zm/0_mmm/","accessed":{"date-parts":[["2018","10","22"]]},"author":[{"dropping-particle":"","family":"Zillow.com","given":"","non-dropping-particle":"","parse-names":false,"suffix":""}],"id":"ITEM-1","issued":{"date-parts":[["2018"]]},"title":"New Orleans Real Estate - New Orleans LA Homes For Sale","type":"webpage"},"uris":["http://www.mendeley.com/documents/?uuid=06605019-566c-3258-adfb-488d21d1fccd"]}],"mendeley":{"formattedCitation":"Zillow.com, “New Orleans Real Estate - New Orleans LA Homes For Sale,” 2018, https://www.zillow.com/homes/for_sale/New-Orleans-LA/house_type/19594_rid/220000-229000_price/918-955_mp/globalrelevanceex_sort/30.422624,-89.407425,29.653449,-90.357743_rect/9_zm/0_mmm/.","plainTextFormattedCitation":"Zillow.com, “New Orleans Real Estate - New Orleans LA Homes For Sale,” 2018, https://www.zillow.com/homes/for_sale/New-Orleans-LA/house_type/19594_rid/220000-229000_price/918-955_mp/globalrelevanceex_sort/30.422624,-89.407425,29.653449,-90.357743_rect/9_zm/0_mmm/.","previouslyFormattedCitation":"Zillow.com, “New Orleans Real Estate - New Orleans LA Homes For Sale,” 2018, https://www.zillow.com/homes/for_sale/New-Orleans-LA/house_type/19594_rid/220000-229000_price/918-955_mp/globalrelevanceex_sort/30.422624,-89.407425,29.653449,-90.357743_rect/9_zm/0_mmm/."},"properties":{"noteIndex":231},"schema":"https://github.com/citation-style-language/schema/raw/master/csl-citation.json"}</w:instrText>
      </w:r>
      <w:r>
        <w:fldChar w:fldCharType="separate"/>
      </w:r>
      <w:r w:rsidRPr="00F85319">
        <w:rPr>
          <w:noProof/>
        </w:rPr>
        <w:t>Zillow.com, “New Orleans Real Estate - New Orleans LA Homes For Sale,” 2018, https://www.zillow.com/homes/for_sale/New-Orleans-LA/house_type/19594_rid/220000-229000_price/918-955_mp/globalrelevanceex_sort/30.422624,-89.407425,29.653449,-90.357743_rect/9_zm/0_mmm/.</w:t>
      </w:r>
      <w:r>
        <w:fldChar w:fldCharType="end"/>
      </w:r>
    </w:p>
  </w:footnote>
  <w:footnote w:id="233">
    <w:p w14:paraId="608AB280" w14:textId="282AC6B8" w:rsidR="00AB27A5" w:rsidRDefault="00AB27A5" w:rsidP="00DE2EAC">
      <w:pPr>
        <w:pStyle w:val="FootnoteText"/>
      </w:pPr>
      <w:r w:rsidRPr="00D05B51">
        <w:rPr>
          <w:rStyle w:val="FootnoteReference"/>
        </w:rPr>
        <w:footnoteRef/>
      </w:r>
      <w:r>
        <w:t xml:space="preserve"> </w:t>
      </w:r>
      <w:r>
        <w:fldChar w:fldCharType="begin" w:fldLock="1"/>
      </w:r>
      <w:r>
        <w:instrText>ADDIN CSL_CITATION {"citationItems":[{"id":"ITEM-1","itemData":{"author":[{"dropping-particle":"","family":"US Government Accountability Office","given":"","non-dropping-particle":"","parse-names":false,"suffix":""}],"id":"ITEM-1","issued":{"date-parts":[["2009"]]},"title":"Disaster Housing: FEMA Needs More Detailed Guidance and Performance Measures to Help Ensure Effective Assistance after Major Disasters","type":"report"},"uris":["http://www.mendeley.com/documents/?uuid=15b51ec1-236c-3866-9f15-ec92c449582d"]}],"mendeley":{"formattedCitation":"US Government Accountability Office, “Disaster Housing: FEMA Needs More Detailed Guidance and Performance Measures to Help Ensure Effective Assistance after Major Disasters,” 2009, https://www.gao.gov/new.items/d09796.pdf.","plainTextFormattedCitation":"US Government Accountability Office, “Disaster Housing: FEMA Needs More Detailed Guidance and Performance Measures to Help Ensure Effective Assistance after Major Disasters,” 2009, https://www.gao.gov/new.items/d09796.pdf.","previouslyFormattedCitation":"US Government Accountability Office, “Disaster Housing: FEMA Needs More Detailed Guidance and Performance Measures to Help Ensure Effective Assistance after Major Disasters,” 2009, https://www.gao.gov/new.items/d09796.pdf."},"properties":{"noteIndex":232},"schema":"https://github.com/citation-style-language/schema/raw/master/csl-citation.json"}</w:instrText>
      </w:r>
      <w:r>
        <w:fldChar w:fldCharType="separate"/>
      </w:r>
      <w:r w:rsidRPr="00FD4021">
        <w:rPr>
          <w:noProof/>
        </w:rPr>
        <w:t>US Government Accountability Office, “Disaster Housing: FEMA Needs More Detailed Guidance and Performance Measures to Help Ensure Effective Assistance after Major Disasters,” 2009, https://www.gao.gov/new.items/d09796.pdf.</w:t>
      </w:r>
      <w:r>
        <w:fldChar w:fldCharType="end"/>
      </w:r>
    </w:p>
  </w:footnote>
  <w:footnote w:id="234">
    <w:p w14:paraId="43EEB603" w14:textId="00B70BED" w:rsidR="00AB27A5" w:rsidRDefault="00AB27A5" w:rsidP="00DE2EAC">
      <w:pPr>
        <w:pStyle w:val="FootnoteText"/>
      </w:pPr>
      <w:r w:rsidRPr="00D05B51">
        <w:rPr>
          <w:rStyle w:val="FootnoteReference"/>
        </w:rPr>
        <w:footnoteRef/>
      </w:r>
      <w:r>
        <w:t xml:space="preserve"> </w:t>
      </w:r>
      <w:r>
        <w:fldChar w:fldCharType="begin" w:fldLock="1"/>
      </w:r>
      <w:r>
        <w:instrText>ADDIN CSL_CITATION {"citationItems":[{"id":"ITEM-1","itemData":{"author":[{"dropping-particle":"","family":"US Government Accountability Office","given":"","non-dropping-particle":"","parse-names":false,"suffix":""}],"id":"ITEM-1","issued":{"date-parts":[["2007"]]},"title":"Ineffective FEMA Oversight of Housing Maintenance Contracts in Mississippi Resulted in Millions of Dollars of Waste and Potential Fraud","type":"report"},"locator":"6","uris":["http://www.mendeley.com/documents/?uuid=3b2c4e21-b6e9-3f6b-b63f-88b9235729a4"]}],"mendeley":{"formattedCitation":"US Government Accountability Office, “Ineffective FEMA Oversight of Housing Maintenance Contracts in Mississippi Resulted in Millions of Dollars of Waste and Potential Fraud,” 6.","plainTextFormattedCitation":"US Government Accountability Office, “Ineffective FEMA Oversight of Housing Maintenance Contracts in Mississippi Resulted in Millions of Dollars of Waste and Potential Fraud,” 6.","previouslyFormattedCitation":"US Government Accountability Office, “Ineffective FEMA Oversight of Housing Maintenance Contracts in Mississippi Resulted in Millions of Dollars of Waste and Potential Fraud,” 6."},"properties":{"noteIndex":233},"schema":"https://github.com/citation-style-language/schema/raw/master/csl-citation.json"}</w:instrText>
      </w:r>
      <w:r>
        <w:fldChar w:fldCharType="separate"/>
      </w:r>
      <w:r w:rsidRPr="005954C4">
        <w:rPr>
          <w:noProof/>
        </w:rPr>
        <w:t>US Government Accountability Office, “Ineffective FEMA Oversight of Housing Maintenance Contracts in Mississippi Resulted in Millions of Dollars of Waste and Potential Fraud,” 6.</w:t>
      </w:r>
      <w:r>
        <w:fldChar w:fldCharType="end"/>
      </w:r>
    </w:p>
  </w:footnote>
  <w:footnote w:id="235">
    <w:p w14:paraId="7315893E" w14:textId="05C2120B" w:rsidR="00AB27A5" w:rsidRDefault="00AB27A5" w:rsidP="002F01FA">
      <w:pPr>
        <w:pStyle w:val="FootnoteText"/>
      </w:pPr>
      <w:r w:rsidRPr="00D05B51">
        <w:rPr>
          <w:rStyle w:val="FootnoteReference"/>
        </w:rPr>
        <w:footnoteRef/>
      </w:r>
      <w:r>
        <w:t xml:space="preserve"> </w:t>
      </w:r>
      <w:r>
        <w:fldChar w:fldCharType="begin" w:fldLock="1"/>
      </w:r>
      <w:r>
        <w:instrText>ADDIN CSL_CITATION {"citationItems":[{"id":"ITEM-1","itemData":{"author":[{"dropping-particle":"","family":"US Government Accountability Office","given":"","non-dropping-particle":"","parse-names":false,"suffix":""}],"id":"ITEM-1","issued":{"date-parts":[["2007"]]},"title":"Ineffective FEMA Oversight of Housing Maintenance Contracts in Mississippi Resulted in Millions of Dollars of Waste and Potential Fraud","type":"report"},"locator":"2","uris":["http://www.mendeley.com/documents/?uuid=3b2c4e21-b6e9-3f6b-b63f-88b9235729a4"]}],"mendeley":{"formattedCitation":"US Government Accountability Office, 2.","plainTextFormattedCitation":"US Government Accountability Office, 2.","previouslyFormattedCitation":"US Government Accountability Office, 2."},"properties":{"noteIndex":234},"schema":"https://github.com/citation-style-language/schema/raw/master/csl-citation.json"}</w:instrText>
      </w:r>
      <w:r>
        <w:fldChar w:fldCharType="separate"/>
      </w:r>
      <w:r w:rsidRPr="005954C4">
        <w:rPr>
          <w:noProof/>
        </w:rPr>
        <w:t>US Government Accountability Office, 2.</w:t>
      </w:r>
      <w:r>
        <w:fldChar w:fldCharType="end"/>
      </w:r>
    </w:p>
  </w:footnote>
  <w:footnote w:id="236">
    <w:p w14:paraId="1C3EF700" w14:textId="4C323E25" w:rsidR="00AB27A5" w:rsidRDefault="00AB27A5" w:rsidP="002F01FA">
      <w:pPr>
        <w:pStyle w:val="FootnoteText"/>
      </w:pPr>
      <w:r w:rsidRPr="00D05B51">
        <w:rPr>
          <w:rStyle w:val="FootnoteReference"/>
        </w:rPr>
        <w:footnoteRef/>
      </w:r>
      <w:r>
        <w:t xml:space="preserve"> </w:t>
      </w:r>
      <w:r>
        <w:fldChar w:fldCharType="begin" w:fldLock="1"/>
      </w:r>
      <w:r>
        <w:instrText>ADDIN CSL_CITATION {"citationItems":[{"id":"ITEM-1","itemData":{"author":[{"dropping-particle":"","family":"US Government Accountability Office","given":"","non-dropping-particle":"","parse-names":false,"suffix":""}],"id":"ITEM-1","issued":{"date-parts":[["2007"]]},"title":"Ineffective FEMA Oversight of Housing Maintenance Contracts in Mississippi Resulted in Millions of Dollars of Waste and Potential Fraud","type":"report"},"locator":"6","uris":["http://www.mendeley.com/documents/?uuid=3b2c4e21-b6e9-3f6b-b63f-88b9235729a4"]}],"mendeley":{"formattedCitation":"US Government Accountability Office, 6.","plainTextFormattedCitation":"US Government Accountability Office, 6.","previouslyFormattedCitation":"US Government Accountability Office, 6."},"properties":{"noteIndex":235},"schema":"https://github.com/citation-style-language/schema/raw/master/csl-citation.json"}</w:instrText>
      </w:r>
      <w:r>
        <w:fldChar w:fldCharType="separate"/>
      </w:r>
      <w:r w:rsidRPr="005954C4">
        <w:rPr>
          <w:noProof/>
        </w:rPr>
        <w:t>US Government Accountability Office, 6.</w:t>
      </w:r>
      <w:r>
        <w:fldChar w:fldCharType="end"/>
      </w:r>
    </w:p>
  </w:footnote>
  <w:footnote w:id="237">
    <w:p w14:paraId="37C95EF1" w14:textId="347229DC" w:rsidR="00AB27A5" w:rsidRDefault="00AB27A5" w:rsidP="00DE2EAC">
      <w:pPr>
        <w:pStyle w:val="FootnoteText"/>
      </w:pPr>
      <w:r w:rsidRPr="00D05B51">
        <w:rPr>
          <w:rStyle w:val="FootnoteReference"/>
        </w:rPr>
        <w:footnoteRef/>
      </w:r>
      <w:r>
        <w:t xml:space="preserve"> </w:t>
      </w:r>
      <w:r>
        <w:fldChar w:fldCharType="begin" w:fldLock="1"/>
      </w:r>
      <w:r>
        <w:instrText>ADDIN CSL_CITATION {"citationItems":[{"id":"ITEM-1","itemData":{"author":[{"dropping-particle":"","family":"US Government Accountability Office","given":"","non-dropping-particle":"","parse-names":false,"suffix":""}],"id":"ITEM-1","issued":{"date-parts":[["2007"]]},"title":"Ineffective FEMA Oversight of Housing Maintenance Contracts in Mississippi Resulted in Millions of Dollars of Waste and Potential Fraud","type":"report"},"locator":"10","uris":["http://www.mendeley.com/documents/?uuid=3b2c4e21-b6e9-3f6b-b63f-88b9235729a4"]}],"mendeley":{"formattedCitation":"US Government Accountability Office, 10.","manualFormatting":"US Government Accountability Office, “Ineffective FEMA Oversight of Housing Maintenance Contracts in Mississippi Resulted in Millions of Dollars of Waste and Potential Fraud,” 2007, 10, https://www.gao.gov/new.items/d08106.pdf.","plainTextFormattedCitation":"US Government Accountability Office, 10.","previouslyFormattedCitation":"US Government Accountability Office, 10."},"properties":{"noteIndex":236},"schema":"https://github.com/citation-style-language/schema/raw/master/csl-citation.json"}</w:instrText>
      </w:r>
      <w:r>
        <w:fldChar w:fldCharType="separate"/>
      </w:r>
      <w:r w:rsidRPr="009C6969">
        <w:rPr>
          <w:noProof/>
        </w:rPr>
        <w:t>US Government Accountability Office, “Ineffective FEMA Oversight of Housing Maintenance Contracts in Mississippi Resulted in Millions of Dollars of Waste and Potential Fraud,” 2007, 10, https://www.gao.gov/new.items/d08106.pdf.</w:t>
      </w:r>
      <w:r>
        <w:fldChar w:fldCharType="end"/>
      </w:r>
    </w:p>
  </w:footnote>
  <w:footnote w:id="238">
    <w:p w14:paraId="434C12D3" w14:textId="23DC1015" w:rsidR="00AB27A5" w:rsidRDefault="00AB27A5" w:rsidP="00DE2EAC">
      <w:pPr>
        <w:pStyle w:val="FootnoteText"/>
      </w:pPr>
      <w:r w:rsidRPr="00D05B51">
        <w:rPr>
          <w:rStyle w:val="FootnoteReference"/>
        </w:rPr>
        <w:footnoteRef/>
      </w:r>
      <w:r>
        <w:t xml:space="preserve"> </w:t>
      </w:r>
      <w:r>
        <w:fldChar w:fldCharType="begin" w:fldLock="1"/>
      </w:r>
      <w:r>
        <w:instrText>ADDIN CSL_CITATION {"citationItems":[{"id":"ITEM-1","itemData":{"author":[{"dropping-particle":"","family":"Browne","given":"Katherine E","non-dropping-particle":"","parse-names":false,"suffix":""}],"id":"ITEM-1","issued":{"date-parts":[["2015"]]},"number-of-pages":"281","publisher":"University of Texas Press","title":"Standing in the Need: Culture, Comfort, and Coming Home After Katrina","type":"book"},"locator":"79","uris":["http://www.mendeley.com/documents/?uuid=ca499652-c45c-42e3-b7f8-38c9c53f21ac"]}],"mendeley":{"formattedCitation":"Katherine E Browne, &lt;i&gt;Standing in the Need: Culture, Comfort, and Coming Home After Katrina&lt;/i&gt; (University of Texas Press, 2015), 79.","plainTextFormattedCitation":"Katherine E Browne, Standing in the Need: Culture, Comfort, and Coming Home After Katrina (University of Texas Press, 2015), 79.","previouslyFormattedCitation":"Katherine E Browne, &lt;i&gt;Standing in the Need: Culture, Comfort, and Coming Home After Katrina&lt;/i&gt; (University of Texas Press, 2015), 79."},"properties":{"noteIndex":237},"schema":"https://github.com/citation-style-language/schema/raw/master/csl-citation.json"}</w:instrText>
      </w:r>
      <w:r>
        <w:fldChar w:fldCharType="separate"/>
      </w:r>
      <w:r w:rsidRPr="00AA43C4">
        <w:rPr>
          <w:noProof/>
        </w:rPr>
        <w:t xml:space="preserve">Katherine E Browne, </w:t>
      </w:r>
      <w:r w:rsidRPr="00AA43C4">
        <w:rPr>
          <w:i/>
          <w:noProof/>
        </w:rPr>
        <w:t>Standing in the Need: Culture, Comfort, and Coming Home After Katrina</w:t>
      </w:r>
      <w:r w:rsidRPr="00AA43C4">
        <w:rPr>
          <w:noProof/>
        </w:rPr>
        <w:t xml:space="preserve"> (University of Texas Press, 2015), 79.</w:t>
      </w:r>
      <w:r>
        <w:fldChar w:fldCharType="end"/>
      </w:r>
    </w:p>
  </w:footnote>
  <w:footnote w:id="239">
    <w:p w14:paraId="587B093C" w14:textId="518FB86E" w:rsidR="00AB27A5" w:rsidRDefault="00AB27A5" w:rsidP="00DE2EAC">
      <w:pPr>
        <w:pStyle w:val="FootnoteText"/>
      </w:pPr>
      <w:r w:rsidRPr="00D05B51">
        <w:rPr>
          <w:rStyle w:val="FootnoteReference"/>
        </w:rPr>
        <w:footnoteRef/>
      </w:r>
      <w:r>
        <w:t xml:space="preserve"> </w:t>
      </w:r>
      <w:r>
        <w:fldChar w:fldCharType="begin" w:fldLock="1"/>
      </w:r>
      <w:r>
        <w:instrText>ADDIN CSL_CITATION {"citationItems":[{"id":"ITEM-1","itemData":{"URL":"http://www.nbcnews.com/id/30745820/ns/us_news-life/t/fema-rolls-out-new-mobile-homes-disasters/#.XH1IW4hKhhE","accessed":{"date-parts":[["2019","3","4"]]},"author":[{"dropping-particle":"","family":"The Associated Press","given":"","non-dropping-particle":"","parse-names":false,"suffix":""}],"container-title":"NBC News","id":"ITEM-1","issued":{"date-parts":[["2009"]]},"title":"FEMA rolls out new disaster mobile homes","type":"webpage"},"uris":["http://www.mendeley.com/documents/?uuid=559c1c07-2e5e-3565-bd78-5d67df36075f"]}],"mendeley":{"formattedCitation":"The Associated Press, “FEMA Rolls out New Disaster Mobile Homes,” NBC News, 2009, http://www.nbcnews.com/id/30745820/ns/us_news-life/t/fema-rolls-out-new-mobile-homes-disasters/#.XH1IW4hKhhE.","plainTextFormattedCitation":"The Associated Press, “FEMA Rolls out New Disaster Mobile Homes,” NBC News, 2009, http://www.nbcnews.com/id/30745820/ns/us_news-life/t/fema-rolls-out-new-mobile-homes-disasters/#.XH1IW4hKhhE.","previouslyFormattedCitation":"The Associated Press, “FEMA Rolls out New Disaster Mobile Homes,” NBC News, 2009, http://www.nbcnews.com/id/30745820/ns/us_news-life/t/fema-rolls-out-new-mobile-homes-disasters/#.XH1IW4hKhhE."},"properties":{"noteIndex":238},"schema":"https://github.com/citation-style-language/schema/raw/master/csl-citation.json"}</w:instrText>
      </w:r>
      <w:r>
        <w:fldChar w:fldCharType="separate"/>
      </w:r>
      <w:r w:rsidRPr="00F54AFF">
        <w:rPr>
          <w:noProof/>
        </w:rPr>
        <w:t>The Associated Press, “FEMA Rolls out New Disaster Mobile Homes,” NBC News, 2009, http://www.nbcnews.com/id/30745820/ns/us_news-life/t/fema-rolls-out-new-mobile-homes-disasters/#.XH1IW4hKhhE.</w:t>
      </w:r>
      <w:r>
        <w:fldChar w:fldCharType="end"/>
      </w:r>
    </w:p>
  </w:footnote>
  <w:footnote w:id="240">
    <w:p w14:paraId="14C9CCA8" w14:textId="3F40F0FE" w:rsidR="00AB27A5" w:rsidRDefault="00AB27A5" w:rsidP="00F40644">
      <w:pPr>
        <w:pStyle w:val="FootnoteText"/>
      </w:pPr>
      <w:r w:rsidRPr="00D05B51">
        <w:rPr>
          <w:rStyle w:val="FootnoteReference"/>
        </w:rPr>
        <w:footnoteRef/>
      </w:r>
      <w:r>
        <w:t xml:space="preserve"> </w:t>
      </w:r>
      <w:r>
        <w:fldChar w:fldCharType="begin" w:fldLock="1"/>
      </w:r>
      <w:r>
        <w:instrText>ADDIN CSL_CITATION {"citationItems":[{"id":"ITEM-1","itemData":{"author":[{"dropping-particle":"","family":"C-Span","given":"","non-dropping-particle":"","parse-names":false,"suffix":""}],"id":"ITEM-1","issued":{"date-parts":[["2005"]]},"title":"Hurricane Katrina Federal Spending","type":"broadcast"},"uris":["http://www.mendeley.com/documents/?uuid=d31b3a31-8893-370f-aaf4-588757f7ea3f"]}],"mendeley":{"formattedCitation":"C-Span, “Hurricane Katrina Federal Spending,” 2005, https://www.c-span.org/video/?188824-7/hurricane-katrina-federal-spending.","plainTextFormattedCitation":"C-Span, “Hurricane Katrina Federal Spending,” 2005, https://www.c-span.org/video/?188824-7/hurricane-katrina-federal-spending.","previouslyFormattedCitation":"C-Span, “Hurricane Katrina Federal Spending,” 2005, https://www.c-span.org/video/?188824-7/hurricane-katrina-federal-spending."},"properties":{"noteIndex":239},"schema":"https://github.com/citation-style-language/schema/raw/master/csl-citation.json"}</w:instrText>
      </w:r>
      <w:r>
        <w:fldChar w:fldCharType="separate"/>
      </w:r>
      <w:r w:rsidRPr="003E770B">
        <w:rPr>
          <w:noProof/>
        </w:rPr>
        <w:t>C-Span, “Hurricane Katrina Federal Spending,” 2005, https://www.c-span.org/video/?188824-7/hurricane-katrina-federal-spending.</w:t>
      </w:r>
      <w:r>
        <w:fldChar w:fldCharType="end"/>
      </w:r>
    </w:p>
  </w:footnote>
  <w:footnote w:id="241">
    <w:p w14:paraId="031E21CF" w14:textId="21BE3CBD" w:rsidR="00AB27A5" w:rsidRDefault="00AB27A5" w:rsidP="00DE2EAC">
      <w:pPr>
        <w:pStyle w:val="FootnoteText"/>
      </w:pPr>
      <w:r w:rsidRPr="00D05B51">
        <w:rPr>
          <w:rStyle w:val="FootnoteReference"/>
        </w:rPr>
        <w:footnoteRef/>
      </w:r>
      <w:r>
        <w:t xml:space="preserve"> </w:t>
      </w:r>
      <w:r>
        <w:fldChar w:fldCharType="begin" w:fldLock="1"/>
      </w:r>
      <w:r>
        <w:instrText>ADDIN CSL_CITATION {"citationItems":[{"id":"ITEM-1","itemData":{"author":[{"dropping-particle":"","family":"Jadacki","given":"Matt","non-dropping-particle":"","parse-names":false,"suffix":""}],"id":"ITEM-1","issued":{"date-parts":[["2007"]]},"title":"Statement of Matt Jadacki Deputy Inspector General for Disaster Assistance Oversight","type":"speech"},"locator":"3","uris":["http://www.mendeley.com/documents/?uuid=260c18f7-ef15-35ce-8221-c1146ede82b0"]}],"mendeley":{"formattedCitation":"Matt Jadacki, “Statement of Matt Jadacki Deputy Inspector General for Disaster Assistance Oversight,” (2007), 3, https://www.oig.dhs.gov/sites/default/files/assets/TM/OIGtm_MJ_022807.pdf.","plainTextFormattedCitation":"Matt Jadacki, “Statement of Matt Jadacki Deputy Inspector General for Disaster Assistance Oversight,” (2007), 3, https://www.oig.dhs.gov/sites/default/files/assets/TM/OIGtm_MJ_022807.pdf.","previouslyFormattedCitation":"Matt Jadacki, “Statement of Matt Jadacki Deputy Inspector General for Disaster Assistance Oversight,” (2007), 3, https://www.oig.dhs.gov/sites/default/files/assets/TM/OIGtm_MJ_022807.pdf."},"properties":{"noteIndex":240},"schema":"https://github.com/citation-style-language/schema/raw/master/csl-citation.json"}</w:instrText>
      </w:r>
      <w:r>
        <w:fldChar w:fldCharType="separate"/>
      </w:r>
      <w:r w:rsidRPr="009F1E07">
        <w:rPr>
          <w:noProof/>
        </w:rPr>
        <w:t>Matt Jadacki, “Statement of Matt Jadacki Deputy Inspector General for Disaster Assistance Oversight,” (2007), 3, https://www.oig.dhs.gov/sites/default/files/assets/TM/OIGtm_MJ_022807.pdf.</w:t>
      </w:r>
      <w:r>
        <w:fldChar w:fldCharType="end"/>
      </w:r>
    </w:p>
  </w:footnote>
  <w:footnote w:id="242">
    <w:p w14:paraId="3603C1F7" w14:textId="4537EB15" w:rsidR="00AB27A5" w:rsidRDefault="00AB27A5" w:rsidP="00DE2EAC">
      <w:pPr>
        <w:pStyle w:val="FootnoteText"/>
      </w:pPr>
      <w:r w:rsidRPr="00D05B51">
        <w:rPr>
          <w:rStyle w:val="FootnoteReference"/>
        </w:rPr>
        <w:footnoteRef/>
      </w:r>
      <w:r>
        <w:t xml:space="preserve"> </w:t>
      </w:r>
      <w:r>
        <w:fldChar w:fldCharType="begin" w:fldLock="1"/>
      </w:r>
      <w:r>
        <w:instrText>ADDIN CSL_CITATION {"citationItems":[{"id":"ITEM-1","itemData":{"abstract":"Some have criticized the Federal Emergency Management Agency's (FEMA's) emergency housing policies, particularly its approach to health and safety standards (as exemplified by the evidence of formaldehyde in both trailers and mobile homes), as well as its overall strategy to perform its housing mission. To address disaster housing issues, Congress could opt to consider questions such as the following. How have disaster housing needs traditionally been addressed under the Stafford Disaster Relief and Emergency Assistance Act (P.L. 93-288, as amended)? How did FEMA's approach during Hurricane Katrina differ from previous disasters and why? With a substantial amount of available funding provided by Congress, but without requesting expanded authority, FEMA found its sole option was to use traditional disaster housing practices. Those practices, successful for disasters of a historically familiar size, were hard-pressed to meet the unprecedented demands of the Katrina catastrophic disaster.","author":[{"dropping-particle":"","family":"Mccarthy","given":"Francis X","non-dropping-particle":"","parse-names":false,"suffix":""}],"id":"ITEM-1","issued":{"date-parts":[["2008"]]},"title":"FEMA Disaster Housing and Hurricane Katrina: Overview, Analysis, and Congressional Issues Analyst, Emergency Management Policy Government and Finance Division","type":"report"},"locator":"14","uris":["http://www.mendeley.com/documents/?uuid=61bfffa3-3c7b-330c-bf0c-496153f4ebe0"]}],"mendeley":{"formattedCitation":"Mccarthy, “FEMA Disaster Housing and Hurricane Katrina: Overview, Analysis, and Congressional Issues Analyst, Emergency Management Policy Government and Finance Division,” 14.","plainTextFormattedCitation":"Mccarthy, “FEMA Disaster Housing and Hurricane Katrina: Overview, Analysis, and Congressional Issues Analyst, Emergency Management Policy Government and Finance Division,” 14.","previouslyFormattedCitation":"Mccarthy, “FEMA Disaster Housing and Hurricane Katrina: Overview, Analysis, and Congressional Issues Analyst, Emergency Management Policy Government and Finance Division,” 14."},"properties":{"noteIndex":241},"schema":"https://github.com/citation-style-language/schema/raw/master/csl-citation.json"}</w:instrText>
      </w:r>
      <w:r>
        <w:fldChar w:fldCharType="separate"/>
      </w:r>
      <w:r w:rsidRPr="000B54A6">
        <w:rPr>
          <w:noProof/>
        </w:rPr>
        <w:t>Mccarthy, “FEMA Disaster Housing and Hurricane Katrina: Overview, Analysis, and Congressional Issues Analyst, Emergency Management Policy Government and Finance Division,” 14.</w:t>
      </w:r>
      <w:r>
        <w:fldChar w:fldCharType="end"/>
      </w:r>
    </w:p>
  </w:footnote>
  <w:footnote w:id="243">
    <w:p w14:paraId="0E0DD7C8" w14:textId="1943E218" w:rsidR="00AB27A5" w:rsidRDefault="00AB27A5" w:rsidP="00DE2EAC">
      <w:pPr>
        <w:pStyle w:val="FootnoteText"/>
      </w:pPr>
      <w:r w:rsidRPr="00D05B51">
        <w:rPr>
          <w:rStyle w:val="FootnoteReference"/>
        </w:rPr>
        <w:footnoteRef/>
      </w:r>
      <w:r>
        <w:t xml:space="preserve"> </w:t>
      </w:r>
      <w:r>
        <w:fldChar w:fldCharType="begin" w:fldLock="1"/>
      </w:r>
      <w:r>
        <w:instrText>ADDIN CSL_CITATION {"citationItems":[{"id":"ITEM-1","itemData":{"URL":"https://www.claimsjournal.com/news/southcentral/2017/09/18/280605.htm","accessed":{"date-parts":[["2019","4","6"]]},"author":[{"dropping-particle":"","family":"Sisak","given":"Michael","non-dropping-particle":"","parse-names":false,"suffix":""},{"dropping-particle":"","family":"Schmall","given":"Emily","non-dropping-particle":"","parse-names":false,"suffix":""}],"container-title":"Claims Journal","id":"ITEM-1","issued":{"date-parts":[["2017"]]},"title":"FEMA Trailers Auctioned at Fire Sale Prices Prior to Harvey Landfall","type":"webpage"},"uris":["http://www.mendeley.com/documents/?uuid=bed9d3e3-5267-3050-aa43-a386c294917e"]}],"mendeley":{"formattedCitation":"Michael Sisak and Emily Schmall, “FEMA Trailers Auctioned at Fire Sale Prices Prior to Harvey Landfall,” Claims Journal, 2017, https://www.claimsjournal.com/news/southcentral/2017/09/18/280605.htm.","plainTextFormattedCitation":"Michael Sisak and Emily Schmall, “FEMA Trailers Auctioned at Fire Sale Prices Prior to Harvey Landfall,” Claims Journal, 2017, https://www.claimsjournal.com/news/southcentral/2017/09/18/280605.htm.","previouslyFormattedCitation":"Michael Sisak and Emily Schmall, “FEMA Trailers Auctioned at Fire Sale Prices Prior to Harvey Landfall,” Claims Journal, 2017, https://www.claimsjournal.com/news/southcentral/2017/09/18/280605.htm."},"properties":{"noteIndex":242},"schema":"https://github.com/citation-style-language/schema/raw/master/csl-citation.json"}</w:instrText>
      </w:r>
      <w:r>
        <w:fldChar w:fldCharType="separate"/>
      </w:r>
      <w:r w:rsidRPr="0062318A">
        <w:rPr>
          <w:noProof/>
        </w:rPr>
        <w:t>Michael Sisak and Emily Schmall, “FEMA Trailers Auctioned at Fire Sale Prices Prior to Harvey Landfall,” Claims Journal, 2017, https://www.claimsjournal.com/news/southcentral/2017/09/18/280605.htm.</w:t>
      </w:r>
      <w:r>
        <w:fldChar w:fldCharType="end"/>
      </w:r>
    </w:p>
  </w:footnote>
  <w:footnote w:id="244">
    <w:p w14:paraId="7397A2B2" w14:textId="1D7BA546" w:rsidR="00AB27A5" w:rsidRDefault="00AB27A5" w:rsidP="00E6033A">
      <w:pPr>
        <w:pStyle w:val="FootnoteText"/>
      </w:pPr>
      <w:r w:rsidRPr="00D05B51">
        <w:rPr>
          <w:rStyle w:val="FootnoteReference"/>
        </w:rPr>
        <w:footnoteRef/>
      </w:r>
      <w:r>
        <w:t xml:space="preserve"> </w:t>
      </w:r>
      <w:r>
        <w:fldChar w:fldCharType="begin" w:fldLock="1"/>
      </w:r>
      <w:r>
        <w:instrText>ADDIN CSL_CITATION {"citationItems":[{"id":"ITEM-1","itemData":{"URL":"https://padtinyhouses.com/how-much-does-a-tiny-house-cost/","accessed":{"date-parts":[["2018","11","7"]]},"author":[{"dropping-particle":"","family":"pad tiny houses","given":"","non-dropping-particle":"","parse-names":false,"suffix":""}],"id":"ITEM-1","issued":{"date-parts":[["2017"]]},"title":"How Much Does a Tiny House Cost? DIY Building vs Buying from a Builder","type":"webpage"},"uris":["http://www.mendeley.com/documents/?uuid=6637f43c-56fe-3b1c-8377-22a80e379ff5"]}],"mendeley":{"formattedCitation":"pad tiny houses, “How Much Does a Tiny House Cost? DIY Building vs Buying from a Builder,” 2017, https://padtinyhouses.com/how-much-does-a-tiny-house-cost/.","plainTextFormattedCitation":"pad tiny houses, “How Much Does a Tiny House Cost? DIY Building vs Buying from a Builder,” 2017, https://padtinyhouses.com/how-much-does-a-tiny-house-cost/.","previouslyFormattedCitation":"pad tiny houses, “How Much Does a Tiny House Cost? DIY Building vs Buying from a Builder,” 2017, https://padtinyhouses.com/how-much-does-a-tiny-house-cost/."},"properties":{"noteIndex":243},"schema":"https://github.com/citation-style-language/schema/raw/master/csl-citation.json"}</w:instrText>
      </w:r>
      <w:r>
        <w:fldChar w:fldCharType="separate"/>
      </w:r>
      <w:r w:rsidRPr="00C56B8F">
        <w:rPr>
          <w:noProof/>
        </w:rPr>
        <w:t>pad tiny houses, “How Much Does a Tiny House Cost? DIY Building vs Buying from a Builder,” 2017, https://padtinyhouses.com/how-much-does-a-tiny-house-cost/.</w:t>
      </w:r>
      <w:r>
        <w:fldChar w:fldCharType="end"/>
      </w:r>
    </w:p>
  </w:footnote>
  <w:footnote w:id="245">
    <w:p w14:paraId="1B496EAB" w14:textId="17B6E6BA" w:rsidR="00AB27A5" w:rsidRDefault="00AB27A5" w:rsidP="00E6033A">
      <w:pPr>
        <w:pStyle w:val="FootnoteText"/>
      </w:pPr>
      <w:r w:rsidRPr="00D05B51">
        <w:rPr>
          <w:rStyle w:val="FootnoteReference"/>
        </w:rPr>
        <w:footnoteRef/>
      </w:r>
      <w:r>
        <w:t xml:space="preserve"> </w:t>
      </w:r>
      <w:r>
        <w:fldChar w:fldCharType="begin" w:fldLock="1"/>
      </w:r>
      <w:r>
        <w:instrText>ADDIN CSL_CITATION {"citationItems":[{"id":"ITEM-1","itemData":{"URL":"https://www.roverpass.com/blog/cost-of-buying-an-rv/","accessed":{"date-parts":[["2018","11","7"]]},"author":[{"dropping-particle":"","family":"Roverpass","given":"","non-dropping-particle":"","parse-names":false,"suffix":""}],"id":"ITEM-1","issued":{"date-parts":[["2016"]]},"title":"RV Cost: What RV Prices Can I Expect When I Buy?","type":"webpage"},"uris":["http://www.mendeley.com/documents/?uuid=4c4dcce1-5917-3e37-8250-ed5fec1795fe"]}],"mendeley":{"formattedCitation":"Roverpass, “RV Cost: What RV Prices Can I Expect When I Buy?,” 2016, https://www.roverpass.com/blog/cost-of-buying-an-rv/.","plainTextFormattedCitation":"Roverpass, “RV Cost: What RV Prices Can I Expect When I Buy?,” 2016, https://www.roverpass.com/blog/cost-of-buying-an-rv/.","previouslyFormattedCitation":"Roverpass, “RV Cost: What RV Prices Can I Expect When I Buy?,” 2016, https://www.roverpass.com/blog/cost-of-buying-an-rv/."},"properties":{"noteIndex":244},"schema":"https://github.com/citation-style-language/schema/raw/master/csl-citation.json"}</w:instrText>
      </w:r>
      <w:r>
        <w:fldChar w:fldCharType="separate"/>
      </w:r>
      <w:r w:rsidRPr="00BB08C9">
        <w:rPr>
          <w:noProof/>
        </w:rPr>
        <w:t>Roverpass, “RV Cost: What RV Prices Can I Expect When I Buy?,” 2016, https://www.roverpass.com/blog/cost-of-buying-an-rv/.</w:t>
      </w:r>
      <w:r>
        <w:fldChar w:fldCharType="end"/>
      </w:r>
    </w:p>
  </w:footnote>
  <w:footnote w:id="246">
    <w:p w14:paraId="2C4FF070" w14:textId="43AC538B"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{"citationItems":[{"id":"ITEM-1","itemData":{"URL":"http://tinymaison.blogspot.com/","accessed":{"date-parts":[["2019","3","6"]]},"container-title":"Tiny Maison","id":"ITEM-1","issued":{"date-parts":[["2014"]]},"title":"La Petite Maison","type":"webpage"},"uris":["http://www.mendeley.com/documents/?uuid=f6c9761d-6aa7-3fac-89df-ce435e22e4e7"]}],"mendeley":{"formattedCitation":"“La Petite Maison.”","plainTextFormattedCitation":"“La Petite Maison.”","previouslyFormattedCitation":"“La Petite Maison.”"},"properties":{"noteIndex":245},"schema":"https://github.com/citation-style-language/schema/raw/master/csl-citation.json"}</w:instrText>
      </w:r>
      <w:r>
        <w:fldChar w:fldCharType="separate"/>
      </w:r>
      <w:r w:rsidRPr="00EE1511">
        <w:rPr>
          <w:noProof/>
        </w:rPr>
        <w:t>“La Petite Maison.”</w:t>
      </w:r>
      <w:r>
        <w:fldChar w:fldCharType="end"/>
      </w:r>
    </w:p>
  </w:footnote>
  <w:footnote w:id="247">
    <w:p w14:paraId="00CCC5DB" w14:textId="461A9FC7" w:rsidR="00AB27A5" w:rsidRDefault="00AB27A5" w:rsidP="00C532F5">
      <w:pPr>
        <w:pStyle w:val="FootnoteText"/>
      </w:pPr>
      <w:r w:rsidRPr="00D05B51">
        <w:rPr>
          <w:rStyle w:val="FootnoteReference"/>
        </w:rPr>
        <w:footnoteRef/>
      </w:r>
      <w:r>
        <w:t xml:space="preserve"> </w:t>
      </w:r>
      <w:r>
        <w:fldChar w:fldCharType="begin" w:fldLock="1"/>
      </w:r>
      <w:r>
        <w:instrText>ADDIN CSL_CITATION {"citationItems":[{"id":"ITEM-1","itemData":{"URL":"https://www.miamiherald.com/news/local/community/florida-keys/article197563464.html","accessed":{"date-parts":[["2018","9","7"]]},"author":[{"dropping-particle":"","family":"Atkins","given":"Katie","non-dropping-particle":"","parse-names":false,"suffix":""}],"id":"ITEM-1","issued":{"date-parts":[["2018"]]},"publisher":"Miami Herald","title":"14 FEMA trailers in Keys have AC running but remain empty","type":"webpage"},"uris":["http://www.mendeley.com/documents/?uuid=74a5f6a2-be08-315c-836f-b32791ad13ca"]}],"mendeley":{"formattedCitation":"Katie Atkins, “14 FEMA Trailers in Keys Have AC Running but Remain Empty” (Miami Herald, 2018), https://www.miamiherald.com/news/local/community/florida-keys/article197563464.html.","plainTextFormattedCitation":"Katie Atkins, “14 FEMA Trailers in Keys Have AC Running but Remain Empty” (Miami Herald, 2018), https://www.miamiherald.com/news/local/community/florida-keys/article197563464.html.","previouslyFormattedCitation":"Katie Atkins, “14 FEMA Trailers in Keys Have AC Running but Remain Empty” (Miami Herald, 2018), https://www.miamiherald.com/news/local/community/florida-keys/article197563464.html."},"properties":{"noteIndex":246},"schema":"https://github.com/citation-style-language/schema/raw/master/csl-citation.json"}</w:instrText>
      </w:r>
      <w:r>
        <w:fldChar w:fldCharType="separate"/>
      </w:r>
      <w:r w:rsidRPr="00EB382C">
        <w:rPr>
          <w:noProof/>
        </w:rPr>
        <w:t>Katie Atkins, “14 FEMA Trailers in Keys Have AC Running but Remain Empty” (Miami Herald, 2018), https://www.miamiherald.com/news/local/community/florida-keys/article197563464.html.</w:t>
      </w:r>
      <w:r>
        <w:fldChar w:fldCharType="end"/>
      </w:r>
    </w:p>
  </w:footnote>
  <w:footnote w:id="248">
    <w:p w14:paraId="445E434D" w14:textId="68B5CD46" w:rsidR="00AB27A5" w:rsidRDefault="00AB27A5" w:rsidP="00661690">
      <w:pPr>
        <w:pStyle w:val="FootnoteText"/>
      </w:pPr>
      <w:r w:rsidRPr="00D05B51">
        <w:rPr>
          <w:rStyle w:val="FootnoteReference"/>
        </w:rPr>
        <w:footnoteRef/>
      </w:r>
      <w:r>
        <w:t xml:space="preserve"> </w:t>
      </w:r>
      <w:r>
        <w:fldChar w:fldCharType="begin" w:fldLock="1"/>
      </w:r>
      <w:r>
        <w:instrText>ADDIN CSL_CITATION {"citationItems":[{"id":"ITEM-1","itemData":{"URL":"https://blog.constellation.com/2017/08/21/what-is-tiny-house-living/","accessed":{"date-parts":[["2018","9","4"]]},"author":[{"dropping-particle":"","family":"Constellation Energy Resources","given":"LLC","non-dropping-particle":"","parse-names":false,"suffix":""}],"id":"ITEM-1","issued":{"date-parts":[["2017"]]},"title":"Energy Secrets of the Tiny House Movement","type":"webpage"},"uris":["http://www.mendeley.com/documents/?uuid=373c314e-fabd-339c-a249-f0085f0aa383"]}],"mendeley":{"formattedCitation":"LLC Constellation Energy Resources, “Energy Secrets of the Tiny House Movement,” 2017, https://blog.constellation.com/2017/08/21/what-is-tiny-house-living/.","plainTextFormattedCitation":"LLC Constellation Energy Resources, “Energy Secrets of the Tiny House Movement,” 2017, https://blog.constellation.com/2017/08/21/what-is-tiny-house-living/.","previouslyFormattedCitation":"LLC Constellation Energy Resources, “Energy Secrets of the Tiny House Movement,” 2017, https://blog.constellation.com/2017/08/21/what-is-tiny-house-living/."},"properties":{"noteIndex":247},"schema":"https://github.com/citation-style-language/schema/raw/master/csl-citation.json"}</w:instrText>
      </w:r>
      <w:r>
        <w:fldChar w:fldCharType="separate"/>
      </w:r>
      <w:r w:rsidRPr="001B65D1">
        <w:rPr>
          <w:noProof/>
        </w:rPr>
        <w:t xml:space="preserve">LLC Constellation Energy Resources, “Energy Secrets of the </w:t>
      </w:r>
      <w:r>
        <w:rPr>
          <w:noProof/>
        </w:rPr>
        <w:t>Tiny House Movement</w:t>
      </w:r>
      <w:r w:rsidRPr="001B65D1">
        <w:rPr>
          <w:noProof/>
        </w:rPr>
        <w:t>,” 2017, https://blog.constellation.com/2017/08/21/what-is-tiny-house-living/.</w:t>
      </w:r>
      <w:r>
        <w:fldChar w:fldCharType="end"/>
      </w:r>
    </w:p>
  </w:footnote>
  <w:footnote w:id="249">
    <w:p w14:paraId="375605EC" w14:textId="28CC80BA" w:rsidR="00AB27A5" w:rsidRDefault="00AB27A5" w:rsidP="00061F1B">
      <w:pPr>
        <w:pStyle w:val="FootnoteText"/>
      </w:pPr>
      <w:r w:rsidRPr="00D05B51">
        <w:rPr>
          <w:rStyle w:val="FootnoteReference"/>
        </w:rPr>
        <w:footnoteRef/>
      </w:r>
      <w:r>
        <w:t xml:space="preserve"> </w:t>
      </w:r>
      <w:r>
        <w:fldChar w:fldCharType="begin" w:fldLock="1"/>
      </w:r>
      <w:r>
        <w:instrText>ADDIN CSL_CITATION {"citationItems":[{"id":"ITEM-1","itemData":{"URL":"https://www.ase.org/blog/tiny-homes-are-big-energy-efficiency","accessed":{"date-parts":[["2018","11","26"]]},"author":[{"dropping-particle":"","family":"Ozery","given":"Ashley","non-dropping-particle":"","parse-names":false,"suffix":""}],"id":"ITEM-1","issued":{"date-parts":[["2015"]]},"publisher":"Alliance to Save Energy","title":"Tiny Homes Are Big On Energy Efficiency","type":"webpage"},"uris":["http://www.mendeley.com/documents/?uuid=e9c5dd8f-d6e4-3594-8716-0dda8e10a710"]}],"mendeley":{"formattedCitation":"Ashley Ozery, “Tiny Homes Are Big On Energy Efficiency” (Alliance to Save Energy, 2015), https://www.ase.org/blog/tiny-homes-are-big-energy-efficiency.","plainTextFormattedCitation":"Ashley Ozery, “Tiny Homes Are Big On Energy Efficiency” (Alliance to Save Energy, 2015), https://www.ase.org/blog/tiny-homes-are-big-energy-efficiency.","previouslyFormattedCitation":"Ashley Ozery, “Tiny Homes Are Big On Energy Efficiency” (Alliance to Save Energy, 2015), https://www.ase.org/blog/tiny-homes-are-big-energy-efficiency."},"properties":{"noteIndex":248},"schema":"https://github.com/citation-style-language/schema/raw/master/csl-citation.json"}</w:instrText>
      </w:r>
      <w:r>
        <w:fldChar w:fldCharType="separate"/>
      </w:r>
      <w:r w:rsidRPr="009F5A14">
        <w:rPr>
          <w:noProof/>
        </w:rPr>
        <w:t>Ashley Ozery, “Tiny Homes Are Big On Energy Efficiency” (Alliance to Save Energy, 2015), https://www.ase.org/blog/tiny-homes-are-big-energy-efficiency.</w:t>
      </w:r>
      <w:r>
        <w:fldChar w:fldCharType="end"/>
      </w:r>
    </w:p>
  </w:footnote>
  <w:footnote w:id="250">
    <w:p w14:paraId="45D60F97" w14:textId="71CBCE7A" w:rsidR="00AB27A5" w:rsidRDefault="00AB27A5" w:rsidP="00C44A3A">
      <w:pPr>
        <w:pStyle w:val="FootnoteText"/>
      </w:pPr>
      <w:r w:rsidRPr="00D05B51">
        <w:rPr>
          <w:rStyle w:val="FootnoteReference"/>
        </w:rPr>
        <w:footnoteRef/>
      </w:r>
      <w:r>
        <w:t xml:space="preserve"> </w:t>
      </w:r>
      <w:r>
        <w:fldChar w:fldCharType="begin" w:fldLock="1"/>
      </w:r>
      <w:r>
        <w:instrText>ADDIN CSL_CITATION {"citationItems":[{"id":"ITEM-1","itemData":{"author":[{"dropping-particle":"","family":"National Aeronautics and Space Administration","given":"","non-dropping-particle":"","parse-names":false,"suffix":""}],"id":"ITEM-1","issued":{"date-parts":[["0"]]},"title":"How do Hurricanes Form?","type":"article"},"uris":["http://www.mendeley.com/documents/?uuid=3d2fda7e-e008-3ba3-8733-539eaa531433"]}],"mendeley":{"formattedCitation":"National Aeronautics and Space Administration, “How Do Hurricanes Form?,” accessed January 27, 2019, https://pmm.nasa.gov/education/articles/how-do-hurricanes-form.","plainTextFormattedCitation":"National Aeronautics and Space Administration, “How Do Hurricanes Form?,” accessed January 27, 2019, https://pmm.nasa.gov/education/articles/how-do-hurricanes-form.","previouslyFormattedCitation":"National Aeronautics and Space Administration, “How Do Hurricanes Form?,” accessed January 27, 2019, https://pmm.nasa.gov/education/articles/how-do-hurricanes-form."},"properties":{"noteIndex":249},"schema":"https://github.com/citation-style-language/schema/raw/master/csl-citation.json"}</w:instrText>
      </w:r>
      <w:r>
        <w:fldChar w:fldCharType="separate"/>
      </w:r>
      <w:r w:rsidRPr="00272857">
        <w:rPr>
          <w:noProof/>
        </w:rPr>
        <w:t>National Aeronautics and Space Administration, “How Do Hurricanes Form?,” accessed January 27, 2019, https://pmm.nasa.gov/education/articles/how-do-hurricanes-form.</w:t>
      </w:r>
      <w:r>
        <w:fldChar w:fldCharType="end"/>
      </w:r>
    </w:p>
  </w:footnote>
  <w:footnote w:id="251">
    <w:p w14:paraId="4020F03E" w14:textId="57D610C7" w:rsidR="00AB27A5" w:rsidRDefault="00AB27A5" w:rsidP="00C44A3A">
      <w:pPr>
        <w:pStyle w:val="FootnoteText"/>
      </w:pPr>
      <w:r w:rsidRPr="00D05B51">
        <w:rPr>
          <w:rStyle w:val="FootnoteReference"/>
        </w:rPr>
        <w:footnoteRef/>
      </w:r>
      <w:r>
        <w:t xml:space="preserve"> </w:t>
      </w:r>
      <w:r>
        <w:fldChar w:fldCharType="begin" w:fldLock="1"/>
      </w:r>
      <w:r>
        <w:instrText>ADDIN CSL_CITATION {"citationItems":[{"id":"ITEM-1","itemData":{"author":[{"dropping-particle":"","family":"Ritter","given":"Michael E.","non-dropping-particle":"","parse-names":false,"suffix":""}],"id":"ITEM-1","issued":{"date-parts":[["2006"]]},"title":"The Physical Environment: an Introduction to Physical Geography","type":"article-journal"},"uris":["http://www.mendeley.com/documents/?uuid=cbbe1d77-6bc3-3bb2-9e33-2bd17b6fac74"]}],"mendeley":{"formattedCitation":"Michael E. Ritter, “The Physical Environment: An Introduction to Physical Geography,” 2006, http://www.earthonlinemedia.com/ebooks/tpe_3e/title_page.html.","plainTextFormattedCitation":"Michael E. Ritter, “The Physical Environment: An Introduction to Physical Geography,” 2006, http://www.earthonlinemedia.com/ebooks/tpe_3e/title_page.html.","previouslyFormattedCitation":"Michael E. Ritter, “The Physical Environment: An Introduction to Physical Geography,” 2006, http://www.earthonlinemedia.com/ebooks/tpe_3e/title_page.html."},"properties":{"noteIndex":250},"schema":"https://github.com/citation-style-language/schema/raw/master/csl-citation.json"}</w:instrText>
      </w:r>
      <w:r>
        <w:fldChar w:fldCharType="separate"/>
      </w:r>
      <w:r w:rsidRPr="002D546B">
        <w:rPr>
          <w:noProof/>
        </w:rPr>
        <w:t>Michael E. Ritter, “The Physical Environment: An Introduction to Physical Geography,” 2006, http://www.earthonlinemedia.com/ebooks/tpe_3e/title_page.html.</w:t>
      </w:r>
      <w:r>
        <w:fldChar w:fldCharType="end"/>
      </w:r>
    </w:p>
  </w:footnote>
  <w:footnote w:id="252">
    <w:p w14:paraId="49722C08" w14:textId="3FC93DCD" w:rsidR="00AB27A5" w:rsidRDefault="00AB27A5" w:rsidP="00AF10D7">
      <w:pPr>
        <w:pStyle w:val="FootnoteText"/>
      </w:pPr>
      <w:r w:rsidRPr="00D05B51">
        <w:rPr>
          <w:rStyle w:val="FootnoteReference"/>
        </w:rPr>
        <w:footnoteRef/>
      </w:r>
      <w:r>
        <w:t xml:space="preserve"> </w:t>
      </w:r>
      <w:r>
        <w:fldChar w:fldCharType="begin" w:fldLock="1"/>
      </w:r>
      <w:r>
        <w:instrText>ADDIN CSL_CITATION {"citationItems":[{"id":"ITEM-1","itemData":{"URL":"https://www.calculator.net/roofing-calculator.html?acarea=250&amp;acareaunit=foot&amp;roofpitch=4&amp;tp=ar&amp;x=42&amp;y=15","accessed":{"date-parts":[["2019","1","27"]]},"author":[{"dropping-particle":"","family":"Calculator.net","given":"","non-dropping-particle":"","parse-names":false,"suffix":""}],"id":"ITEM-1","issued":{"date-parts":[["0"]]},"title":"Roofing Calculator","type":"webpage"},"uris":["http://www.mendeley.com/documents/?uuid=329088f1-c3b2-3a0e-af77-c6b55cf94c8c"]}],"mendeley":{"formattedCitation":"Calculator.net, “Roofing Calculator,” accessed January 27, 2019, https://www.calculator.net/roofing-calculator.html?acarea=250&amp;acareaunit=foot&amp;roofpitch=4&amp;tp=ar&amp;x=42&amp;y=15.","plainTextFormattedCitation":"Calculator.net, “Roofing Calculator,” accessed January 27, 2019, https://www.calculator.net/roofing-calculator.html?acarea=250&amp;acareaunit=foot&amp;roofpitch=4&amp;tp=ar&amp;x=42&amp;y=15.","previouslyFormattedCitation":"Calculator.net, “Roofing Calculator,” accessed January 27, 2019, https://www.calculator.net/roofing-calculator.html?acarea=250&amp;acareaunit=foot&amp;roofpitch=4&amp;tp=ar&amp;x=42&amp;y=15."},"properties":{"noteIndex":251},"schema":"https://github.com/citation-style-language/schema/raw/master/csl-citation.json"}</w:instrText>
      </w:r>
      <w:r>
        <w:fldChar w:fldCharType="separate"/>
      </w:r>
      <w:r w:rsidRPr="00835CB5">
        <w:rPr>
          <w:noProof/>
        </w:rPr>
        <w:t>Calculator.net, “Roofing Calculator,” accessed January 27, 2019, https://www.calculator.net/roofing-calculator.html?acarea=250&amp;acareaunit=foot&amp;roofpitch=4&amp;tp=ar&amp;x=42&amp;y=15.</w:t>
      </w:r>
      <w:r>
        <w:fldChar w:fldCharType="end"/>
      </w:r>
    </w:p>
  </w:footnote>
  <w:footnote w:id="253">
    <w:p w14:paraId="5B654810" w14:textId="1B746492" w:rsidR="00AB27A5" w:rsidRDefault="00AB27A5" w:rsidP="00B40C7A">
      <w:pPr>
        <w:pStyle w:val="FootnoteText"/>
      </w:pPr>
      <w:r w:rsidRPr="00D05B51">
        <w:rPr>
          <w:rStyle w:val="FootnoteReference"/>
        </w:rPr>
        <w:footnoteRef/>
      </w:r>
      <w:r>
        <w:t xml:space="preserve"> </w:t>
      </w:r>
      <w:r>
        <w:fldChar w:fldCharType="begin" w:fldLock="1"/>
      </w:r>
      <w:r>
        <w:instrText>ADDIN CSL_CITATION {"citationItems":[{"id":"ITEM-1","itemData":{"URL":"https://www.usclimatedata.com/climate/new-orleans/louisiana/united-states/usla0338","accessed":{"date-parts":[["2018","10","21"]]},"author":[{"dropping-particle":"","family":"US Climate Data","given":"","non-dropping-particle":"","parse-names":false,"suffix":""}],"container-title":"2018","id":"ITEM-1","issued":{"date-parts":[["0"]]},"title":"Climate New Orleans - Louisiana and Weather averages New Orleans 1961-1990 Normals","type":"webpage"},"uris":["http://www.mendeley.com/documents/?uuid=e45da64c-0ad0-33cc-a2bf-39be60d2db0c"]}],"mendeley":{"formattedCitation":"US Climate Data, “Climate New Orleans - Louisiana and Weather Averages New Orleans 1961-1990 Normals,” 2018, accessed October 21, 2018, https://www.usclimatedata.com/climate/new-orleans/louisiana/united-states/usla0338.","plainTextFormattedCitation":"US Climate Data, “Climate New Orleans - Louisiana and Weather Averages New Orleans 1961-1990 Normals,” 2018, accessed October 21, 2018, https://www.usclimatedata.com/climate/new-orleans/louisiana/united-states/usla0338.","previouslyFormattedCitation":"US Climate Data, “Climate New Orleans - Louisiana and Weather Averages New Orleans 1961-1990 Normals,” 2018, accessed October 21, 2018, https://www.usclimatedata.com/climate/new-orleans/louisiana/united-states/usla0338."},"properties":{"noteIndex":252},"schema":"https://github.com/citation-style-language/schema/raw/master/csl-citation.json"}</w:instrText>
      </w:r>
      <w:r>
        <w:fldChar w:fldCharType="separate"/>
      </w:r>
      <w:r w:rsidRPr="009C6969">
        <w:rPr>
          <w:noProof/>
        </w:rPr>
        <w:t>US Climate Data, “Climate New Orleans - Louisiana and Weather Averages New Orleans 1961-1990 Normals,” 2018, accessed October 21, 2018, https://www.usclimatedata.com/climate/new-orleans/louisiana/united-states/usla0338.</w:t>
      </w:r>
      <w:r>
        <w:fldChar w:fldCharType="end"/>
      </w:r>
    </w:p>
  </w:footnote>
  <w:footnote w:id="254">
    <w:p w14:paraId="750CEEA7" w14:textId="0D5C159C"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{"citationItems":[{"id":"ITEM-1","itemData":{"DOI":"10.1016/j.watres.2017.08.062","abstract":"Net-zero greywater (NZGW) reuse, or nearly closed-loop recycle of greywater for all original uses, can recover both water and its attendant hot-water thermal energy, while avoiding the installation and maintenance of a separate greywater sewer in residential areas. Such a system, if portable, could also provide wash water for remote emergency health care units. However, such greywater reuse engenders human contact with the recycled water, and hence superior treatment. The purpose of this paper is to review processes applicable to the mineralization of organics, including control of oxidative byproducts such as bromate, and maintenance of disinfection consistent with potable reuse guidelines, in NZGW systems. Specifically, TiO 2-UV, UV-hydrogen peroxide, hydrogen peroxide-ozone, ozone-UV advanced oxidation processes, and UV, ozone, hydrogen peroxide, filtration, and chlorine disinfection processes were reviewed for performance, energy demand, environmental impact, and operational simplicity. Based on the literature reviewed, peroxone is the most energy-efficient process for organics minerali-zation. However, in portable applications where delivery of chemicals to the site is a concern, the UV-ozone process appears promising, at higher energy demand. In either case, reverse osmosis, nano-filtration, or ED may be useful in controlling the bromide precursor in make-up water, and a minor side-stream of ozone may be used to prevent microbial regrowth in the treated water. Where energy is not paramount, UV-hydrogen peroxide and UV-TiO 2 can be used to mineralize organics while avoiding bromate formation, but may require a secondary process to prevent microbial regrowth. Chlorine and ozone may be useful for maintenance of disinfection residual.","author":[{"dropping-particle":"","family":"Gassie","given":"Lucien W","non-dropping-particle":"","parse-names":false,"suffix":""},{"dropping-particle":"","family":"Englehardt","given":"James D","non-dropping-particle":"","parse-names":false,"suffix":""}],"container-title":"Water Research","id":"ITEM-1","issued":{"date-parts":[["2017"]]},"page":"384-399","title":"Advanced oxidation and disinfection processes for onsite net-zero greywater reuse: A review","type":"article-journal","volume":"125"},"locator":"385","uris":["http://www.mendeley.com/documents/?uuid=1fde582b-7ee9-3c88-b95f-bf47fbbc64f6"]}],"mendeley":{"formattedCitation":"Gassie and Englehardt, “Advanced Oxidation and Disinfection Processes for Onsite Net-Zero Greywater Reuse: A Review,” 385.","plainTextFormattedCitation":"Gassie and Englehardt, “Advanced Oxidation and Disinfection Processes for Onsite Net-Zero Greywater Reuse: A Review,” 385.","previouslyFormattedCitation":"Gassie and Englehardt, “Advanced Oxidation and Disinfection Processes for Onsite Net-Zero Greywater Reuse: A Review,” 385."},"properties":{"noteIndex":253},"schema":"https://github.com/citation-style-language/schema/raw/master/csl-citation.json"}</w:instrText>
      </w:r>
      <w:r>
        <w:fldChar w:fldCharType="separate"/>
      </w:r>
      <w:r w:rsidRPr="00E3287D">
        <w:rPr>
          <w:noProof/>
        </w:rPr>
        <w:t>Gassie and Englehardt, “Advanced Oxidation and Disinfection Processes for Onsite Net-Zero Greywater Reuse: A Review,” 385.</w:t>
      </w:r>
      <w:r>
        <w:fldChar w:fldCharType="end"/>
      </w:r>
    </w:p>
  </w:footnote>
  <w:footnote w:id="255">
    <w:p w14:paraId="698B7035" w14:textId="1EFF16A6" w:rsidR="00AB27A5" w:rsidRDefault="00AB27A5" w:rsidP="002E3362">
      <w:pPr>
        <w:pStyle w:val="FootnoteText"/>
      </w:pPr>
      <w:r w:rsidRPr="00D05B51">
        <w:rPr>
          <w:rStyle w:val="FootnoteReference"/>
        </w:rPr>
        <w:footnoteRef/>
      </w:r>
      <w:r>
        <w:t xml:space="preserve"> </w:t>
      </w:r>
      <w:r>
        <w:fldChar w:fldCharType="begin" w:fldLock="1"/>
      </w:r>
      <w:r>
        <w:instrText>ADDIN CSL_CITATION {"citationItems":[{"id":"ITEM-1","itemData":{"DOI":"10.1016/j.watres.2017.08.062","abstract":"Net-zero greywater (NZGW) reuse, or nearly closed-loop recycle of greywater for all original uses, can recover both water and its attendant hot-water thermal energy, while avoiding the installation and maintenance of a separate greywater sewer in residential areas. Such a system, if portable, could also provide wash water for remote emergency health care units. However, such greywater reuse engenders human contact with the recycled water, and hence superior treatment. The purpose of this paper is to review processes applicable to the mineralization of organics, including control of oxidative byproducts such as bromate, and maintenance of disinfection consistent with potable reuse guidelines, in NZGW systems. Specifically, TiO 2-UV, UV-hydrogen peroxide, hydrogen peroxide-ozone, ozone-UV advanced oxidation processes, and UV, ozone, hydrogen peroxide, filtration, and chlorine disinfection processes were reviewed for performance, energy demand, environmental impact, and operational simplicity. Based on the literature reviewed, peroxone is the most energy-efficient process for organics minerali-zation. However, in portable applications where delivery of chemicals to the site is a concern, the UV-ozone process appears promising, at higher energy demand. In either case, reverse osmosis, nano-filtration, or ED may be useful in controlling the bromide precursor in make-up water, and a minor side-stream of ozone may be used to prevent microbial regrowth in the treated water. Where energy is not paramount, UV-hydrogen peroxide and UV-TiO 2 can be used to mineralize organics while avoiding bromate formation, but may require a secondary process to prevent microbial regrowth. Chlorine and ozone may be useful for maintenance of disinfection residual.","author":[{"dropping-particle":"","family":"Gassie","given":"Lucien W","non-dropping-particle":"","parse-names":false,"suffix":""},{"dropping-particle":"","family":"Englehardt","given":"James D","non-dropping-particle":"","parse-names":false,"suffix":""}],"container-title":"Water Research","id":"ITEM-1","issued":{"date-parts":[["2017"]]},"page":"384-399","title":"Advanced oxidation and disinfection processes for onsite net-zero greywater reuse: A review","type":"article-journal","volume":"125"},"locator":"385","uris":["http://www.mendeley.com/documents/?uuid=1fde582b-7ee9-3c88-b95f-bf47fbbc64f6"]}],"mendeley":{"formattedCitation":"Gassie and Englehardt, 385.","plainTextFormattedCitation":"Gassie and Englehardt, 385.","previouslyFormattedCitation":"Gassie and Englehardt, 385."},"properties":{"noteIndex":254},"schema":"https://github.com/citation-style-language/schema/raw/master/csl-citation.json"}</w:instrText>
      </w:r>
      <w:r>
        <w:fldChar w:fldCharType="separate"/>
      </w:r>
      <w:r w:rsidRPr="00AA0F27">
        <w:rPr>
          <w:noProof/>
        </w:rPr>
        <w:t>Gassie and Englehardt, 385.</w:t>
      </w:r>
      <w:r>
        <w:fldChar w:fldCharType="end"/>
      </w:r>
    </w:p>
  </w:footnote>
  <w:footnote w:id="256">
    <w:p w14:paraId="255C89EE" w14:textId="601029BD" w:rsidR="00AB27A5" w:rsidRDefault="00AB27A5" w:rsidP="002E3362">
      <w:pPr>
        <w:pStyle w:val="FootnoteText"/>
      </w:pPr>
      <w:r w:rsidRPr="00D05B51">
        <w:rPr>
          <w:rStyle w:val="FootnoteReference"/>
        </w:rPr>
        <w:footnoteRef/>
      </w:r>
      <w:r>
        <w:t xml:space="preserve"> </w:t>
      </w:r>
      <w:r>
        <w:fldChar w:fldCharType="begin" w:fldLock="1"/>
      </w:r>
      <w:r>
        <w:instrText>ADDIN CSL_CITATION {"citationItems":[{"id":"ITEM-1","itemData":{"DOI":"10.1016/j.watres.2017.08.062","abstract":"Net-zero greywater (NZGW) reuse, or nearly closed-loop recycle of greywater for all original uses, can recover both water and its attendant hot-water thermal energy, while avoiding the installation and maintenance of a separate greywater sewer in residential areas. Such a system, if portable, could also provide wash water for remote emergency health care units. However, such greywater reuse engenders human contact with the recycled water, and hence superior treatment. The purpose of this paper is to review processes applicable to the mineralization of organics, including control of oxidative byproducts such as bromate, and maintenance of disinfection consistent with potable reuse guidelines, in NZGW systems. Specifically, TiO 2-UV, UV-hydrogen peroxide, hydrogen peroxide-ozone, ozone-UV advanced oxidation processes, and UV, ozone, hydrogen peroxide, filtration, and chlorine disinfection processes were reviewed for performance, energy demand, environmental impact, and operational simplicity. Based on the literature reviewed, peroxone is the most energy-efficient process for organics minerali-zation. However, in portable applications where delivery of chemicals to the site is a concern, the UV-ozone process appears promising, at higher energy demand. In either case, reverse osmosis, nano-filtration, or ED may be useful in controlling the bromide precursor in make-up water, and a minor side-stream of ozone may be used to prevent microbial regrowth in the treated water. Where energy is not paramount, UV-hydrogen peroxide and UV-TiO 2 can be used to mineralize organics while avoiding bromate formation, but may require a secondary process to prevent microbial regrowth. Chlorine and ozone may be useful for maintenance of disinfection residual.","author":[{"dropping-particle":"","family":"Gassie","given":"Lucien W","non-dropping-particle":"","parse-names":false,"suffix":""},{"dropping-particle":"","family":"Englehardt","given":"James D","non-dropping-particle":"","parse-names":false,"suffix":""}],"container-title":"Water Research","id":"ITEM-1","issued":{"date-parts":[["2017"]]},"page":"384-399","title":"Advanced oxidation and disinfection processes for onsite net-zero greywater reuse: A review","type":"article-journal","volume":"125"},"locator":"386","uris":["http://www.mendeley.com/documents/?uuid=1fde582b-7ee9-3c88-b95f-bf47fbbc64f6"]}],"mendeley":{"formattedCitation":"Gassie and Englehardt, 386.","plainTextFormattedCitation":"Gassie and Englehardt, 386.","previouslyFormattedCitation":"Gassie and Englehardt, 386."},"properties":{"noteIndex":255},"schema":"https://github.com/citation-style-language/schema/raw/master/csl-citation.json"}</w:instrText>
      </w:r>
      <w:r>
        <w:fldChar w:fldCharType="separate"/>
      </w:r>
      <w:r w:rsidRPr="00AA0D0D">
        <w:rPr>
          <w:noProof/>
        </w:rPr>
        <w:t>Gassie and Englehardt, 386.</w:t>
      </w:r>
      <w:r>
        <w:fldChar w:fldCharType="end"/>
      </w:r>
    </w:p>
  </w:footnote>
  <w:footnote w:id="257">
    <w:p w14:paraId="1DC8D122" w14:textId="610C5613" w:rsidR="00AB27A5" w:rsidRDefault="00AB27A5" w:rsidP="005579E1">
      <w:pPr>
        <w:pStyle w:val="FootnoteText"/>
      </w:pPr>
      <w:r w:rsidRPr="00D05B51">
        <w:rPr>
          <w:rStyle w:val="FootnoteReference"/>
        </w:rPr>
        <w:footnoteRef/>
      </w:r>
      <w:r>
        <w:t xml:space="preserve"> </w:t>
      </w:r>
      <w:r>
        <w:fldChar w:fldCharType="begin" w:fldLock="1"/>
      </w:r>
      <w:r>
        <w:instrText>ADDIN CSL_CITATION {"citationItems":[{"id":"ITEM-1","itemData":{"author":[{"dropping-particle":"","family":"Australian Government Department of Health","given":"","non-dropping-particle":"","parse-names":false,"suffix":""}],"id":"ITEM-1","issued":{"date-parts":[["2016"]]},"title":"Formaldehyde in pressed wood products","type":"report"},"uris":["http://www.mendeley.com/documents/?uuid=805681b0-a8bb-35e9-9136-89a9b67b3b2a"]}],"mendeley":{"formattedCitation":"Australian Government Department of Health, “Formaldehyde in Pressed Wood Products,” 2016, https://www.nicnas.gov.au/chemical-information/factsheets/chemical-name/formaldehyde-in-pressed-wood-products.","plainTextFormattedCitation":"Australian Government Department of Health, “Formaldehyde in Pressed Wood Products,” 2016, https://www.nicnas.gov.au/chemical-information/factsheets/chemical-name/formaldehyde-in-pressed-wood-products.","previouslyFormattedCitation":"Australian Government Department of Health, “Formaldehyde in Pressed Wood Products,” 2016, https://www.nicnas.gov.au/chemical-information/factsheets/chemical-name/formaldehyde-in-pressed-wood-products."},"properties":{"noteIndex":256},"schema":"https://github.com/citation-style-language/schema/raw/master/csl-citation.json"}</w:instrText>
      </w:r>
      <w:r>
        <w:fldChar w:fldCharType="separate"/>
      </w:r>
      <w:r w:rsidRPr="006B44D6">
        <w:rPr>
          <w:noProof/>
        </w:rPr>
        <w:t>Australian Government Department of Health, “Formaldehyde in Pressed Wood Products,” 2016, https://www.nicnas.gov.au/chemical-information/factsheets/chemical-name/formaldehyde-in-pressed-wood-products.</w:t>
      </w:r>
      <w:r>
        <w:fldChar w:fldCharType="end"/>
      </w:r>
    </w:p>
  </w:footnote>
  <w:footnote w:id="258">
    <w:p w14:paraId="0FFB45D8" w14:textId="2A924E7B" w:rsidR="00AB27A5" w:rsidRDefault="00AB27A5" w:rsidP="005579E1">
      <w:pPr>
        <w:pStyle w:val="FootnoteText"/>
      </w:pPr>
      <w:r w:rsidRPr="00D05B51">
        <w:rPr>
          <w:rStyle w:val="FootnoteReference"/>
        </w:rPr>
        <w:footnoteRef/>
      </w:r>
      <w:r>
        <w:t xml:space="preserve"> </w:t>
      </w:r>
      <w:r>
        <w:fldChar w:fldCharType="begin" w:fldLock="1"/>
      </w:r>
      <w:r>
        <w:instrText>ADDIN CSL_CITATION {"citationItems":[{"id":"ITEM-1","itemData":{"URL":"https://www.activesustainability.com/environment/why-is-certified-wood-important/","accessed":{"date-parts":[["2018","11","24"]]},"author":[{"dropping-particle":"","family":"Sustainability For All","given":"","non-dropping-particle":"","parse-names":false,"suffix":""}],"id":"ITEM-1","issued":{"date-parts":[["0"]]},"publisher":"Acciona","title":"Why is certified wood important?","type":"webpage"},"uris":["http://www.mendeley.com/documents/?uuid=02356654-6a4b-35cb-8a7d-eed5aca475ec"]}],"mendeley":{"formattedCitation":"Sustainability For All, “Why Is Certified Wood Important?” (Acciona), accessed November 24, 2018, https://www.activesustainability.com/environment/why-is-certified-wood-important/.","plainTextFormattedCitation":"Sustainability For All, “Why Is Certified Wood Important?” (Acciona), accessed November 24, 2018, https://www.activesustainability.com/environment/why-is-certified-wood-important/.","previouslyFormattedCitation":"Sustainability For All, “Why Is Certified Wood Important?” (Acciona), accessed November 24, 2018, https://www.activesustainability.com/environment/why-is-certified-wood-important/."},"properties":{"noteIndex":257},"schema":"https://github.com/citation-style-language/schema/raw/master/csl-citation.json"}</w:instrText>
      </w:r>
      <w:r>
        <w:fldChar w:fldCharType="separate"/>
      </w:r>
      <w:r w:rsidRPr="009F5A14">
        <w:rPr>
          <w:noProof/>
        </w:rPr>
        <w:t>Sustainability For All, “Why Is Certified Wood Important?” (Acciona), accessed November 24, 2018, https://www.activesustainability.com/environment/why-is-certified-wood-important/.</w:t>
      </w:r>
      <w:r>
        <w:fldChar w:fldCharType="end"/>
      </w:r>
    </w:p>
  </w:footnote>
  <w:footnote w:id="259">
    <w:p w14:paraId="35B33108" w14:textId="28968A9A" w:rsidR="00AB27A5" w:rsidRDefault="00AB27A5" w:rsidP="005579E1">
      <w:pPr>
        <w:pStyle w:val="FootnoteText"/>
      </w:pPr>
      <w:r w:rsidRPr="00D05B51">
        <w:rPr>
          <w:rStyle w:val="FootnoteReference"/>
        </w:rPr>
        <w:footnoteRef/>
      </w:r>
      <w:r>
        <w:t xml:space="preserve"> </w:t>
      </w:r>
      <w:r>
        <w:fldChar w:fldCharType="begin" w:fldLock="1"/>
      </w:r>
      <w:r>
        <w:instrText>ADDIN CSL_CITATION {"citationItems":[{"id":"ITEM-1","itemData":{"URL":"https://www.greenhomeguide.com/askapro/question/what-is-truly-the-healthiest-wood-floor-option-and-what-are-the-safest-finish-products-to-use","accessed":{"date-parts":[["2018","11","24"]]},"author":[{"dropping-particle":"","family":"Schomer","given":"Victoria","non-dropping-particle":"","parse-names":false,"suffix":""}],"id":"ITEM-1","issued":{"date-parts":[["2009"]]},"publisher":"Green Home Guide","title":"What is truly the healthiest wood floor option, and what are the safest finish products to use?","type":"webpage"},"uris":["http://www.mendeley.com/documents/?uuid=980073d4-300e-370e-92e4-dad4a71530a3"]}],"mendeley":{"formattedCitation":"Victoria Schomer, “What Is Truly the Healthiest Wood Floor Option, and What Are the Safest Finish Products to Use?” (Green Home Guide, 2009), https://www.greenhomeguide.com/askapro/question/what-is-truly-the-healthiest-wood-floor-option-and-what-are-the-safest-finish-products-to-use.","plainTextFormattedCitation":"Victoria Schomer, “What Is Truly the Healthiest Wood Floor Option, and What Are the Safest Finish Products to Use?” (Green Home Guide, 2009), https://www.greenhomeguide.com/askapro/question/what-is-truly-the-healthiest-wood-floor-option-and-what-are-the-safest-finish-products-to-use.","previouslyFormattedCitation":"Victoria Schomer, “What Is Truly the Healthiest Wood Floor Option, and What Are the Safest Finish Products to Use?” (Green Home Guide, 2009), https://www.greenhomeguide.com/askapro/question/what-is-truly-the-healthiest-wood-floor-option-and-what-are-the-safest-finish-products-to-use."},"properties":{"noteIndex":258},"schema":"https://github.com/citation-style-language/schema/raw/master/csl-citation.json"}</w:instrText>
      </w:r>
      <w:r>
        <w:fldChar w:fldCharType="separate"/>
      </w:r>
      <w:r w:rsidRPr="009F5A14">
        <w:rPr>
          <w:noProof/>
        </w:rPr>
        <w:t>Victoria Schomer, “What Is Truly the Healthiest Wood Floor Option, and What Are the Safest Finish Products to Use?” (Green Home Guide, 2009), https://www.greenhomeguide.com/askapro/question/what-is-truly-the-healthiest-wood-floor-option-and-what-are-the-safest-finish-products-to-use.</w:t>
      </w:r>
      <w:r>
        <w:fldChar w:fldCharType="end"/>
      </w:r>
    </w:p>
  </w:footnote>
  <w:footnote w:id="260">
    <w:p w14:paraId="089C7977" w14:textId="2A7DE957"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{"citationItems":[{"id":"ITEM-1","itemData":{"URL":"https://www.gasdetection.com/interscan-in-the-news/formaldehyde-found-fema-trailers/","accessed":{"date-parts":[["2019","2","28"]]},"author":[{"dropping-particle":"","family":"Shaw","given":"Michael D","non-dropping-particle":"","parse-names":false,"suffix":""}],"id":"ITEM-1","issued":{"date-parts":[["2008"]]},"title":"Formaldehyde:  It's Not Only Found In FEMA Trailers","type":"webpage"},"uris":["http://www.mendeley.com/documents/?uuid=b0327f49-d668-3a93-b182-1091732fac10"]}],"mendeley":{"formattedCitation":"Michael D Shaw, “Formaldehyde:  It’s Not Only Found In FEMA Trailers,” 2008, https://www.gasdetection.com/interscan-in-the-news/formaldehyde-found-fema-trailers/.","plainTextFormattedCitation":"Michael D Shaw, “Formaldehyde:  It’s Not Only Found In FEMA Trailers,” 2008, https://www.gasdetection.com/interscan-in-the-news/formaldehyde-found-fema-trailers/.","previouslyFormattedCitation":"Michael D Shaw, “Formaldehyde:  It’s Not Only Found In FEMA Trailers,” 2008, https://www.gasdetection.com/interscan-in-the-news/formaldehyde-found-fema-trailers/."},"properties":{"noteIndex":259},"schema":"https://github.com/citation-style-language/schema/raw/master/csl-citation.json"}</w:instrText>
      </w:r>
      <w:r>
        <w:fldChar w:fldCharType="separate"/>
      </w:r>
      <w:r w:rsidRPr="0063298F">
        <w:rPr>
          <w:noProof/>
        </w:rPr>
        <w:t>Michael D Shaw, “Formaldehyde:  It’s Not Only Found In FEMA Trailers,” 2008, https://www.gasdetection.com/interscan-in-the-news/formaldehyde-found-fema-trailers/.</w:t>
      </w:r>
      <w:r>
        <w:fldChar w:fldCharType="end"/>
      </w:r>
    </w:p>
  </w:footnote>
  <w:footnote w:id="261">
    <w:p w14:paraId="578101F9" w14:textId="3FC67583" w:rsidR="00AB27A5" w:rsidRDefault="00AB27A5" w:rsidP="00F71DB9">
      <w:pPr>
        <w:pStyle w:val="FootnoteText"/>
      </w:pPr>
      <w:r w:rsidRPr="00D05B51">
        <w:rPr>
          <w:rStyle w:val="FootnoteReference"/>
        </w:rPr>
        <w:footnoteRef/>
      </w:r>
      <w:r>
        <w:t xml:space="preserve"> </w:t>
      </w:r>
      <w:r>
        <w:fldChar w:fldCharType="begin" w:fldLock="1"/>
      </w:r>
      <w:r>
        <w:instrText>ADDIN CSL_CITATION {"citationItems":[{"id":"ITEM-1","itemData":{"ISBN":"9241530405","author":[{"dropping-particle":"","family":"Liteplo","given":"R G","non-dropping-particle":"","parse-names":false,"suffix":""},{"dropping-particle":"","family":"Beauchamp","given":"R","non-dropping-particle":"","parse-names":false,"suffix":""},{"dropping-particle":"","family":"Meek","given":"M E","non-dropping-particle":"","parse-names":false,"suffix":""},{"dropping-particle":"","family":"Canada","given":"Health","non-dropping-particle":"","parse-names":false,"suffix":""},{"dropping-particle":"","family":"Ottawa","given":"Canada","non-dropping-particle":"","parse-names":false,"suffix":""},{"dropping-particle":"","family":"Chénier","given":"R","non-dropping-particle":"","parse-names":false,"suffix":""},{"dropping-particle":"","family":"Canada","given":"Environment","non-dropping-particle":"","parse-names":false,"suffix":""}],"id":"ITEM-1","issued":{"date-parts":[["2002"]]},"title":"Concise International Chemical Assessment Document 40: Formaldehyde","type":"report"},"uris":["http://www.mendeley.com/documents/?uuid=ea443ab1-ebbe-3bbd-a95f-bcb80458e32d"]}],"mendeley":{"formattedCitation":"R G Liteplo et al., “Concise International Chemical Assessment Document 40: Formaldehyde,” 2002, http://www.who.int/ipcs/publications/cicad/en/cicad40.pdf.","plainTextFormattedCitation":"R G Liteplo et al., “Concise International Chemical Assessment Document 40: Formaldehyde,” 2002, http://www.who.int/ipcs/publications/cicad/en/cicad40.pdf.","previouslyFormattedCitation":"R G Liteplo et al., “Concise International Chemical Assessment Document 40: Formaldehyde,” 2002, http://www.who.int/ipcs/publications/cicad/en/cicad40.pdf."},"properties":{"noteIndex":260},"schema":"https://github.com/citation-style-language/schema/raw/master/csl-citation.json"}</w:instrText>
      </w:r>
      <w:r>
        <w:fldChar w:fldCharType="separate"/>
      </w:r>
      <w:r w:rsidRPr="00CA7005">
        <w:rPr>
          <w:noProof/>
        </w:rPr>
        <w:t>R G Liteplo et al., “Concise International Chemical Assessment Document 40: Formaldehyde,” 2002, http://www.who.int/ipcs/publications/cicad/en/cicad40.pdf.</w:t>
      </w:r>
      <w:r>
        <w:fldChar w:fldCharType="end"/>
      </w:r>
    </w:p>
  </w:footnote>
  <w:footnote w:id="262">
    <w:p w14:paraId="0BB79102" w14:textId="49657AA2" w:rsidR="00AB27A5" w:rsidRDefault="00AB27A5">
      <w:pPr>
        <w:pStyle w:val="FootnoteText"/>
      </w:pPr>
      <w:r w:rsidRPr="00D05B51">
        <w:rPr>
          <w:rStyle w:val="FootnoteReference"/>
        </w:rPr>
        <w:footnoteRef/>
      </w:r>
      <w:r>
        <w:t xml:space="preserve"> </w:t>
      </w:r>
      <w:r>
        <w:fldChar w:fldCharType="begin" w:fldLock="1"/>
      </w:r>
      <w:r>
        <w:instrText>ADDIN CSL_CITATION {"citationItems":[{"id":"ITEM-1","itemData":{"URL":"https://grist.org/politics/people-are-still-living-in-femas-toxic-katrina-trailers-and-they-likely-have-no-idea/","accessed":{"date-parts":[["2018","10","3"]]},"author":[{"dropping-particle":"","family":"Smith","given":"Heather","non-dropping-particle":"","parse-names":false,"suffix":""}],"container-title":"Grist","id":"ITEM-1","issued":{"date-parts":[["2015"]]},"title":"People are still living in FEMA’s toxic Katrina trailers — and they likely have no idea","type":"webpage"},"uris":["http://www.mendeley.com/documents/?uuid=7fa7b5bd-3c56-3fff-99a0-8849d169db2a"]}],"mendeley":{"formattedCitation":"Heather Smith, “People Are Still Living in FEMA’s Toxic Katrina Trailers — and They Likely Have No Idea,” Grist, 2015, https://grist.org/politics/people-are-still-living-in-femas-toxic-katrina-trailers-and-they-likely-have-no-idea/.","plainTextFormattedCitation":"Heather Smith, “People Are Still Living in FEMA’s Toxic Katrina Trailers — and They Likely Have No Idea,” Grist, 2015, https://grist.org/politics/people-are-still-living-in-femas-toxic-katrina-trailers-and-they-likely-have-no-idea/.","previouslyFormattedCitation":"Heather Smith, “People Are Still Living in FEMA’s Toxic Katrina Trailers — and They Likely Have No Idea,” Grist, 2015, https://grist.org/politics/people-are-still-living-in-femas-toxic-katrina-trailers-and-they-likely-have-no-idea/."},"properties":{"noteIndex":261},"schema":"https://github.com/citation-style-language/schema/raw/master/csl-citation.json"}</w:instrText>
      </w:r>
      <w:r>
        <w:fldChar w:fldCharType="separate"/>
      </w:r>
      <w:r w:rsidRPr="00454F65">
        <w:rPr>
          <w:noProof/>
        </w:rPr>
        <w:t>Heather Smith, “People Are Still Living in FEMA’s Toxic Katrina Trailers — and They Likely Have No Idea,” Grist, 2015, https://grist.org/politics/people-are-still-living-in-femas-toxic-katrina-trailers-and-they-likely-have-no-idea/.</w:t>
      </w:r>
      <w:r>
        <w:fldChar w:fldCharType="end"/>
      </w:r>
    </w:p>
  </w:footnote>
  <w:footnote w:id="263">
    <w:p w14:paraId="0B3582E1" w14:textId="5D5C2CCB" w:rsidR="00AB27A5" w:rsidRDefault="00AB27A5" w:rsidP="00F71DB9">
      <w:pPr>
        <w:pStyle w:val="FootnoteText"/>
      </w:pPr>
      <w:r w:rsidRPr="00D05B51">
        <w:rPr>
          <w:rStyle w:val="FootnoteReference"/>
        </w:rPr>
        <w:footnoteRef/>
      </w:r>
      <w:r>
        <w:t xml:space="preserve"> </w:t>
      </w:r>
      <w:r>
        <w:fldChar w:fldCharType="begin" w:fldLock="1"/>
      </w:r>
      <w:r>
        <w:instrText>ADDIN CSL_CITATION {"citationItems":[{"id":"ITEM-1","itemData":{"author":[{"dropping-particle":"","family":"Parthasarathy","given":"Srinandini","non-dropping-particle":"","parse-names":false,"suffix":""},{"dropping-particle":"","family":"Maddalena","given":"Randy L.","non-dropping-particle":"","parse-names":false,"suffix":""},{"dropping-particle":"","family":"Russell","given":"Marion L.","non-dropping-particle":"","parse-names":false,"suffix":""},{"dropping-particle":"","family":"Apte","given":"Michael G.","non-dropping-particle":"","parse-names":false,"suffix":""}],"id":"ITEM-1","issued":{"date-parts":[["2010"]]},"title":"Effect of Temperature and Humidity on Formaldehyde Emissions in Temporary Housing Units","type":"report"},"uris":["http://www.mendeley.com/documents/?uuid=385cb202-fe32-3460-b7e3-5d99abe2fc74"]}],"mendeley":{"formattedCitation":"Srinandini Parthasarathy et al., “Effect of Temperature and Humidity on Formaldehyde Emissions in Temporary Housing Units,” 2010, https://escholarship.org/uc/item/4q99c791.","plainTextFormattedCitation":"Srinandini Parthasarathy et al., “Effect of Temperature and Humidity on Formaldehyde Emissions in Temporary Housing Units,” 2010, https://escholarship.org/uc/item/4q99c791.","previouslyFormattedCitation":"Srinandini Parthasarathy et al., “Effect of Temperature and Humidity on Formaldehyde Emissions in Temporary Housing Units,” 2010, https://escholarship.org/uc/item/4q99c791."},"properties":{"noteIndex":262},"schema":"https://github.com/citation-style-language/schema/raw/master/csl-citation.json"}</w:instrText>
      </w:r>
      <w:r>
        <w:fldChar w:fldCharType="separate"/>
      </w:r>
      <w:r w:rsidRPr="00E60EE3">
        <w:rPr>
          <w:noProof/>
        </w:rPr>
        <w:t>Srinandini Parthasarathy et al., “Effect of Temperature and Humidity on Formaldehyde Emissions in Temporary Housing Units,” 2010, https://escholarship.org/uc/item/4q99c791.</w:t>
      </w:r>
      <w:r>
        <w:fldChar w:fldCharType="end"/>
      </w:r>
    </w:p>
  </w:footnote>
  <w:footnote w:id="264">
    <w:p w14:paraId="1EEAA7EA" w14:textId="5187D468" w:rsidR="00AB27A5" w:rsidRDefault="00AB27A5" w:rsidP="00F71DB9">
      <w:pPr>
        <w:pStyle w:val="FootnoteText"/>
      </w:pPr>
      <w:r w:rsidRPr="00D05B51">
        <w:rPr>
          <w:rStyle w:val="FootnoteReference"/>
        </w:rPr>
        <w:footnoteRef/>
      </w:r>
      <w:r>
        <w:t xml:space="preserve"> </w:t>
      </w:r>
      <w:r>
        <w:fldChar w:fldCharType="begin" w:fldLock="1"/>
      </w:r>
      <w:r>
        <w:instrText>ADDIN CSL_CITATION {"citationItems":[{"id":"ITEM-1","itemData":{"URL":"https://www.usclimatedata.com/climate/new-orleans/louisiana/united-states/usla0338","accessed":{"date-parts":[["2018","10","21"]]},"author":[{"dropping-particle":"","family":"US Climate Data","given":"","non-dropping-particle":"","parse-names":false,"suffix":""}],"container-title":"2018","id":"ITEM-1","issued":{"date-parts":[["0"]]},"title":"Climate New Orleans - Louisiana and Weather averages New Orleans 1961-1990 Normals","type":"webpage"},"uris":["http://www.mendeley.com/documents/?uuid=e45da64c-0ad0-33cc-a2bf-39be60d2db0c"]}],"mendeley":{"formattedCitation":"US Climate Data, “Climate New Orleans - Louisiana and Weather Averages New Orleans 1961-1990 Normals.”","plainTextFormattedCitation":"US Climate Data, “Climate New Orleans - Louisiana and Weather Averages New Orleans 1961-1990 Normals.”","previouslyFormattedCitation":"US Climate Data, “Climate New Orleans - Louisiana and Weather Averages New Orleans 1961-1990 Normals.”"},"properties":{"noteIndex":263},"schema":"https://github.com/citation-style-language/schema/raw/master/csl-citation.json"}</w:instrText>
      </w:r>
      <w:r>
        <w:fldChar w:fldCharType="separate"/>
      </w:r>
      <w:r w:rsidRPr="009C6969">
        <w:rPr>
          <w:noProof/>
        </w:rPr>
        <w:t>US Climate Data, “Climate New Orleans - Louisiana and Weather Averages New Orleans 1961-1990 Normals.”</w:t>
      </w:r>
      <w:r>
        <w:fldChar w:fldCharType="end"/>
      </w:r>
    </w:p>
  </w:footnote>
  <w:footnote w:id="265">
    <w:p w14:paraId="2B387C00" w14:textId="4EB3F7DE" w:rsidR="00AB27A5" w:rsidRDefault="00AB27A5" w:rsidP="00F71DB9">
      <w:pPr>
        <w:pStyle w:val="FootnoteText"/>
      </w:pPr>
      <w:r w:rsidRPr="00D05B51">
        <w:rPr>
          <w:rStyle w:val="FootnoteReference"/>
        </w:rPr>
        <w:footnoteRef/>
      </w:r>
      <w:r>
        <w:t xml:space="preserve"> </w:t>
      </w:r>
      <w:r>
        <w:fldChar w:fldCharType="begin" w:fldLock="1"/>
      </w:r>
      <w:r>
        <w:instrText>ADDIN CSL_CITATION {"citationItems":[{"id":"ITEM-1","itemData":{"URL":"https://www.currentresults.com/Weather/Louisiana/humidity-annual.php","accessed":{"date-parts":[["2018","10","21"]]},"author":[{"dropping-particle":"","family":"Current Results","given":"","non-dropping-particle":"","parse-names":false,"suffix":""}],"id":"ITEM-1","issued":{"date-parts":[["2018"]]},"title":"Average Humidity Levels for Louisiana 1961-1990 Normals","type":"webpage"},"uris":["http://www.mendeley.com/documents/?uuid=752ce947-457f-3bc4-9f10-c53b58850ddc"]}],"mendeley":{"formattedCitation":"Current Results, “Average Humidity Levels for Louisiana 1961-1990 Normals,” 2018, https://www.currentresults.com/Weather/Louisiana/humidity-annual.php.","plainTextFormattedCitation":"Current Results, “Average Humidity Levels for Louisiana 1961-1990 Normals,” 2018, https://www.currentresults.com/Weather/Louisiana/humidity-annual.php.","previouslyFormattedCitation":"Current Results, “Average Humidity Levels for Louisiana 1961-1990 Normals,” 2018, https://www.currentresults.com/Weather/Louisiana/humidity-annual.php."},"properties":{"noteIndex":264},"schema":"https://github.com/citation-style-language/schema/raw/master/csl-citation.json"}</w:instrText>
      </w:r>
      <w:r>
        <w:fldChar w:fldCharType="separate"/>
      </w:r>
      <w:r w:rsidRPr="001B65D1">
        <w:rPr>
          <w:noProof/>
        </w:rPr>
        <w:t>Current Results, “Average Humidity Levels for Louisiana 1961-1990 Normals,” 2018, https://www.currentresults.com/Weather/Louisiana/humidity-annual.php.</w:t>
      </w:r>
      <w:r>
        <w:fldChar w:fldCharType="end"/>
      </w:r>
    </w:p>
  </w:footnote>
  <w:footnote w:id="266">
    <w:p w14:paraId="30F9C41F" w14:textId="5FD77566" w:rsidR="00AB27A5" w:rsidRDefault="00AB27A5" w:rsidP="00F71DB9">
      <w:pPr>
        <w:pStyle w:val="FootnoteText"/>
      </w:pPr>
      <w:r w:rsidRPr="00D05B51">
        <w:rPr>
          <w:rStyle w:val="FootnoteReference"/>
        </w:rPr>
        <w:footnoteRef/>
      </w:r>
      <w:r>
        <w:t xml:space="preserve"> </w:t>
      </w:r>
      <w:r>
        <w:fldChar w:fldCharType="begin" w:fldLock="1"/>
      </w:r>
      <w:r>
        <w:instrText>ADDIN CSL_CITATION {"citationItems":[{"id":"ITEM-1","itemData":{"author":[{"dropping-particle":"","family":"Centers for Disease Control","given":"","non-dropping-particle":"","parse-names":false,"suffix":""}],"id":"ITEM-1","issued":{"date-parts":[["2008"]]},"title":"Formaldehyde Levels in FEMA-Supplied Trailers Preliminary Findings from the Centers for Disease Control and Prevention","type":"report"},"uris":["http://www.mendeley.com/documents/?uuid=426f9c41-fbce-3093-ae44-bee4c2589d20"]}],"mendeley":{"formattedCitation":"Centers for Disease Control, “Formaldehyde Levels in FEMA-Supplied Trailers Preliminary Findings from the Centers for Disease Control and Prevention,” 2008, https://web.archive.org/web/20080611220238/http://www.cdc.gov/nceh/ehhe/trailerstudy/pdfs/SummaryofStudyFindings.pdf.","plainTextFormattedCitation":"Centers for Disease Control, “Formaldehyde Levels in FEMA-Supplied Trailers Preliminary Findings from the Centers for Disease Control and Prevention,” 2008, https://web.archive.org/web/20080611220238/http://www.cdc.gov/nceh/ehhe/trailerstudy/pdfs/SummaryofStudyFindings.pdf.","previouslyFormattedCitation":"Centers for Disease Control, “Formaldehyde Levels in FEMA-Supplied Trailers Preliminary Findings from the Centers for Disease Control and Prevention,” 2008, https://web.archive.org/web/20080611220238/http://www.cdc.gov/nceh/ehhe/trailerstudy/pdfs/SummaryofStudyFindings.pdf."},"properties":{"noteIndex":265},"schema":"https://github.com/citation-style-language/schema/raw/master/csl-citation.json"}</w:instrText>
      </w:r>
      <w:r>
        <w:fldChar w:fldCharType="separate"/>
      </w:r>
      <w:r w:rsidRPr="00E73D3A">
        <w:rPr>
          <w:noProof/>
        </w:rPr>
        <w:t>Centers for Disease Control, “Formaldehyde Levels in FEMA-Supplied Trailers Preliminary Findings from the Centers for Disease Control and Prevention,” 2008, https://web.archive.org/web/20080611220238/http://www.cdc.gov/nceh/ehhe/trailerstudy/pdfs/SummaryofStudyFindings.pdf.</w:t>
      </w:r>
      <w:r>
        <w:fldChar w:fldCharType="end"/>
      </w:r>
    </w:p>
  </w:footnote>
  <w:footnote w:id="267">
    <w:p w14:paraId="65168C60" w14:textId="0F0513C3" w:rsidR="00AB27A5" w:rsidRDefault="00AB27A5" w:rsidP="005A1DFF">
      <w:pPr>
        <w:pStyle w:val="FootnoteText"/>
      </w:pPr>
      <w:r w:rsidRPr="00D05B51">
        <w:rPr>
          <w:rStyle w:val="FootnoteReference"/>
        </w:rPr>
        <w:footnoteRef/>
      </w:r>
      <w:r>
        <w:t xml:space="preserve"> </w:t>
      </w:r>
      <w:r>
        <w:fldChar w:fldCharType="begin" w:fldLock="1"/>
      </w:r>
      <w:r>
        <w:instrText>ADDIN CSL_CITATION {"citationItems":[{"id":"ITEM-1","itemData":{"DOI":"10.1016/j.proeng.2015.08.1054","abstract":"Relief housings are used to quickly provide disaster victims with a temporary living place whenever there is a natural disaster. However, few previous studies on the influences of the deterioration in living environments on the health of the disaster victims in relief housings might be identified. Therefore, a study on the influence of the deteriorations in living environments on the health of disaster victims following a severe natural disaster has been carried out and the study results are reported in this paper. Field tests on the thermal environment inside relief housings and questionnaire survey on the health of disaster victims in relief housings in Wenchuan earthquake disaster settlement area were performed. The study found that the thermal environment in relief housings was very poor in summer days, and that the deteriorations in the living environment had significantly negative impacts on the disaster victims’ mental state, sleep duration, appetite, and body weight. It also found that frequency of sickness, especially cold and heatstroke increased after moving into the relief housings. In addition, the number of doctor visitings by disaster victims in tents and in prefabricated houses increased by 55.4% and 44.4%, respectively. The study results revealed that it is of great urgency to improve the living environments in relief housings following a natural disaster for the better health of disaster victims.","author":[{"dropping-particle":"","family":"Wang","given":"Yan","non-dropping-particle":"","parse-names":false,"suffix":""},{"dropping-particle":"","family":"Deng","given":"Shiming","non-dropping-particle":"","parse-names":false,"suffix":""},{"dropping-particle":"","family":"Wang","given":"Lei","non-dropping-particle":"","parse-names":false,"suffix":""},{"dropping-particle":"","family":"Xiang","given":"Mingming","non-dropping-particle":"","parse-names":false,"suffix":""},{"dropping-particle":"","family":"Long","given":"Enshen","non-dropping-particle":"","parse-names":false,"suffix":""}],"container-title":"Procedia Engineering","id":"ITEM-1","issued":{"date-parts":[["2015"]]},"page":"203-211","publisher":"Elsevier Ltd","title":"The Influence of the Deteriorations in Living Environments on the Health of Disaster Victims Following a Natural Disaster","type":"article-journal","volume":"121"},"locator":"209","uris":["http://www.mendeley.com/documents/?uuid=36a8b332-5911-34f7-b7e7-72754aeecf9d"]}],"mendeley":{"formattedCitation":"Wang et al., “The Influence of the Deteriorations in Living Environments on the Health of Disaster Victims Following a Natural Disaster,” 209.","plainTextFormattedCitation":"Wang et al., “The Influence of the Deteriorations in Living Environments on the Health of Disaster Victims Following a Natural Disaster,” 209.","previouslyFormattedCitation":"Wang et al., “The Influence of the Deteriorations in Living Environments on the Health of Disaster Victims Following a Natural Disaster,” 209."},"properties":{"noteIndex":266},"schema":"https://github.com/citation-style-language/schema/raw/master/csl-citation.json"}</w:instrText>
      </w:r>
      <w:r>
        <w:fldChar w:fldCharType="separate"/>
      </w:r>
      <w:r w:rsidRPr="000A1EEB">
        <w:rPr>
          <w:noProof/>
        </w:rPr>
        <w:t>Wang et al., “The Influence of the Deteriorations in Living Environments on the Health of Disaster Victims Following a Natural Disaster,” 209.</w:t>
      </w:r>
      <w:r>
        <w:fldChar w:fldCharType="end"/>
      </w:r>
    </w:p>
  </w:footnote>
  <w:footnote w:id="268">
    <w:p w14:paraId="09908D6B" w14:textId="0095ACE6" w:rsidR="00AB27A5" w:rsidRDefault="00AB27A5" w:rsidP="00BD1BEF">
      <w:pPr>
        <w:pStyle w:val="FootnoteText"/>
      </w:pPr>
      <w:r>
        <w:rPr>
          <w:rStyle w:val="FootnoteReference"/>
        </w:rPr>
        <w:footnoteRef/>
      </w:r>
      <w:r>
        <w:t xml:space="preserve"> </w:t>
      </w:r>
      <w:r>
        <w:fldChar w:fldCharType="begin" w:fldLock="1"/>
      </w:r>
      <w:r>
        <w:instrText>ADDIN CSL_CITATION {"citationItems":[{"id":"ITEM-1","itemData":{"abstract":"The process of home-making changes over a lifetime. For many, including newly resettled homeless people, the home-making process is difficult, challenging, and sometimes unsuccessful. This paper draws on research concerning the experiences of homeless individuals and families in New York and studies of single homeless adults in London and Dublin. It argues that there are supports and barriers to the home process, which include social, physical, environmental, financial, and practical factors. Central conclusions are that home does not arrive with a roof over a person’s head, but rather that home-making is a complex social psychological process. Developing supports to home-making may offer tangible ways to enable this process to flourish.","author":[{"dropping-particle":"","family":"Rivlin","given":"Leanne G","non-dropping-particle":"","parse-names":false,"suffix":""},{"dropping-particle":"","family":"Moore","given":"Jeanne","non-dropping-particle":"","parse-names":false,"suffix":""}],"container-title":"Journal of Social Distress and the Homeless","id":"ITEM-1","issue":"4","issued":{"date-parts":[["2001"]]},"page":"323-336","publisher":"Human Sciences Press, Inc.","title":"Home-Making: Supports and Barriers to the Process of Home","type":"article-journal","volume":"10"},"locator":"334","uris":["http://www.mendeley.com/documents/?uuid=5e37f359-bc00-4e9e-8c42-aeba91334bdb"]}],"mendeley":{"formattedCitation":"Rivlin and Moore, “Home-Making: Supports and Barriers to the Process of Home,” 334.","plainTextFormattedCitation":"Rivlin and Moore, “Home-Making: Supports and Barriers to the Process of Home,” 334.","previouslyFormattedCitation":"Rivlin and Moore, “Home-Making: Supports and Barriers to the Process of Home,” 334."},"properties":{"noteIndex":267},"schema":"https://github.com/citation-style-language/schema/raw/master/csl-citation.json"}</w:instrText>
      </w:r>
      <w:r>
        <w:fldChar w:fldCharType="separate"/>
      </w:r>
      <w:r>
        <w:rPr>
          <w:noProof/>
        </w:rPr>
        <w:t>Rivlin and Moore, “Home-Making: Supports and Barriers to the Process of Home,” 334.</w:t>
      </w:r>
      <w:r>
        <w:fldChar w:fldCharType="end"/>
      </w:r>
    </w:p>
  </w:footnote>
  <w:footnote w:id="269">
    <w:p w14:paraId="16AB96B8" w14:textId="77777777" w:rsidR="00AB27A5" w:rsidRDefault="00AB27A5" w:rsidP="001E4241">
      <w:pPr>
        <w:pStyle w:val="FootnoteText"/>
      </w:pPr>
      <w:r w:rsidRPr="00D05B51">
        <w:rPr>
          <w:rStyle w:val="FootnoteReference"/>
        </w:rPr>
        <w:footnoteRef/>
      </w:r>
      <w:r>
        <w:t xml:space="preserve"> Amount </w:t>
      </w:r>
      <w:proofErr w:type="gramStart"/>
      <w:r>
        <w:t>is rounded</w:t>
      </w:r>
      <w:proofErr w:type="gramEnd"/>
      <w:r>
        <w:t xml:space="preserve"> to the nearest dollar.</w:t>
      </w:r>
    </w:p>
  </w:footnote>
  <w:footnote w:id="270">
    <w:p w14:paraId="4FC1BFD3" w14:textId="77777777" w:rsidR="00AB27A5" w:rsidRDefault="00AB27A5" w:rsidP="001E4241">
      <w:pPr>
        <w:pStyle w:val="FootnoteText"/>
      </w:pPr>
      <w:r w:rsidRPr="00D05B51">
        <w:rPr>
          <w:rStyle w:val="FootnoteReference"/>
        </w:rPr>
        <w:footnoteRef/>
      </w:r>
      <w:r>
        <w:t xml:space="preserve"> Amount </w:t>
      </w:r>
      <w:proofErr w:type="gramStart"/>
      <w:r>
        <w:t>is rounded</w:t>
      </w:r>
      <w:proofErr w:type="gramEnd"/>
      <w:r>
        <w:t xml:space="preserve"> to the nearest dollar.</w:t>
      </w:r>
    </w:p>
  </w:footnote>
  <w:footnote w:id="271">
    <w:p w14:paraId="0F2FFD05" w14:textId="3C087694" w:rsidR="00AB27A5" w:rsidRDefault="00AB27A5" w:rsidP="007A30BB">
      <w:pPr>
        <w:pStyle w:val="FootnoteText"/>
      </w:pPr>
      <w:r w:rsidRPr="00D05B51">
        <w:rPr>
          <w:rStyle w:val="FootnoteReference"/>
        </w:rPr>
        <w:footnoteRef/>
      </w:r>
      <w:r>
        <w:t xml:space="preserve"> </w:t>
      </w:r>
      <w:r>
        <w:fldChar w:fldCharType="begin" w:fldLock="1"/>
      </w:r>
      <w:r>
        <w:instrText>ADDIN CSL_CITATION {"citationItems":[{"id":"ITEM-1","itemData":{"URL":"https://www.bloomberg.com/news/features/2017-08-31/a-hard-rain-and-a-hard-lesson-for-houston","accessed":{"date-parts":[["2018","11","8"]]},"author":[{"dropping-particle":"","family":"Coy","given":"Peter","non-dropping-particle":"","parse-names":false,"suffix":""},{"dropping-particle":"","family":"Flavelle","given":"Christopher","non-dropping-particle":"","parse-names":false,"suffix":""}],"id":"ITEM-1","issued":{"date-parts":[["2017"]]},"publisher":"Bloomberg Businessweek","title":"Harvey Wasn’t Just Bad Weather. It Was Bad City Planning","type":"webpage"},"uris":["http://www.mendeley.com/documents/?uuid=feb329a7-147e-37a8-b8ac-205ee561628f"]}],"mendeley":{"formattedCitation":"Peter Coy and Christopher Flavelle, “Harvey Wasn’t Just Bad Weather. It Was Bad City Planning” (Bloomberg Businessweek, 2017), https://www.bloomberg.com/news/features/2017-08-31/a-hard-rain-and-a-hard-lesson-for-houston.","plainTextFormattedCitation":"Peter Coy and Christopher Flavelle, “Harvey Wasn’t Just Bad Weather. It Was Bad City Planning” (Bloomberg Businessweek, 2017), https://www.bloomberg.com/news/features/2017-08-31/a-hard-rain-and-a-hard-lesson-for-houston.","previouslyFormattedCitation":"Peter Coy and Christopher Flavelle, “Harvey Wasn’t Just Bad Weather. It Was Bad City Planning” (Bloomberg Businessweek, 2017), https://www.bloomberg.com/news/features/2017-08-31/a-hard-rain-and-a-hard-lesson-for-houston."},"properties":{"noteIndex":270},"schema":"https://github.com/citation-style-language/schema/raw/master/csl-citation.json"}</w:instrText>
      </w:r>
      <w:r>
        <w:fldChar w:fldCharType="separate"/>
      </w:r>
      <w:r w:rsidRPr="00EB382C">
        <w:rPr>
          <w:noProof/>
        </w:rPr>
        <w:t>Peter Coy and Christopher Flavelle, “Harvey Wasn’t Just Bad Weather. It Was Bad City Planning” (Bloomberg Businessweek, 2017), https://www.bloomberg.com/news/features/2017-08-31/a-hard-rain-and-a-hard-lesson-for-houston.</w:t>
      </w:r>
      <w:r>
        <w:fldChar w:fldCharType="end"/>
      </w:r>
    </w:p>
  </w:footnote>
  <w:footnote w:id="272">
    <w:p w14:paraId="3F0A70E6" w14:textId="45F59454" w:rsidR="00AB27A5" w:rsidRDefault="00AB27A5" w:rsidP="007A30BB">
      <w:pPr>
        <w:pStyle w:val="FootnoteText"/>
      </w:pPr>
      <w:r w:rsidRPr="00D05B51">
        <w:rPr>
          <w:rStyle w:val="FootnoteReference"/>
        </w:rPr>
        <w:footnoteRef/>
      </w:r>
      <w:r>
        <w:t xml:space="preserve"> </w:t>
      </w:r>
      <w:r>
        <w:fldChar w:fldCharType="begin" w:fldLock="1"/>
      </w:r>
      <w:r>
        <w:instrText>ADDIN CSL_CITATION {"citationItems":[{"id":"ITEM-1","itemData":{"author":[{"dropping-particle":"","family":"Geophysical Fluid Dynamics Laboratory","given":"","non-dropping-particle":"","parse-names":false,"suffix":""}],"id":"ITEM-1","issued":{"date-parts":[["2018"]]},"title":"Global Warming and Hurricanes: An Overview of Current Research Results","type":"report"},"uris":["http://www.mendeley.com/documents/?uuid=f61f1b3b-7913-41ff-b10b-4f715e9eb5e7"]}],"mendeley":{"formattedCitation":"Geophysical Fluid Dynamics Laboratory, “Global Warming and Hurricanes: An Overview of Current Research Results,” 2018.","plainTextFormattedCitation":"Geophysical Fluid Dynamics Laboratory, “Global Warming and Hurricanes: An Overview of Current Research Results,” 2018.","previouslyFormattedCitation":"Geophysical Fluid Dynamics Laboratory, “Global Warming and Hurricanes: An Overview of Current Research Results,” 2018."},"properties":{"noteIndex":271},"schema":"https://github.com/citation-style-language/schema/raw/master/csl-citation.json"}</w:instrText>
      </w:r>
      <w:r>
        <w:fldChar w:fldCharType="separate"/>
      </w:r>
      <w:r w:rsidRPr="00B4735C">
        <w:rPr>
          <w:noProof/>
        </w:rPr>
        <w:t>Geophysical Fluid Dynamics Laboratory, “Global Warming and Hurricanes: An Overview of Current Research Results,” 2018.</w:t>
      </w:r>
      <w:r>
        <w:fldChar w:fldCharType="end"/>
      </w:r>
    </w:p>
  </w:footnote>
  <w:footnote w:id="273">
    <w:p w14:paraId="27B9EFC7" w14:textId="77777777" w:rsidR="00AB27A5" w:rsidRDefault="00AB27A5" w:rsidP="00B13208">
      <w:pPr>
        <w:pStyle w:val="FootnoteText"/>
      </w:pPr>
      <w:r>
        <w:rPr>
          <w:rStyle w:val="FootnoteReference"/>
        </w:rPr>
        <w:footnoteRef/>
      </w:r>
      <w:r>
        <w:t xml:space="preserve"> A policy window is an opportunity following an event that provides the most potential for policy change.</w:t>
      </w:r>
    </w:p>
  </w:footnote>
  <w:footnote w:id="274">
    <w:p w14:paraId="5B505682" w14:textId="3EE0AA73"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{"citationItems":[{"id":"ITEM-1","itemData":{"author":[{"dropping-particle":"","family":"Government of Puerto Rico","given":"","non-dropping-particle":"","parse-names":false,"suffix":""}],"id":"ITEM-1","issued":{"date-parts":[["2018"]]},"title":"Puerto Rico Disaster Recovery Action Plan for the Use of CDBG-DR Funds in Response to 2017 Hurricanes Irma and Maria","type":"report"},"locator":"12","uris":["http://www.mendeley.com/documents/?uuid=bb3a4e62-dede-388f-927f-266b842d137e"]}],"mendeley":{"formattedCitation":"Government of Puerto Rico, “Puerto Rico Disaster Recovery Action Plan for the Use of CDBG-DR Funds in Response to 2017 Hurricanes Irma and Maria,” 2018, 12, https://www.cleanegroup.org/wp-content/uploads/PR-Disaster-Recovery-Action-Plan.pdf.","plainTextFormattedCitation":"Government of Puerto Rico, “Puerto Rico Disaster Recovery Action Plan for the Use of CDBG-DR Funds in Response to 2017 Hurricanes Irma and Maria,” 2018, 12, https://www.cleanegroup.org/wp-content/uploads/PR-Disaster-Recovery-Action-Plan.pdf.","previouslyFormattedCitation":"Government of Puerto Rico, “Puerto Rico Disaster Recovery Action Plan for the Use of CDBG-DR Funds in Response to 2017 Hurricanes Irma and Maria,” 2018, 12, https://www.cleanegroup.org/wp-content/uploads/PR-Disaster-Recovery-Action-Plan.pdf."},"properties":{"noteIndex":273},"schema":"https://github.com/citation-style-language/schema/raw/master/csl-citation.json"}</w:instrText>
      </w:r>
      <w:r>
        <w:fldChar w:fldCharType="separate"/>
      </w:r>
      <w:r w:rsidRPr="00EE2EEA">
        <w:rPr>
          <w:noProof/>
        </w:rPr>
        <w:t>Government of Puerto Rico, “Puerto Rico Disaster Recovery Action Plan for the Use of CDBG-DR Funds in Response to 2017 Hurricanes Irma and Maria,” 2018, 12, https://www.cleanegroup.org/wp-content/uploads/PR-Disaster-Recovery-Action-Plan.pdf.</w:t>
      </w:r>
      <w:r>
        <w:fldChar w:fldCharType="end"/>
      </w:r>
    </w:p>
  </w:footnote>
  <w:footnote w:id="275">
    <w:p w14:paraId="58602D14" w14:textId="183DCB4A" w:rsidR="00AB27A5" w:rsidRDefault="00AB27A5">
      <w:pPr>
        <w:pStyle w:val="FootnoteText"/>
      </w:pPr>
      <w:r>
        <w:rPr>
          <w:rStyle w:val="FootnoteReference"/>
        </w:rPr>
        <w:footnoteRef/>
      </w:r>
      <w:r>
        <w:t xml:space="preserve"> </w:t>
      </w:r>
      <w:r>
        <w:fldChar w:fldCharType="begin" w:fldLock="1"/>
      </w:r>
      <w:r>
        <w:instrText>ADDIN CSL_CITATION {"citationItems":[{"id":"ITEM-1","itemData":{"author":[{"dropping-particle":"","family":"Government of Puerto Rico","given":"","non-dropping-particle":"","parse-names":false,"suffix":""}],"id":"ITEM-1","issued":{"date-parts":[["2018"]]},"title":"Puerto Rico Disaster Recovery Action Plan for the Use of CDBG-DR Funds in Response to 2017 Hurricanes Irma and Maria","type":"report"},"locator":"14","uris":["http://www.mendeley.com/documents/?uuid=bb3a4e62-dede-388f-927f-266b842d137e"]}],"mendeley":{"formattedCitation":"Government of Puerto Rico, 14.","plainTextFormattedCitation":"Government of Puerto Rico, 14.","previouslyFormattedCitation":"Government of Puerto Rico, 14."},"properties":{"noteIndex":274},"schema":"https://github.com/citation-style-language/schema/raw/master/csl-citation.json"}</w:instrText>
      </w:r>
      <w:r>
        <w:fldChar w:fldCharType="separate"/>
      </w:r>
      <w:r w:rsidRPr="00EE2EEA">
        <w:rPr>
          <w:noProof/>
        </w:rPr>
        <w:t>Government of Puerto Rico, 14.</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980624"/>
      <w:docPartObj>
        <w:docPartGallery w:val="Page Numbers (Top of Page)"/>
        <w:docPartUnique/>
      </w:docPartObj>
    </w:sdtPr>
    <w:sdtEndPr>
      <w:rPr>
        <w:rStyle w:val="FootieChar"/>
      </w:rPr>
    </w:sdtEndPr>
    <w:sdtContent>
      <w:p w14:paraId="6D988507" w14:textId="63EC7D83" w:rsidR="00AB27A5" w:rsidRDefault="00AB27A5" w:rsidP="000E644E">
        <w:pPr>
          <w:pStyle w:val="Footie"/>
          <w:jc w:val="right"/>
        </w:pPr>
        <w:r>
          <w:fldChar w:fldCharType="begin"/>
        </w:r>
        <w:r>
          <w:instrText xml:space="preserve"> PAGE   \* MERGEFORMAT </w:instrText>
        </w:r>
        <w:r>
          <w:fldChar w:fldCharType="separate"/>
        </w:r>
        <w:r>
          <w:rPr>
            <w:noProof/>
          </w:rPr>
          <w:t>2</w:t>
        </w:r>
        <w:r>
          <w:rPr>
            <w:noProof/>
          </w:rPr>
          <w:fldChar w:fldCharType="end"/>
        </w:r>
      </w:p>
    </w:sdtContent>
  </w:sdt>
  <w:p w14:paraId="380B55D7" w14:textId="77777777" w:rsidR="00AB27A5" w:rsidRDefault="00AB27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629ED" w14:textId="7212AD94" w:rsidR="00AB27A5" w:rsidRPr="00C863E0" w:rsidRDefault="009337C2">
    <w:pPr>
      <w:pStyle w:val="Header"/>
      <w:jc w:val="right"/>
      <w:rPr>
        <w:rFonts w:ascii="Bookman Old Style" w:hAnsi="Bookman Old Style"/>
        <w:b/>
      </w:rPr>
    </w:pPr>
    <w:sdt>
      <w:sdtPr>
        <w:rPr>
          <w:rFonts w:ascii="Bookman Old Style" w:hAnsi="Bookman Old Style"/>
        </w:rPr>
        <w:id w:val="1623569534"/>
        <w:docPartObj>
          <w:docPartGallery w:val="Page Numbers (Top of Page)"/>
          <w:docPartUnique/>
        </w:docPartObj>
      </w:sdtPr>
      <w:sdtEndPr>
        <w:rPr>
          <w:b/>
          <w:noProof/>
        </w:rPr>
      </w:sdtEndPr>
      <w:sdtContent>
        <w:r w:rsidR="00AB27A5" w:rsidRPr="00C863E0">
          <w:rPr>
            <w:rFonts w:ascii="Bookman Old Style" w:hAnsi="Bookman Old Style"/>
            <w:b/>
          </w:rPr>
          <w:fldChar w:fldCharType="begin"/>
        </w:r>
        <w:r w:rsidR="00AB27A5" w:rsidRPr="00C863E0">
          <w:rPr>
            <w:rFonts w:ascii="Bookman Old Style" w:hAnsi="Bookman Old Style"/>
            <w:b/>
          </w:rPr>
          <w:instrText xml:space="preserve"> PAGE   \* MERGEFORMAT </w:instrText>
        </w:r>
        <w:r w:rsidR="00AB27A5" w:rsidRPr="00C863E0">
          <w:rPr>
            <w:rFonts w:ascii="Bookman Old Style" w:hAnsi="Bookman Old Style"/>
            <w:b/>
          </w:rPr>
          <w:fldChar w:fldCharType="separate"/>
        </w:r>
        <w:r w:rsidR="00AB27A5">
          <w:rPr>
            <w:rFonts w:ascii="Bookman Old Style" w:hAnsi="Bookman Old Style"/>
            <w:b/>
            <w:noProof/>
          </w:rPr>
          <w:t>31</w:t>
        </w:r>
        <w:r w:rsidR="00AB27A5" w:rsidRPr="00C863E0">
          <w:rPr>
            <w:rFonts w:ascii="Bookman Old Style" w:hAnsi="Bookman Old Style"/>
            <w:b/>
            <w:noProof/>
          </w:rPr>
          <w:fldChar w:fldCharType="end"/>
        </w:r>
      </w:sdtContent>
    </w:sdt>
  </w:p>
  <w:p w14:paraId="42D35D3D" w14:textId="77777777" w:rsidR="00AB27A5" w:rsidRDefault="00AB2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44371"/>
    <w:multiLevelType w:val="hybridMultilevel"/>
    <w:tmpl w:val="F6FA552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A9547A"/>
    <w:multiLevelType w:val="hybridMultilevel"/>
    <w:tmpl w:val="16C264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EA7603"/>
    <w:multiLevelType w:val="hybridMultilevel"/>
    <w:tmpl w:val="3E84E2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651F59"/>
    <w:multiLevelType w:val="hybridMultilevel"/>
    <w:tmpl w:val="A740EE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F20E7E"/>
    <w:multiLevelType w:val="hybridMultilevel"/>
    <w:tmpl w:val="4C3ADC6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22521B"/>
    <w:multiLevelType w:val="hybridMultilevel"/>
    <w:tmpl w:val="4572B2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2F331A"/>
    <w:multiLevelType w:val="hybridMultilevel"/>
    <w:tmpl w:val="FD52BCA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41D6860"/>
    <w:multiLevelType w:val="hybridMultilevel"/>
    <w:tmpl w:val="DC621C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F2B0446"/>
    <w:multiLevelType w:val="hybridMultilevel"/>
    <w:tmpl w:val="51466D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F6C64B9"/>
    <w:multiLevelType w:val="hybridMultilevel"/>
    <w:tmpl w:val="AB0098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0D41934"/>
    <w:multiLevelType w:val="hybridMultilevel"/>
    <w:tmpl w:val="2D7E8FF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3B22C3D"/>
    <w:multiLevelType w:val="hybridMultilevel"/>
    <w:tmpl w:val="9238FF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2F81A62"/>
    <w:multiLevelType w:val="hybridMultilevel"/>
    <w:tmpl w:val="EF52D5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9A1850"/>
    <w:multiLevelType w:val="hybridMultilevel"/>
    <w:tmpl w:val="CFAC98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6DA4FD9"/>
    <w:multiLevelType w:val="hybridMultilevel"/>
    <w:tmpl w:val="0BDE83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7501980"/>
    <w:multiLevelType w:val="hybridMultilevel"/>
    <w:tmpl w:val="D570AE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9131943"/>
    <w:multiLevelType w:val="hybridMultilevel"/>
    <w:tmpl w:val="8A2E7F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6"/>
  </w:num>
  <w:num w:numId="3">
    <w:abstractNumId w:val="4"/>
  </w:num>
  <w:num w:numId="4">
    <w:abstractNumId w:val="0"/>
  </w:num>
  <w:num w:numId="5">
    <w:abstractNumId w:val="10"/>
  </w:num>
  <w:num w:numId="6">
    <w:abstractNumId w:val="8"/>
  </w:num>
  <w:num w:numId="7">
    <w:abstractNumId w:val="14"/>
  </w:num>
  <w:num w:numId="8">
    <w:abstractNumId w:val="9"/>
  </w:num>
  <w:num w:numId="9">
    <w:abstractNumId w:val="15"/>
  </w:num>
  <w:num w:numId="10">
    <w:abstractNumId w:val="3"/>
  </w:num>
  <w:num w:numId="11">
    <w:abstractNumId w:val="13"/>
  </w:num>
  <w:num w:numId="12">
    <w:abstractNumId w:val="16"/>
  </w:num>
  <w:num w:numId="13">
    <w:abstractNumId w:val="5"/>
  </w:num>
  <w:num w:numId="14">
    <w:abstractNumId w:val="11"/>
  </w:num>
  <w:num w:numId="15">
    <w:abstractNumId w:val="1"/>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YwMjAxtTA1NTc1M7BU0lEKTi0uzszPAykwMa0FAEqu7EctAAAA"/>
  </w:docVars>
  <w:rsids>
    <w:rsidRoot w:val="0BFD9621"/>
    <w:rsid w:val="0000002F"/>
    <w:rsid w:val="000008CB"/>
    <w:rsid w:val="00000FF8"/>
    <w:rsid w:val="00001838"/>
    <w:rsid w:val="00001A3F"/>
    <w:rsid w:val="00001C41"/>
    <w:rsid w:val="00001E84"/>
    <w:rsid w:val="00002792"/>
    <w:rsid w:val="00002A33"/>
    <w:rsid w:val="00002DEA"/>
    <w:rsid w:val="000033BA"/>
    <w:rsid w:val="00003613"/>
    <w:rsid w:val="00003CC6"/>
    <w:rsid w:val="00004811"/>
    <w:rsid w:val="00004B33"/>
    <w:rsid w:val="00004E33"/>
    <w:rsid w:val="00004E36"/>
    <w:rsid w:val="000051D7"/>
    <w:rsid w:val="00005E51"/>
    <w:rsid w:val="000062F1"/>
    <w:rsid w:val="00006497"/>
    <w:rsid w:val="00006C74"/>
    <w:rsid w:val="00007075"/>
    <w:rsid w:val="000070BB"/>
    <w:rsid w:val="00007B96"/>
    <w:rsid w:val="00007D6A"/>
    <w:rsid w:val="0001020B"/>
    <w:rsid w:val="00010FB1"/>
    <w:rsid w:val="00011079"/>
    <w:rsid w:val="000118B3"/>
    <w:rsid w:val="0001195E"/>
    <w:rsid w:val="00011CA1"/>
    <w:rsid w:val="00011FEC"/>
    <w:rsid w:val="00012070"/>
    <w:rsid w:val="000123D9"/>
    <w:rsid w:val="00012892"/>
    <w:rsid w:val="00012C34"/>
    <w:rsid w:val="00012C6A"/>
    <w:rsid w:val="00012F25"/>
    <w:rsid w:val="00013199"/>
    <w:rsid w:val="0001331B"/>
    <w:rsid w:val="000133FC"/>
    <w:rsid w:val="00013973"/>
    <w:rsid w:val="00013E76"/>
    <w:rsid w:val="00013FFF"/>
    <w:rsid w:val="000140C3"/>
    <w:rsid w:val="00014C18"/>
    <w:rsid w:val="00014EFA"/>
    <w:rsid w:val="00014FAC"/>
    <w:rsid w:val="00014FE7"/>
    <w:rsid w:val="00015530"/>
    <w:rsid w:val="00015DBE"/>
    <w:rsid w:val="00015EEA"/>
    <w:rsid w:val="0001632A"/>
    <w:rsid w:val="00016383"/>
    <w:rsid w:val="00016944"/>
    <w:rsid w:val="00016DDA"/>
    <w:rsid w:val="0001715F"/>
    <w:rsid w:val="000173C0"/>
    <w:rsid w:val="0001753F"/>
    <w:rsid w:val="00017709"/>
    <w:rsid w:val="0001796B"/>
    <w:rsid w:val="00017BC5"/>
    <w:rsid w:val="00017CCA"/>
    <w:rsid w:val="00020007"/>
    <w:rsid w:val="000200FC"/>
    <w:rsid w:val="00020317"/>
    <w:rsid w:val="00020821"/>
    <w:rsid w:val="00020839"/>
    <w:rsid w:val="00020F6C"/>
    <w:rsid w:val="00021292"/>
    <w:rsid w:val="00021662"/>
    <w:rsid w:val="00021A74"/>
    <w:rsid w:val="00021FEE"/>
    <w:rsid w:val="000221E7"/>
    <w:rsid w:val="00022456"/>
    <w:rsid w:val="00022904"/>
    <w:rsid w:val="00022E56"/>
    <w:rsid w:val="00022EF5"/>
    <w:rsid w:val="00023590"/>
    <w:rsid w:val="00023774"/>
    <w:rsid w:val="00024017"/>
    <w:rsid w:val="000243DA"/>
    <w:rsid w:val="00024D6A"/>
    <w:rsid w:val="00025201"/>
    <w:rsid w:val="0002529F"/>
    <w:rsid w:val="00025352"/>
    <w:rsid w:val="000254BF"/>
    <w:rsid w:val="000256E5"/>
    <w:rsid w:val="00025B28"/>
    <w:rsid w:val="00025FCA"/>
    <w:rsid w:val="0002606E"/>
    <w:rsid w:val="00026314"/>
    <w:rsid w:val="00026B0C"/>
    <w:rsid w:val="000275D6"/>
    <w:rsid w:val="0002765F"/>
    <w:rsid w:val="00027EE2"/>
    <w:rsid w:val="00027F81"/>
    <w:rsid w:val="000303C7"/>
    <w:rsid w:val="0003069A"/>
    <w:rsid w:val="000308AE"/>
    <w:rsid w:val="000308BC"/>
    <w:rsid w:val="00031C5C"/>
    <w:rsid w:val="00031D1A"/>
    <w:rsid w:val="0003214F"/>
    <w:rsid w:val="000327DE"/>
    <w:rsid w:val="0003317A"/>
    <w:rsid w:val="00033196"/>
    <w:rsid w:val="00033275"/>
    <w:rsid w:val="000333C6"/>
    <w:rsid w:val="0003352F"/>
    <w:rsid w:val="00033828"/>
    <w:rsid w:val="00033E0F"/>
    <w:rsid w:val="000341C5"/>
    <w:rsid w:val="000345B8"/>
    <w:rsid w:val="00034684"/>
    <w:rsid w:val="0003468E"/>
    <w:rsid w:val="00034C2E"/>
    <w:rsid w:val="00034ECF"/>
    <w:rsid w:val="000353B1"/>
    <w:rsid w:val="000354E6"/>
    <w:rsid w:val="0003557C"/>
    <w:rsid w:val="00035B13"/>
    <w:rsid w:val="00035D06"/>
    <w:rsid w:val="00035EF8"/>
    <w:rsid w:val="000366FD"/>
    <w:rsid w:val="0003689C"/>
    <w:rsid w:val="00036ABA"/>
    <w:rsid w:val="00036E4C"/>
    <w:rsid w:val="000370C1"/>
    <w:rsid w:val="00037753"/>
    <w:rsid w:val="00037AC9"/>
    <w:rsid w:val="00037B3D"/>
    <w:rsid w:val="00037B54"/>
    <w:rsid w:val="00040727"/>
    <w:rsid w:val="0004089F"/>
    <w:rsid w:val="00041047"/>
    <w:rsid w:val="000410A0"/>
    <w:rsid w:val="00041226"/>
    <w:rsid w:val="000416F9"/>
    <w:rsid w:val="00041701"/>
    <w:rsid w:val="00041914"/>
    <w:rsid w:val="0004199E"/>
    <w:rsid w:val="00041DDA"/>
    <w:rsid w:val="00042097"/>
    <w:rsid w:val="00042199"/>
    <w:rsid w:val="000421DB"/>
    <w:rsid w:val="00042DF5"/>
    <w:rsid w:val="000433A5"/>
    <w:rsid w:val="0004382E"/>
    <w:rsid w:val="00044152"/>
    <w:rsid w:val="00044252"/>
    <w:rsid w:val="0004447F"/>
    <w:rsid w:val="000444CC"/>
    <w:rsid w:val="00044627"/>
    <w:rsid w:val="00044CF1"/>
    <w:rsid w:val="00045230"/>
    <w:rsid w:val="00045328"/>
    <w:rsid w:val="000454FD"/>
    <w:rsid w:val="00045733"/>
    <w:rsid w:val="00046186"/>
    <w:rsid w:val="000463B3"/>
    <w:rsid w:val="00046966"/>
    <w:rsid w:val="00047019"/>
    <w:rsid w:val="00047861"/>
    <w:rsid w:val="00047B98"/>
    <w:rsid w:val="00047F0C"/>
    <w:rsid w:val="00047F82"/>
    <w:rsid w:val="00050426"/>
    <w:rsid w:val="00050CB0"/>
    <w:rsid w:val="00050EC3"/>
    <w:rsid w:val="00051513"/>
    <w:rsid w:val="00051BBC"/>
    <w:rsid w:val="00051E50"/>
    <w:rsid w:val="00052A82"/>
    <w:rsid w:val="00052B46"/>
    <w:rsid w:val="00052E5A"/>
    <w:rsid w:val="0005336D"/>
    <w:rsid w:val="00053929"/>
    <w:rsid w:val="0005438B"/>
    <w:rsid w:val="00054564"/>
    <w:rsid w:val="0005472F"/>
    <w:rsid w:val="00054970"/>
    <w:rsid w:val="00054F20"/>
    <w:rsid w:val="00055243"/>
    <w:rsid w:val="00055682"/>
    <w:rsid w:val="00055A68"/>
    <w:rsid w:val="00056510"/>
    <w:rsid w:val="00056DF9"/>
    <w:rsid w:val="00056E17"/>
    <w:rsid w:val="00057359"/>
    <w:rsid w:val="00057382"/>
    <w:rsid w:val="00057599"/>
    <w:rsid w:val="0005770A"/>
    <w:rsid w:val="000578A0"/>
    <w:rsid w:val="000578A5"/>
    <w:rsid w:val="00057EB2"/>
    <w:rsid w:val="00057F4F"/>
    <w:rsid w:val="00060070"/>
    <w:rsid w:val="00060206"/>
    <w:rsid w:val="0006025F"/>
    <w:rsid w:val="0006095D"/>
    <w:rsid w:val="000611A7"/>
    <w:rsid w:val="00061372"/>
    <w:rsid w:val="00061A3A"/>
    <w:rsid w:val="00061C73"/>
    <w:rsid w:val="00061D9D"/>
    <w:rsid w:val="00061F1B"/>
    <w:rsid w:val="0006236C"/>
    <w:rsid w:val="00062405"/>
    <w:rsid w:val="00062551"/>
    <w:rsid w:val="000625B3"/>
    <w:rsid w:val="00062934"/>
    <w:rsid w:val="00062DA2"/>
    <w:rsid w:val="00062DC1"/>
    <w:rsid w:val="00062DC3"/>
    <w:rsid w:val="00062DE9"/>
    <w:rsid w:val="00062DF7"/>
    <w:rsid w:val="0006318B"/>
    <w:rsid w:val="0006332B"/>
    <w:rsid w:val="00063A7F"/>
    <w:rsid w:val="00063B85"/>
    <w:rsid w:val="00063E4D"/>
    <w:rsid w:val="00063F17"/>
    <w:rsid w:val="00064462"/>
    <w:rsid w:val="000645ED"/>
    <w:rsid w:val="00064F3F"/>
    <w:rsid w:val="00064FFA"/>
    <w:rsid w:val="00065D92"/>
    <w:rsid w:val="00065E3B"/>
    <w:rsid w:val="000660DF"/>
    <w:rsid w:val="000669B2"/>
    <w:rsid w:val="00066DDA"/>
    <w:rsid w:val="00066E95"/>
    <w:rsid w:val="00066EA6"/>
    <w:rsid w:val="000670CB"/>
    <w:rsid w:val="0006743C"/>
    <w:rsid w:val="0006765C"/>
    <w:rsid w:val="00067B5F"/>
    <w:rsid w:val="00067D3F"/>
    <w:rsid w:val="00067D9F"/>
    <w:rsid w:val="00067DE5"/>
    <w:rsid w:val="00067F50"/>
    <w:rsid w:val="00070B23"/>
    <w:rsid w:val="00070BD8"/>
    <w:rsid w:val="00070C2B"/>
    <w:rsid w:val="00071108"/>
    <w:rsid w:val="00071525"/>
    <w:rsid w:val="000719F0"/>
    <w:rsid w:val="00071EA5"/>
    <w:rsid w:val="000723E6"/>
    <w:rsid w:val="000724B9"/>
    <w:rsid w:val="000731FD"/>
    <w:rsid w:val="000732E0"/>
    <w:rsid w:val="00073630"/>
    <w:rsid w:val="0007388E"/>
    <w:rsid w:val="00073B12"/>
    <w:rsid w:val="00073B3F"/>
    <w:rsid w:val="00073E6A"/>
    <w:rsid w:val="00074412"/>
    <w:rsid w:val="0007451D"/>
    <w:rsid w:val="000747EB"/>
    <w:rsid w:val="00074CBF"/>
    <w:rsid w:val="00074E87"/>
    <w:rsid w:val="0007634B"/>
    <w:rsid w:val="000766E2"/>
    <w:rsid w:val="00076750"/>
    <w:rsid w:val="00076C72"/>
    <w:rsid w:val="00076D3C"/>
    <w:rsid w:val="00077506"/>
    <w:rsid w:val="00080E3B"/>
    <w:rsid w:val="00082434"/>
    <w:rsid w:val="0008278C"/>
    <w:rsid w:val="00082B12"/>
    <w:rsid w:val="00082F1F"/>
    <w:rsid w:val="0008304A"/>
    <w:rsid w:val="000835D1"/>
    <w:rsid w:val="000836F0"/>
    <w:rsid w:val="00083B7E"/>
    <w:rsid w:val="00083CB2"/>
    <w:rsid w:val="0008420D"/>
    <w:rsid w:val="000845A1"/>
    <w:rsid w:val="00085250"/>
    <w:rsid w:val="000857B7"/>
    <w:rsid w:val="00085A40"/>
    <w:rsid w:val="00085B09"/>
    <w:rsid w:val="00085C0D"/>
    <w:rsid w:val="0008685B"/>
    <w:rsid w:val="000868F0"/>
    <w:rsid w:val="00086963"/>
    <w:rsid w:val="00086FA6"/>
    <w:rsid w:val="00087454"/>
    <w:rsid w:val="00087A48"/>
    <w:rsid w:val="00087AE1"/>
    <w:rsid w:val="000900C7"/>
    <w:rsid w:val="0009012A"/>
    <w:rsid w:val="00090546"/>
    <w:rsid w:val="00090904"/>
    <w:rsid w:val="00091102"/>
    <w:rsid w:val="0009134A"/>
    <w:rsid w:val="00091EAD"/>
    <w:rsid w:val="000921FF"/>
    <w:rsid w:val="0009252C"/>
    <w:rsid w:val="00092638"/>
    <w:rsid w:val="000928DD"/>
    <w:rsid w:val="00092B46"/>
    <w:rsid w:val="000931DC"/>
    <w:rsid w:val="00093292"/>
    <w:rsid w:val="000932FE"/>
    <w:rsid w:val="00093357"/>
    <w:rsid w:val="0009348D"/>
    <w:rsid w:val="00093844"/>
    <w:rsid w:val="000939E6"/>
    <w:rsid w:val="00093D8A"/>
    <w:rsid w:val="00093F10"/>
    <w:rsid w:val="0009429D"/>
    <w:rsid w:val="000944DE"/>
    <w:rsid w:val="00094A74"/>
    <w:rsid w:val="0009548C"/>
    <w:rsid w:val="0009559F"/>
    <w:rsid w:val="00095B14"/>
    <w:rsid w:val="00095D10"/>
    <w:rsid w:val="000961DE"/>
    <w:rsid w:val="00096690"/>
    <w:rsid w:val="00096A37"/>
    <w:rsid w:val="00097CC8"/>
    <w:rsid w:val="000A0095"/>
    <w:rsid w:val="000A0144"/>
    <w:rsid w:val="000A02C6"/>
    <w:rsid w:val="000A03C5"/>
    <w:rsid w:val="000A09DC"/>
    <w:rsid w:val="000A11A1"/>
    <w:rsid w:val="000A136C"/>
    <w:rsid w:val="000A155B"/>
    <w:rsid w:val="000A1636"/>
    <w:rsid w:val="000A19F1"/>
    <w:rsid w:val="000A1B67"/>
    <w:rsid w:val="000A1C3C"/>
    <w:rsid w:val="000A1EEB"/>
    <w:rsid w:val="000A1F2D"/>
    <w:rsid w:val="000A2261"/>
    <w:rsid w:val="000A3287"/>
    <w:rsid w:val="000A35E8"/>
    <w:rsid w:val="000A3768"/>
    <w:rsid w:val="000A390D"/>
    <w:rsid w:val="000A3E2C"/>
    <w:rsid w:val="000A4305"/>
    <w:rsid w:val="000A466F"/>
    <w:rsid w:val="000A4F16"/>
    <w:rsid w:val="000A5771"/>
    <w:rsid w:val="000A590F"/>
    <w:rsid w:val="000A5FD2"/>
    <w:rsid w:val="000A62EA"/>
    <w:rsid w:val="000A63DB"/>
    <w:rsid w:val="000A6E4F"/>
    <w:rsid w:val="000A6F3F"/>
    <w:rsid w:val="000A7097"/>
    <w:rsid w:val="000A766D"/>
    <w:rsid w:val="000A7CF8"/>
    <w:rsid w:val="000A7D0B"/>
    <w:rsid w:val="000A7F03"/>
    <w:rsid w:val="000B0AF2"/>
    <w:rsid w:val="000B0F5D"/>
    <w:rsid w:val="000B147E"/>
    <w:rsid w:val="000B28CA"/>
    <w:rsid w:val="000B2B8E"/>
    <w:rsid w:val="000B2D9F"/>
    <w:rsid w:val="000B3770"/>
    <w:rsid w:val="000B3896"/>
    <w:rsid w:val="000B4200"/>
    <w:rsid w:val="000B4238"/>
    <w:rsid w:val="000B43F6"/>
    <w:rsid w:val="000B4A8F"/>
    <w:rsid w:val="000B4A9D"/>
    <w:rsid w:val="000B4CF3"/>
    <w:rsid w:val="000B5283"/>
    <w:rsid w:val="000B54A6"/>
    <w:rsid w:val="000B5AAD"/>
    <w:rsid w:val="000B6172"/>
    <w:rsid w:val="000B6360"/>
    <w:rsid w:val="000B6ECB"/>
    <w:rsid w:val="000B745F"/>
    <w:rsid w:val="000C0454"/>
    <w:rsid w:val="000C06C8"/>
    <w:rsid w:val="000C0B17"/>
    <w:rsid w:val="000C0B67"/>
    <w:rsid w:val="000C106A"/>
    <w:rsid w:val="000C14BA"/>
    <w:rsid w:val="000C1E44"/>
    <w:rsid w:val="000C1F08"/>
    <w:rsid w:val="000C1F0A"/>
    <w:rsid w:val="000C2250"/>
    <w:rsid w:val="000C22C2"/>
    <w:rsid w:val="000C23F4"/>
    <w:rsid w:val="000C2439"/>
    <w:rsid w:val="000C28F0"/>
    <w:rsid w:val="000C2978"/>
    <w:rsid w:val="000C2BE7"/>
    <w:rsid w:val="000C30F0"/>
    <w:rsid w:val="000C33F0"/>
    <w:rsid w:val="000C37BE"/>
    <w:rsid w:val="000C4061"/>
    <w:rsid w:val="000C4315"/>
    <w:rsid w:val="000C437C"/>
    <w:rsid w:val="000C479D"/>
    <w:rsid w:val="000C4875"/>
    <w:rsid w:val="000C4973"/>
    <w:rsid w:val="000C4C44"/>
    <w:rsid w:val="000C4DD0"/>
    <w:rsid w:val="000C4E1D"/>
    <w:rsid w:val="000C4EA8"/>
    <w:rsid w:val="000C4FE6"/>
    <w:rsid w:val="000C5135"/>
    <w:rsid w:val="000C5CC1"/>
    <w:rsid w:val="000C5D62"/>
    <w:rsid w:val="000C5EEF"/>
    <w:rsid w:val="000C60AD"/>
    <w:rsid w:val="000C6385"/>
    <w:rsid w:val="000C6605"/>
    <w:rsid w:val="000C6933"/>
    <w:rsid w:val="000C6DB9"/>
    <w:rsid w:val="000C7161"/>
    <w:rsid w:val="000C727D"/>
    <w:rsid w:val="000C7A0D"/>
    <w:rsid w:val="000D09C5"/>
    <w:rsid w:val="000D09CD"/>
    <w:rsid w:val="000D12E6"/>
    <w:rsid w:val="000D143C"/>
    <w:rsid w:val="000D1B04"/>
    <w:rsid w:val="000D1E4B"/>
    <w:rsid w:val="000D1FA5"/>
    <w:rsid w:val="000D24F4"/>
    <w:rsid w:val="000D28E9"/>
    <w:rsid w:val="000D293D"/>
    <w:rsid w:val="000D2A35"/>
    <w:rsid w:val="000D34C8"/>
    <w:rsid w:val="000D369F"/>
    <w:rsid w:val="000D3F7A"/>
    <w:rsid w:val="000D4016"/>
    <w:rsid w:val="000D4157"/>
    <w:rsid w:val="000D54F1"/>
    <w:rsid w:val="000D5542"/>
    <w:rsid w:val="000D5740"/>
    <w:rsid w:val="000D74BA"/>
    <w:rsid w:val="000D74FA"/>
    <w:rsid w:val="000D7932"/>
    <w:rsid w:val="000D7D9B"/>
    <w:rsid w:val="000D7F22"/>
    <w:rsid w:val="000E0385"/>
    <w:rsid w:val="000E0867"/>
    <w:rsid w:val="000E0946"/>
    <w:rsid w:val="000E1566"/>
    <w:rsid w:val="000E17EB"/>
    <w:rsid w:val="000E1A7E"/>
    <w:rsid w:val="000E24A9"/>
    <w:rsid w:val="000E29FE"/>
    <w:rsid w:val="000E306C"/>
    <w:rsid w:val="000E36F2"/>
    <w:rsid w:val="000E389F"/>
    <w:rsid w:val="000E4144"/>
    <w:rsid w:val="000E420E"/>
    <w:rsid w:val="000E42EA"/>
    <w:rsid w:val="000E43F5"/>
    <w:rsid w:val="000E46AD"/>
    <w:rsid w:val="000E46DB"/>
    <w:rsid w:val="000E49E6"/>
    <w:rsid w:val="000E4ACB"/>
    <w:rsid w:val="000E4BC3"/>
    <w:rsid w:val="000E4E69"/>
    <w:rsid w:val="000E503D"/>
    <w:rsid w:val="000E51DD"/>
    <w:rsid w:val="000E546A"/>
    <w:rsid w:val="000E59A5"/>
    <w:rsid w:val="000E5CAC"/>
    <w:rsid w:val="000E61B3"/>
    <w:rsid w:val="000E644E"/>
    <w:rsid w:val="000E6643"/>
    <w:rsid w:val="000E6DDD"/>
    <w:rsid w:val="000E70B5"/>
    <w:rsid w:val="000E732A"/>
    <w:rsid w:val="000F0852"/>
    <w:rsid w:val="000F0877"/>
    <w:rsid w:val="000F0AF7"/>
    <w:rsid w:val="000F1501"/>
    <w:rsid w:val="000F1725"/>
    <w:rsid w:val="000F1870"/>
    <w:rsid w:val="000F188D"/>
    <w:rsid w:val="000F1C1A"/>
    <w:rsid w:val="000F1CF1"/>
    <w:rsid w:val="000F1F1F"/>
    <w:rsid w:val="000F2572"/>
    <w:rsid w:val="000F2812"/>
    <w:rsid w:val="000F2887"/>
    <w:rsid w:val="000F2E31"/>
    <w:rsid w:val="000F2FC8"/>
    <w:rsid w:val="000F3808"/>
    <w:rsid w:val="000F3C72"/>
    <w:rsid w:val="000F3EA3"/>
    <w:rsid w:val="000F4253"/>
    <w:rsid w:val="000F4334"/>
    <w:rsid w:val="000F491F"/>
    <w:rsid w:val="000F4C6B"/>
    <w:rsid w:val="000F4DC7"/>
    <w:rsid w:val="000F520B"/>
    <w:rsid w:val="000F53CA"/>
    <w:rsid w:val="000F54CB"/>
    <w:rsid w:val="000F5552"/>
    <w:rsid w:val="000F5643"/>
    <w:rsid w:val="000F5936"/>
    <w:rsid w:val="000F5CAF"/>
    <w:rsid w:val="000F6029"/>
    <w:rsid w:val="000F6F10"/>
    <w:rsid w:val="000F74B0"/>
    <w:rsid w:val="000F7689"/>
    <w:rsid w:val="001002D4"/>
    <w:rsid w:val="001002D5"/>
    <w:rsid w:val="001007FE"/>
    <w:rsid w:val="00100A2C"/>
    <w:rsid w:val="0010111C"/>
    <w:rsid w:val="00101156"/>
    <w:rsid w:val="00101197"/>
    <w:rsid w:val="00101257"/>
    <w:rsid w:val="001016E6"/>
    <w:rsid w:val="00101942"/>
    <w:rsid w:val="00101BF6"/>
    <w:rsid w:val="00101CE1"/>
    <w:rsid w:val="00101DC3"/>
    <w:rsid w:val="00101EC5"/>
    <w:rsid w:val="00101ECC"/>
    <w:rsid w:val="00101ED8"/>
    <w:rsid w:val="00101FC8"/>
    <w:rsid w:val="001021DB"/>
    <w:rsid w:val="00102292"/>
    <w:rsid w:val="001022F3"/>
    <w:rsid w:val="00102C7A"/>
    <w:rsid w:val="00103363"/>
    <w:rsid w:val="00103507"/>
    <w:rsid w:val="00103572"/>
    <w:rsid w:val="0010392B"/>
    <w:rsid w:val="00103B0A"/>
    <w:rsid w:val="00104137"/>
    <w:rsid w:val="001044F1"/>
    <w:rsid w:val="0010469B"/>
    <w:rsid w:val="00104C68"/>
    <w:rsid w:val="00104F7E"/>
    <w:rsid w:val="001050AF"/>
    <w:rsid w:val="001052B0"/>
    <w:rsid w:val="00105618"/>
    <w:rsid w:val="00105A44"/>
    <w:rsid w:val="00105A82"/>
    <w:rsid w:val="00105D8B"/>
    <w:rsid w:val="00105FE0"/>
    <w:rsid w:val="001064E7"/>
    <w:rsid w:val="001066EE"/>
    <w:rsid w:val="001068BC"/>
    <w:rsid w:val="00106A39"/>
    <w:rsid w:val="00107565"/>
    <w:rsid w:val="00107899"/>
    <w:rsid w:val="00107BE9"/>
    <w:rsid w:val="00107ECA"/>
    <w:rsid w:val="001100E3"/>
    <w:rsid w:val="001103DD"/>
    <w:rsid w:val="0011054A"/>
    <w:rsid w:val="00110649"/>
    <w:rsid w:val="001106E9"/>
    <w:rsid w:val="00110FCA"/>
    <w:rsid w:val="00111099"/>
    <w:rsid w:val="00111175"/>
    <w:rsid w:val="00111436"/>
    <w:rsid w:val="0011162B"/>
    <w:rsid w:val="0011171D"/>
    <w:rsid w:val="0011186B"/>
    <w:rsid w:val="00111C00"/>
    <w:rsid w:val="00112123"/>
    <w:rsid w:val="00112173"/>
    <w:rsid w:val="00112423"/>
    <w:rsid w:val="00112918"/>
    <w:rsid w:val="00113296"/>
    <w:rsid w:val="001132A1"/>
    <w:rsid w:val="00113327"/>
    <w:rsid w:val="00113C8B"/>
    <w:rsid w:val="00114027"/>
    <w:rsid w:val="00114047"/>
    <w:rsid w:val="00114080"/>
    <w:rsid w:val="00114C42"/>
    <w:rsid w:val="00114DF3"/>
    <w:rsid w:val="00115C08"/>
    <w:rsid w:val="00115DCA"/>
    <w:rsid w:val="001162FB"/>
    <w:rsid w:val="001167BD"/>
    <w:rsid w:val="0011697C"/>
    <w:rsid w:val="00117122"/>
    <w:rsid w:val="0011746A"/>
    <w:rsid w:val="00117571"/>
    <w:rsid w:val="001178AA"/>
    <w:rsid w:val="001179C0"/>
    <w:rsid w:val="00117EBE"/>
    <w:rsid w:val="001202B7"/>
    <w:rsid w:val="00120504"/>
    <w:rsid w:val="0012066F"/>
    <w:rsid w:val="00120C78"/>
    <w:rsid w:val="00120D4A"/>
    <w:rsid w:val="00120F54"/>
    <w:rsid w:val="00121178"/>
    <w:rsid w:val="00121E2C"/>
    <w:rsid w:val="00121F58"/>
    <w:rsid w:val="00122821"/>
    <w:rsid w:val="0012291D"/>
    <w:rsid w:val="00122A12"/>
    <w:rsid w:val="00122AB7"/>
    <w:rsid w:val="001231B1"/>
    <w:rsid w:val="001231D7"/>
    <w:rsid w:val="0012358D"/>
    <w:rsid w:val="00123C24"/>
    <w:rsid w:val="00123E14"/>
    <w:rsid w:val="00124017"/>
    <w:rsid w:val="001242B9"/>
    <w:rsid w:val="00124527"/>
    <w:rsid w:val="0012457F"/>
    <w:rsid w:val="00124C6D"/>
    <w:rsid w:val="00125255"/>
    <w:rsid w:val="001252BA"/>
    <w:rsid w:val="00125437"/>
    <w:rsid w:val="001259A7"/>
    <w:rsid w:val="0012615A"/>
    <w:rsid w:val="001263D2"/>
    <w:rsid w:val="00126818"/>
    <w:rsid w:val="00127961"/>
    <w:rsid w:val="0012796A"/>
    <w:rsid w:val="00130893"/>
    <w:rsid w:val="0013089E"/>
    <w:rsid w:val="001314B2"/>
    <w:rsid w:val="00131FB8"/>
    <w:rsid w:val="001320A0"/>
    <w:rsid w:val="00132557"/>
    <w:rsid w:val="001327ED"/>
    <w:rsid w:val="00133216"/>
    <w:rsid w:val="0013344D"/>
    <w:rsid w:val="00133F3F"/>
    <w:rsid w:val="00134133"/>
    <w:rsid w:val="0013462B"/>
    <w:rsid w:val="00134730"/>
    <w:rsid w:val="00134840"/>
    <w:rsid w:val="00134E5A"/>
    <w:rsid w:val="0013507F"/>
    <w:rsid w:val="0013554A"/>
    <w:rsid w:val="0013566B"/>
    <w:rsid w:val="0013583A"/>
    <w:rsid w:val="00135C3E"/>
    <w:rsid w:val="00135C7F"/>
    <w:rsid w:val="00135D13"/>
    <w:rsid w:val="00135F63"/>
    <w:rsid w:val="001368BC"/>
    <w:rsid w:val="001373FB"/>
    <w:rsid w:val="001374F2"/>
    <w:rsid w:val="001375BB"/>
    <w:rsid w:val="001401A3"/>
    <w:rsid w:val="001402E2"/>
    <w:rsid w:val="00140317"/>
    <w:rsid w:val="0014066D"/>
    <w:rsid w:val="001408B4"/>
    <w:rsid w:val="00140970"/>
    <w:rsid w:val="00140C0C"/>
    <w:rsid w:val="001416B9"/>
    <w:rsid w:val="00141792"/>
    <w:rsid w:val="00141ADD"/>
    <w:rsid w:val="00141BF6"/>
    <w:rsid w:val="00142388"/>
    <w:rsid w:val="0014270C"/>
    <w:rsid w:val="00142B2B"/>
    <w:rsid w:val="00143228"/>
    <w:rsid w:val="001439CF"/>
    <w:rsid w:val="00143A9F"/>
    <w:rsid w:val="00143CC4"/>
    <w:rsid w:val="00144331"/>
    <w:rsid w:val="00144392"/>
    <w:rsid w:val="001443EF"/>
    <w:rsid w:val="0014473F"/>
    <w:rsid w:val="001448E3"/>
    <w:rsid w:val="00144933"/>
    <w:rsid w:val="0014498D"/>
    <w:rsid w:val="00144A71"/>
    <w:rsid w:val="00144F8A"/>
    <w:rsid w:val="0014590D"/>
    <w:rsid w:val="00145A44"/>
    <w:rsid w:val="00145A4B"/>
    <w:rsid w:val="00145CD5"/>
    <w:rsid w:val="00145D55"/>
    <w:rsid w:val="001463E4"/>
    <w:rsid w:val="001463EC"/>
    <w:rsid w:val="00146845"/>
    <w:rsid w:val="00146FC1"/>
    <w:rsid w:val="00147101"/>
    <w:rsid w:val="001473C8"/>
    <w:rsid w:val="001473FD"/>
    <w:rsid w:val="00147DB5"/>
    <w:rsid w:val="00147DD3"/>
    <w:rsid w:val="00150692"/>
    <w:rsid w:val="0015095A"/>
    <w:rsid w:val="00151233"/>
    <w:rsid w:val="0015148F"/>
    <w:rsid w:val="001519C7"/>
    <w:rsid w:val="00151AC5"/>
    <w:rsid w:val="00151C38"/>
    <w:rsid w:val="001521DB"/>
    <w:rsid w:val="001526EF"/>
    <w:rsid w:val="00152E1A"/>
    <w:rsid w:val="00152E73"/>
    <w:rsid w:val="00152E9A"/>
    <w:rsid w:val="001536AF"/>
    <w:rsid w:val="00153A94"/>
    <w:rsid w:val="0015429E"/>
    <w:rsid w:val="001543DE"/>
    <w:rsid w:val="001546E4"/>
    <w:rsid w:val="00154916"/>
    <w:rsid w:val="00154966"/>
    <w:rsid w:val="00154A0D"/>
    <w:rsid w:val="001552B1"/>
    <w:rsid w:val="001556AE"/>
    <w:rsid w:val="00155A54"/>
    <w:rsid w:val="00155F8C"/>
    <w:rsid w:val="00156A78"/>
    <w:rsid w:val="00156F4C"/>
    <w:rsid w:val="00156FE9"/>
    <w:rsid w:val="00160095"/>
    <w:rsid w:val="00160965"/>
    <w:rsid w:val="00160A7D"/>
    <w:rsid w:val="001618C1"/>
    <w:rsid w:val="00161CEB"/>
    <w:rsid w:val="00162064"/>
    <w:rsid w:val="00162101"/>
    <w:rsid w:val="001622B8"/>
    <w:rsid w:val="00162493"/>
    <w:rsid w:val="001630E7"/>
    <w:rsid w:val="00163217"/>
    <w:rsid w:val="001635D8"/>
    <w:rsid w:val="001638A6"/>
    <w:rsid w:val="00163988"/>
    <w:rsid w:val="00163AE5"/>
    <w:rsid w:val="00163B7F"/>
    <w:rsid w:val="00163E4E"/>
    <w:rsid w:val="00163F4C"/>
    <w:rsid w:val="001645B2"/>
    <w:rsid w:val="00164BA6"/>
    <w:rsid w:val="001656CE"/>
    <w:rsid w:val="0016584B"/>
    <w:rsid w:val="0016602F"/>
    <w:rsid w:val="0016629A"/>
    <w:rsid w:val="00166DE9"/>
    <w:rsid w:val="00167130"/>
    <w:rsid w:val="00167296"/>
    <w:rsid w:val="00167733"/>
    <w:rsid w:val="00167C30"/>
    <w:rsid w:val="0017015C"/>
    <w:rsid w:val="00170448"/>
    <w:rsid w:val="00170501"/>
    <w:rsid w:val="00170990"/>
    <w:rsid w:val="00170D13"/>
    <w:rsid w:val="0017143D"/>
    <w:rsid w:val="00171543"/>
    <w:rsid w:val="001726A1"/>
    <w:rsid w:val="00172A0B"/>
    <w:rsid w:val="00172D9E"/>
    <w:rsid w:val="0017374C"/>
    <w:rsid w:val="00174778"/>
    <w:rsid w:val="00174EDE"/>
    <w:rsid w:val="0017527D"/>
    <w:rsid w:val="00175672"/>
    <w:rsid w:val="00175BA3"/>
    <w:rsid w:val="00175EA1"/>
    <w:rsid w:val="0017620E"/>
    <w:rsid w:val="001762DF"/>
    <w:rsid w:val="00176538"/>
    <w:rsid w:val="001765F7"/>
    <w:rsid w:val="00176BC6"/>
    <w:rsid w:val="00176BE6"/>
    <w:rsid w:val="00176D98"/>
    <w:rsid w:val="001777C8"/>
    <w:rsid w:val="001778C9"/>
    <w:rsid w:val="00177B45"/>
    <w:rsid w:val="00177DB8"/>
    <w:rsid w:val="00177F02"/>
    <w:rsid w:val="001800A8"/>
    <w:rsid w:val="00180234"/>
    <w:rsid w:val="00180454"/>
    <w:rsid w:val="00180579"/>
    <w:rsid w:val="001808AD"/>
    <w:rsid w:val="00180C69"/>
    <w:rsid w:val="00180E15"/>
    <w:rsid w:val="001814F5"/>
    <w:rsid w:val="001816C3"/>
    <w:rsid w:val="00181843"/>
    <w:rsid w:val="0018203D"/>
    <w:rsid w:val="0018213A"/>
    <w:rsid w:val="00182709"/>
    <w:rsid w:val="00182B21"/>
    <w:rsid w:val="00182F5E"/>
    <w:rsid w:val="00183236"/>
    <w:rsid w:val="001835A8"/>
    <w:rsid w:val="00183A14"/>
    <w:rsid w:val="00183A4A"/>
    <w:rsid w:val="0018439E"/>
    <w:rsid w:val="0018458D"/>
    <w:rsid w:val="001846A2"/>
    <w:rsid w:val="00184B5A"/>
    <w:rsid w:val="00184FC2"/>
    <w:rsid w:val="00184FD4"/>
    <w:rsid w:val="0018536E"/>
    <w:rsid w:val="001853C8"/>
    <w:rsid w:val="00185A44"/>
    <w:rsid w:val="00185ED7"/>
    <w:rsid w:val="001862B2"/>
    <w:rsid w:val="001869AC"/>
    <w:rsid w:val="0018713B"/>
    <w:rsid w:val="00187521"/>
    <w:rsid w:val="00187590"/>
    <w:rsid w:val="00187DC5"/>
    <w:rsid w:val="00187DEF"/>
    <w:rsid w:val="001905D4"/>
    <w:rsid w:val="001909EB"/>
    <w:rsid w:val="00190C87"/>
    <w:rsid w:val="00190CC7"/>
    <w:rsid w:val="0019149D"/>
    <w:rsid w:val="00192118"/>
    <w:rsid w:val="001927A6"/>
    <w:rsid w:val="001928F4"/>
    <w:rsid w:val="00192DEF"/>
    <w:rsid w:val="00192E2F"/>
    <w:rsid w:val="0019447A"/>
    <w:rsid w:val="00194BD9"/>
    <w:rsid w:val="00194E5F"/>
    <w:rsid w:val="00195001"/>
    <w:rsid w:val="00195504"/>
    <w:rsid w:val="001956F1"/>
    <w:rsid w:val="00195D40"/>
    <w:rsid w:val="001961A1"/>
    <w:rsid w:val="0019621D"/>
    <w:rsid w:val="00196B9A"/>
    <w:rsid w:val="00196C06"/>
    <w:rsid w:val="001974B3"/>
    <w:rsid w:val="00197555"/>
    <w:rsid w:val="00197639"/>
    <w:rsid w:val="00197AB8"/>
    <w:rsid w:val="00197EF4"/>
    <w:rsid w:val="001A03CA"/>
    <w:rsid w:val="001A0EAB"/>
    <w:rsid w:val="001A11B4"/>
    <w:rsid w:val="001A1348"/>
    <w:rsid w:val="001A195D"/>
    <w:rsid w:val="001A20AA"/>
    <w:rsid w:val="001A2ABC"/>
    <w:rsid w:val="001A2B33"/>
    <w:rsid w:val="001A2B52"/>
    <w:rsid w:val="001A2E51"/>
    <w:rsid w:val="001A2FAD"/>
    <w:rsid w:val="001A339C"/>
    <w:rsid w:val="001A3814"/>
    <w:rsid w:val="001A4BB5"/>
    <w:rsid w:val="001A4EB0"/>
    <w:rsid w:val="001A55BA"/>
    <w:rsid w:val="001A5A54"/>
    <w:rsid w:val="001A661F"/>
    <w:rsid w:val="001A68A1"/>
    <w:rsid w:val="001A6CD2"/>
    <w:rsid w:val="001A6F5A"/>
    <w:rsid w:val="001A760A"/>
    <w:rsid w:val="001A7A62"/>
    <w:rsid w:val="001A7B3A"/>
    <w:rsid w:val="001A7B5D"/>
    <w:rsid w:val="001A7C2B"/>
    <w:rsid w:val="001A7E0F"/>
    <w:rsid w:val="001B0555"/>
    <w:rsid w:val="001B12B8"/>
    <w:rsid w:val="001B14B6"/>
    <w:rsid w:val="001B24F9"/>
    <w:rsid w:val="001B2FA2"/>
    <w:rsid w:val="001B320B"/>
    <w:rsid w:val="001B3680"/>
    <w:rsid w:val="001B36EA"/>
    <w:rsid w:val="001B38B6"/>
    <w:rsid w:val="001B3D38"/>
    <w:rsid w:val="001B3D7C"/>
    <w:rsid w:val="001B403A"/>
    <w:rsid w:val="001B420A"/>
    <w:rsid w:val="001B431D"/>
    <w:rsid w:val="001B44E1"/>
    <w:rsid w:val="001B4E9A"/>
    <w:rsid w:val="001B54AE"/>
    <w:rsid w:val="001B5713"/>
    <w:rsid w:val="001B5911"/>
    <w:rsid w:val="001B6128"/>
    <w:rsid w:val="001B62EB"/>
    <w:rsid w:val="001B65D1"/>
    <w:rsid w:val="001B67C9"/>
    <w:rsid w:val="001B6C02"/>
    <w:rsid w:val="001B737C"/>
    <w:rsid w:val="001B73A2"/>
    <w:rsid w:val="001B7A7F"/>
    <w:rsid w:val="001C00CD"/>
    <w:rsid w:val="001C029A"/>
    <w:rsid w:val="001C07BE"/>
    <w:rsid w:val="001C0A1B"/>
    <w:rsid w:val="001C0E30"/>
    <w:rsid w:val="001C0FE7"/>
    <w:rsid w:val="001C1D38"/>
    <w:rsid w:val="001C1DAB"/>
    <w:rsid w:val="001C1DDE"/>
    <w:rsid w:val="001C2286"/>
    <w:rsid w:val="001C2807"/>
    <w:rsid w:val="001C2E78"/>
    <w:rsid w:val="001C326D"/>
    <w:rsid w:val="001C36D8"/>
    <w:rsid w:val="001C3A78"/>
    <w:rsid w:val="001C3CF5"/>
    <w:rsid w:val="001C4175"/>
    <w:rsid w:val="001C49A8"/>
    <w:rsid w:val="001C54E7"/>
    <w:rsid w:val="001C5747"/>
    <w:rsid w:val="001C577F"/>
    <w:rsid w:val="001C5805"/>
    <w:rsid w:val="001C65E2"/>
    <w:rsid w:val="001C68AA"/>
    <w:rsid w:val="001C68DA"/>
    <w:rsid w:val="001C6B60"/>
    <w:rsid w:val="001C7452"/>
    <w:rsid w:val="001C75EB"/>
    <w:rsid w:val="001D00FE"/>
    <w:rsid w:val="001D04BC"/>
    <w:rsid w:val="001D0507"/>
    <w:rsid w:val="001D0BC4"/>
    <w:rsid w:val="001D0D29"/>
    <w:rsid w:val="001D0EDF"/>
    <w:rsid w:val="001D12CB"/>
    <w:rsid w:val="001D17D6"/>
    <w:rsid w:val="001D1BAC"/>
    <w:rsid w:val="001D2A76"/>
    <w:rsid w:val="001D2B28"/>
    <w:rsid w:val="001D2FF4"/>
    <w:rsid w:val="001D3039"/>
    <w:rsid w:val="001D3F59"/>
    <w:rsid w:val="001D4538"/>
    <w:rsid w:val="001D461B"/>
    <w:rsid w:val="001D466F"/>
    <w:rsid w:val="001D46DF"/>
    <w:rsid w:val="001D4918"/>
    <w:rsid w:val="001D5354"/>
    <w:rsid w:val="001D6251"/>
    <w:rsid w:val="001D62E3"/>
    <w:rsid w:val="001D6631"/>
    <w:rsid w:val="001D682E"/>
    <w:rsid w:val="001D697E"/>
    <w:rsid w:val="001D6D64"/>
    <w:rsid w:val="001D6EB5"/>
    <w:rsid w:val="001D738D"/>
    <w:rsid w:val="001D73A1"/>
    <w:rsid w:val="001E0F82"/>
    <w:rsid w:val="001E1D99"/>
    <w:rsid w:val="001E214F"/>
    <w:rsid w:val="001E2385"/>
    <w:rsid w:val="001E2399"/>
    <w:rsid w:val="001E2D7D"/>
    <w:rsid w:val="001E2EE0"/>
    <w:rsid w:val="001E3163"/>
    <w:rsid w:val="001E34B0"/>
    <w:rsid w:val="001E3B19"/>
    <w:rsid w:val="001E3BF8"/>
    <w:rsid w:val="001E3E24"/>
    <w:rsid w:val="001E4241"/>
    <w:rsid w:val="001E4693"/>
    <w:rsid w:val="001E4BA8"/>
    <w:rsid w:val="001E4C91"/>
    <w:rsid w:val="001E4E8E"/>
    <w:rsid w:val="001E4F26"/>
    <w:rsid w:val="001E5181"/>
    <w:rsid w:val="001E56D9"/>
    <w:rsid w:val="001E5CCE"/>
    <w:rsid w:val="001E61F8"/>
    <w:rsid w:val="001E636C"/>
    <w:rsid w:val="001E66B0"/>
    <w:rsid w:val="001E66DF"/>
    <w:rsid w:val="001E690D"/>
    <w:rsid w:val="001E6B6F"/>
    <w:rsid w:val="001E6D0C"/>
    <w:rsid w:val="001E7CD9"/>
    <w:rsid w:val="001E7D59"/>
    <w:rsid w:val="001E7EBB"/>
    <w:rsid w:val="001E7ED4"/>
    <w:rsid w:val="001E7FDE"/>
    <w:rsid w:val="001F0739"/>
    <w:rsid w:val="001F0FFB"/>
    <w:rsid w:val="001F1389"/>
    <w:rsid w:val="001F13F1"/>
    <w:rsid w:val="001F1A72"/>
    <w:rsid w:val="001F1E4A"/>
    <w:rsid w:val="001F2468"/>
    <w:rsid w:val="001F2602"/>
    <w:rsid w:val="001F2B46"/>
    <w:rsid w:val="001F3351"/>
    <w:rsid w:val="001F33D0"/>
    <w:rsid w:val="001F38C7"/>
    <w:rsid w:val="001F4214"/>
    <w:rsid w:val="001F4ED5"/>
    <w:rsid w:val="001F55EB"/>
    <w:rsid w:val="001F5765"/>
    <w:rsid w:val="001F59CD"/>
    <w:rsid w:val="001F5E36"/>
    <w:rsid w:val="001F5F9F"/>
    <w:rsid w:val="001F6237"/>
    <w:rsid w:val="001F6807"/>
    <w:rsid w:val="001F6D81"/>
    <w:rsid w:val="001F6F2B"/>
    <w:rsid w:val="001F70E7"/>
    <w:rsid w:val="001F769A"/>
    <w:rsid w:val="001F7770"/>
    <w:rsid w:val="001F7A74"/>
    <w:rsid w:val="001F7E32"/>
    <w:rsid w:val="001F7F3F"/>
    <w:rsid w:val="00200821"/>
    <w:rsid w:val="00200E13"/>
    <w:rsid w:val="0020128C"/>
    <w:rsid w:val="00201459"/>
    <w:rsid w:val="002019BD"/>
    <w:rsid w:val="00202387"/>
    <w:rsid w:val="00202E27"/>
    <w:rsid w:val="0020448C"/>
    <w:rsid w:val="002045A7"/>
    <w:rsid w:val="00204F77"/>
    <w:rsid w:val="00205B3E"/>
    <w:rsid w:val="002064CC"/>
    <w:rsid w:val="00206763"/>
    <w:rsid w:val="00206C30"/>
    <w:rsid w:val="00206D4A"/>
    <w:rsid w:val="0020778C"/>
    <w:rsid w:val="0020790A"/>
    <w:rsid w:val="00207A37"/>
    <w:rsid w:val="00207ACA"/>
    <w:rsid w:val="00207E10"/>
    <w:rsid w:val="00207F74"/>
    <w:rsid w:val="00210235"/>
    <w:rsid w:val="00210418"/>
    <w:rsid w:val="0021052C"/>
    <w:rsid w:val="002106ED"/>
    <w:rsid w:val="002107F9"/>
    <w:rsid w:val="0021087C"/>
    <w:rsid w:val="00210B8A"/>
    <w:rsid w:val="002111AC"/>
    <w:rsid w:val="0021132D"/>
    <w:rsid w:val="00211C66"/>
    <w:rsid w:val="00211EA8"/>
    <w:rsid w:val="002127A1"/>
    <w:rsid w:val="00212CF1"/>
    <w:rsid w:val="002133B6"/>
    <w:rsid w:val="002138B7"/>
    <w:rsid w:val="00213F7B"/>
    <w:rsid w:val="002141BF"/>
    <w:rsid w:val="002141CF"/>
    <w:rsid w:val="00214982"/>
    <w:rsid w:val="00214C4E"/>
    <w:rsid w:val="002151F4"/>
    <w:rsid w:val="002157D2"/>
    <w:rsid w:val="002160DA"/>
    <w:rsid w:val="00216296"/>
    <w:rsid w:val="00216528"/>
    <w:rsid w:val="00216631"/>
    <w:rsid w:val="0021671E"/>
    <w:rsid w:val="00216869"/>
    <w:rsid w:val="00216894"/>
    <w:rsid w:val="00216924"/>
    <w:rsid w:val="00216C6C"/>
    <w:rsid w:val="00216DFE"/>
    <w:rsid w:val="00217763"/>
    <w:rsid w:val="00220051"/>
    <w:rsid w:val="00220258"/>
    <w:rsid w:val="002206C2"/>
    <w:rsid w:val="00220F28"/>
    <w:rsid w:val="0022171B"/>
    <w:rsid w:val="00221CBB"/>
    <w:rsid w:val="0022252A"/>
    <w:rsid w:val="00222B50"/>
    <w:rsid w:val="00223040"/>
    <w:rsid w:val="0022312C"/>
    <w:rsid w:val="00223758"/>
    <w:rsid w:val="002237BE"/>
    <w:rsid w:val="002238AF"/>
    <w:rsid w:val="00224275"/>
    <w:rsid w:val="002242FE"/>
    <w:rsid w:val="00224485"/>
    <w:rsid w:val="00224616"/>
    <w:rsid w:val="00224B91"/>
    <w:rsid w:val="00224F9F"/>
    <w:rsid w:val="002251DE"/>
    <w:rsid w:val="002255A2"/>
    <w:rsid w:val="002257B2"/>
    <w:rsid w:val="00226117"/>
    <w:rsid w:val="002264B8"/>
    <w:rsid w:val="002264E6"/>
    <w:rsid w:val="0022652E"/>
    <w:rsid w:val="00226536"/>
    <w:rsid w:val="00226AA6"/>
    <w:rsid w:val="00226AB8"/>
    <w:rsid w:val="00226C03"/>
    <w:rsid w:val="002270DD"/>
    <w:rsid w:val="0022732A"/>
    <w:rsid w:val="0022757F"/>
    <w:rsid w:val="00227A2F"/>
    <w:rsid w:val="00227BB4"/>
    <w:rsid w:val="00227F4F"/>
    <w:rsid w:val="00230780"/>
    <w:rsid w:val="00230ACC"/>
    <w:rsid w:val="00230E7C"/>
    <w:rsid w:val="00230EC2"/>
    <w:rsid w:val="00230F05"/>
    <w:rsid w:val="00231176"/>
    <w:rsid w:val="00231363"/>
    <w:rsid w:val="00231578"/>
    <w:rsid w:val="00231C7D"/>
    <w:rsid w:val="00231C82"/>
    <w:rsid w:val="00231F1D"/>
    <w:rsid w:val="002327EE"/>
    <w:rsid w:val="00232D09"/>
    <w:rsid w:val="002338D9"/>
    <w:rsid w:val="00233A29"/>
    <w:rsid w:val="00233DBC"/>
    <w:rsid w:val="00233EAE"/>
    <w:rsid w:val="00234069"/>
    <w:rsid w:val="002341E2"/>
    <w:rsid w:val="00234505"/>
    <w:rsid w:val="002346C2"/>
    <w:rsid w:val="00234716"/>
    <w:rsid w:val="0023492D"/>
    <w:rsid w:val="00234BEC"/>
    <w:rsid w:val="00234F91"/>
    <w:rsid w:val="0023590A"/>
    <w:rsid w:val="00235951"/>
    <w:rsid w:val="002366F5"/>
    <w:rsid w:val="002366F6"/>
    <w:rsid w:val="00236817"/>
    <w:rsid w:val="00236FDF"/>
    <w:rsid w:val="002378DE"/>
    <w:rsid w:val="00237EC5"/>
    <w:rsid w:val="002404FD"/>
    <w:rsid w:val="00240638"/>
    <w:rsid w:val="00240AF4"/>
    <w:rsid w:val="00241094"/>
    <w:rsid w:val="002413C9"/>
    <w:rsid w:val="002416DC"/>
    <w:rsid w:val="002416E5"/>
    <w:rsid w:val="00241C63"/>
    <w:rsid w:val="00241F9D"/>
    <w:rsid w:val="0024204F"/>
    <w:rsid w:val="002435C7"/>
    <w:rsid w:val="00243712"/>
    <w:rsid w:val="00243777"/>
    <w:rsid w:val="00243936"/>
    <w:rsid w:val="00244736"/>
    <w:rsid w:val="00244A26"/>
    <w:rsid w:val="00244C97"/>
    <w:rsid w:val="00244F4B"/>
    <w:rsid w:val="002453CC"/>
    <w:rsid w:val="00245A54"/>
    <w:rsid w:val="00245BF3"/>
    <w:rsid w:val="00245F1E"/>
    <w:rsid w:val="002465C3"/>
    <w:rsid w:val="0024665E"/>
    <w:rsid w:val="002468EC"/>
    <w:rsid w:val="00246BFA"/>
    <w:rsid w:val="00247898"/>
    <w:rsid w:val="00250008"/>
    <w:rsid w:val="00250493"/>
    <w:rsid w:val="00250B73"/>
    <w:rsid w:val="00250EAB"/>
    <w:rsid w:val="00251816"/>
    <w:rsid w:val="00251B31"/>
    <w:rsid w:val="00251BF6"/>
    <w:rsid w:val="00251C0D"/>
    <w:rsid w:val="00251E16"/>
    <w:rsid w:val="00252789"/>
    <w:rsid w:val="00252A4E"/>
    <w:rsid w:val="00253356"/>
    <w:rsid w:val="002538E9"/>
    <w:rsid w:val="00253E63"/>
    <w:rsid w:val="00253F1A"/>
    <w:rsid w:val="00254B73"/>
    <w:rsid w:val="00254DAF"/>
    <w:rsid w:val="00254F1E"/>
    <w:rsid w:val="00254F48"/>
    <w:rsid w:val="00254F6C"/>
    <w:rsid w:val="0025516B"/>
    <w:rsid w:val="002556E9"/>
    <w:rsid w:val="00255CD4"/>
    <w:rsid w:val="00255CF9"/>
    <w:rsid w:val="00255DDB"/>
    <w:rsid w:val="0025654C"/>
    <w:rsid w:val="0025658B"/>
    <w:rsid w:val="00256AB5"/>
    <w:rsid w:val="00256CEB"/>
    <w:rsid w:val="002573C3"/>
    <w:rsid w:val="00260416"/>
    <w:rsid w:val="00260E21"/>
    <w:rsid w:val="002610EB"/>
    <w:rsid w:val="002614B6"/>
    <w:rsid w:val="0026190D"/>
    <w:rsid w:val="00261C60"/>
    <w:rsid w:val="00262252"/>
    <w:rsid w:val="00262871"/>
    <w:rsid w:val="002628C8"/>
    <w:rsid w:val="00262952"/>
    <w:rsid w:val="00262A89"/>
    <w:rsid w:val="00262BD5"/>
    <w:rsid w:val="00262EC5"/>
    <w:rsid w:val="00262F8B"/>
    <w:rsid w:val="002638C4"/>
    <w:rsid w:val="00263B11"/>
    <w:rsid w:val="00263F33"/>
    <w:rsid w:val="00263F76"/>
    <w:rsid w:val="002641C6"/>
    <w:rsid w:val="00264228"/>
    <w:rsid w:val="00264693"/>
    <w:rsid w:val="00265506"/>
    <w:rsid w:val="002659C4"/>
    <w:rsid w:val="00265EE1"/>
    <w:rsid w:val="002661FB"/>
    <w:rsid w:val="002663B1"/>
    <w:rsid w:val="00266734"/>
    <w:rsid w:val="00266B4C"/>
    <w:rsid w:val="00266BB7"/>
    <w:rsid w:val="00267F1D"/>
    <w:rsid w:val="00267FA0"/>
    <w:rsid w:val="0027005B"/>
    <w:rsid w:val="00270072"/>
    <w:rsid w:val="002703B2"/>
    <w:rsid w:val="002708B6"/>
    <w:rsid w:val="002708FA"/>
    <w:rsid w:val="00270F8F"/>
    <w:rsid w:val="002712DD"/>
    <w:rsid w:val="002715D4"/>
    <w:rsid w:val="002715FE"/>
    <w:rsid w:val="00271715"/>
    <w:rsid w:val="00271E00"/>
    <w:rsid w:val="002720B1"/>
    <w:rsid w:val="0027222E"/>
    <w:rsid w:val="00272857"/>
    <w:rsid w:val="00272B5D"/>
    <w:rsid w:val="00273236"/>
    <w:rsid w:val="002739E8"/>
    <w:rsid w:val="00273B7B"/>
    <w:rsid w:val="00273F1E"/>
    <w:rsid w:val="00273F85"/>
    <w:rsid w:val="00273FE5"/>
    <w:rsid w:val="00274F08"/>
    <w:rsid w:val="00274FD9"/>
    <w:rsid w:val="00275113"/>
    <w:rsid w:val="002756FB"/>
    <w:rsid w:val="00275929"/>
    <w:rsid w:val="00276040"/>
    <w:rsid w:val="00276DBA"/>
    <w:rsid w:val="0027722B"/>
    <w:rsid w:val="002774BF"/>
    <w:rsid w:val="00277508"/>
    <w:rsid w:val="00277927"/>
    <w:rsid w:val="00277A37"/>
    <w:rsid w:val="00277B22"/>
    <w:rsid w:val="00277C35"/>
    <w:rsid w:val="00277D69"/>
    <w:rsid w:val="002802CC"/>
    <w:rsid w:val="00280449"/>
    <w:rsid w:val="002807AA"/>
    <w:rsid w:val="00280DE2"/>
    <w:rsid w:val="00280ED5"/>
    <w:rsid w:val="00281B84"/>
    <w:rsid w:val="00281BE6"/>
    <w:rsid w:val="00281CA7"/>
    <w:rsid w:val="00281CA8"/>
    <w:rsid w:val="00282104"/>
    <w:rsid w:val="002822A7"/>
    <w:rsid w:val="002823F5"/>
    <w:rsid w:val="00282628"/>
    <w:rsid w:val="002830D2"/>
    <w:rsid w:val="00283174"/>
    <w:rsid w:val="002832DB"/>
    <w:rsid w:val="00283332"/>
    <w:rsid w:val="0028367A"/>
    <w:rsid w:val="0028396E"/>
    <w:rsid w:val="00283FEB"/>
    <w:rsid w:val="00283FEC"/>
    <w:rsid w:val="00284766"/>
    <w:rsid w:val="00285ECC"/>
    <w:rsid w:val="00285ECD"/>
    <w:rsid w:val="0028604C"/>
    <w:rsid w:val="002860D2"/>
    <w:rsid w:val="00286648"/>
    <w:rsid w:val="0028664D"/>
    <w:rsid w:val="002868E7"/>
    <w:rsid w:val="00286937"/>
    <w:rsid w:val="00286A2D"/>
    <w:rsid w:val="002874EE"/>
    <w:rsid w:val="00287A00"/>
    <w:rsid w:val="00287CB9"/>
    <w:rsid w:val="00287CD3"/>
    <w:rsid w:val="00290BD9"/>
    <w:rsid w:val="00290CE3"/>
    <w:rsid w:val="00290DE5"/>
    <w:rsid w:val="00290F2C"/>
    <w:rsid w:val="00291030"/>
    <w:rsid w:val="00291187"/>
    <w:rsid w:val="002916B4"/>
    <w:rsid w:val="0029240A"/>
    <w:rsid w:val="002926AA"/>
    <w:rsid w:val="002927E0"/>
    <w:rsid w:val="00292C6F"/>
    <w:rsid w:val="00292D6B"/>
    <w:rsid w:val="00292F22"/>
    <w:rsid w:val="002933D0"/>
    <w:rsid w:val="00293584"/>
    <w:rsid w:val="00293F78"/>
    <w:rsid w:val="0029440D"/>
    <w:rsid w:val="0029453C"/>
    <w:rsid w:val="00294AAC"/>
    <w:rsid w:val="00294E8F"/>
    <w:rsid w:val="00295052"/>
    <w:rsid w:val="0029528D"/>
    <w:rsid w:val="002953D2"/>
    <w:rsid w:val="00295714"/>
    <w:rsid w:val="00295A8F"/>
    <w:rsid w:val="00295E2E"/>
    <w:rsid w:val="002963B4"/>
    <w:rsid w:val="002964C0"/>
    <w:rsid w:val="002967A6"/>
    <w:rsid w:val="002968CE"/>
    <w:rsid w:val="0029733B"/>
    <w:rsid w:val="00297E8C"/>
    <w:rsid w:val="00297EB3"/>
    <w:rsid w:val="002A026B"/>
    <w:rsid w:val="002A0587"/>
    <w:rsid w:val="002A0832"/>
    <w:rsid w:val="002A138F"/>
    <w:rsid w:val="002A1EEB"/>
    <w:rsid w:val="002A1FBE"/>
    <w:rsid w:val="002A239B"/>
    <w:rsid w:val="002A2522"/>
    <w:rsid w:val="002A29A7"/>
    <w:rsid w:val="002A2C03"/>
    <w:rsid w:val="002A3A1E"/>
    <w:rsid w:val="002A3AAF"/>
    <w:rsid w:val="002A3C2F"/>
    <w:rsid w:val="002A41AD"/>
    <w:rsid w:val="002A4C81"/>
    <w:rsid w:val="002A4F80"/>
    <w:rsid w:val="002A5219"/>
    <w:rsid w:val="002A5CFB"/>
    <w:rsid w:val="002A6147"/>
    <w:rsid w:val="002A697A"/>
    <w:rsid w:val="002A7D33"/>
    <w:rsid w:val="002A7E42"/>
    <w:rsid w:val="002B03B3"/>
    <w:rsid w:val="002B04B9"/>
    <w:rsid w:val="002B050D"/>
    <w:rsid w:val="002B1365"/>
    <w:rsid w:val="002B14D0"/>
    <w:rsid w:val="002B20BC"/>
    <w:rsid w:val="002B211F"/>
    <w:rsid w:val="002B220E"/>
    <w:rsid w:val="002B2603"/>
    <w:rsid w:val="002B2A0A"/>
    <w:rsid w:val="002B2E30"/>
    <w:rsid w:val="002B2E76"/>
    <w:rsid w:val="002B2ECC"/>
    <w:rsid w:val="002B2FE0"/>
    <w:rsid w:val="002B34FD"/>
    <w:rsid w:val="002B356B"/>
    <w:rsid w:val="002B38D2"/>
    <w:rsid w:val="002B3A92"/>
    <w:rsid w:val="002B3AF5"/>
    <w:rsid w:val="002B3F15"/>
    <w:rsid w:val="002B3FD9"/>
    <w:rsid w:val="002B3FE2"/>
    <w:rsid w:val="002B4091"/>
    <w:rsid w:val="002B4187"/>
    <w:rsid w:val="002B4370"/>
    <w:rsid w:val="002B43D2"/>
    <w:rsid w:val="002B4512"/>
    <w:rsid w:val="002B48A5"/>
    <w:rsid w:val="002B5586"/>
    <w:rsid w:val="002B5FD5"/>
    <w:rsid w:val="002B6213"/>
    <w:rsid w:val="002B62E5"/>
    <w:rsid w:val="002B667F"/>
    <w:rsid w:val="002B71CF"/>
    <w:rsid w:val="002B7B62"/>
    <w:rsid w:val="002C0255"/>
    <w:rsid w:val="002C0F07"/>
    <w:rsid w:val="002C18BC"/>
    <w:rsid w:val="002C1A52"/>
    <w:rsid w:val="002C1CF6"/>
    <w:rsid w:val="002C1DB5"/>
    <w:rsid w:val="002C2095"/>
    <w:rsid w:val="002C24B5"/>
    <w:rsid w:val="002C26B0"/>
    <w:rsid w:val="002C28C5"/>
    <w:rsid w:val="002C2BB5"/>
    <w:rsid w:val="002C2CE8"/>
    <w:rsid w:val="002C2E21"/>
    <w:rsid w:val="002C303C"/>
    <w:rsid w:val="002C331C"/>
    <w:rsid w:val="002C36AF"/>
    <w:rsid w:val="002C3768"/>
    <w:rsid w:val="002C3BA2"/>
    <w:rsid w:val="002C3CD4"/>
    <w:rsid w:val="002C3E6E"/>
    <w:rsid w:val="002C4177"/>
    <w:rsid w:val="002C41A7"/>
    <w:rsid w:val="002C478A"/>
    <w:rsid w:val="002C4A6E"/>
    <w:rsid w:val="002C4DE9"/>
    <w:rsid w:val="002C577D"/>
    <w:rsid w:val="002C5AD8"/>
    <w:rsid w:val="002C5B3F"/>
    <w:rsid w:val="002C5B49"/>
    <w:rsid w:val="002C600A"/>
    <w:rsid w:val="002C6105"/>
    <w:rsid w:val="002C6207"/>
    <w:rsid w:val="002C6325"/>
    <w:rsid w:val="002C66FB"/>
    <w:rsid w:val="002C6811"/>
    <w:rsid w:val="002C723E"/>
    <w:rsid w:val="002C7390"/>
    <w:rsid w:val="002C7B3A"/>
    <w:rsid w:val="002C7E6C"/>
    <w:rsid w:val="002D001B"/>
    <w:rsid w:val="002D0844"/>
    <w:rsid w:val="002D0B6D"/>
    <w:rsid w:val="002D0EC3"/>
    <w:rsid w:val="002D1720"/>
    <w:rsid w:val="002D18BE"/>
    <w:rsid w:val="002D1B1A"/>
    <w:rsid w:val="002D1C08"/>
    <w:rsid w:val="002D1E1A"/>
    <w:rsid w:val="002D1F73"/>
    <w:rsid w:val="002D2104"/>
    <w:rsid w:val="002D21AF"/>
    <w:rsid w:val="002D2447"/>
    <w:rsid w:val="002D2582"/>
    <w:rsid w:val="002D2C03"/>
    <w:rsid w:val="002D2C1C"/>
    <w:rsid w:val="002D371B"/>
    <w:rsid w:val="002D3767"/>
    <w:rsid w:val="002D3B38"/>
    <w:rsid w:val="002D4383"/>
    <w:rsid w:val="002D48F9"/>
    <w:rsid w:val="002D52BA"/>
    <w:rsid w:val="002D5437"/>
    <w:rsid w:val="002D546B"/>
    <w:rsid w:val="002D57A7"/>
    <w:rsid w:val="002D5A43"/>
    <w:rsid w:val="002D5D16"/>
    <w:rsid w:val="002D6406"/>
    <w:rsid w:val="002D64B9"/>
    <w:rsid w:val="002D69B6"/>
    <w:rsid w:val="002D69F5"/>
    <w:rsid w:val="002D6E08"/>
    <w:rsid w:val="002D6EE0"/>
    <w:rsid w:val="002D7047"/>
    <w:rsid w:val="002D76DA"/>
    <w:rsid w:val="002D7CF8"/>
    <w:rsid w:val="002E0275"/>
    <w:rsid w:val="002E0368"/>
    <w:rsid w:val="002E0701"/>
    <w:rsid w:val="002E0FEB"/>
    <w:rsid w:val="002E15C0"/>
    <w:rsid w:val="002E15FD"/>
    <w:rsid w:val="002E1641"/>
    <w:rsid w:val="002E19D8"/>
    <w:rsid w:val="002E2BFD"/>
    <w:rsid w:val="002E2C04"/>
    <w:rsid w:val="002E2D3E"/>
    <w:rsid w:val="002E3188"/>
    <w:rsid w:val="002E3362"/>
    <w:rsid w:val="002E3AD6"/>
    <w:rsid w:val="002E3B19"/>
    <w:rsid w:val="002E3CA6"/>
    <w:rsid w:val="002E3D2B"/>
    <w:rsid w:val="002E3DE5"/>
    <w:rsid w:val="002E3F65"/>
    <w:rsid w:val="002E48C8"/>
    <w:rsid w:val="002E4BFC"/>
    <w:rsid w:val="002E4D85"/>
    <w:rsid w:val="002E54FB"/>
    <w:rsid w:val="002E565C"/>
    <w:rsid w:val="002E570D"/>
    <w:rsid w:val="002E5A45"/>
    <w:rsid w:val="002E5D57"/>
    <w:rsid w:val="002E5DB5"/>
    <w:rsid w:val="002E5F69"/>
    <w:rsid w:val="002E5FE6"/>
    <w:rsid w:val="002E60A6"/>
    <w:rsid w:val="002E6649"/>
    <w:rsid w:val="002E666B"/>
    <w:rsid w:val="002E71B9"/>
    <w:rsid w:val="002E7397"/>
    <w:rsid w:val="002E7535"/>
    <w:rsid w:val="002E790E"/>
    <w:rsid w:val="002F00A3"/>
    <w:rsid w:val="002F00CB"/>
    <w:rsid w:val="002F01FA"/>
    <w:rsid w:val="002F04EF"/>
    <w:rsid w:val="002F09A4"/>
    <w:rsid w:val="002F0B65"/>
    <w:rsid w:val="002F0CD6"/>
    <w:rsid w:val="002F126D"/>
    <w:rsid w:val="002F131E"/>
    <w:rsid w:val="002F1533"/>
    <w:rsid w:val="002F1674"/>
    <w:rsid w:val="002F18B0"/>
    <w:rsid w:val="002F1B5A"/>
    <w:rsid w:val="002F1FAE"/>
    <w:rsid w:val="002F2071"/>
    <w:rsid w:val="002F2704"/>
    <w:rsid w:val="002F2D3A"/>
    <w:rsid w:val="002F2E24"/>
    <w:rsid w:val="002F3127"/>
    <w:rsid w:val="002F31F7"/>
    <w:rsid w:val="002F32B1"/>
    <w:rsid w:val="002F33BE"/>
    <w:rsid w:val="002F3918"/>
    <w:rsid w:val="002F407A"/>
    <w:rsid w:val="002F4502"/>
    <w:rsid w:val="002F5512"/>
    <w:rsid w:val="002F6372"/>
    <w:rsid w:val="002F69E4"/>
    <w:rsid w:val="002F6E16"/>
    <w:rsid w:val="002F6EA8"/>
    <w:rsid w:val="002F718E"/>
    <w:rsid w:val="002F772F"/>
    <w:rsid w:val="002F798B"/>
    <w:rsid w:val="002F7BA4"/>
    <w:rsid w:val="002F7C7D"/>
    <w:rsid w:val="00300127"/>
    <w:rsid w:val="003006C9"/>
    <w:rsid w:val="003009D3"/>
    <w:rsid w:val="00300AA4"/>
    <w:rsid w:val="00300AF1"/>
    <w:rsid w:val="00300C0E"/>
    <w:rsid w:val="00300E68"/>
    <w:rsid w:val="00300F47"/>
    <w:rsid w:val="00301384"/>
    <w:rsid w:val="00301469"/>
    <w:rsid w:val="0030152C"/>
    <w:rsid w:val="00301591"/>
    <w:rsid w:val="003018C2"/>
    <w:rsid w:val="003019F2"/>
    <w:rsid w:val="00301DB3"/>
    <w:rsid w:val="00302284"/>
    <w:rsid w:val="00303333"/>
    <w:rsid w:val="003035A9"/>
    <w:rsid w:val="00303826"/>
    <w:rsid w:val="003038C4"/>
    <w:rsid w:val="00303CE2"/>
    <w:rsid w:val="00303DBC"/>
    <w:rsid w:val="00304984"/>
    <w:rsid w:val="00304B2D"/>
    <w:rsid w:val="00304BDF"/>
    <w:rsid w:val="00304DE3"/>
    <w:rsid w:val="00304E6D"/>
    <w:rsid w:val="003052AF"/>
    <w:rsid w:val="0030575C"/>
    <w:rsid w:val="00305783"/>
    <w:rsid w:val="0030643A"/>
    <w:rsid w:val="003064BC"/>
    <w:rsid w:val="00306A0E"/>
    <w:rsid w:val="00307277"/>
    <w:rsid w:val="003073BF"/>
    <w:rsid w:val="00307428"/>
    <w:rsid w:val="00307C15"/>
    <w:rsid w:val="003105EE"/>
    <w:rsid w:val="003107FA"/>
    <w:rsid w:val="003111C7"/>
    <w:rsid w:val="00311422"/>
    <w:rsid w:val="00311B94"/>
    <w:rsid w:val="00312280"/>
    <w:rsid w:val="00312A0A"/>
    <w:rsid w:val="00312E53"/>
    <w:rsid w:val="00312F95"/>
    <w:rsid w:val="00313112"/>
    <w:rsid w:val="00313919"/>
    <w:rsid w:val="00313B4D"/>
    <w:rsid w:val="00314900"/>
    <w:rsid w:val="00314C7C"/>
    <w:rsid w:val="003151B9"/>
    <w:rsid w:val="003159BE"/>
    <w:rsid w:val="00315EDA"/>
    <w:rsid w:val="00316019"/>
    <w:rsid w:val="0031606A"/>
    <w:rsid w:val="003160D0"/>
    <w:rsid w:val="0031610F"/>
    <w:rsid w:val="003162B2"/>
    <w:rsid w:val="0031734C"/>
    <w:rsid w:val="00317AAC"/>
    <w:rsid w:val="00317B0B"/>
    <w:rsid w:val="00317E14"/>
    <w:rsid w:val="00317E71"/>
    <w:rsid w:val="003202A7"/>
    <w:rsid w:val="003206A5"/>
    <w:rsid w:val="00320A31"/>
    <w:rsid w:val="00320D8E"/>
    <w:rsid w:val="003214F5"/>
    <w:rsid w:val="003216BB"/>
    <w:rsid w:val="00321892"/>
    <w:rsid w:val="0032245B"/>
    <w:rsid w:val="00323EBD"/>
    <w:rsid w:val="00323F40"/>
    <w:rsid w:val="003241A3"/>
    <w:rsid w:val="003242E5"/>
    <w:rsid w:val="00324DE7"/>
    <w:rsid w:val="00325407"/>
    <w:rsid w:val="0032546A"/>
    <w:rsid w:val="003254F0"/>
    <w:rsid w:val="00325A24"/>
    <w:rsid w:val="00325D83"/>
    <w:rsid w:val="00325FDC"/>
    <w:rsid w:val="003262E2"/>
    <w:rsid w:val="0032635F"/>
    <w:rsid w:val="003265C6"/>
    <w:rsid w:val="00326726"/>
    <w:rsid w:val="00326828"/>
    <w:rsid w:val="00326917"/>
    <w:rsid w:val="003269F9"/>
    <w:rsid w:val="0032727B"/>
    <w:rsid w:val="00327329"/>
    <w:rsid w:val="003303FF"/>
    <w:rsid w:val="00331335"/>
    <w:rsid w:val="003313B2"/>
    <w:rsid w:val="00331B04"/>
    <w:rsid w:val="00331D10"/>
    <w:rsid w:val="0033223D"/>
    <w:rsid w:val="00332333"/>
    <w:rsid w:val="0033246B"/>
    <w:rsid w:val="0033249A"/>
    <w:rsid w:val="003325EA"/>
    <w:rsid w:val="00332803"/>
    <w:rsid w:val="00332998"/>
    <w:rsid w:val="00332BF6"/>
    <w:rsid w:val="00332C4A"/>
    <w:rsid w:val="00333014"/>
    <w:rsid w:val="00333158"/>
    <w:rsid w:val="0033316B"/>
    <w:rsid w:val="00333B8E"/>
    <w:rsid w:val="00333DAD"/>
    <w:rsid w:val="00333E43"/>
    <w:rsid w:val="00333EAE"/>
    <w:rsid w:val="00334033"/>
    <w:rsid w:val="003341D2"/>
    <w:rsid w:val="0033445D"/>
    <w:rsid w:val="00334880"/>
    <w:rsid w:val="00334C66"/>
    <w:rsid w:val="00335B00"/>
    <w:rsid w:val="00335BF3"/>
    <w:rsid w:val="00335F53"/>
    <w:rsid w:val="00336074"/>
    <w:rsid w:val="003361BF"/>
    <w:rsid w:val="003361D6"/>
    <w:rsid w:val="00336582"/>
    <w:rsid w:val="0033659D"/>
    <w:rsid w:val="00336FD3"/>
    <w:rsid w:val="0033732F"/>
    <w:rsid w:val="0033755A"/>
    <w:rsid w:val="003377E4"/>
    <w:rsid w:val="00337D9A"/>
    <w:rsid w:val="00340436"/>
    <w:rsid w:val="00340A2B"/>
    <w:rsid w:val="00340C70"/>
    <w:rsid w:val="00340C9B"/>
    <w:rsid w:val="003414AA"/>
    <w:rsid w:val="00341846"/>
    <w:rsid w:val="00341B59"/>
    <w:rsid w:val="00341C8D"/>
    <w:rsid w:val="00341FEC"/>
    <w:rsid w:val="003421B5"/>
    <w:rsid w:val="00342218"/>
    <w:rsid w:val="00342676"/>
    <w:rsid w:val="00342A03"/>
    <w:rsid w:val="00342C7C"/>
    <w:rsid w:val="003437C6"/>
    <w:rsid w:val="00343F5A"/>
    <w:rsid w:val="00344637"/>
    <w:rsid w:val="00344D9F"/>
    <w:rsid w:val="003455E7"/>
    <w:rsid w:val="00345950"/>
    <w:rsid w:val="00345ABB"/>
    <w:rsid w:val="00345F41"/>
    <w:rsid w:val="00346A30"/>
    <w:rsid w:val="00346B91"/>
    <w:rsid w:val="00346BDF"/>
    <w:rsid w:val="00346C24"/>
    <w:rsid w:val="003475CE"/>
    <w:rsid w:val="00350414"/>
    <w:rsid w:val="003504CD"/>
    <w:rsid w:val="00350505"/>
    <w:rsid w:val="00350512"/>
    <w:rsid w:val="00350B3D"/>
    <w:rsid w:val="00350C33"/>
    <w:rsid w:val="003513B3"/>
    <w:rsid w:val="0035172B"/>
    <w:rsid w:val="00351CA0"/>
    <w:rsid w:val="00351D01"/>
    <w:rsid w:val="0035235C"/>
    <w:rsid w:val="00352445"/>
    <w:rsid w:val="003528BA"/>
    <w:rsid w:val="0035298D"/>
    <w:rsid w:val="00352C17"/>
    <w:rsid w:val="00352CD0"/>
    <w:rsid w:val="003534C1"/>
    <w:rsid w:val="00353DE2"/>
    <w:rsid w:val="00353EFF"/>
    <w:rsid w:val="00354308"/>
    <w:rsid w:val="00355422"/>
    <w:rsid w:val="00355B71"/>
    <w:rsid w:val="00355CE0"/>
    <w:rsid w:val="00355EF2"/>
    <w:rsid w:val="00355EF5"/>
    <w:rsid w:val="00356678"/>
    <w:rsid w:val="0035684F"/>
    <w:rsid w:val="003569BA"/>
    <w:rsid w:val="003576F7"/>
    <w:rsid w:val="00360888"/>
    <w:rsid w:val="00360B52"/>
    <w:rsid w:val="00360CAA"/>
    <w:rsid w:val="00360D50"/>
    <w:rsid w:val="003617CA"/>
    <w:rsid w:val="0036200F"/>
    <w:rsid w:val="0036231C"/>
    <w:rsid w:val="0036234B"/>
    <w:rsid w:val="00362399"/>
    <w:rsid w:val="003625CE"/>
    <w:rsid w:val="0036265D"/>
    <w:rsid w:val="003626B1"/>
    <w:rsid w:val="0036287D"/>
    <w:rsid w:val="00362A4A"/>
    <w:rsid w:val="00362DC1"/>
    <w:rsid w:val="00362DCA"/>
    <w:rsid w:val="003635D2"/>
    <w:rsid w:val="00363A0D"/>
    <w:rsid w:val="00363D83"/>
    <w:rsid w:val="0036404B"/>
    <w:rsid w:val="003650F8"/>
    <w:rsid w:val="0036515E"/>
    <w:rsid w:val="00365400"/>
    <w:rsid w:val="003654A5"/>
    <w:rsid w:val="00365742"/>
    <w:rsid w:val="00366050"/>
    <w:rsid w:val="00366573"/>
    <w:rsid w:val="003668D1"/>
    <w:rsid w:val="00367513"/>
    <w:rsid w:val="00367D90"/>
    <w:rsid w:val="00367F86"/>
    <w:rsid w:val="0037008A"/>
    <w:rsid w:val="00370ACF"/>
    <w:rsid w:val="00370B59"/>
    <w:rsid w:val="00370DD3"/>
    <w:rsid w:val="00370E6D"/>
    <w:rsid w:val="00371AF6"/>
    <w:rsid w:val="00371B97"/>
    <w:rsid w:val="00371FC5"/>
    <w:rsid w:val="003720E5"/>
    <w:rsid w:val="0037210A"/>
    <w:rsid w:val="00372143"/>
    <w:rsid w:val="0037277B"/>
    <w:rsid w:val="0037281F"/>
    <w:rsid w:val="00372A03"/>
    <w:rsid w:val="003730E3"/>
    <w:rsid w:val="0037311D"/>
    <w:rsid w:val="003744A4"/>
    <w:rsid w:val="00374547"/>
    <w:rsid w:val="00374730"/>
    <w:rsid w:val="00374C71"/>
    <w:rsid w:val="00375076"/>
    <w:rsid w:val="0037584F"/>
    <w:rsid w:val="00375894"/>
    <w:rsid w:val="0037658E"/>
    <w:rsid w:val="00376802"/>
    <w:rsid w:val="00376D07"/>
    <w:rsid w:val="00377294"/>
    <w:rsid w:val="0037760A"/>
    <w:rsid w:val="00377692"/>
    <w:rsid w:val="00377854"/>
    <w:rsid w:val="003779FE"/>
    <w:rsid w:val="00377B9B"/>
    <w:rsid w:val="00377C2D"/>
    <w:rsid w:val="00377C4A"/>
    <w:rsid w:val="00377E0A"/>
    <w:rsid w:val="00377E22"/>
    <w:rsid w:val="00380402"/>
    <w:rsid w:val="0038060C"/>
    <w:rsid w:val="00380C9F"/>
    <w:rsid w:val="00380EC4"/>
    <w:rsid w:val="00380F14"/>
    <w:rsid w:val="00380FBF"/>
    <w:rsid w:val="0038127D"/>
    <w:rsid w:val="003812B5"/>
    <w:rsid w:val="003818CB"/>
    <w:rsid w:val="003818DA"/>
    <w:rsid w:val="00382054"/>
    <w:rsid w:val="0038261B"/>
    <w:rsid w:val="00382B57"/>
    <w:rsid w:val="00382EAD"/>
    <w:rsid w:val="003831EF"/>
    <w:rsid w:val="003836FE"/>
    <w:rsid w:val="00383C70"/>
    <w:rsid w:val="00384284"/>
    <w:rsid w:val="00384464"/>
    <w:rsid w:val="00384755"/>
    <w:rsid w:val="003847D4"/>
    <w:rsid w:val="00384D8F"/>
    <w:rsid w:val="00384EE5"/>
    <w:rsid w:val="00385271"/>
    <w:rsid w:val="00385300"/>
    <w:rsid w:val="003853F9"/>
    <w:rsid w:val="0038596A"/>
    <w:rsid w:val="00385D4E"/>
    <w:rsid w:val="0038606B"/>
    <w:rsid w:val="00386285"/>
    <w:rsid w:val="0038631A"/>
    <w:rsid w:val="00386354"/>
    <w:rsid w:val="0038666E"/>
    <w:rsid w:val="003866BB"/>
    <w:rsid w:val="00387142"/>
    <w:rsid w:val="00387372"/>
    <w:rsid w:val="003874A4"/>
    <w:rsid w:val="003877DF"/>
    <w:rsid w:val="00387E25"/>
    <w:rsid w:val="00387EEF"/>
    <w:rsid w:val="00390362"/>
    <w:rsid w:val="00390468"/>
    <w:rsid w:val="00390F6A"/>
    <w:rsid w:val="003911BD"/>
    <w:rsid w:val="003916F9"/>
    <w:rsid w:val="00391736"/>
    <w:rsid w:val="00391754"/>
    <w:rsid w:val="00391BE2"/>
    <w:rsid w:val="003924E1"/>
    <w:rsid w:val="00392615"/>
    <w:rsid w:val="00392A0E"/>
    <w:rsid w:val="00393246"/>
    <w:rsid w:val="0039389D"/>
    <w:rsid w:val="00393EDA"/>
    <w:rsid w:val="0039410A"/>
    <w:rsid w:val="00394327"/>
    <w:rsid w:val="00394502"/>
    <w:rsid w:val="00394614"/>
    <w:rsid w:val="00394710"/>
    <w:rsid w:val="00394B30"/>
    <w:rsid w:val="00394BBF"/>
    <w:rsid w:val="00395280"/>
    <w:rsid w:val="003952BA"/>
    <w:rsid w:val="003956F9"/>
    <w:rsid w:val="00395B7E"/>
    <w:rsid w:val="00395BB3"/>
    <w:rsid w:val="00395E3F"/>
    <w:rsid w:val="003963F1"/>
    <w:rsid w:val="003964CC"/>
    <w:rsid w:val="0039669A"/>
    <w:rsid w:val="00396AA4"/>
    <w:rsid w:val="00396B07"/>
    <w:rsid w:val="00396FF0"/>
    <w:rsid w:val="00397401"/>
    <w:rsid w:val="00397825"/>
    <w:rsid w:val="00397B3E"/>
    <w:rsid w:val="00397F21"/>
    <w:rsid w:val="003A012E"/>
    <w:rsid w:val="003A0304"/>
    <w:rsid w:val="003A04A3"/>
    <w:rsid w:val="003A08B3"/>
    <w:rsid w:val="003A0B28"/>
    <w:rsid w:val="003A0B37"/>
    <w:rsid w:val="003A10C5"/>
    <w:rsid w:val="003A1AA7"/>
    <w:rsid w:val="003A1CCC"/>
    <w:rsid w:val="003A2454"/>
    <w:rsid w:val="003A25FB"/>
    <w:rsid w:val="003A282A"/>
    <w:rsid w:val="003A2FCE"/>
    <w:rsid w:val="003A33AD"/>
    <w:rsid w:val="003A3546"/>
    <w:rsid w:val="003A358A"/>
    <w:rsid w:val="003A3BB7"/>
    <w:rsid w:val="003A3D7A"/>
    <w:rsid w:val="003A3DF6"/>
    <w:rsid w:val="003A3F0B"/>
    <w:rsid w:val="003A4475"/>
    <w:rsid w:val="003A4E0D"/>
    <w:rsid w:val="003A4F1A"/>
    <w:rsid w:val="003A544C"/>
    <w:rsid w:val="003A5471"/>
    <w:rsid w:val="003A57AF"/>
    <w:rsid w:val="003A57CC"/>
    <w:rsid w:val="003A58A6"/>
    <w:rsid w:val="003A5D7C"/>
    <w:rsid w:val="003A5E13"/>
    <w:rsid w:val="003A5E4A"/>
    <w:rsid w:val="003A61A1"/>
    <w:rsid w:val="003A6286"/>
    <w:rsid w:val="003A62E3"/>
    <w:rsid w:val="003A6731"/>
    <w:rsid w:val="003A691F"/>
    <w:rsid w:val="003A6953"/>
    <w:rsid w:val="003A69C0"/>
    <w:rsid w:val="003A6CA6"/>
    <w:rsid w:val="003A6D1D"/>
    <w:rsid w:val="003A6DA5"/>
    <w:rsid w:val="003A6E35"/>
    <w:rsid w:val="003A6FBA"/>
    <w:rsid w:val="003A75D1"/>
    <w:rsid w:val="003A78D3"/>
    <w:rsid w:val="003B0240"/>
    <w:rsid w:val="003B0783"/>
    <w:rsid w:val="003B08A1"/>
    <w:rsid w:val="003B0D56"/>
    <w:rsid w:val="003B1121"/>
    <w:rsid w:val="003B149A"/>
    <w:rsid w:val="003B17A9"/>
    <w:rsid w:val="003B1B52"/>
    <w:rsid w:val="003B1EE3"/>
    <w:rsid w:val="003B1FE4"/>
    <w:rsid w:val="003B21E2"/>
    <w:rsid w:val="003B249B"/>
    <w:rsid w:val="003B2500"/>
    <w:rsid w:val="003B2550"/>
    <w:rsid w:val="003B26FE"/>
    <w:rsid w:val="003B2AB4"/>
    <w:rsid w:val="003B2C27"/>
    <w:rsid w:val="003B36D0"/>
    <w:rsid w:val="003B3CE8"/>
    <w:rsid w:val="003B3FDF"/>
    <w:rsid w:val="003B4352"/>
    <w:rsid w:val="003B443B"/>
    <w:rsid w:val="003B4DDD"/>
    <w:rsid w:val="003B5449"/>
    <w:rsid w:val="003B5FCA"/>
    <w:rsid w:val="003B62ED"/>
    <w:rsid w:val="003B65E5"/>
    <w:rsid w:val="003B677D"/>
    <w:rsid w:val="003B6D8E"/>
    <w:rsid w:val="003B7947"/>
    <w:rsid w:val="003C0701"/>
    <w:rsid w:val="003C0757"/>
    <w:rsid w:val="003C0765"/>
    <w:rsid w:val="003C0A33"/>
    <w:rsid w:val="003C0AA5"/>
    <w:rsid w:val="003C13E4"/>
    <w:rsid w:val="003C1573"/>
    <w:rsid w:val="003C1C8B"/>
    <w:rsid w:val="003C2720"/>
    <w:rsid w:val="003C2DE1"/>
    <w:rsid w:val="003C3232"/>
    <w:rsid w:val="003C3A22"/>
    <w:rsid w:val="003C3AE7"/>
    <w:rsid w:val="003C3C4F"/>
    <w:rsid w:val="003C4217"/>
    <w:rsid w:val="003C49E3"/>
    <w:rsid w:val="003C50E6"/>
    <w:rsid w:val="003C5E27"/>
    <w:rsid w:val="003C6420"/>
    <w:rsid w:val="003C6798"/>
    <w:rsid w:val="003C6987"/>
    <w:rsid w:val="003C6A20"/>
    <w:rsid w:val="003C6C19"/>
    <w:rsid w:val="003C70CF"/>
    <w:rsid w:val="003C746F"/>
    <w:rsid w:val="003C7596"/>
    <w:rsid w:val="003C7D07"/>
    <w:rsid w:val="003C7D4E"/>
    <w:rsid w:val="003C7F04"/>
    <w:rsid w:val="003D01CC"/>
    <w:rsid w:val="003D02B4"/>
    <w:rsid w:val="003D02CE"/>
    <w:rsid w:val="003D0500"/>
    <w:rsid w:val="003D060A"/>
    <w:rsid w:val="003D09DD"/>
    <w:rsid w:val="003D0E22"/>
    <w:rsid w:val="003D0EC8"/>
    <w:rsid w:val="003D1275"/>
    <w:rsid w:val="003D12EC"/>
    <w:rsid w:val="003D132E"/>
    <w:rsid w:val="003D13C8"/>
    <w:rsid w:val="003D1AB0"/>
    <w:rsid w:val="003D244A"/>
    <w:rsid w:val="003D33B2"/>
    <w:rsid w:val="003D3916"/>
    <w:rsid w:val="003D3D11"/>
    <w:rsid w:val="003D3E17"/>
    <w:rsid w:val="003D3EAD"/>
    <w:rsid w:val="003D3FAE"/>
    <w:rsid w:val="003D4032"/>
    <w:rsid w:val="003D4570"/>
    <w:rsid w:val="003D47CD"/>
    <w:rsid w:val="003D48C8"/>
    <w:rsid w:val="003D4A64"/>
    <w:rsid w:val="003D4DB7"/>
    <w:rsid w:val="003D5089"/>
    <w:rsid w:val="003D5218"/>
    <w:rsid w:val="003D52B0"/>
    <w:rsid w:val="003D599F"/>
    <w:rsid w:val="003D685C"/>
    <w:rsid w:val="003D6E04"/>
    <w:rsid w:val="003D787A"/>
    <w:rsid w:val="003D7900"/>
    <w:rsid w:val="003D7B13"/>
    <w:rsid w:val="003D7FC3"/>
    <w:rsid w:val="003E00BC"/>
    <w:rsid w:val="003E1045"/>
    <w:rsid w:val="003E11EA"/>
    <w:rsid w:val="003E1609"/>
    <w:rsid w:val="003E17EC"/>
    <w:rsid w:val="003E2017"/>
    <w:rsid w:val="003E20A5"/>
    <w:rsid w:val="003E23CB"/>
    <w:rsid w:val="003E3050"/>
    <w:rsid w:val="003E307B"/>
    <w:rsid w:val="003E31D6"/>
    <w:rsid w:val="003E33AB"/>
    <w:rsid w:val="003E341C"/>
    <w:rsid w:val="003E3711"/>
    <w:rsid w:val="003E374B"/>
    <w:rsid w:val="003E3834"/>
    <w:rsid w:val="003E395C"/>
    <w:rsid w:val="003E39E1"/>
    <w:rsid w:val="003E3C65"/>
    <w:rsid w:val="003E4232"/>
    <w:rsid w:val="003E4588"/>
    <w:rsid w:val="003E468D"/>
    <w:rsid w:val="003E4BFC"/>
    <w:rsid w:val="003E4F15"/>
    <w:rsid w:val="003E53C0"/>
    <w:rsid w:val="003E5A75"/>
    <w:rsid w:val="003E5B76"/>
    <w:rsid w:val="003E5E25"/>
    <w:rsid w:val="003E624C"/>
    <w:rsid w:val="003E6908"/>
    <w:rsid w:val="003E7542"/>
    <w:rsid w:val="003E770B"/>
    <w:rsid w:val="003E7A00"/>
    <w:rsid w:val="003E7C7F"/>
    <w:rsid w:val="003F021D"/>
    <w:rsid w:val="003F025A"/>
    <w:rsid w:val="003F061C"/>
    <w:rsid w:val="003F0636"/>
    <w:rsid w:val="003F0B3E"/>
    <w:rsid w:val="003F1110"/>
    <w:rsid w:val="003F12E9"/>
    <w:rsid w:val="003F1731"/>
    <w:rsid w:val="003F1814"/>
    <w:rsid w:val="003F23EC"/>
    <w:rsid w:val="003F2B26"/>
    <w:rsid w:val="003F34A1"/>
    <w:rsid w:val="003F356F"/>
    <w:rsid w:val="003F357F"/>
    <w:rsid w:val="003F3980"/>
    <w:rsid w:val="003F3CDE"/>
    <w:rsid w:val="003F3E14"/>
    <w:rsid w:val="003F3EA0"/>
    <w:rsid w:val="003F3EE7"/>
    <w:rsid w:val="003F42DD"/>
    <w:rsid w:val="003F431C"/>
    <w:rsid w:val="003F4439"/>
    <w:rsid w:val="003F5764"/>
    <w:rsid w:val="003F5C9E"/>
    <w:rsid w:val="003F5D38"/>
    <w:rsid w:val="003F5FD6"/>
    <w:rsid w:val="003F622F"/>
    <w:rsid w:val="003F669D"/>
    <w:rsid w:val="003F68D7"/>
    <w:rsid w:val="003F68ED"/>
    <w:rsid w:val="003F6CEF"/>
    <w:rsid w:val="003F6FD0"/>
    <w:rsid w:val="003F7387"/>
    <w:rsid w:val="003F7712"/>
    <w:rsid w:val="003F77D8"/>
    <w:rsid w:val="004007F5"/>
    <w:rsid w:val="00400988"/>
    <w:rsid w:val="00400BB4"/>
    <w:rsid w:val="004014EA"/>
    <w:rsid w:val="00401C61"/>
    <w:rsid w:val="00402295"/>
    <w:rsid w:val="004022B7"/>
    <w:rsid w:val="0040260D"/>
    <w:rsid w:val="00402712"/>
    <w:rsid w:val="00402A1B"/>
    <w:rsid w:val="00402A1F"/>
    <w:rsid w:val="00402FDF"/>
    <w:rsid w:val="0040321C"/>
    <w:rsid w:val="00403315"/>
    <w:rsid w:val="00403333"/>
    <w:rsid w:val="004034A8"/>
    <w:rsid w:val="004036AC"/>
    <w:rsid w:val="00403A42"/>
    <w:rsid w:val="00403C6A"/>
    <w:rsid w:val="00403E86"/>
    <w:rsid w:val="00404051"/>
    <w:rsid w:val="00404080"/>
    <w:rsid w:val="0040417B"/>
    <w:rsid w:val="00404498"/>
    <w:rsid w:val="00404F3B"/>
    <w:rsid w:val="00405146"/>
    <w:rsid w:val="00405B68"/>
    <w:rsid w:val="00406088"/>
    <w:rsid w:val="004064F9"/>
    <w:rsid w:val="004068D0"/>
    <w:rsid w:val="00406C18"/>
    <w:rsid w:val="00407CCC"/>
    <w:rsid w:val="00407D05"/>
    <w:rsid w:val="00407EA8"/>
    <w:rsid w:val="00407FD8"/>
    <w:rsid w:val="00410576"/>
    <w:rsid w:val="0041098A"/>
    <w:rsid w:val="00410C4C"/>
    <w:rsid w:val="00411BA9"/>
    <w:rsid w:val="00411E96"/>
    <w:rsid w:val="00412A15"/>
    <w:rsid w:val="00412D51"/>
    <w:rsid w:val="0041319A"/>
    <w:rsid w:val="00413446"/>
    <w:rsid w:val="004134F7"/>
    <w:rsid w:val="00413510"/>
    <w:rsid w:val="004135B9"/>
    <w:rsid w:val="004140D0"/>
    <w:rsid w:val="00415A38"/>
    <w:rsid w:val="00415C98"/>
    <w:rsid w:val="00416215"/>
    <w:rsid w:val="0041630E"/>
    <w:rsid w:val="00416418"/>
    <w:rsid w:val="00416573"/>
    <w:rsid w:val="004165F0"/>
    <w:rsid w:val="00416E5A"/>
    <w:rsid w:val="00416F5B"/>
    <w:rsid w:val="004172F2"/>
    <w:rsid w:val="00417480"/>
    <w:rsid w:val="00417637"/>
    <w:rsid w:val="00417D8B"/>
    <w:rsid w:val="004204A2"/>
    <w:rsid w:val="00420665"/>
    <w:rsid w:val="0042074D"/>
    <w:rsid w:val="004211C0"/>
    <w:rsid w:val="0042156E"/>
    <w:rsid w:val="00421B47"/>
    <w:rsid w:val="00422051"/>
    <w:rsid w:val="0042205C"/>
    <w:rsid w:val="00422076"/>
    <w:rsid w:val="004222F9"/>
    <w:rsid w:val="00422364"/>
    <w:rsid w:val="0042279B"/>
    <w:rsid w:val="00422AF7"/>
    <w:rsid w:val="00422DCF"/>
    <w:rsid w:val="00422FAE"/>
    <w:rsid w:val="004231DC"/>
    <w:rsid w:val="004231F0"/>
    <w:rsid w:val="00423F8B"/>
    <w:rsid w:val="0042426B"/>
    <w:rsid w:val="0042445C"/>
    <w:rsid w:val="004245E6"/>
    <w:rsid w:val="004249C7"/>
    <w:rsid w:val="00424A91"/>
    <w:rsid w:val="00425146"/>
    <w:rsid w:val="004253A3"/>
    <w:rsid w:val="00425696"/>
    <w:rsid w:val="00425D74"/>
    <w:rsid w:val="00426335"/>
    <w:rsid w:val="00426466"/>
    <w:rsid w:val="004272A1"/>
    <w:rsid w:val="00427AF4"/>
    <w:rsid w:val="00427E55"/>
    <w:rsid w:val="004306FA"/>
    <w:rsid w:val="004308A2"/>
    <w:rsid w:val="00430B7C"/>
    <w:rsid w:val="00430CF2"/>
    <w:rsid w:val="00430D0D"/>
    <w:rsid w:val="00430D10"/>
    <w:rsid w:val="0043112E"/>
    <w:rsid w:val="004314F7"/>
    <w:rsid w:val="004315D1"/>
    <w:rsid w:val="00431711"/>
    <w:rsid w:val="00432278"/>
    <w:rsid w:val="00432280"/>
    <w:rsid w:val="004322EE"/>
    <w:rsid w:val="00432467"/>
    <w:rsid w:val="004333F7"/>
    <w:rsid w:val="0043357B"/>
    <w:rsid w:val="00433997"/>
    <w:rsid w:val="00433B57"/>
    <w:rsid w:val="00433EC0"/>
    <w:rsid w:val="00434527"/>
    <w:rsid w:val="00434545"/>
    <w:rsid w:val="00434715"/>
    <w:rsid w:val="00434A90"/>
    <w:rsid w:val="00434F00"/>
    <w:rsid w:val="00434FD2"/>
    <w:rsid w:val="004357DB"/>
    <w:rsid w:val="00435B3F"/>
    <w:rsid w:val="00435DA3"/>
    <w:rsid w:val="00436013"/>
    <w:rsid w:val="00436488"/>
    <w:rsid w:val="004372DD"/>
    <w:rsid w:val="00437736"/>
    <w:rsid w:val="0043782B"/>
    <w:rsid w:val="0044067E"/>
    <w:rsid w:val="0044087D"/>
    <w:rsid w:val="004408E8"/>
    <w:rsid w:val="00440A13"/>
    <w:rsid w:val="00440CB0"/>
    <w:rsid w:val="004411AD"/>
    <w:rsid w:val="00441489"/>
    <w:rsid w:val="0044198B"/>
    <w:rsid w:val="00441B45"/>
    <w:rsid w:val="00441E5B"/>
    <w:rsid w:val="00442148"/>
    <w:rsid w:val="004427E1"/>
    <w:rsid w:val="0044294A"/>
    <w:rsid w:val="0044306B"/>
    <w:rsid w:val="00443215"/>
    <w:rsid w:val="00443AD1"/>
    <w:rsid w:val="00443CE5"/>
    <w:rsid w:val="004441A5"/>
    <w:rsid w:val="00444412"/>
    <w:rsid w:val="00444467"/>
    <w:rsid w:val="00444510"/>
    <w:rsid w:val="004449B7"/>
    <w:rsid w:val="00444AF9"/>
    <w:rsid w:val="00444B45"/>
    <w:rsid w:val="00444BEB"/>
    <w:rsid w:val="00444C29"/>
    <w:rsid w:val="0044505C"/>
    <w:rsid w:val="00445154"/>
    <w:rsid w:val="0044535D"/>
    <w:rsid w:val="00445A2D"/>
    <w:rsid w:val="00445BA4"/>
    <w:rsid w:val="004460ED"/>
    <w:rsid w:val="0044640A"/>
    <w:rsid w:val="0044671B"/>
    <w:rsid w:val="004468CF"/>
    <w:rsid w:val="004469D2"/>
    <w:rsid w:val="004478A9"/>
    <w:rsid w:val="00450199"/>
    <w:rsid w:val="0045077B"/>
    <w:rsid w:val="00450A18"/>
    <w:rsid w:val="00450C71"/>
    <w:rsid w:val="00451772"/>
    <w:rsid w:val="00452859"/>
    <w:rsid w:val="004530B6"/>
    <w:rsid w:val="0045311D"/>
    <w:rsid w:val="004535F2"/>
    <w:rsid w:val="004543B5"/>
    <w:rsid w:val="00454524"/>
    <w:rsid w:val="0045475E"/>
    <w:rsid w:val="0045499C"/>
    <w:rsid w:val="00454F65"/>
    <w:rsid w:val="0045536E"/>
    <w:rsid w:val="00455430"/>
    <w:rsid w:val="00455922"/>
    <w:rsid w:val="00455982"/>
    <w:rsid w:val="00455FE9"/>
    <w:rsid w:val="004567A9"/>
    <w:rsid w:val="004567F5"/>
    <w:rsid w:val="004569E0"/>
    <w:rsid w:val="00456B16"/>
    <w:rsid w:val="00456E25"/>
    <w:rsid w:val="0045702F"/>
    <w:rsid w:val="00457131"/>
    <w:rsid w:val="0045778D"/>
    <w:rsid w:val="00457858"/>
    <w:rsid w:val="00457D96"/>
    <w:rsid w:val="0046080C"/>
    <w:rsid w:val="00460FD7"/>
    <w:rsid w:val="00461027"/>
    <w:rsid w:val="004612D1"/>
    <w:rsid w:val="00461458"/>
    <w:rsid w:val="00461721"/>
    <w:rsid w:val="00461B78"/>
    <w:rsid w:val="00461FE6"/>
    <w:rsid w:val="00462228"/>
    <w:rsid w:val="004626A2"/>
    <w:rsid w:val="00462944"/>
    <w:rsid w:val="00462AF3"/>
    <w:rsid w:val="00462E9E"/>
    <w:rsid w:val="004633DF"/>
    <w:rsid w:val="0046408D"/>
    <w:rsid w:val="00464380"/>
    <w:rsid w:val="00464975"/>
    <w:rsid w:val="00464C2F"/>
    <w:rsid w:val="004653E4"/>
    <w:rsid w:val="00465425"/>
    <w:rsid w:val="00465583"/>
    <w:rsid w:val="00465971"/>
    <w:rsid w:val="00465AA2"/>
    <w:rsid w:val="00465CE1"/>
    <w:rsid w:val="00465EBC"/>
    <w:rsid w:val="00466041"/>
    <w:rsid w:val="004661CC"/>
    <w:rsid w:val="0046655F"/>
    <w:rsid w:val="004667B3"/>
    <w:rsid w:val="00466C1B"/>
    <w:rsid w:val="004674DC"/>
    <w:rsid w:val="00467A9B"/>
    <w:rsid w:val="00470AEA"/>
    <w:rsid w:val="00470C02"/>
    <w:rsid w:val="004717D7"/>
    <w:rsid w:val="00471855"/>
    <w:rsid w:val="00471DF1"/>
    <w:rsid w:val="00472046"/>
    <w:rsid w:val="0047237A"/>
    <w:rsid w:val="00472950"/>
    <w:rsid w:val="00473208"/>
    <w:rsid w:val="0047341D"/>
    <w:rsid w:val="00473588"/>
    <w:rsid w:val="00473CC2"/>
    <w:rsid w:val="004740EA"/>
    <w:rsid w:val="0047417D"/>
    <w:rsid w:val="00474539"/>
    <w:rsid w:val="0047460D"/>
    <w:rsid w:val="00474B0F"/>
    <w:rsid w:val="00474EA7"/>
    <w:rsid w:val="004754BD"/>
    <w:rsid w:val="00476441"/>
    <w:rsid w:val="00476504"/>
    <w:rsid w:val="00476689"/>
    <w:rsid w:val="0047693D"/>
    <w:rsid w:val="00477178"/>
    <w:rsid w:val="0047750A"/>
    <w:rsid w:val="004775BA"/>
    <w:rsid w:val="00477C63"/>
    <w:rsid w:val="004801FC"/>
    <w:rsid w:val="00480505"/>
    <w:rsid w:val="004810EB"/>
    <w:rsid w:val="004818D9"/>
    <w:rsid w:val="00481E35"/>
    <w:rsid w:val="00482125"/>
    <w:rsid w:val="004822A8"/>
    <w:rsid w:val="00482337"/>
    <w:rsid w:val="00482655"/>
    <w:rsid w:val="00482676"/>
    <w:rsid w:val="004826E7"/>
    <w:rsid w:val="00482E05"/>
    <w:rsid w:val="00483157"/>
    <w:rsid w:val="0048362D"/>
    <w:rsid w:val="004836FA"/>
    <w:rsid w:val="00483788"/>
    <w:rsid w:val="00483AFB"/>
    <w:rsid w:val="00483C40"/>
    <w:rsid w:val="00483DFD"/>
    <w:rsid w:val="00483F02"/>
    <w:rsid w:val="004846D5"/>
    <w:rsid w:val="00484773"/>
    <w:rsid w:val="00485219"/>
    <w:rsid w:val="004855B0"/>
    <w:rsid w:val="00485B5F"/>
    <w:rsid w:val="00485DEF"/>
    <w:rsid w:val="00485E36"/>
    <w:rsid w:val="00486076"/>
    <w:rsid w:val="00486437"/>
    <w:rsid w:val="00486F5B"/>
    <w:rsid w:val="004875F8"/>
    <w:rsid w:val="00487728"/>
    <w:rsid w:val="00487BCA"/>
    <w:rsid w:val="00487FA6"/>
    <w:rsid w:val="00490279"/>
    <w:rsid w:val="004906B8"/>
    <w:rsid w:val="004909DA"/>
    <w:rsid w:val="00490B6D"/>
    <w:rsid w:val="00490DC8"/>
    <w:rsid w:val="00490DFB"/>
    <w:rsid w:val="00490F23"/>
    <w:rsid w:val="00491089"/>
    <w:rsid w:val="004912A7"/>
    <w:rsid w:val="0049145A"/>
    <w:rsid w:val="0049166B"/>
    <w:rsid w:val="0049192E"/>
    <w:rsid w:val="00491D04"/>
    <w:rsid w:val="0049264B"/>
    <w:rsid w:val="00492650"/>
    <w:rsid w:val="00492EB7"/>
    <w:rsid w:val="004931CA"/>
    <w:rsid w:val="004934B0"/>
    <w:rsid w:val="004936D3"/>
    <w:rsid w:val="0049370A"/>
    <w:rsid w:val="00493710"/>
    <w:rsid w:val="00494232"/>
    <w:rsid w:val="00494307"/>
    <w:rsid w:val="0049463F"/>
    <w:rsid w:val="0049493D"/>
    <w:rsid w:val="00494D32"/>
    <w:rsid w:val="0049542A"/>
    <w:rsid w:val="00495EE2"/>
    <w:rsid w:val="004965DF"/>
    <w:rsid w:val="00496C01"/>
    <w:rsid w:val="0049708D"/>
    <w:rsid w:val="00497146"/>
    <w:rsid w:val="00497198"/>
    <w:rsid w:val="0049761A"/>
    <w:rsid w:val="00497A1D"/>
    <w:rsid w:val="00497F9B"/>
    <w:rsid w:val="004A0AF9"/>
    <w:rsid w:val="004A0B65"/>
    <w:rsid w:val="004A0FB6"/>
    <w:rsid w:val="004A127F"/>
    <w:rsid w:val="004A14E9"/>
    <w:rsid w:val="004A167A"/>
    <w:rsid w:val="004A1C19"/>
    <w:rsid w:val="004A2800"/>
    <w:rsid w:val="004A297A"/>
    <w:rsid w:val="004A31CE"/>
    <w:rsid w:val="004A3981"/>
    <w:rsid w:val="004A43F8"/>
    <w:rsid w:val="004A4404"/>
    <w:rsid w:val="004A4476"/>
    <w:rsid w:val="004A479C"/>
    <w:rsid w:val="004A4849"/>
    <w:rsid w:val="004A4B55"/>
    <w:rsid w:val="004A4ECE"/>
    <w:rsid w:val="004A5380"/>
    <w:rsid w:val="004A5F86"/>
    <w:rsid w:val="004A61A3"/>
    <w:rsid w:val="004A62B7"/>
    <w:rsid w:val="004A62C5"/>
    <w:rsid w:val="004A63B1"/>
    <w:rsid w:val="004A64C6"/>
    <w:rsid w:val="004A7104"/>
    <w:rsid w:val="004A73FA"/>
    <w:rsid w:val="004A7ADA"/>
    <w:rsid w:val="004A7BB2"/>
    <w:rsid w:val="004A7F09"/>
    <w:rsid w:val="004A7F94"/>
    <w:rsid w:val="004B053D"/>
    <w:rsid w:val="004B12A6"/>
    <w:rsid w:val="004B159C"/>
    <w:rsid w:val="004B2213"/>
    <w:rsid w:val="004B231E"/>
    <w:rsid w:val="004B2915"/>
    <w:rsid w:val="004B2A72"/>
    <w:rsid w:val="004B2BBB"/>
    <w:rsid w:val="004B2CC3"/>
    <w:rsid w:val="004B2E7F"/>
    <w:rsid w:val="004B31C5"/>
    <w:rsid w:val="004B31F0"/>
    <w:rsid w:val="004B323F"/>
    <w:rsid w:val="004B3414"/>
    <w:rsid w:val="004B355E"/>
    <w:rsid w:val="004B3CD7"/>
    <w:rsid w:val="004B4200"/>
    <w:rsid w:val="004B473F"/>
    <w:rsid w:val="004B49CB"/>
    <w:rsid w:val="004B517D"/>
    <w:rsid w:val="004B5619"/>
    <w:rsid w:val="004B5AA0"/>
    <w:rsid w:val="004B6028"/>
    <w:rsid w:val="004B6252"/>
    <w:rsid w:val="004B77B0"/>
    <w:rsid w:val="004B7AA9"/>
    <w:rsid w:val="004B7AC8"/>
    <w:rsid w:val="004C00E9"/>
    <w:rsid w:val="004C1111"/>
    <w:rsid w:val="004C1282"/>
    <w:rsid w:val="004C17F6"/>
    <w:rsid w:val="004C19C8"/>
    <w:rsid w:val="004C1A6F"/>
    <w:rsid w:val="004C1FE6"/>
    <w:rsid w:val="004C20ED"/>
    <w:rsid w:val="004C215C"/>
    <w:rsid w:val="004C2515"/>
    <w:rsid w:val="004C28E1"/>
    <w:rsid w:val="004C2C3A"/>
    <w:rsid w:val="004C2DEC"/>
    <w:rsid w:val="004C3268"/>
    <w:rsid w:val="004C32E7"/>
    <w:rsid w:val="004C3362"/>
    <w:rsid w:val="004C3CFF"/>
    <w:rsid w:val="004C3D96"/>
    <w:rsid w:val="004C4040"/>
    <w:rsid w:val="004C42E8"/>
    <w:rsid w:val="004C442F"/>
    <w:rsid w:val="004C46CD"/>
    <w:rsid w:val="004C4967"/>
    <w:rsid w:val="004C58FB"/>
    <w:rsid w:val="004C5EA7"/>
    <w:rsid w:val="004C6778"/>
    <w:rsid w:val="004C6B55"/>
    <w:rsid w:val="004C6DB9"/>
    <w:rsid w:val="004C7238"/>
    <w:rsid w:val="004C72EC"/>
    <w:rsid w:val="004C78DB"/>
    <w:rsid w:val="004C7A36"/>
    <w:rsid w:val="004C7C2E"/>
    <w:rsid w:val="004C7E05"/>
    <w:rsid w:val="004D0573"/>
    <w:rsid w:val="004D0618"/>
    <w:rsid w:val="004D075B"/>
    <w:rsid w:val="004D1085"/>
    <w:rsid w:val="004D125E"/>
    <w:rsid w:val="004D2152"/>
    <w:rsid w:val="004D28D1"/>
    <w:rsid w:val="004D29A5"/>
    <w:rsid w:val="004D319B"/>
    <w:rsid w:val="004D389E"/>
    <w:rsid w:val="004D3912"/>
    <w:rsid w:val="004D414C"/>
    <w:rsid w:val="004D41F2"/>
    <w:rsid w:val="004D426E"/>
    <w:rsid w:val="004D428B"/>
    <w:rsid w:val="004D4497"/>
    <w:rsid w:val="004D4ED1"/>
    <w:rsid w:val="004D4F2B"/>
    <w:rsid w:val="004D5580"/>
    <w:rsid w:val="004D57FF"/>
    <w:rsid w:val="004D5C03"/>
    <w:rsid w:val="004D5C96"/>
    <w:rsid w:val="004D5E00"/>
    <w:rsid w:val="004D5F6D"/>
    <w:rsid w:val="004D5FAF"/>
    <w:rsid w:val="004D6058"/>
    <w:rsid w:val="004D67E8"/>
    <w:rsid w:val="004D67F2"/>
    <w:rsid w:val="004D7BBA"/>
    <w:rsid w:val="004E0598"/>
    <w:rsid w:val="004E099C"/>
    <w:rsid w:val="004E0D37"/>
    <w:rsid w:val="004E14DE"/>
    <w:rsid w:val="004E184F"/>
    <w:rsid w:val="004E317A"/>
    <w:rsid w:val="004E362B"/>
    <w:rsid w:val="004E38A5"/>
    <w:rsid w:val="004E3A96"/>
    <w:rsid w:val="004E3ABA"/>
    <w:rsid w:val="004E3D7E"/>
    <w:rsid w:val="004E3EA5"/>
    <w:rsid w:val="004E40C3"/>
    <w:rsid w:val="004E489D"/>
    <w:rsid w:val="004E48B5"/>
    <w:rsid w:val="004E583D"/>
    <w:rsid w:val="004E5CE3"/>
    <w:rsid w:val="004E6442"/>
    <w:rsid w:val="004E65D2"/>
    <w:rsid w:val="004E66CB"/>
    <w:rsid w:val="004E6B9D"/>
    <w:rsid w:val="004E6BBC"/>
    <w:rsid w:val="004E7D3A"/>
    <w:rsid w:val="004F02A2"/>
    <w:rsid w:val="004F02CF"/>
    <w:rsid w:val="004F0441"/>
    <w:rsid w:val="004F0632"/>
    <w:rsid w:val="004F12D2"/>
    <w:rsid w:val="004F197E"/>
    <w:rsid w:val="004F2891"/>
    <w:rsid w:val="004F2CA2"/>
    <w:rsid w:val="004F31DB"/>
    <w:rsid w:val="004F33BF"/>
    <w:rsid w:val="004F348E"/>
    <w:rsid w:val="004F3AC7"/>
    <w:rsid w:val="004F449B"/>
    <w:rsid w:val="004F47E5"/>
    <w:rsid w:val="004F4DB3"/>
    <w:rsid w:val="004F5432"/>
    <w:rsid w:val="004F55F3"/>
    <w:rsid w:val="004F5861"/>
    <w:rsid w:val="004F595A"/>
    <w:rsid w:val="004F5E12"/>
    <w:rsid w:val="004F5EB8"/>
    <w:rsid w:val="004F6673"/>
    <w:rsid w:val="004F68CE"/>
    <w:rsid w:val="004F6B43"/>
    <w:rsid w:val="004F6E72"/>
    <w:rsid w:val="004F7136"/>
    <w:rsid w:val="004F7817"/>
    <w:rsid w:val="004F7D30"/>
    <w:rsid w:val="004F7DC6"/>
    <w:rsid w:val="00500703"/>
    <w:rsid w:val="00501291"/>
    <w:rsid w:val="0050216A"/>
    <w:rsid w:val="005021C2"/>
    <w:rsid w:val="00502285"/>
    <w:rsid w:val="00502533"/>
    <w:rsid w:val="005026AF"/>
    <w:rsid w:val="00502CAB"/>
    <w:rsid w:val="005032FC"/>
    <w:rsid w:val="00503D84"/>
    <w:rsid w:val="00504862"/>
    <w:rsid w:val="00504AA9"/>
    <w:rsid w:val="00504F81"/>
    <w:rsid w:val="00505776"/>
    <w:rsid w:val="00505DE6"/>
    <w:rsid w:val="005067A8"/>
    <w:rsid w:val="005067BE"/>
    <w:rsid w:val="00506D91"/>
    <w:rsid w:val="00506E17"/>
    <w:rsid w:val="00507796"/>
    <w:rsid w:val="0050791C"/>
    <w:rsid w:val="00507A63"/>
    <w:rsid w:val="00507DA1"/>
    <w:rsid w:val="00507EA6"/>
    <w:rsid w:val="00507F24"/>
    <w:rsid w:val="005105E5"/>
    <w:rsid w:val="00510769"/>
    <w:rsid w:val="0051078C"/>
    <w:rsid w:val="0051094F"/>
    <w:rsid w:val="00511036"/>
    <w:rsid w:val="0051129D"/>
    <w:rsid w:val="005112B2"/>
    <w:rsid w:val="005115CB"/>
    <w:rsid w:val="005117FD"/>
    <w:rsid w:val="00511C88"/>
    <w:rsid w:val="00511C89"/>
    <w:rsid w:val="00511C9C"/>
    <w:rsid w:val="00511E30"/>
    <w:rsid w:val="00511F2E"/>
    <w:rsid w:val="005124DB"/>
    <w:rsid w:val="005126F5"/>
    <w:rsid w:val="00513008"/>
    <w:rsid w:val="0051368D"/>
    <w:rsid w:val="0051399A"/>
    <w:rsid w:val="00513C7B"/>
    <w:rsid w:val="00514088"/>
    <w:rsid w:val="005147A9"/>
    <w:rsid w:val="00514C62"/>
    <w:rsid w:val="0051546E"/>
    <w:rsid w:val="00515743"/>
    <w:rsid w:val="005160D5"/>
    <w:rsid w:val="005169BF"/>
    <w:rsid w:val="00516AA9"/>
    <w:rsid w:val="00516E6B"/>
    <w:rsid w:val="005176AF"/>
    <w:rsid w:val="00517734"/>
    <w:rsid w:val="005177A1"/>
    <w:rsid w:val="005177FA"/>
    <w:rsid w:val="00517A0C"/>
    <w:rsid w:val="00517A27"/>
    <w:rsid w:val="00517A54"/>
    <w:rsid w:val="00517DBA"/>
    <w:rsid w:val="00517DC0"/>
    <w:rsid w:val="00517DE8"/>
    <w:rsid w:val="00517F78"/>
    <w:rsid w:val="00520214"/>
    <w:rsid w:val="00520864"/>
    <w:rsid w:val="00520A0A"/>
    <w:rsid w:val="00520AFB"/>
    <w:rsid w:val="00520BDB"/>
    <w:rsid w:val="0052138F"/>
    <w:rsid w:val="00521B75"/>
    <w:rsid w:val="00521EF2"/>
    <w:rsid w:val="00522731"/>
    <w:rsid w:val="00522A45"/>
    <w:rsid w:val="00522DEA"/>
    <w:rsid w:val="00523C57"/>
    <w:rsid w:val="00523C84"/>
    <w:rsid w:val="00523F52"/>
    <w:rsid w:val="00523FA2"/>
    <w:rsid w:val="00523FEE"/>
    <w:rsid w:val="005242C7"/>
    <w:rsid w:val="00524374"/>
    <w:rsid w:val="00524CF7"/>
    <w:rsid w:val="00524EBC"/>
    <w:rsid w:val="005250DA"/>
    <w:rsid w:val="0052516C"/>
    <w:rsid w:val="0052575F"/>
    <w:rsid w:val="005266AB"/>
    <w:rsid w:val="005266DA"/>
    <w:rsid w:val="00526A88"/>
    <w:rsid w:val="00526B72"/>
    <w:rsid w:val="00526D63"/>
    <w:rsid w:val="00526EF2"/>
    <w:rsid w:val="00527132"/>
    <w:rsid w:val="00527141"/>
    <w:rsid w:val="0052725F"/>
    <w:rsid w:val="00527894"/>
    <w:rsid w:val="005279D0"/>
    <w:rsid w:val="00527A00"/>
    <w:rsid w:val="00527DB5"/>
    <w:rsid w:val="00527EF1"/>
    <w:rsid w:val="005300D3"/>
    <w:rsid w:val="00531399"/>
    <w:rsid w:val="00531458"/>
    <w:rsid w:val="00531725"/>
    <w:rsid w:val="00531D25"/>
    <w:rsid w:val="00531FE9"/>
    <w:rsid w:val="0053233B"/>
    <w:rsid w:val="0053235D"/>
    <w:rsid w:val="005323E9"/>
    <w:rsid w:val="005326C0"/>
    <w:rsid w:val="00532900"/>
    <w:rsid w:val="0053330E"/>
    <w:rsid w:val="0053350C"/>
    <w:rsid w:val="00533753"/>
    <w:rsid w:val="00533FD3"/>
    <w:rsid w:val="005343F6"/>
    <w:rsid w:val="00534B28"/>
    <w:rsid w:val="00534BDF"/>
    <w:rsid w:val="005355EF"/>
    <w:rsid w:val="00535867"/>
    <w:rsid w:val="00535911"/>
    <w:rsid w:val="00535DAB"/>
    <w:rsid w:val="005364D8"/>
    <w:rsid w:val="00536E83"/>
    <w:rsid w:val="005370A0"/>
    <w:rsid w:val="00537981"/>
    <w:rsid w:val="00537B36"/>
    <w:rsid w:val="00537D2E"/>
    <w:rsid w:val="00537FF2"/>
    <w:rsid w:val="00540267"/>
    <w:rsid w:val="0054037C"/>
    <w:rsid w:val="0054083D"/>
    <w:rsid w:val="00540C08"/>
    <w:rsid w:val="00540C96"/>
    <w:rsid w:val="00540F3D"/>
    <w:rsid w:val="0054115B"/>
    <w:rsid w:val="0054121C"/>
    <w:rsid w:val="00541287"/>
    <w:rsid w:val="005414D8"/>
    <w:rsid w:val="005416BA"/>
    <w:rsid w:val="00541877"/>
    <w:rsid w:val="00541C60"/>
    <w:rsid w:val="00541D50"/>
    <w:rsid w:val="00542260"/>
    <w:rsid w:val="00542538"/>
    <w:rsid w:val="0054285F"/>
    <w:rsid w:val="00542C2A"/>
    <w:rsid w:val="00542C4F"/>
    <w:rsid w:val="00543D80"/>
    <w:rsid w:val="00543DAF"/>
    <w:rsid w:val="005444A3"/>
    <w:rsid w:val="0054498F"/>
    <w:rsid w:val="00544C68"/>
    <w:rsid w:val="00544D52"/>
    <w:rsid w:val="00544D53"/>
    <w:rsid w:val="00544F7B"/>
    <w:rsid w:val="00544FC1"/>
    <w:rsid w:val="00545116"/>
    <w:rsid w:val="00545248"/>
    <w:rsid w:val="005455D6"/>
    <w:rsid w:val="00545609"/>
    <w:rsid w:val="00545B3C"/>
    <w:rsid w:val="00545D16"/>
    <w:rsid w:val="005461D8"/>
    <w:rsid w:val="00546761"/>
    <w:rsid w:val="00546F9E"/>
    <w:rsid w:val="00547427"/>
    <w:rsid w:val="00547850"/>
    <w:rsid w:val="00547E5D"/>
    <w:rsid w:val="0055013F"/>
    <w:rsid w:val="005502DC"/>
    <w:rsid w:val="0055075A"/>
    <w:rsid w:val="00550991"/>
    <w:rsid w:val="00551146"/>
    <w:rsid w:val="005511C1"/>
    <w:rsid w:val="00551333"/>
    <w:rsid w:val="00551732"/>
    <w:rsid w:val="00551C7C"/>
    <w:rsid w:val="00551D4E"/>
    <w:rsid w:val="00551E05"/>
    <w:rsid w:val="005522A0"/>
    <w:rsid w:val="005526BB"/>
    <w:rsid w:val="0055282A"/>
    <w:rsid w:val="00552D9A"/>
    <w:rsid w:val="00552DDE"/>
    <w:rsid w:val="00552F9A"/>
    <w:rsid w:val="0055398E"/>
    <w:rsid w:val="00553A7A"/>
    <w:rsid w:val="00554136"/>
    <w:rsid w:val="00554198"/>
    <w:rsid w:val="00554215"/>
    <w:rsid w:val="00554348"/>
    <w:rsid w:val="00554430"/>
    <w:rsid w:val="00554662"/>
    <w:rsid w:val="005546E8"/>
    <w:rsid w:val="0055480F"/>
    <w:rsid w:val="00554C09"/>
    <w:rsid w:val="00554D00"/>
    <w:rsid w:val="00554D6A"/>
    <w:rsid w:val="00555285"/>
    <w:rsid w:val="00555795"/>
    <w:rsid w:val="00555AB9"/>
    <w:rsid w:val="00555E22"/>
    <w:rsid w:val="0055601F"/>
    <w:rsid w:val="00556643"/>
    <w:rsid w:val="00557819"/>
    <w:rsid w:val="00557850"/>
    <w:rsid w:val="005579E1"/>
    <w:rsid w:val="00557A5B"/>
    <w:rsid w:val="00557AFE"/>
    <w:rsid w:val="00557DBC"/>
    <w:rsid w:val="00557E29"/>
    <w:rsid w:val="0056024C"/>
    <w:rsid w:val="00560406"/>
    <w:rsid w:val="00560595"/>
    <w:rsid w:val="00560ED9"/>
    <w:rsid w:val="00560F45"/>
    <w:rsid w:val="00560FD3"/>
    <w:rsid w:val="00561343"/>
    <w:rsid w:val="00561A8D"/>
    <w:rsid w:val="00561C0A"/>
    <w:rsid w:val="00561E8F"/>
    <w:rsid w:val="0056207A"/>
    <w:rsid w:val="005620BA"/>
    <w:rsid w:val="005623A5"/>
    <w:rsid w:val="00562828"/>
    <w:rsid w:val="00562860"/>
    <w:rsid w:val="0056297A"/>
    <w:rsid w:val="00562AF7"/>
    <w:rsid w:val="00562CE7"/>
    <w:rsid w:val="00562E63"/>
    <w:rsid w:val="00562F98"/>
    <w:rsid w:val="0056313F"/>
    <w:rsid w:val="0056315A"/>
    <w:rsid w:val="00563A39"/>
    <w:rsid w:val="00563B44"/>
    <w:rsid w:val="00563D9D"/>
    <w:rsid w:val="00563F79"/>
    <w:rsid w:val="00564474"/>
    <w:rsid w:val="0056454B"/>
    <w:rsid w:val="005654BF"/>
    <w:rsid w:val="00565526"/>
    <w:rsid w:val="00565730"/>
    <w:rsid w:val="005663B1"/>
    <w:rsid w:val="0056652C"/>
    <w:rsid w:val="005667C1"/>
    <w:rsid w:val="005668C1"/>
    <w:rsid w:val="00566909"/>
    <w:rsid w:val="005670B6"/>
    <w:rsid w:val="00567846"/>
    <w:rsid w:val="00567DD7"/>
    <w:rsid w:val="0057038E"/>
    <w:rsid w:val="00570647"/>
    <w:rsid w:val="005706B4"/>
    <w:rsid w:val="00571098"/>
    <w:rsid w:val="00571722"/>
    <w:rsid w:val="005717EA"/>
    <w:rsid w:val="00571E55"/>
    <w:rsid w:val="00572210"/>
    <w:rsid w:val="00572246"/>
    <w:rsid w:val="00572754"/>
    <w:rsid w:val="00572DD1"/>
    <w:rsid w:val="00572FC7"/>
    <w:rsid w:val="00573166"/>
    <w:rsid w:val="00573240"/>
    <w:rsid w:val="00573305"/>
    <w:rsid w:val="00573517"/>
    <w:rsid w:val="00573728"/>
    <w:rsid w:val="00573BEF"/>
    <w:rsid w:val="00573CAE"/>
    <w:rsid w:val="005746C2"/>
    <w:rsid w:val="00574BD5"/>
    <w:rsid w:val="00576133"/>
    <w:rsid w:val="0057649F"/>
    <w:rsid w:val="005767B0"/>
    <w:rsid w:val="00576AEA"/>
    <w:rsid w:val="00576BB7"/>
    <w:rsid w:val="00576D59"/>
    <w:rsid w:val="00576E17"/>
    <w:rsid w:val="00577CDC"/>
    <w:rsid w:val="00577E36"/>
    <w:rsid w:val="0058019E"/>
    <w:rsid w:val="0058026E"/>
    <w:rsid w:val="0058046C"/>
    <w:rsid w:val="0058050E"/>
    <w:rsid w:val="00580A01"/>
    <w:rsid w:val="00580DD6"/>
    <w:rsid w:val="00580F1F"/>
    <w:rsid w:val="00581373"/>
    <w:rsid w:val="00581539"/>
    <w:rsid w:val="00581A12"/>
    <w:rsid w:val="00581B35"/>
    <w:rsid w:val="00581D41"/>
    <w:rsid w:val="00581DB9"/>
    <w:rsid w:val="0058218A"/>
    <w:rsid w:val="00582FED"/>
    <w:rsid w:val="00583422"/>
    <w:rsid w:val="005847AF"/>
    <w:rsid w:val="00584D38"/>
    <w:rsid w:val="00584D73"/>
    <w:rsid w:val="00584EE6"/>
    <w:rsid w:val="00584F6F"/>
    <w:rsid w:val="00584FDB"/>
    <w:rsid w:val="005851E8"/>
    <w:rsid w:val="00585748"/>
    <w:rsid w:val="0058590E"/>
    <w:rsid w:val="00585CC6"/>
    <w:rsid w:val="00585EDB"/>
    <w:rsid w:val="00585F8F"/>
    <w:rsid w:val="00586008"/>
    <w:rsid w:val="00586537"/>
    <w:rsid w:val="00586695"/>
    <w:rsid w:val="005869D2"/>
    <w:rsid w:val="005872D2"/>
    <w:rsid w:val="0058738F"/>
    <w:rsid w:val="005874CB"/>
    <w:rsid w:val="0058754D"/>
    <w:rsid w:val="00587718"/>
    <w:rsid w:val="00587C75"/>
    <w:rsid w:val="00590589"/>
    <w:rsid w:val="005906A8"/>
    <w:rsid w:val="005906D4"/>
    <w:rsid w:val="00590761"/>
    <w:rsid w:val="0059080A"/>
    <w:rsid w:val="00590AAD"/>
    <w:rsid w:val="00590F83"/>
    <w:rsid w:val="00591323"/>
    <w:rsid w:val="00591E8C"/>
    <w:rsid w:val="005924D4"/>
    <w:rsid w:val="005924D9"/>
    <w:rsid w:val="00593977"/>
    <w:rsid w:val="00593A65"/>
    <w:rsid w:val="00593E02"/>
    <w:rsid w:val="005942D4"/>
    <w:rsid w:val="00594812"/>
    <w:rsid w:val="00594833"/>
    <w:rsid w:val="005949C9"/>
    <w:rsid w:val="00595001"/>
    <w:rsid w:val="005954C4"/>
    <w:rsid w:val="005955B8"/>
    <w:rsid w:val="00595A8A"/>
    <w:rsid w:val="00595EB1"/>
    <w:rsid w:val="00596521"/>
    <w:rsid w:val="005975E4"/>
    <w:rsid w:val="00597E7B"/>
    <w:rsid w:val="005A06FD"/>
    <w:rsid w:val="005A0BDC"/>
    <w:rsid w:val="005A0D07"/>
    <w:rsid w:val="005A0E90"/>
    <w:rsid w:val="005A108F"/>
    <w:rsid w:val="005A1324"/>
    <w:rsid w:val="005A1538"/>
    <w:rsid w:val="005A1980"/>
    <w:rsid w:val="005A1A54"/>
    <w:rsid w:val="005A1B3F"/>
    <w:rsid w:val="005A1BE2"/>
    <w:rsid w:val="005A1D97"/>
    <w:rsid w:val="005A1DD9"/>
    <w:rsid w:val="005A1DFF"/>
    <w:rsid w:val="005A1F5F"/>
    <w:rsid w:val="005A224E"/>
    <w:rsid w:val="005A226F"/>
    <w:rsid w:val="005A234B"/>
    <w:rsid w:val="005A24A5"/>
    <w:rsid w:val="005A2A25"/>
    <w:rsid w:val="005A3217"/>
    <w:rsid w:val="005A32EE"/>
    <w:rsid w:val="005A3383"/>
    <w:rsid w:val="005A34DA"/>
    <w:rsid w:val="005A36AE"/>
    <w:rsid w:val="005A36EE"/>
    <w:rsid w:val="005A37D2"/>
    <w:rsid w:val="005A38D5"/>
    <w:rsid w:val="005A3910"/>
    <w:rsid w:val="005A3EDA"/>
    <w:rsid w:val="005A421F"/>
    <w:rsid w:val="005A42C6"/>
    <w:rsid w:val="005A453D"/>
    <w:rsid w:val="005A4634"/>
    <w:rsid w:val="005A483B"/>
    <w:rsid w:val="005A4EAC"/>
    <w:rsid w:val="005A5025"/>
    <w:rsid w:val="005A602B"/>
    <w:rsid w:val="005A61E1"/>
    <w:rsid w:val="005A68C5"/>
    <w:rsid w:val="005A6CD1"/>
    <w:rsid w:val="005A6EFC"/>
    <w:rsid w:val="005A773E"/>
    <w:rsid w:val="005A77D5"/>
    <w:rsid w:val="005A79EC"/>
    <w:rsid w:val="005A7A04"/>
    <w:rsid w:val="005A7B0E"/>
    <w:rsid w:val="005A7BA2"/>
    <w:rsid w:val="005A7C95"/>
    <w:rsid w:val="005A7FC8"/>
    <w:rsid w:val="005B0753"/>
    <w:rsid w:val="005B084B"/>
    <w:rsid w:val="005B1374"/>
    <w:rsid w:val="005B18B0"/>
    <w:rsid w:val="005B1E8C"/>
    <w:rsid w:val="005B1F04"/>
    <w:rsid w:val="005B2131"/>
    <w:rsid w:val="005B2166"/>
    <w:rsid w:val="005B2A4C"/>
    <w:rsid w:val="005B2D48"/>
    <w:rsid w:val="005B2D53"/>
    <w:rsid w:val="005B2FC4"/>
    <w:rsid w:val="005B30E5"/>
    <w:rsid w:val="005B3610"/>
    <w:rsid w:val="005B397F"/>
    <w:rsid w:val="005B4282"/>
    <w:rsid w:val="005B44A8"/>
    <w:rsid w:val="005B47B6"/>
    <w:rsid w:val="005B4C5B"/>
    <w:rsid w:val="005B4F0B"/>
    <w:rsid w:val="005B4F1B"/>
    <w:rsid w:val="005B513D"/>
    <w:rsid w:val="005B518C"/>
    <w:rsid w:val="005B54AB"/>
    <w:rsid w:val="005B55D6"/>
    <w:rsid w:val="005B5CA3"/>
    <w:rsid w:val="005B5CEE"/>
    <w:rsid w:val="005B5E48"/>
    <w:rsid w:val="005B5FBE"/>
    <w:rsid w:val="005B624C"/>
    <w:rsid w:val="005B637C"/>
    <w:rsid w:val="005B678D"/>
    <w:rsid w:val="005B6A4E"/>
    <w:rsid w:val="005B7769"/>
    <w:rsid w:val="005B7F8F"/>
    <w:rsid w:val="005C0003"/>
    <w:rsid w:val="005C00EA"/>
    <w:rsid w:val="005C0178"/>
    <w:rsid w:val="005C187C"/>
    <w:rsid w:val="005C188F"/>
    <w:rsid w:val="005C23AD"/>
    <w:rsid w:val="005C26B9"/>
    <w:rsid w:val="005C2AE5"/>
    <w:rsid w:val="005C3117"/>
    <w:rsid w:val="005C36FD"/>
    <w:rsid w:val="005C3708"/>
    <w:rsid w:val="005C3A45"/>
    <w:rsid w:val="005C3E6C"/>
    <w:rsid w:val="005C3F59"/>
    <w:rsid w:val="005C46FF"/>
    <w:rsid w:val="005C477F"/>
    <w:rsid w:val="005C4E18"/>
    <w:rsid w:val="005C51D5"/>
    <w:rsid w:val="005C57AC"/>
    <w:rsid w:val="005C585A"/>
    <w:rsid w:val="005C5F18"/>
    <w:rsid w:val="005C60EB"/>
    <w:rsid w:val="005C63BD"/>
    <w:rsid w:val="005C64EF"/>
    <w:rsid w:val="005C66DB"/>
    <w:rsid w:val="005C6790"/>
    <w:rsid w:val="005C6BBA"/>
    <w:rsid w:val="005C6D3B"/>
    <w:rsid w:val="005C6EDA"/>
    <w:rsid w:val="005C721B"/>
    <w:rsid w:val="005C7244"/>
    <w:rsid w:val="005C7B60"/>
    <w:rsid w:val="005C7ECC"/>
    <w:rsid w:val="005D03D6"/>
    <w:rsid w:val="005D07AA"/>
    <w:rsid w:val="005D0E2D"/>
    <w:rsid w:val="005D121F"/>
    <w:rsid w:val="005D13F4"/>
    <w:rsid w:val="005D19E0"/>
    <w:rsid w:val="005D1B5D"/>
    <w:rsid w:val="005D1DB0"/>
    <w:rsid w:val="005D1FBA"/>
    <w:rsid w:val="005D2397"/>
    <w:rsid w:val="005D2497"/>
    <w:rsid w:val="005D321F"/>
    <w:rsid w:val="005D3C14"/>
    <w:rsid w:val="005D4A96"/>
    <w:rsid w:val="005D4AD6"/>
    <w:rsid w:val="005D4FD9"/>
    <w:rsid w:val="005D50C6"/>
    <w:rsid w:val="005D5388"/>
    <w:rsid w:val="005D5525"/>
    <w:rsid w:val="005D5E28"/>
    <w:rsid w:val="005D5FB9"/>
    <w:rsid w:val="005D6462"/>
    <w:rsid w:val="005D7266"/>
    <w:rsid w:val="005D74FD"/>
    <w:rsid w:val="005D7500"/>
    <w:rsid w:val="005D77B8"/>
    <w:rsid w:val="005D797B"/>
    <w:rsid w:val="005E03B3"/>
    <w:rsid w:val="005E03C8"/>
    <w:rsid w:val="005E0425"/>
    <w:rsid w:val="005E0EF7"/>
    <w:rsid w:val="005E120A"/>
    <w:rsid w:val="005E1244"/>
    <w:rsid w:val="005E18D6"/>
    <w:rsid w:val="005E1AF6"/>
    <w:rsid w:val="005E1F4D"/>
    <w:rsid w:val="005E2072"/>
    <w:rsid w:val="005E27DD"/>
    <w:rsid w:val="005E298D"/>
    <w:rsid w:val="005E399B"/>
    <w:rsid w:val="005E4802"/>
    <w:rsid w:val="005E4999"/>
    <w:rsid w:val="005E4E59"/>
    <w:rsid w:val="005E55D1"/>
    <w:rsid w:val="005E5608"/>
    <w:rsid w:val="005E595B"/>
    <w:rsid w:val="005E59BA"/>
    <w:rsid w:val="005E6641"/>
    <w:rsid w:val="005E6774"/>
    <w:rsid w:val="005E6E2B"/>
    <w:rsid w:val="005E735A"/>
    <w:rsid w:val="005E775B"/>
    <w:rsid w:val="005E7BA5"/>
    <w:rsid w:val="005E7ED5"/>
    <w:rsid w:val="005E7EDE"/>
    <w:rsid w:val="005F0001"/>
    <w:rsid w:val="005F0215"/>
    <w:rsid w:val="005F0276"/>
    <w:rsid w:val="005F0FDF"/>
    <w:rsid w:val="005F10C5"/>
    <w:rsid w:val="005F1171"/>
    <w:rsid w:val="005F1580"/>
    <w:rsid w:val="005F1684"/>
    <w:rsid w:val="005F17F3"/>
    <w:rsid w:val="005F1845"/>
    <w:rsid w:val="005F184F"/>
    <w:rsid w:val="005F1AAA"/>
    <w:rsid w:val="005F1CB6"/>
    <w:rsid w:val="005F24F2"/>
    <w:rsid w:val="005F2F8E"/>
    <w:rsid w:val="005F2FDE"/>
    <w:rsid w:val="005F3BC9"/>
    <w:rsid w:val="005F3E99"/>
    <w:rsid w:val="005F3F98"/>
    <w:rsid w:val="005F4B19"/>
    <w:rsid w:val="005F4BFB"/>
    <w:rsid w:val="005F519D"/>
    <w:rsid w:val="005F535F"/>
    <w:rsid w:val="005F5A97"/>
    <w:rsid w:val="005F5BC7"/>
    <w:rsid w:val="005F6411"/>
    <w:rsid w:val="005F66CB"/>
    <w:rsid w:val="005F6D92"/>
    <w:rsid w:val="005F6FD1"/>
    <w:rsid w:val="005F73A0"/>
    <w:rsid w:val="005F7536"/>
    <w:rsid w:val="005F77D7"/>
    <w:rsid w:val="005F794A"/>
    <w:rsid w:val="005F7AF4"/>
    <w:rsid w:val="005F7C66"/>
    <w:rsid w:val="005F7DD4"/>
    <w:rsid w:val="00600623"/>
    <w:rsid w:val="006007D2"/>
    <w:rsid w:val="00600ABA"/>
    <w:rsid w:val="00600D3A"/>
    <w:rsid w:val="00601673"/>
    <w:rsid w:val="00601C12"/>
    <w:rsid w:val="006023B6"/>
    <w:rsid w:val="00602B23"/>
    <w:rsid w:val="00602CF9"/>
    <w:rsid w:val="00602E16"/>
    <w:rsid w:val="00602F21"/>
    <w:rsid w:val="00603121"/>
    <w:rsid w:val="00603A7D"/>
    <w:rsid w:val="00603B73"/>
    <w:rsid w:val="00603BD2"/>
    <w:rsid w:val="00603D80"/>
    <w:rsid w:val="00604724"/>
    <w:rsid w:val="00604753"/>
    <w:rsid w:val="00604DF8"/>
    <w:rsid w:val="00604E7D"/>
    <w:rsid w:val="00605494"/>
    <w:rsid w:val="00605530"/>
    <w:rsid w:val="00605718"/>
    <w:rsid w:val="00605996"/>
    <w:rsid w:val="00605A09"/>
    <w:rsid w:val="00605ADF"/>
    <w:rsid w:val="00605BC9"/>
    <w:rsid w:val="00605C37"/>
    <w:rsid w:val="006068B0"/>
    <w:rsid w:val="0060694E"/>
    <w:rsid w:val="0060776E"/>
    <w:rsid w:val="00607797"/>
    <w:rsid w:val="006101F1"/>
    <w:rsid w:val="00610470"/>
    <w:rsid w:val="0061067F"/>
    <w:rsid w:val="00610AB6"/>
    <w:rsid w:val="00610F39"/>
    <w:rsid w:val="00611969"/>
    <w:rsid w:val="00611F34"/>
    <w:rsid w:val="00611F4F"/>
    <w:rsid w:val="00611FB3"/>
    <w:rsid w:val="00612040"/>
    <w:rsid w:val="0061238C"/>
    <w:rsid w:val="00612BBB"/>
    <w:rsid w:val="00612C2D"/>
    <w:rsid w:val="006135F2"/>
    <w:rsid w:val="0061394F"/>
    <w:rsid w:val="006139C9"/>
    <w:rsid w:val="00613AF1"/>
    <w:rsid w:val="00613E7C"/>
    <w:rsid w:val="00613EFF"/>
    <w:rsid w:val="006140BE"/>
    <w:rsid w:val="00614C26"/>
    <w:rsid w:val="00614E33"/>
    <w:rsid w:val="00614FCC"/>
    <w:rsid w:val="00615725"/>
    <w:rsid w:val="006158E8"/>
    <w:rsid w:val="00616232"/>
    <w:rsid w:val="006163F1"/>
    <w:rsid w:val="00616E08"/>
    <w:rsid w:val="00616F7B"/>
    <w:rsid w:val="006171D0"/>
    <w:rsid w:val="006172EB"/>
    <w:rsid w:val="006177C3"/>
    <w:rsid w:val="00617D89"/>
    <w:rsid w:val="006204D2"/>
    <w:rsid w:val="00620752"/>
    <w:rsid w:val="006207FD"/>
    <w:rsid w:val="0062092E"/>
    <w:rsid w:val="006210AE"/>
    <w:rsid w:val="00621192"/>
    <w:rsid w:val="006212DD"/>
    <w:rsid w:val="006214D6"/>
    <w:rsid w:val="0062184A"/>
    <w:rsid w:val="00621A96"/>
    <w:rsid w:val="00621C5E"/>
    <w:rsid w:val="00621F29"/>
    <w:rsid w:val="00621F47"/>
    <w:rsid w:val="006220ED"/>
    <w:rsid w:val="006221B9"/>
    <w:rsid w:val="006222A2"/>
    <w:rsid w:val="006225B2"/>
    <w:rsid w:val="0062289E"/>
    <w:rsid w:val="0062318A"/>
    <w:rsid w:val="006239E1"/>
    <w:rsid w:val="00623A3E"/>
    <w:rsid w:val="00623AEA"/>
    <w:rsid w:val="00623BD5"/>
    <w:rsid w:val="0062457E"/>
    <w:rsid w:val="006245A9"/>
    <w:rsid w:val="006247E4"/>
    <w:rsid w:val="00624A18"/>
    <w:rsid w:val="00624CF2"/>
    <w:rsid w:val="00624D01"/>
    <w:rsid w:val="00625405"/>
    <w:rsid w:val="00625C97"/>
    <w:rsid w:val="00625DA1"/>
    <w:rsid w:val="00626618"/>
    <w:rsid w:val="00626892"/>
    <w:rsid w:val="00626C78"/>
    <w:rsid w:val="006270F6"/>
    <w:rsid w:val="00627341"/>
    <w:rsid w:val="006276D5"/>
    <w:rsid w:val="006278F4"/>
    <w:rsid w:val="006279C0"/>
    <w:rsid w:val="00627C44"/>
    <w:rsid w:val="00627DF6"/>
    <w:rsid w:val="00627EB5"/>
    <w:rsid w:val="0063006A"/>
    <w:rsid w:val="006302C0"/>
    <w:rsid w:val="006302D3"/>
    <w:rsid w:val="00630422"/>
    <w:rsid w:val="00630582"/>
    <w:rsid w:val="006308E8"/>
    <w:rsid w:val="00630C85"/>
    <w:rsid w:val="00630EDD"/>
    <w:rsid w:val="00631365"/>
    <w:rsid w:val="0063146E"/>
    <w:rsid w:val="00631726"/>
    <w:rsid w:val="00631955"/>
    <w:rsid w:val="00632725"/>
    <w:rsid w:val="006328A3"/>
    <w:rsid w:val="0063298F"/>
    <w:rsid w:val="00632BA1"/>
    <w:rsid w:val="00632EAD"/>
    <w:rsid w:val="00632F4E"/>
    <w:rsid w:val="00633102"/>
    <w:rsid w:val="0063344C"/>
    <w:rsid w:val="006336C3"/>
    <w:rsid w:val="00633A3F"/>
    <w:rsid w:val="00633CA4"/>
    <w:rsid w:val="00633CB8"/>
    <w:rsid w:val="00633EC4"/>
    <w:rsid w:val="00633F0E"/>
    <w:rsid w:val="006344D4"/>
    <w:rsid w:val="00634ADB"/>
    <w:rsid w:val="00634B21"/>
    <w:rsid w:val="00634D55"/>
    <w:rsid w:val="00634E21"/>
    <w:rsid w:val="006351B0"/>
    <w:rsid w:val="00635460"/>
    <w:rsid w:val="00635481"/>
    <w:rsid w:val="006359A7"/>
    <w:rsid w:val="00635F51"/>
    <w:rsid w:val="00636952"/>
    <w:rsid w:val="00636CAF"/>
    <w:rsid w:val="0063705F"/>
    <w:rsid w:val="0063755A"/>
    <w:rsid w:val="006375B6"/>
    <w:rsid w:val="00637760"/>
    <w:rsid w:val="00637B98"/>
    <w:rsid w:val="00637C52"/>
    <w:rsid w:val="00637EA1"/>
    <w:rsid w:val="00640593"/>
    <w:rsid w:val="00640678"/>
    <w:rsid w:val="00640D9F"/>
    <w:rsid w:val="00640DEA"/>
    <w:rsid w:val="0064117D"/>
    <w:rsid w:val="0064157C"/>
    <w:rsid w:val="00641C83"/>
    <w:rsid w:val="00641E90"/>
    <w:rsid w:val="00641F97"/>
    <w:rsid w:val="00642105"/>
    <w:rsid w:val="00642580"/>
    <w:rsid w:val="006426C6"/>
    <w:rsid w:val="006429EA"/>
    <w:rsid w:val="00642E7D"/>
    <w:rsid w:val="00642F0F"/>
    <w:rsid w:val="00642F26"/>
    <w:rsid w:val="00643008"/>
    <w:rsid w:val="00643A72"/>
    <w:rsid w:val="00643B4C"/>
    <w:rsid w:val="00643F40"/>
    <w:rsid w:val="00644AE7"/>
    <w:rsid w:val="00645383"/>
    <w:rsid w:val="00645420"/>
    <w:rsid w:val="00645639"/>
    <w:rsid w:val="00645719"/>
    <w:rsid w:val="00645FFC"/>
    <w:rsid w:val="00646098"/>
    <w:rsid w:val="0064613E"/>
    <w:rsid w:val="00646786"/>
    <w:rsid w:val="00646886"/>
    <w:rsid w:val="00646EB5"/>
    <w:rsid w:val="00647270"/>
    <w:rsid w:val="00647283"/>
    <w:rsid w:val="00647309"/>
    <w:rsid w:val="00647BED"/>
    <w:rsid w:val="00647F98"/>
    <w:rsid w:val="00650832"/>
    <w:rsid w:val="00650972"/>
    <w:rsid w:val="00650B77"/>
    <w:rsid w:val="00650CE5"/>
    <w:rsid w:val="00650D4E"/>
    <w:rsid w:val="00651048"/>
    <w:rsid w:val="006518A2"/>
    <w:rsid w:val="00651FD8"/>
    <w:rsid w:val="006522C0"/>
    <w:rsid w:val="00652615"/>
    <w:rsid w:val="006538EF"/>
    <w:rsid w:val="00653CB4"/>
    <w:rsid w:val="00653D75"/>
    <w:rsid w:val="00653FAA"/>
    <w:rsid w:val="006543EF"/>
    <w:rsid w:val="00654872"/>
    <w:rsid w:val="00654883"/>
    <w:rsid w:val="0065514A"/>
    <w:rsid w:val="006552B2"/>
    <w:rsid w:val="00655539"/>
    <w:rsid w:val="00655637"/>
    <w:rsid w:val="00655A33"/>
    <w:rsid w:val="00655A9B"/>
    <w:rsid w:val="0065614C"/>
    <w:rsid w:val="006562FF"/>
    <w:rsid w:val="00656907"/>
    <w:rsid w:val="006569BE"/>
    <w:rsid w:val="00656CB5"/>
    <w:rsid w:val="00656D47"/>
    <w:rsid w:val="00656F14"/>
    <w:rsid w:val="00656F17"/>
    <w:rsid w:val="0065713F"/>
    <w:rsid w:val="0065743A"/>
    <w:rsid w:val="006574D3"/>
    <w:rsid w:val="00657C3A"/>
    <w:rsid w:val="00657CFF"/>
    <w:rsid w:val="0066001E"/>
    <w:rsid w:val="00660519"/>
    <w:rsid w:val="00660BEF"/>
    <w:rsid w:val="00660D1B"/>
    <w:rsid w:val="0066107E"/>
    <w:rsid w:val="00661690"/>
    <w:rsid w:val="00661E74"/>
    <w:rsid w:val="0066201A"/>
    <w:rsid w:val="00662109"/>
    <w:rsid w:val="006622B0"/>
    <w:rsid w:val="0066270D"/>
    <w:rsid w:val="00662B56"/>
    <w:rsid w:val="0066321B"/>
    <w:rsid w:val="00663671"/>
    <w:rsid w:val="0066392D"/>
    <w:rsid w:val="006645D2"/>
    <w:rsid w:val="00664F4B"/>
    <w:rsid w:val="00665096"/>
    <w:rsid w:val="006656F1"/>
    <w:rsid w:val="00665A7C"/>
    <w:rsid w:val="00665A8C"/>
    <w:rsid w:val="00665AA4"/>
    <w:rsid w:val="00665B21"/>
    <w:rsid w:val="00665CEA"/>
    <w:rsid w:val="006661FA"/>
    <w:rsid w:val="006665D7"/>
    <w:rsid w:val="0066694D"/>
    <w:rsid w:val="00666C76"/>
    <w:rsid w:val="00666CBE"/>
    <w:rsid w:val="006673F6"/>
    <w:rsid w:val="0066741B"/>
    <w:rsid w:val="0066756C"/>
    <w:rsid w:val="0066781F"/>
    <w:rsid w:val="0066788C"/>
    <w:rsid w:val="00667A84"/>
    <w:rsid w:val="00667D8C"/>
    <w:rsid w:val="00670460"/>
    <w:rsid w:val="0067062C"/>
    <w:rsid w:val="00670A36"/>
    <w:rsid w:val="00670A46"/>
    <w:rsid w:val="00670B00"/>
    <w:rsid w:val="00670B2A"/>
    <w:rsid w:val="00670B7C"/>
    <w:rsid w:val="00670D5B"/>
    <w:rsid w:val="0067122E"/>
    <w:rsid w:val="00671466"/>
    <w:rsid w:val="00671505"/>
    <w:rsid w:val="0067174F"/>
    <w:rsid w:val="0067182B"/>
    <w:rsid w:val="00671B2E"/>
    <w:rsid w:val="00672108"/>
    <w:rsid w:val="00672152"/>
    <w:rsid w:val="006721FF"/>
    <w:rsid w:val="006722A1"/>
    <w:rsid w:val="006723BC"/>
    <w:rsid w:val="00672BA3"/>
    <w:rsid w:val="00673BA5"/>
    <w:rsid w:val="00673BC4"/>
    <w:rsid w:val="00674411"/>
    <w:rsid w:val="00674934"/>
    <w:rsid w:val="00674B4E"/>
    <w:rsid w:val="0067552D"/>
    <w:rsid w:val="00675DA1"/>
    <w:rsid w:val="00675F30"/>
    <w:rsid w:val="00676168"/>
    <w:rsid w:val="006763BD"/>
    <w:rsid w:val="00676AD6"/>
    <w:rsid w:val="00676DA7"/>
    <w:rsid w:val="00676FF8"/>
    <w:rsid w:val="00677066"/>
    <w:rsid w:val="006770D0"/>
    <w:rsid w:val="00677A56"/>
    <w:rsid w:val="0068036F"/>
    <w:rsid w:val="00680521"/>
    <w:rsid w:val="00681013"/>
    <w:rsid w:val="006810BC"/>
    <w:rsid w:val="006811CD"/>
    <w:rsid w:val="00681B19"/>
    <w:rsid w:val="00681C2A"/>
    <w:rsid w:val="00681C2B"/>
    <w:rsid w:val="00681D81"/>
    <w:rsid w:val="00682086"/>
    <w:rsid w:val="0068230B"/>
    <w:rsid w:val="0068276F"/>
    <w:rsid w:val="006827FD"/>
    <w:rsid w:val="00682A4D"/>
    <w:rsid w:val="00682AC2"/>
    <w:rsid w:val="00682C1B"/>
    <w:rsid w:val="00682C30"/>
    <w:rsid w:val="00682C62"/>
    <w:rsid w:val="0068324F"/>
    <w:rsid w:val="0068332C"/>
    <w:rsid w:val="0068357D"/>
    <w:rsid w:val="006838D0"/>
    <w:rsid w:val="00683E66"/>
    <w:rsid w:val="006846D8"/>
    <w:rsid w:val="006848A0"/>
    <w:rsid w:val="00684B38"/>
    <w:rsid w:val="00684F1E"/>
    <w:rsid w:val="00685783"/>
    <w:rsid w:val="00685F09"/>
    <w:rsid w:val="006866EF"/>
    <w:rsid w:val="006867EB"/>
    <w:rsid w:val="006867F9"/>
    <w:rsid w:val="006873EC"/>
    <w:rsid w:val="00687A36"/>
    <w:rsid w:val="0069009F"/>
    <w:rsid w:val="0069041C"/>
    <w:rsid w:val="00690664"/>
    <w:rsid w:val="0069084B"/>
    <w:rsid w:val="006912BF"/>
    <w:rsid w:val="006914BA"/>
    <w:rsid w:val="006918B1"/>
    <w:rsid w:val="006918F9"/>
    <w:rsid w:val="006919A7"/>
    <w:rsid w:val="006919AF"/>
    <w:rsid w:val="00691E85"/>
    <w:rsid w:val="00691ED8"/>
    <w:rsid w:val="00692722"/>
    <w:rsid w:val="006929DD"/>
    <w:rsid w:val="00692D7A"/>
    <w:rsid w:val="006936E1"/>
    <w:rsid w:val="00694106"/>
    <w:rsid w:val="00694282"/>
    <w:rsid w:val="00694427"/>
    <w:rsid w:val="006948A3"/>
    <w:rsid w:val="006949BF"/>
    <w:rsid w:val="00694A88"/>
    <w:rsid w:val="0069510A"/>
    <w:rsid w:val="006954D7"/>
    <w:rsid w:val="00695E3D"/>
    <w:rsid w:val="00696316"/>
    <w:rsid w:val="0069634E"/>
    <w:rsid w:val="00696502"/>
    <w:rsid w:val="0069653E"/>
    <w:rsid w:val="00696BA2"/>
    <w:rsid w:val="00696F59"/>
    <w:rsid w:val="00697169"/>
    <w:rsid w:val="00697254"/>
    <w:rsid w:val="006977A7"/>
    <w:rsid w:val="006978B8"/>
    <w:rsid w:val="006979BE"/>
    <w:rsid w:val="00697AF4"/>
    <w:rsid w:val="006A0105"/>
    <w:rsid w:val="006A01E5"/>
    <w:rsid w:val="006A02D8"/>
    <w:rsid w:val="006A02E8"/>
    <w:rsid w:val="006A0389"/>
    <w:rsid w:val="006A05F3"/>
    <w:rsid w:val="006A0678"/>
    <w:rsid w:val="006A074A"/>
    <w:rsid w:val="006A0782"/>
    <w:rsid w:val="006A081D"/>
    <w:rsid w:val="006A08FE"/>
    <w:rsid w:val="006A0B29"/>
    <w:rsid w:val="006A0E31"/>
    <w:rsid w:val="006A138D"/>
    <w:rsid w:val="006A15C8"/>
    <w:rsid w:val="006A15D2"/>
    <w:rsid w:val="006A17F8"/>
    <w:rsid w:val="006A1B35"/>
    <w:rsid w:val="006A1BE4"/>
    <w:rsid w:val="006A1C60"/>
    <w:rsid w:val="006A1CAE"/>
    <w:rsid w:val="006A1EB7"/>
    <w:rsid w:val="006A276E"/>
    <w:rsid w:val="006A2E49"/>
    <w:rsid w:val="006A341A"/>
    <w:rsid w:val="006A3442"/>
    <w:rsid w:val="006A35BC"/>
    <w:rsid w:val="006A3EB0"/>
    <w:rsid w:val="006A4814"/>
    <w:rsid w:val="006A4A61"/>
    <w:rsid w:val="006A4AE7"/>
    <w:rsid w:val="006A4AF3"/>
    <w:rsid w:val="006A4CA6"/>
    <w:rsid w:val="006A4E68"/>
    <w:rsid w:val="006A4F6C"/>
    <w:rsid w:val="006A5213"/>
    <w:rsid w:val="006A5297"/>
    <w:rsid w:val="006A5399"/>
    <w:rsid w:val="006A57E8"/>
    <w:rsid w:val="006A5941"/>
    <w:rsid w:val="006A5D26"/>
    <w:rsid w:val="006A6BB7"/>
    <w:rsid w:val="006A6E2F"/>
    <w:rsid w:val="006A6F8C"/>
    <w:rsid w:val="006A70FB"/>
    <w:rsid w:val="006A737B"/>
    <w:rsid w:val="006A73A1"/>
    <w:rsid w:val="006A7A2D"/>
    <w:rsid w:val="006A7BF0"/>
    <w:rsid w:val="006A7E85"/>
    <w:rsid w:val="006B0355"/>
    <w:rsid w:val="006B05E2"/>
    <w:rsid w:val="006B0A6D"/>
    <w:rsid w:val="006B0A8C"/>
    <w:rsid w:val="006B0B3E"/>
    <w:rsid w:val="006B0C63"/>
    <w:rsid w:val="006B0ECD"/>
    <w:rsid w:val="006B10D5"/>
    <w:rsid w:val="006B115E"/>
    <w:rsid w:val="006B12CC"/>
    <w:rsid w:val="006B13B7"/>
    <w:rsid w:val="006B149B"/>
    <w:rsid w:val="006B14F3"/>
    <w:rsid w:val="006B16A4"/>
    <w:rsid w:val="006B2554"/>
    <w:rsid w:val="006B26FE"/>
    <w:rsid w:val="006B2AD3"/>
    <w:rsid w:val="006B2BCE"/>
    <w:rsid w:val="006B2C73"/>
    <w:rsid w:val="006B2E3C"/>
    <w:rsid w:val="006B3537"/>
    <w:rsid w:val="006B3873"/>
    <w:rsid w:val="006B3B9D"/>
    <w:rsid w:val="006B3D3F"/>
    <w:rsid w:val="006B3D70"/>
    <w:rsid w:val="006B3FB7"/>
    <w:rsid w:val="006B3FCB"/>
    <w:rsid w:val="006B40A5"/>
    <w:rsid w:val="006B4351"/>
    <w:rsid w:val="006B44D6"/>
    <w:rsid w:val="006B4DF5"/>
    <w:rsid w:val="006B4E27"/>
    <w:rsid w:val="006B56D3"/>
    <w:rsid w:val="006B5737"/>
    <w:rsid w:val="006B58C7"/>
    <w:rsid w:val="006B5FF2"/>
    <w:rsid w:val="006B67FF"/>
    <w:rsid w:val="006B6A07"/>
    <w:rsid w:val="006B6BE6"/>
    <w:rsid w:val="006B7145"/>
    <w:rsid w:val="006B719F"/>
    <w:rsid w:val="006B7267"/>
    <w:rsid w:val="006B7420"/>
    <w:rsid w:val="006B7A1C"/>
    <w:rsid w:val="006B7CE8"/>
    <w:rsid w:val="006B7F48"/>
    <w:rsid w:val="006C01A7"/>
    <w:rsid w:val="006C1091"/>
    <w:rsid w:val="006C10F6"/>
    <w:rsid w:val="006C1270"/>
    <w:rsid w:val="006C17AD"/>
    <w:rsid w:val="006C1833"/>
    <w:rsid w:val="006C1FCA"/>
    <w:rsid w:val="006C2025"/>
    <w:rsid w:val="006C3181"/>
    <w:rsid w:val="006C3652"/>
    <w:rsid w:val="006C383B"/>
    <w:rsid w:val="006C3C84"/>
    <w:rsid w:val="006C3F08"/>
    <w:rsid w:val="006C4518"/>
    <w:rsid w:val="006C467F"/>
    <w:rsid w:val="006C4A4A"/>
    <w:rsid w:val="006C4B12"/>
    <w:rsid w:val="006C4DC8"/>
    <w:rsid w:val="006C4EF5"/>
    <w:rsid w:val="006C4F1E"/>
    <w:rsid w:val="006C50A8"/>
    <w:rsid w:val="006C5494"/>
    <w:rsid w:val="006C5AC2"/>
    <w:rsid w:val="006C5E8C"/>
    <w:rsid w:val="006C5EF0"/>
    <w:rsid w:val="006C5F06"/>
    <w:rsid w:val="006C6725"/>
    <w:rsid w:val="006C680B"/>
    <w:rsid w:val="006C6A92"/>
    <w:rsid w:val="006C6C30"/>
    <w:rsid w:val="006C6D7E"/>
    <w:rsid w:val="006C73D5"/>
    <w:rsid w:val="006C760C"/>
    <w:rsid w:val="006C7992"/>
    <w:rsid w:val="006C7E99"/>
    <w:rsid w:val="006D01A7"/>
    <w:rsid w:val="006D023F"/>
    <w:rsid w:val="006D06A3"/>
    <w:rsid w:val="006D06FB"/>
    <w:rsid w:val="006D0957"/>
    <w:rsid w:val="006D0A6A"/>
    <w:rsid w:val="006D0D87"/>
    <w:rsid w:val="006D0F4F"/>
    <w:rsid w:val="006D1019"/>
    <w:rsid w:val="006D1737"/>
    <w:rsid w:val="006D19A3"/>
    <w:rsid w:val="006D1BC4"/>
    <w:rsid w:val="006D1EF7"/>
    <w:rsid w:val="006D23D1"/>
    <w:rsid w:val="006D2C7D"/>
    <w:rsid w:val="006D2DD0"/>
    <w:rsid w:val="006D2E70"/>
    <w:rsid w:val="006D3477"/>
    <w:rsid w:val="006D3E0A"/>
    <w:rsid w:val="006D3F56"/>
    <w:rsid w:val="006D3F89"/>
    <w:rsid w:val="006D40C8"/>
    <w:rsid w:val="006D43C0"/>
    <w:rsid w:val="006D4483"/>
    <w:rsid w:val="006D4669"/>
    <w:rsid w:val="006D4CA9"/>
    <w:rsid w:val="006D517C"/>
    <w:rsid w:val="006D54CB"/>
    <w:rsid w:val="006D55BC"/>
    <w:rsid w:val="006D5721"/>
    <w:rsid w:val="006D5C24"/>
    <w:rsid w:val="006D6BFC"/>
    <w:rsid w:val="006D6E87"/>
    <w:rsid w:val="006D6FB4"/>
    <w:rsid w:val="006D7279"/>
    <w:rsid w:val="006D7739"/>
    <w:rsid w:val="006D789E"/>
    <w:rsid w:val="006D7C79"/>
    <w:rsid w:val="006D7DFE"/>
    <w:rsid w:val="006E0346"/>
    <w:rsid w:val="006E046E"/>
    <w:rsid w:val="006E0D39"/>
    <w:rsid w:val="006E133F"/>
    <w:rsid w:val="006E17AC"/>
    <w:rsid w:val="006E1D75"/>
    <w:rsid w:val="006E1F10"/>
    <w:rsid w:val="006E2C40"/>
    <w:rsid w:val="006E3219"/>
    <w:rsid w:val="006E3414"/>
    <w:rsid w:val="006E3893"/>
    <w:rsid w:val="006E39A5"/>
    <w:rsid w:val="006E4981"/>
    <w:rsid w:val="006E49F0"/>
    <w:rsid w:val="006E53EF"/>
    <w:rsid w:val="006E5B2D"/>
    <w:rsid w:val="006E5E31"/>
    <w:rsid w:val="006E5FB8"/>
    <w:rsid w:val="006E5FCF"/>
    <w:rsid w:val="006E66E4"/>
    <w:rsid w:val="006E6BD9"/>
    <w:rsid w:val="006E6CF6"/>
    <w:rsid w:val="006E6EFE"/>
    <w:rsid w:val="006E73B4"/>
    <w:rsid w:val="006E78CE"/>
    <w:rsid w:val="006E7BC0"/>
    <w:rsid w:val="006E7D19"/>
    <w:rsid w:val="006F002F"/>
    <w:rsid w:val="006F01B3"/>
    <w:rsid w:val="006F01DA"/>
    <w:rsid w:val="006F0664"/>
    <w:rsid w:val="006F0DAC"/>
    <w:rsid w:val="006F12EE"/>
    <w:rsid w:val="006F15D1"/>
    <w:rsid w:val="006F1841"/>
    <w:rsid w:val="006F1BB3"/>
    <w:rsid w:val="006F2038"/>
    <w:rsid w:val="006F27CA"/>
    <w:rsid w:val="006F298E"/>
    <w:rsid w:val="006F3409"/>
    <w:rsid w:val="006F3A55"/>
    <w:rsid w:val="006F3B1C"/>
    <w:rsid w:val="006F3D88"/>
    <w:rsid w:val="006F4A20"/>
    <w:rsid w:val="006F4B44"/>
    <w:rsid w:val="006F564A"/>
    <w:rsid w:val="006F580E"/>
    <w:rsid w:val="006F5E7C"/>
    <w:rsid w:val="006F66B2"/>
    <w:rsid w:val="006F67E2"/>
    <w:rsid w:val="006F69F7"/>
    <w:rsid w:val="006F6D3D"/>
    <w:rsid w:val="006F71A3"/>
    <w:rsid w:val="006F72BC"/>
    <w:rsid w:val="006F7A77"/>
    <w:rsid w:val="006F7AAB"/>
    <w:rsid w:val="006F7B68"/>
    <w:rsid w:val="007001CF"/>
    <w:rsid w:val="00700379"/>
    <w:rsid w:val="0070087C"/>
    <w:rsid w:val="00700FE4"/>
    <w:rsid w:val="00701570"/>
    <w:rsid w:val="00701854"/>
    <w:rsid w:val="00701897"/>
    <w:rsid w:val="00701935"/>
    <w:rsid w:val="00702048"/>
    <w:rsid w:val="00702634"/>
    <w:rsid w:val="00702893"/>
    <w:rsid w:val="00703414"/>
    <w:rsid w:val="00703813"/>
    <w:rsid w:val="00703DAB"/>
    <w:rsid w:val="00703FCC"/>
    <w:rsid w:val="0070434D"/>
    <w:rsid w:val="00704680"/>
    <w:rsid w:val="007047F3"/>
    <w:rsid w:val="00704E2F"/>
    <w:rsid w:val="007051F1"/>
    <w:rsid w:val="007054AD"/>
    <w:rsid w:val="00705596"/>
    <w:rsid w:val="00705BE4"/>
    <w:rsid w:val="00705F3C"/>
    <w:rsid w:val="00706CF8"/>
    <w:rsid w:val="00706D84"/>
    <w:rsid w:val="00706F9F"/>
    <w:rsid w:val="00707261"/>
    <w:rsid w:val="00707514"/>
    <w:rsid w:val="00707B2C"/>
    <w:rsid w:val="00710460"/>
    <w:rsid w:val="0071104F"/>
    <w:rsid w:val="00711586"/>
    <w:rsid w:val="00711B58"/>
    <w:rsid w:val="007122D9"/>
    <w:rsid w:val="007124C6"/>
    <w:rsid w:val="00712D88"/>
    <w:rsid w:val="00714DE3"/>
    <w:rsid w:val="00714E71"/>
    <w:rsid w:val="00715439"/>
    <w:rsid w:val="00715536"/>
    <w:rsid w:val="0071590C"/>
    <w:rsid w:val="00715A78"/>
    <w:rsid w:val="00715ED5"/>
    <w:rsid w:val="00715FDE"/>
    <w:rsid w:val="0071619B"/>
    <w:rsid w:val="00716387"/>
    <w:rsid w:val="007169C5"/>
    <w:rsid w:val="00716A44"/>
    <w:rsid w:val="0071767C"/>
    <w:rsid w:val="00717723"/>
    <w:rsid w:val="007178C7"/>
    <w:rsid w:val="00717F21"/>
    <w:rsid w:val="007200AA"/>
    <w:rsid w:val="007201F6"/>
    <w:rsid w:val="00720318"/>
    <w:rsid w:val="00720393"/>
    <w:rsid w:val="00720555"/>
    <w:rsid w:val="0072077C"/>
    <w:rsid w:val="00720783"/>
    <w:rsid w:val="00720C44"/>
    <w:rsid w:val="00721064"/>
    <w:rsid w:val="00721543"/>
    <w:rsid w:val="007215C7"/>
    <w:rsid w:val="007216F5"/>
    <w:rsid w:val="00721742"/>
    <w:rsid w:val="0072189B"/>
    <w:rsid w:val="00721D25"/>
    <w:rsid w:val="00722214"/>
    <w:rsid w:val="00722404"/>
    <w:rsid w:val="007226EB"/>
    <w:rsid w:val="007227D8"/>
    <w:rsid w:val="007229E0"/>
    <w:rsid w:val="00722D89"/>
    <w:rsid w:val="00722E20"/>
    <w:rsid w:val="00722F1B"/>
    <w:rsid w:val="007231C6"/>
    <w:rsid w:val="00723553"/>
    <w:rsid w:val="007239CF"/>
    <w:rsid w:val="00723A2F"/>
    <w:rsid w:val="007240FD"/>
    <w:rsid w:val="00724242"/>
    <w:rsid w:val="007246E6"/>
    <w:rsid w:val="00724C10"/>
    <w:rsid w:val="00724E5C"/>
    <w:rsid w:val="00724FEC"/>
    <w:rsid w:val="00725883"/>
    <w:rsid w:val="007258C5"/>
    <w:rsid w:val="00725A40"/>
    <w:rsid w:val="00725AB7"/>
    <w:rsid w:val="00725D4E"/>
    <w:rsid w:val="00725D62"/>
    <w:rsid w:val="00725DD6"/>
    <w:rsid w:val="00726017"/>
    <w:rsid w:val="007267A0"/>
    <w:rsid w:val="0072689E"/>
    <w:rsid w:val="00726D9D"/>
    <w:rsid w:val="00726E41"/>
    <w:rsid w:val="00727313"/>
    <w:rsid w:val="00727A54"/>
    <w:rsid w:val="00727FFA"/>
    <w:rsid w:val="00730130"/>
    <w:rsid w:val="00730170"/>
    <w:rsid w:val="007301C9"/>
    <w:rsid w:val="007302BA"/>
    <w:rsid w:val="00730445"/>
    <w:rsid w:val="0073069B"/>
    <w:rsid w:val="00730F02"/>
    <w:rsid w:val="00731C9D"/>
    <w:rsid w:val="00731D7E"/>
    <w:rsid w:val="00732165"/>
    <w:rsid w:val="007326DE"/>
    <w:rsid w:val="0073284F"/>
    <w:rsid w:val="00732CFE"/>
    <w:rsid w:val="007331CE"/>
    <w:rsid w:val="0073322B"/>
    <w:rsid w:val="00733527"/>
    <w:rsid w:val="007335B4"/>
    <w:rsid w:val="0073380B"/>
    <w:rsid w:val="0073404F"/>
    <w:rsid w:val="007347BE"/>
    <w:rsid w:val="007347FC"/>
    <w:rsid w:val="0073498F"/>
    <w:rsid w:val="00734A01"/>
    <w:rsid w:val="00734A35"/>
    <w:rsid w:val="007356EE"/>
    <w:rsid w:val="00735974"/>
    <w:rsid w:val="007359B5"/>
    <w:rsid w:val="007359C6"/>
    <w:rsid w:val="00735BD5"/>
    <w:rsid w:val="00735CC4"/>
    <w:rsid w:val="00735DA1"/>
    <w:rsid w:val="00735F6D"/>
    <w:rsid w:val="0073654A"/>
    <w:rsid w:val="007369C8"/>
    <w:rsid w:val="00736C4F"/>
    <w:rsid w:val="00736E28"/>
    <w:rsid w:val="007377DE"/>
    <w:rsid w:val="007378DB"/>
    <w:rsid w:val="0073797F"/>
    <w:rsid w:val="00737C9A"/>
    <w:rsid w:val="0074047B"/>
    <w:rsid w:val="00740B73"/>
    <w:rsid w:val="007410AF"/>
    <w:rsid w:val="0074134B"/>
    <w:rsid w:val="007415A1"/>
    <w:rsid w:val="0074229B"/>
    <w:rsid w:val="007423EB"/>
    <w:rsid w:val="007435D8"/>
    <w:rsid w:val="00743BD7"/>
    <w:rsid w:val="00743BF3"/>
    <w:rsid w:val="007445AA"/>
    <w:rsid w:val="0074478F"/>
    <w:rsid w:val="0074495A"/>
    <w:rsid w:val="00744F65"/>
    <w:rsid w:val="007459AE"/>
    <w:rsid w:val="00745B6A"/>
    <w:rsid w:val="00745B8C"/>
    <w:rsid w:val="00746463"/>
    <w:rsid w:val="00746E97"/>
    <w:rsid w:val="00746EAB"/>
    <w:rsid w:val="007470AE"/>
    <w:rsid w:val="00747640"/>
    <w:rsid w:val="007476D2"/>
    <w:rsid w:val="007477B8"/>
    <w:rsid w:val="00747C9D"/>
    <w:rsid w:val="00747D55"/>
    <w:rsid w:val="00750821"/>
    <w:rsid w:val="00750BFA"/>
    <w:rsid w:val="00750D4E"/>
    <w:rsid w:val="00750E63"/>
    <w:rsid w:val="007510AB"/>
    <w:rsid w:val="00751A7F"/>
    <w:rsid w:val="00752396"/>
    <w:rsid w:val="00752559"/>
    <w:rsid w:val="00752571"/>
    <w:rsid w:val="0075309A"/>
    <w:rsid w:val="00753196"/>
    <w:rsid w:val="007531BD"/>
    <w:rsid w:val="007531D2"/>
    <w:rsid w:val="00753552"/>
    <w:rsid w:val="007535D0"/>
    <w:rsid w:val="0075395A"/>
    <w:rsid w:val="007539EC"/>
    <w:rsid w:val="00754329"/>
    <w:rsid w:val="00754614"/>
    <w:rsid w:val="007547F9"/>
    <w:rsid w:val="00754E20"/>
    <w:rsid w:val="007554AF"/>
    <w:rsid w:val="0075559C"/>
    <w:rsid w:val="00755984"/>
    <w:rsid w:val="00755A27"/>
    <w:rsid w:val="00755F34"/>
    <w:rsid w:val="00755FC3"/>
    <w:rsid w:val="007560D4"/>
    <w:rsid w:val="00756126"/>
    <w:rsid w:val="007562CB"/>
    <w:rsid w:val="007565E2"/>
    <w:rsid w:val="007573E9"/>
    <w:rsid w:val="00757803"/>
    <w:rsid w:val="00757D07"/>
    <w:rsid w:val="00757D33"/>
    <w:rsid w:val="00760237"/>
    <w:rsid w:val="00760307"/>
    <w:rsid w:val="007609A3"/>
    <w:rsid w:val="00761509"/>
    <w:rsid w:val="00761BBB"/>
    <w:rsid w:val="00761CDB"/>
    <w:rsid w:val="0076214A"/>
    <w:rsid w:val="00762241"/>
    <w:rsid w:val="0076245B"/>
    <w:rsid w:val="00762784"/>
    <w:rsid w:val="00762F67"/>
    <w:rsid w:val="007631AD"/>
    <w:rsid w:val="007638FA"/>
    <w:rsid w:val="00763E1C"/>
    <w:rsid w:val="00763ED1"/>
    <w:rsid w:val="007644A6"/>
    <w:rsid w:val="007646E5"/>
    <w:rsid w:val="0076489D"/>
    <w:rsid w:val="00764E24"/>
    <w:rsid w:val="0076517A"/>
    <w:rsid w:val="007655CF"/>
    <w:rsid w:val="00765FDD"/>
    <w:rsid w:val="00766431"/>
    <w:rsid w:val="007665EB"/>
    <w:rsid w:val="0076661A"/>
    <w:rsid w:val="00766D8B"/>
    <w:rsid w:val="00766EEF"/>
    <w:rsid w:val="007677F6"/>
    <w:rsid w:val="007709A2"/>
    <w:rsid w:val="00770B36"/>
    <w:rsid w:val="007712F3"/>
    <w:rsid w:val="007714DE"/>
    <w:rsid w:val="00771E15"/>
    <w:rsid w:val="007722A7"/>
    <w:rsid w:val="0077232B"/>
    <w:rsid w:val="0077319A"/>
    <w:rsid w:val="007749CF"/>
    <w:rsid w:val="007755AC"/>
    <w:rsid w:val="0077565F"/>
    <w:rsid w:val="00775B7D"/>
    <w:rsid w:val="007760D6"/>
    <w:rsid w:val="00776B1E"/>
    <w:rsid w:val="00776CAD"/>
    <w:rsid w:val="007772BE"/>
    <w:rsid w:val="0077733B"/>
    <w:rsid w:val="007775D2"/>
    <w:rsid w:val="0077796A"/>
    <w:rsid w:val="00777975"/>
    <w:rsid w:val="00780212"/>
    <w:rsid w:val="00780677"/>
    <w:rsid w:val="00780844"/>
    <w:rsid w:val="0078086A"/>
    <w:rsid w:val="00780EC9"/>
    <w:rsid w:val="00781409"/>
    <w:rsid w:val="007816E6"/>
    <w:rsid w:val="007817F1"/>
    <w:rsid w:val="00781BC3"/>
    <w:rsid w:val="00781D6B"/>
    <w:rsid w:val="00781E91"/>
    <w:rsid w:val="00782224"/>
    <w:rsid w:val="007822AC"/>
    <w:rsid w:val="00782564"/>
    <w:rsid w:val="007825B7"/>
    <w:rsid w:val="00782BF4"/>
    <w:rsid w:val="00782C6C"/>
    <w:rsid w:val="00782CAB"/>
    <w:rsid w:val="007833A1"/>
    <w:rsid w:val="00783609"/>
    <w:rsid w:val="007837FE"/>
    <w:rsid w:val="00783AA1"/>
    <w:rsid w:val="00783AAE"/>
    <w:rsid w:val="00783AC3"/>
    <w:rsid w:val="00783BEA"/>
    <w:rsid w:val="00783C20"/>
    <w:rsid w:val="00783CCC"/>
    <w:rsid w:val="0078440F"/>
    <w:rsid w:val="007845A2"/>
    <w:rsid w:val="0078498C"/>
    <w:rsid w:val="00785116"/>
    <w:rsid w:val="007851F2"/>
    <w:rsid w:val="0078539A"/>
    <w:rsid w:val="007853FA"/>
    <w:rsid w:val="007853FC"/>
    <w:rsid w:val="007858CD"/>
    <w:rsid w:val="00785B18"/>
    <w:rsid w:val="007860B2"/>
    <w:rsid w:val="0078619F"/>
    <w:rsid w:val="007866A4"/>
    <w:rsid w:val="00787084"/>
    <w:rsid w:val="00787542"/>
    <w:rsid w:val="00787644"/>
    <w:rsid w:val="007877A2"/>
    <w:rsid w:val="00787BAE"/>
    <w:rsid w:val="0079025F"/>
    <w:rsid w:val="00790E80"/>
    <w:rsid w:val="007911C6"/>
    <w:rsid w:val="0079143B"/>
    <w:rsid w:val="007917F3"/>
    <w:rsid w:val="00791D0D"/>
    <w:rsid w:val="007920AD"/>
    <w:rsid w:val="007927A9"/>
    <w:rsid w:val="00792D95"/>
    <w:rsid w:val="00793325"/>
    <w:rsid w:val="007935EF"/>
    <w:rsid w:val="007940F8"/>
    <w:rsid w:val="0079432D"/>
    <w:rsid w:val="007943CF"/>
    <w:rsid w:val="007948F7"/>
    <w:rsid w:val="00794A38"/>
    <w:rsid w:val="00794C08"/>
    <w:rsid w:val="007953C8"/>
    <w:rsid w:val="00795509"/>
    <w:rsid w:val="007956E3"/>
    <w:rsid w:val="007958DB"/>
    <w:rsid w:val="00795C36"/>
    <w:rsid w:val="007969CB"/>
    <w:rsid w:val="00796A82"/>
    <w:rsid w:val="00796B38"/>
    <w:rsid w:val="0079746F"/>
    <w:rsid w:val="00797EC3"/>
    <w:rsid w:val="007A0081"/>
    <w:rsid w:val="007A082E"/>
    <w:rsid w:val="007A0CC5"/>
    <w:rsid w:val="007A14B0"/>
    <w:rsid w:val="007A1575"/>
    <w:rsid w:val="007A1A3A"/>
    <w:rsid w:val="007A1B35"/>
    <w:rsid w:val="007A22C9"/>
    <w:rsid w:val="007A295F"/>
    <w:rsid w:val="007A2AEC"/>
    <w:rsid w:val="007A30BB"/>
    <w:rsid w:val="007A34D3"/>
    <w:rsid w:val="007A35BF"/>
    <w:rsid w:val="007A3721"/>
    <w:rsid w:val="007A3725"/>
    <w:rsid w:val="007A3841"/>
    <w:rsid w:val="007A3DFE"/>
    <w:rsid w:val="007A411A"/>
    <w:rsid w:val="007A41E8"/>
    <w:rsid w:val="007A43B6"/>
    <w:rsid w:val="007A43EF"/>
    <w:rsid w:val="007A475A"/>
    <w:rsid w:val="007A4A74"/>
    <w:rsid w:val="007A4F06"/>
    <w:rsid w:val="007A54D0"/>
    <w:rsid w:val="007A5577"/>
    <w:rsid w:val="007A5AF1"/>
    <w:rsid w:val="007A5B49"/>
    <w:rsid w:val="007A5F1A"/>
    <w:rsid w:val="007A6460"/>
    <w:rsid w:val="007A64AC"/>
    <w:rsid w:val="007A6C8C"/>
    <w:rsid w:val="007A6D03"/>
    <w:rsid w:val="007A6FEE"/>
    <w:rsid w:val="007A73C1"/>
    <w:rsid w:val="007A7850"/>
    <w:rsid w:val="007A7F03"/>
    <w:rsid w:val="007B04BA"/>
    <w:rsid w:val="007B072E"/>
    <w:rsid w:val="007B0D1C"/>
    <w:rsid w:val="007B1238"/>
    <w:rsid w:val="007B191E"/>
    <w:rsid w:val="007B211E"/>
    <w:rsid w:val="007B2C42"/>
    <w:rsid w:val="007B2C72"/>
    <w:rsid w:val="007B301C"/>
    <w:rsid w:val="007B37A5"/>
    <w:rsid w:val="007B45A2"/>
    <w:rsid w:val="007B45D7"/>
    <w:rsid w:val="007B47F1"/>
    <w:rsid w:val="007B56F0"/>
    <w:rsid w:val="007B63AF"/>
    <w:rsid w:val="007B6A9D"/>
    <w:rsid w:val="007B77E3"/>
    <w:rsid w:val="007B78C1"/>
    <w:rsid w:val="007B7A4E"/>
    <w:rsid w:val="007B7AAD"/>
    <w:rsid w:val="007B7C26"/>
    <w:rsid w:val="007C004E"/>
    <w:rsid w:val="007C0509"/>
    <w:rsid w:val="007C0C88"/>
    <w:rsid w:val="007C0CEA"/>
    <w:rsid w:val="007C1467"/>
    <w:rsid w:val="007C1A28"/>
    <w:rsid w:val="007C1A89"/>
    <w:rsid w:val="007C2032"/>
    <w:rsid w:val="007C2D91"/>
    <w:rsid w:val="007C3095"/>
    <w:rsid w:val="007C30CA"/>
    <w:rsid w:val="007C38BB"/>
    <w:rsid w:val="007C3B55"/>
    <w:rsid w:val="007C3D6D"/>
    <w:rsid w:val="007C406A"/>
    <w:rsid w:val="007C4080"/>
    <w:rsid w:val="007C4087"/>
    <w:rsid w:val="007C4218"/>
    <w:rsid w:val="007C4686"/>
    <w:rsid w:val="007C4763"/>
    <w:rsid w:val="007C4894"/>
    <w:rsid w:val="007C48DA"/>
    <w:rsid w:val="007C4A72"/>
    <w:rsid w:val="007C5D95"/>
    <w:rsid w:val="007C60C5"/>
    <w:rsid w:val="007C62F3"/>
    <w:rsid w:val="007C6368"/>
    <w:rsid w:val="007C669F"/>
    <w:rsid w:val="007C66F1"/>
    <w:rsid w:val="007C6887"/>
    <w:rsid w:val="007C6EC5"/>
    <w:rsid w:val="007D04DC"/>
    <w:rsid w:val="007D0757"/>
    <w:rsid w:val="007D0912"/>
    <w:rsid w:val="007D0AFA"/>
    <w:rsid w:val="007D10AD"/>
    <w:rsid w:val="007D13F2"/>
    <w:rsid w:val="007D16A9"/>
    <w:rsid w:val="007D1CB3"/>
    <w:rsid w:val="007D1DD9"/>
    <w:rsid w:val="007D20FF"/>
    <w:rsid w:val="007D266E"/>
    <w:rsid w:val="007D26D3"/>
    <w:rsid w:val="007D2C72"/>
    <w:rsid w:val="007D2D1A"/>
    <w:rsid w:val="007D2DE4"/>
    <w:rsid w:val="007D306C"/>
    <w:rsid w:val="007D3280"/>
    <w:rsid w:val="007D32A5"/>
    <w:rsid w:val="007D3461"/>
    <w:rsid w:val="007D3576"/>
    <w:rsid w:val="007D38A6"/>
    <w:rsid w:val="007D3BB5"/>
    <w:rsid w:val="007D3D06"/>
    <w:rsid w:val="007D4595"/>
    <w:rsid w:val="007D4E05"/>
    <w:rsid w:val="007D52DC"/>
    <w:rsid w:val="007D53A0"/>
    <w:rsid w:val="007D569E"/>
    <w:rsid w:val="007D5755"/>
    <w:rsid w:val="007D63E6"/>
    <w:rsid w:val="007D694D"/>
    <w:rsid w:val="007D6DBF"/>
    <w:rsid w:val="007D7294"/>
    <w:rsid w:val="007D7A56"/>
    <w:rsid w:val="007D7EAD"/>
    <w:rsid w:val="007E005C"/>
    <w:rsid w:val="007E06CE"/>
    <w:rsid w:val="007E0A71"/>
    <w:rsid w:val="007E0AE2"/>
    <w:rsid w:val="007E0DCD"/>
    <w:rsid w:val="007E145F"/>
    <w:rsid w:val="007E1589"/>
    <w:rsid w:val="007E1E51"/>
    <w:rsid w:val="007E1E88"/>
    <w:rsid w:val="007E2262"/>
    <w:rsid w:val="007E2A80"/>
    <w:rsid w:val="007E2BA0"/>
    <w:rsid w:val="007E2CC8"/>
    <w:rsid w:val="007E2F36"/>
    <w:rsid w:val="007E3104"/>
    <w:rsid w:val="007E330D"/>
    <w:rsid w:val="007E3A77"/>
    <w:rsid w:val="007E3EE9"/>
    <w:rsid w:val="007E408E"/>
    <w:rsid w:val="007E4092"/>
    <w:rsid w:val="007E4839"/>
    <w:rsid w:val="007E4AE5"/>
    <w:rsid w:val="007E4B07"/>
    <w:rsid w:val="007E5A3D"/>
    <w:rsid w:val="007E5D63"/>
    <w:rsid w:val="007E6091"/>
    <w:rsid w:val="007E61E5"/>
    <w:rsid w:val="007E61F6"/>
    <w:rsid w:val="007E6540"/>
    <w:rsid w:val="007E67AB"/>
    <w:rsid w:val="007E6A28"/>
    <w:rsid w:val="007E6D77"/>
    <w:rsid w:val="007E6DCF"/>
    <w:rsid w:val="007E7566"/>
    <w:rsid w:val="007E7EDB"/>
    <w:rsid w:val="007F02EF"/>
    <w:rsid w:val="007F0E7D"/>
    <w:rsid w:val="007F1356"/>
    <w:rsid w:val="007F153C"/>
    <w:rsid w:val="007F1FCD"/>
    <w:rsid w:val="007F2247"/>
    <w:rsid w:val="007F2297"/>
    <w:rsid w:val="007F3084"/>
    <w:rsid w:val="007F31CC"/>
    <w:rsid w:val="007F31E3"/>
    <w:rsid w:val="007F344D"/>
    <w:rsid w:val="007F3515"/>
    <w:rsid w:val="007F363D"/>
    <w:rsid w:val="007F3669"/>
    <w:rsid w:val="007F36DC"/>
    <w:rsid w:val="007F37C6"/>
    <w:rsid w:val="007F37E9"/>
    <w:rsid w:val="007F3856"/>
    <w:rsid w:val="007F429E"/>
    <w:rsid w:val="007F4FF3"/>
    <w:rsid w:val="007F520C"/>
    <w:rsid w:val="007F5614"/>
    <w:rsid w:val="007F586B"/>
    <w:rsid w:val="007F5CFD"/>
    <w:rsid w:val="007F5D88"/>
    <w:rsid w:val="007F5DAF"/>
    <w:rsid w:val="007F6444"/>
    <w:rsid w:val="007F6B1C"/>
    <w:rsid w:val="007F721C"/>
    <w:rsid w:val="007F7291"/>
    <w:rsid w:val="007F72B0"/>
    <w:rsid w:val="007F74B3"/>
    <w:rsid w:val="007F76D2"/>
    <w:rsid w:val="007F7748"/>
    <w:rsid w:val="007F7B6D"/>
    <w:rsid w:val="007F7C07"/>
    <w:rsid w:val="007F7FFA"/>
    <w:rsid w:val="008001E7"/>
    <w:rsid w:val="0080123A"/>
    <w:rsid w:val="0080127F"/>
    <w:rsid w:val="008014CA"/>
    <w:rsid w:val="0080155B"/>
    <w:rsid w:val="008016B1"/>
    <w:rsid w:val="00801853"/>
    <w:rsid w:val="00801B14"/>
    <w:rsid w:val="00801B5F"/>
    <w:rsid w:val="0080253B"/>
    <w:rsid w:val="00802795"/>
    <w:rsid w:val="008027ED"/>
    <w:rsid w:val="00802E6C"/>
    <w:rsid w:val="0080309B"/>
    <w:rsid w:val="008031A2"/>
    <w:rsid w:val="00803665"/>
    <w:rsid w:val="0080386B"/>
    <w:rsid w:val="008039B0"/>
    <w:rsid w:val="00803B94"/>
    <w:rsid w:val="00804127"/>
    <w:rsid w:val="008044A1"/>
    <w:rsid w:val="00804876"/>
    <w:rsid w:val="0080512E"/>
    <w:rsid w:val="008052DF"/>
    <w:rsid w:val="00805545"/>
    <w:rsid w:val="008055C3"/>
    <w:rsid w:val="008055F4"/>
    <w:rsid w:val="00805A29"/>
    <w:rsid w:val="008062E8"/>
    <w:rsid w:val="008067CD"/>
    <w:rsid w:val="00806B34"/>
    <w:rsid w:val="00807231"/>
    <w:rsid w:val="008077C6"/>
    <w:rsid w:val="00810769"/>
    <w:rsid w:val="00810944"/>
    <w:rsid w:val="00810AD3"/>
    <w:rsid w:val="00810B26"/>
    <w:rsid w:val="00810B3D"/>
    <w:rsid w:val="00810D4E"/>
    <w:rsid w:val="00810DFF"/>
    <w:rsid w:val="00811172"/>
    <w:rsid w:val="00811757"/>
    <w:rsid w:val="00811D0D"/>
    <w:rsid w:val="0081215D"/>
    <w:rsid w:val="008128E7"/>
    <w:rsid w:val="008128F3"/>
    <w:rsid w:val="00812988"/>
    <w:rsid w:val="00812C11"/>
    <w:rsid w:val="008131FE"/>
    <w:rsid w:val="0081351D"/>
    <w:rsid w:val="0081354C"/>
    <w:rsid w:val="00813568"/>
    <w:rsid w:val="008140DD"/>
    <w:rsid w:val="0081463C"/>
    <w:rsid w:val="00814A2A"/>
    <w:rsid w:val="0081539B"/>
    <w:rsid w:val="0081561B"/>
    <w:rsid w:val="0081568E"/>
    <w:rsid w:val="00815ABD"/>
    <w:rsid w:val="008162C7"/>
    <w:rsid w:val="008162E2"/>
    <w:rsid w:val="0081638A"/>
    <w:rsid w:val="00817153"/>
    <w:rsid w:val="00820730"/>
    <w:rsid w:val="0082077A"/>
    <w:rsid w:val="00820B44"/>
    <w:rsid w:val="00821664"/>
    <w:rsid w:val="00821713"/>
    <w:rsid w:val="00821786"/>
    <w:rsid w:val="0082213F"/>
    <w:rsid w:val="00822283"/>
    <w:rsid w:val="008222DB"/>
    <w:rsid w:val="008225EC"/>
    <w:rsid w:val="0082290B"/>
    <w:rsid w:val="00822EC9"/>
    <w:rsid w:val="00822F6C"/>
    <w:rsid w:val="008230E0"/>
    <w:rsid w:val="00823104"/>
    <w:rsid w:val="00823146"/>
    <w:rsid w:val="00823318"/>
    <w:rsid w:val="008233B0"/>
    <w:rsid w:val="008239C6"/>
    <w:rsid w:val="00823A05"/>
    <w:rsid w:val="008254F7"/>
    <w:rsid w:val="00825CFB"/>
    <w:rsid w:val="00826083"/>
    <w:rsid w:val="00826BBE"/>
    <w:rsid w:val="00826CBF"/>
    <w:rsid w:val="0082714F"/>
    <w:rsid w:val="0082746C"/>
    <w:rsid w:val="008274E0"/>
    <w:rsid w:val="008275C4"/>
    <w:rsid w:val="00827EC9"/>
    <w:rsid w:val="008302A4"/>
    <w:rsid w:val="0083084A"/>
    <w:rsid w:val="00830C3F"/>
    <w:rsid w:val="00830CC3"/>
    <w:rsid w:val="008311F3"/>
    <w:rsid w:val="0083143B"/>
    <w:rsid w:val="00831620"/>
    <w:rsid w:val="008316AB"/>
    <w:rsid w:val="008317C4"/>
    <w:rsid w:val="00831A7E"/>
    <w:rsid w:val="008320FE"/>
    <w:rsid w:val="008322A6"/>
    <w:rsid w:val="008325CB"/>
    <w:rsid w:val="00832E2E"/>
    <w:rsid w:val="00832F1A"/>
    <w:rsid w:val="00833444"/>
    <w:rsid w:val="008334B2"/>
    <w:rsid w:val="0083368E"/>
    <w:rsid w:val="00833E9A"/>
    <w:rsid w:val="0083463B"/>
    <w:rsid w:val="00834743"/>
    <w:rsid w:val="00834779"/>
    <w:rsid w:val="008347FD"/>
    <w:rsid w:val="00834DCC"/>
    <w:rsid w:val="00835176"/>
    <w:rsid w:val="008356DF"/>
    <w:rsid w:val="00835CB5"/>
    <w:rsid w:val="00835D83"/>
    <w:rsid w:val="00835FA2"/>
    <w:rsid w:val="00836079"/>
    <w:rsid w:val="00836392"/>
    <w:rsid w:val="008363F6"/>
    <w:rsid w:val="0083667E"/>
    <w:rsid w:val="00836C9F"/>
    <w:rsid w:val="00836DDA"/>
    <w:rsid w:val="0083729E"/>
    <w:rsid w:val="008372F6"/>
    <w:rsid w:val="0083780E"/>
    <w:rsid w:val="008378A3"/>
    <w:rsid w:val="008378A9"/>
    <w:rsid w:val="008379BA"/>
    <w:rsid w:val="00837A1C"/>
    <w:rsid w:val="00837BE5"/>
    <w:rsid w:val="00837FA6"/>
    <w:rsid w:val="00837FC7"/>
    <w:rsid w:val="00840220"/>
    <w:rsid w:val="008406B8"/>
    <w:rsid w:val="00840950"/>
    <w:rsid w:val="008409A8"/>
    <w:rsid w:val="00840BA6"/>
    <w:rsid w:val="00840E71"/>
    <w:rsid w:val="00841183"/>
    <w:rsid w:val="008415DA"/>
    <w:rsid w:val="00841780"/>
    <w:rsid w:val="008418F4"/>
    <w:rsid w:val="00841BAE"/>
    <w:rsid w:val="00842280"/>
    <w:rsid w:val="008424A7"/>
    <w:rsid w:val="008427BB"/>
    <w:rsid w:val="008430FC"/>
    <w:rsid w:val="008437AD"/>
    <w:rsid w:val="00843998"/>
    <w:rsid w:val="00843C02"/>
    <w:rsid w:val="00844107"/>
    <w:rsid w:val="008441B5"/>
    <w:rsid w:val="00844B13"/>
    <w:rsid w:val="00844F48"/>
    <w:rsid w:val="00845212"/>
    <w:rsid w:val="0084522F"/>
    <w:rsid w:val="00845709"/>
    <w:rsid w:val="00845CD0"/>
    <w:rsid w:val="00845E42"/>
    <w:rsid w:val="00846025"/>
    <w:rsid w:val="008461E1"/>
    <w:rsid w:val="0084627D"/>
    <w:rsid w:val="00846342"/>
    <w:rsid w:val="0084640B"/>
    <w:rsid w:val="008464EB"/>
    <w:rsid w:val="00846979"/>
    <w:rsid w:val="0084727F"/>
    <w:rsid w:val="008473F7"/>
    <w:rsid w:val="00847678"/>
    <w:rsid w:val="008478B6"/>
    <w:rsid w:val="00847A70"/>
    <w:rsid w:val="00847C04"/>
    <w:rsid w:val="00847DB2"/>
    <w:rsid w:val="00850A88"/>
    <w:rsid w:val="00850B7F"/>
    <w:rsid w:val="00850BE0"/>
    <w:rsid w:val="00850F78"/>
    <w:rsid w:val="00851244"/>
    <w:rsid w:val="008513F4"/>
    <w:rsid w:val="008522ED"/>
    <w:rsid w:val="00852E65"/>
    <w:rsid w:val="00853474"/>
    <w:rsid w:val="00853D6F"/>
    <w:rsid w:val="00854515"/>
    <w:rsid w:val="0085456C"/>
    <w:rsid w:val="00854755"/>
    <w:rsid w:val="00854823"/>
    <w:rsid w:val="00854C1E"/>
    <w:rsid w:val="00854EF3"/>
    <w:rsid w:val="0085579A"/>
    <w:rsid w:val="00855842"/>
    <w:rsid w:val="00855AA1"/>
    <w:rsid w:val="00856001"/>
    <w:rsid w:val="0085618C"/>
    <w:rsid w:val="00856798"/>
    <w:rsid w:val="00856817"/>
    <w:rsid w:val="00856BBF"/>
    <w:rsid w:val="00856BE5"/>
    <w:rsid w:val="008571F4"/>
    <w:rsid w:val="00857598"/>
    <w:rsid w:val="00857738"/>
    <w:rsid w:val="00857F5F"/>
    <w:rsid w:val="0086017B"/>
    <w:rsid w:val="00860199"/>
    <w:rsid w:val="0086041C"/>
    <w:rsid w:val="00860A97"/>
    <w:rsid w:val="00860BBE"/>
    <w:rsid w:val="00860F85"/>
    <w:rsid w:val="008617FC"/>
    <w:rsid w:val="00861FCC"/>
    <w:rsid w:val="008621DC"/>
    <w:rsid w:val="0086223E"/>
    <w:rsid w:val="008626B0"/>
    <w:rsid w:val="008629F5"/>
    <w:rsid w:val="00862A7F"/>
    <w:rsid w:val="00862AA2"/>
    <w:rsid w:val="008631ED"/>
    <w:rsid w:val="008638AC"/>
    <w:rsid w:val="00863C29"/>
    <w:rsid w:val="00864765"/>
    <w:rsid w:val="00864BDF"/>
    <w:rsid w:val="00864FAD"/>
    <w:rsid w:val="008650DA"/>
    <w:rsid w:val="00865598"/>
    <w:rsid w:val="008657E2"/>
    <w:rsid w:val="0086590D"/>
    <w:rsid w:val="0086606B"/>
    <w:rsid w:val="00866072"/>
    <w:rsid w:val="008663EC"/>
    <w:rsid w:val="008663F4"/>
    <w:rsid w:val="00866BD4"/>
    <w:rsid w:val="00866DEA"/>
    <w:rsid w:val="008673D9"/>
    <w:rsid w:val="008676F8"/>
    <w:rsid w:val="00867AAE"/>
    <w:rsid w:val="00867B39"/>
    <w:rsid w:val="00867CC8"/>
    <w:rsid w:val="00870107"/>
    <w:rsid w:val="008706FE"/>
    <w:rsid w:val="008707CC"/>
    <w:rsid w:val="008708F9"/>
    <w:rsid w:val="0087138C"/>
    <w:rsid w:val="00871582"/>
    <w:rsid w:val="008719FB"/>
    <w:rsid w:val="00871C0A"/>
    <w:rsid w:val="00871E75"/>
    <w:rsid w:val="00872555"/>
    <w:rsid w:val="00872713"/>
    <w:rsid w:val="008728CE"/>
    <w:rsid w:val="008728EA"/>
    <w:rsid w:val="00872A82"/>
    <w:rsid w:val="00872BD2"/>
    <w:rsid w:val="00872C63"/>
    <w:rsid w:val="00872FF2"/>
    <w:rsid w:val="008731C7"/>
    <w:rsid w:val="008733BB"/>
    <w:rsid w:val="00873743"/>
    <w:rsid w:val="008738D3"/>
    <w:rsid w:val="00873B2E"/>
    <w:rsid w:val="0087428C"/>
    <w:rsid w:val="00874B7B"/>
    <w:rsid w:val="00874C7D"/>
    <w:rsid w:val="00875268"/>
    <w:rsid w:val="008754D8"/>
    <w:rsid w:val="008756D4"/>
    <w:rsid w:val="00875AF5"/>
    <w:rsid w:val="00876013"/>
    <w:rsid w:val="0087622D"/>
    <w:rsid w:val="00876306"/>
    <w:rsid w:val="00876428"/>
    <w:rsid w:val="00876BE6"/>
    <w:rsid w:val="00876CB6"/>
    <w:rsid w:val="00876E2A"/>
    <w:rsid w:val="0087702E"/>
    <w:rsid w:val="008773BA"/>
    <w:rsid w:val="008773F8"/>
    <w:rsid w:val="0087752F"/>
    <w:rsid w:val="00877E28"/>
    <w:rsid w:val="008801BE"/>
    <w:rsid w:val="008801FB"/>
    <w:rsid w:val="008803CE"/>
    <w:rsid w:val="00880485"/>
    <w:rsid w:val="00880DFF"/>
    <w:rsid w:val="00881175"/>
    <w:rsid w:val="008816EA"/>
    <w:rsid w:val="0088172E"/>
    <w:rsid w:val="00881C9F"/>
    <w:rsid w:val="008824E6"/>
    <w:rsid w:val="0088256B"/>
    <w:rsid w:val="008826D8"/>
    <w:rsid w:val="008827E2"/>
    <w:rsid w:val="00883833"/>
    <w:rsid w:val="00883C51"/>
    <w:rsid w:val="00884028"/>
    <w:rsid w:val="00884194"/>
    <w:rsid w:val="008841E9"/>
    <w:rsid w:val="0088449F"/>
    <w:rsid w:val="00884EAD"/>
    <w:rsid w:val="008858DB"/>
    <w:rsid w:val="00885A1F"/>
    <w:rsid w:val="00885B31"/>
    <w:rsid w:val="00885C14"/>
    <w:rsid w:val="00885CFA"/>
    <w:rsid w:val="00886423"/>
    <w:rsid w:val="008867A2"/>
    <w:rsid w:val="00886AF0"/>
    <w:rsid w:val="00887254"/>
    <w:rsid w:val="0088742B"/>
    <w:rsid w:val="008878DE"/>
    <w:rsid w:val="0088795B"/>
    <w:rsid w:val="00887C35"/>
    <w:rsid w:val="00887CF5"/>
    <w:rsid w:val="008902AD"/>
    <w:rsid w:val="0089043C"/>
    <w:rsid w:val="00890A4B"/>
    <w:rsid w:val="008910C9"/>
    <w:rsid w:val="008912FF"/>
    <w:rsid w:val="0089148A"/>
    <w:rsid w:val="00891E97"/>
    <w:rsid w:val="0089237F"/>
    <w:rsid w:val="008928CE"/>
    <w:rsid w:val="00892970"/>
    <w:rsid w:val="008935DA"/>
    <w:rsid w:val="008938E5"/>
    <w:rsid w:val="00893D15"/>
    <w:rsid w:val="0089443A"/>
    <w:rsid w:val="00894469"/>
    <w:rsid w:val="008949A6"/>
    <w:rsid w:val="008949AA"/>
    <w:rsid w:val="0089502C"/>
    <w:rsid w:val="0089591F"/>
    <w:rsid w:val="008959AA"/>
    <w:rsid w:val="0089614C"/>
    <w:rsid w:val="00896530"/>
    <w:rsid w:val="00896641"/>
    <w:rsid w:val="00896707"/>
    <w:rsid w:val="00896826"/>
    <w:rsid w:val="00896A58"/>
    <w:rsid w:val="00896D5C"/>
    <w:rsid w:val="00896DFB"/>
    <w:rsid w:val="0089787D"/>
    <w:rsid w:val="00897895"/>
    <w:rsid w:val="008978C5"/>
    <w:rsid w:val="00897985"/>
    <w:rsid w:val="00897E3F"/>
    <w:rsid w:val="008A02A5"/>
    <w:rsid w:val="008A13F5"/>
    <w:rsid w:val="008A1447"/>
    <w:rsid w:val="008A1650"/>
    <w:rsid w:val="008A17C0"/>
    <w:rsid w:val="008A18C8"/>
    <w:rsid w:val="008A1961"/>
    <w:rsid w:val="008A19CD"/>
    <w:rsid w:val="008A19F8"/>
    <w:rsid w:val="008A1F15"/>
    <w:rsid w:val="008A21ED"/>
    <w:rsid w:val="008A2542"/>
    <w:rsid w:val="008A25C9"/>
    <w:rsid w:val="008A2EBC"/>
    <w:rsid w:val="008A3E08"/>
    <w:rsid w:val="008A436B"/>
    <w:rsid w:val="008A4375"/>
    <w:rsid w:val="008A4912"/>
    <w:rsid w:val="008A4DA6"/>
    <w:rsid w:val="008A4E78"/>
    <w:rsid w:val="008A4FFF"/>
    <w:rsid w:val="008A533E"/>
    <w:rsid w:val="008A5497"/>
    <w:rsid w:val="008A59DB"/>
    <w:rsid w:val="008A5CE6"/>
    <w:rsid w:val="008A5D9A"/>
    <w:rsid w:val="008A6535"/>
    <w:rsid w:val="008A6BBE"/>
    <w:rsid w:val="008A6D4C"/>
    <w:rsid w:val="008A6D6E"/>
    <w:rsid w:val="008A704F"/>
    <w:rsid w:val="008A75F4"/>
    <w:rsid w:val="008A7E01"/>
    <w:rsid w:val="008A7EA7"/>
    <w:rsid w:val="008B0134"/>
    <w:rsid w:val="008B01AF"/>
    <w:rsid w:val="008B0336"/>
    <w:rsid w:val="008B0702"/>
    <w:rsid w:val="008B0DFD"/>
    <w:rsid w:val="008B0F06"/>
    <w:rsid w:val="008B1093"/>
    <w:rsid w:val="008B10B7"/>
    <w:rsid w:val="008B14BE"/>
    <w:rsid w:val="008B1528"/>
    <w:rsid w:val="008B166A"/>
    <w:rsid w:val="008B168D"/>
    <w:rsid w:val="008B172C"/>
    <w:rsid w:val="008B19D8"/>
    <w:rsid w:val="008B1A28"/>
    <w:rsid w:val="008B1AA3"/>
    <w:rsid w:val="008B20C3"/>
    <w:rsid w:val="008B2612"/>
    <w:rsid w:val="008B2A1E"/>
    <w:rsid w:val="008B30C5"/>
    <w:rsid w:val="008B3510"/>
    <w:rsid w:val="008B3A51"/>
    <w:rsid w:val="008B3AE5"/>
    <w:rsid w:val="008B3BA6"/>
    <w:rsid w:val="008B3DBD"/>
    <w:rsid w:val="008B40FD"/>
    <w:rsid w:val="008B4513"/>
    <w:rsid w:val="008B48CD"/>
    <w:rsid w:val="008B4908"/>
    <w:rsid w:val="008B4E4D"/>
    <w:rsid w:val="008B4EFF"/>
    <w:rsid w:val="008B4F30"/>
    <w:rsid w:val="008B54B2"/>
    <w:rsid w:val="008B6A48"/>
    <w:rsid w:val="008B737B"/>
    <w:rsid w:val="008B73B7"/>
    <w:rsid w:val="008C02D2"/>
    <w:rsid w:val="008C0408"/>
    <w:rsid w:val="008C04E4"/>
    <w:rsid w:val="008C0714"/>
    <w:rsid w:val="008C08BF"/>
    <w:rsid w:val="008C0A4C"/>
    <w:rsid w:val="008C0ADA"/>
    <w:rsid w:val="008C0C22"/>
    <w:rsid w:val="008C0CE4"/>
    <w:rsid w:val="008C1AB1"/>
    <w:rsid w:val="008C246B"/>
    <w:rsid w:val="008C2853"/>
    <w:rsid w:val="008C28DF"/>
    <w:rsid w:val="008C2A1C"/>
    <w:rsid w:val="008C2B10"/>
    <w:rsid w:val="008C3272"/>
    <w:rsid w:val="008C33D3"/>
    <w:rsid w:val="008C35E7"/>
    <w:rsid w:val="008C433B"/>
    <w:rsid w:val="008C45D2"/>
    <w:rsid w:val="008C4AB8"/>
    <w:rsid w:val="008C4BB6"/>
    <w:rsid w:val="008C4D56"/>
    <w:rsid w:val="008C4F37"/>
    <w:rsid w:val="008C5712"/>
    <w:rsid w:val="008C57A8"/>
    <w:rsid w:val="008C58B3"/>
    <w:rsid w:val="008C5E6A"/>
    <w:rsid w:val="008C65FF"/>
    <w:rsid w:val="008C67EB"/>
    <w:rsid w:val="008C7069"/>
    <w:rsid w:val="008C7488"/>
    <w:rsid w:val="008C7A02"/>
    <w:rsid w:val="008C7C75"/>
    <w:rsid w:val="008D03A1"/>
    <w:rsid w:val="008D096B"/>
    <w:rsid w:val="008D0B0D"/>
    <w:rsid w:val="008D0F2D"/>
    <w:rsid w:val="008D1198"/>
    <w:rsid w:val="008D1B5E"/>
    <w:rsid w:val="008D1C3E"/>
    <w:rsid w:val="008D1D11"/>
    <w:rsid w:val="008D2C54"/>
    <w:rsid w:val="008D3198"/>
    <w:rsid w:val="008D377B"/>
    <w:rsid w:val="008D3B6C"/>
    <w:rsid w:val="008D3D4D"/>
    <w:rsid w:val="008D3DFC"/>
    <w:rsid w:val="008D3F81"/>
    <w:rsid w:val="008D43EF"/>
    <w:rsid w:val="008D4614"/>
    <w:rsid w:val="008D4787"/>
    <w:rsid w:val="008D4D57"/>
    <w:rsid w:val="008D5B43"/>
    <w:rsid w:val="008D5F20"/>
    <w:rsid w:val="008D640E"/>
    <w:rsid w:val="008D68B4"/>
    <w:rsid w:val="008D6AF1"/>
    <w:rsid w:val="008E01F7"/>
    <w:rsid w:val="008E04AB"/>
    <w:rsid w:val="008E0699"/>
    <w:rsid w:val="008E0A2A"/>
    <w:rsid w:val="008E0E36"/>
    <w:rsid w:val="008E11CE"/>
    <w:rsid w:val="008E1718"/>
    <w:rsid w:val="008E2346"/>
    <w:rsid w:val="008E24A0"/>
    <w:rsid w:val="008E2DB0"/>
    <w:rsid w:val="008E3111"/>
    <w:rsid w:val="008E32C7"/>
    <w:rsid w:val="008E33FB"/>
    <w:rsid w:val="008E3527"/>
    <w:rsid w:val="008E355A"/>
    <w:rsid w:val="008E3CAF"/>
    <w:rsid w:val="008E406A"/>
    <w:rsid w:val="008E4A04"/>
    <w:rsid w:val="008E4B8C"/>
    <w:rsid w:val="008E517E"/>
    <w:rsid w:val="008E5232"/>
    <w:rsid w:val="008E5846"/>
    <w:rsid w:val="008E5870"/>
    <w:rsid w:val="008E5FC9"/>
    <w:rsid w:val="008E6A57"/>
    <w:rsid w:val="008E741F"/>
    <w:rsid w:val="008E7B3B"/>
    <w:rsid w:val="008E7B40"/>
    <w:rsid w:val="008E7BEA"/>
    <w:rsid w:val="008E7FFA"/>
    <w:rsid w:val="008F01C3"/>
    <w:rsid w:val="008F05B1"/>
    <w:rsid w:val="008F0B50"/>
    <w:rsid w:val="008F11AC"/>
    <w:rsid w:val="008F1290"/>
    <w:rsid w:val="008F2223"/>
    <w:rsid w:val="008F236C"/>
    <w:rsid w:val="008F23D2"/>
    <w:rsid w:val="008F24C5"/>
    <w:rsid w:val="008F3301"/>
    <w:rsid w:val="008F34E8"/>
    <w:rsid w:val="008F3567"/>
    <w:rsid w:val="008F35DC"/>
    <w:rsid w:val="008F3BD7"/>
    <w:rsid w:val="008F3C33"/>
    <w:rsid w:val="008F3CC4"/>
    <w:rsid w:val="008F4377"/>
    <w:rsid w:val="008F464E"/>
    <w:rsid w:val="008F4701"/>
    <w:rsid w:val="008F4775"/>
    <w:rsid w:val="008F4939"/>
    <w:rsid w:val="008F4B6E"/>
    <w:rsid w:val="008F54A6"/>
    <w:rsid w:val="008F6773"/>
    <w:rsid w:val="008F6904"/>
    <w:rsid w:val="008F6BEA"/>
    <w:rsid w:val="008F6C8C"/>
    <w:rsid w:val="008F72FC"/>
    <w:rsid w:val="008F7770"/>
    <w:rsid w:val="008F7CEC"/>
    <w:rsid w:val="008F7DA4"/>
    <w:rsid w:val="0090032F"/>
    <w:rsid w:val="00900491"/>
    <w:rsid w:val="0090059D"/>
    <w:rsid w:val="009007FA"/>
    <w:rsid w:val="00900B04"/>
    <w:rsid w:val="009010DC"/>
    <w:rsid w:val="009011BE"/>
    <w:rsid w:val="00901243"/>
    <w:rsid w:val="0090170D"/>
    <w:rsid w:val="00901762"/>
    <w:rsid w:val="00901D56"/>
    <w:rsid w:val="0090281E"/>
    <w:rsid w:val="00902A42"/>
    <w:rsid w:val="00902F1F"/>
    <w:rsid w:val="0090333F"/>
    <w:rsid w:val="0090344F"/>
    <w:rsid w:val="009036D9"/>
    <w:rsid w:val="00903942"/>
    <w:rsid w:val="00903DCF"/>
    <w:rsid w:val="00903E5C"/>
    <w:rsid w:val="00904054"/>
    <w:rsid w:val="0090432A"/>
    <w:rsid w:val="0090450F"/>
    <w:rsid w:val="00904809"/>
    <w:rsid w:val="00904DE4"/>
    <w:rsid w:val="00904EEF"/>
    <w:rsid w:val="00904F65"/>
    <w:rsid w:val="0090500A"/>
    <w:rsid w:val="009056F3"/>
    <w:rsid w:val="009069A8"/>
    <w:rsid w:val="00906C38"/>
    <w:rsid w:val="00907057"/>
    <w:rsid w:val="00907821"/>
    <w:rsid w:val="0091016F"/>
    <w:rsid w:val="009108B9"/>
    <w:rsid w:val="00910CAD"/>
    <w:rsid w:val="00910D6D"/>
    <w:rsid w:val="00910D8F"/>
    <w:rsid w:val="00911003"/>
    <w:rsid w:val="0091105E"/>
    <w:rsid w:val="009110A9"/>
    <w:rsid w:val="0091120C"/>
    <w:rsid w:val="009117D8"/>
    <w:rsid w:val="00912021"/>
    <w:rsid w:val="00912301"/>
    <w:rsid w:val="00912B16"/>
    <w:rsid w:val="00913049"/>
    <w:rsid w:val="0091330C"/>
    <w:rsid w:val="00914304"/>
    <w:rsid w:val="00914610"/>
    <w:rsid w:val="00914B40"/>
    <w:rsid w:val="00914F17"/>
    <w:rsid w:val="00914F49"/>
    <w:rsid w:val="00915381"/>
    <w:rsid w:val="00915887"/>
    <w:rsid w:val="009162DA"/>
    <w:rsid w:val="00916690"/>
    <w:rsid w:val="009167CD"/>
    <w:rsid w:val="00916918"/>
    <w:rsid w:val="00916FA9"/>
    <w:rsid w:val="0091746A"/>
    <w:rsid w:val="00917C55"/>
    <w:rsid w:val="00917D79"/>
    <w:rsid w:val="00917E9E"/>
    <w:rsid w:val="009205A6"/>
    <w:rsid w:val="0092086B"/>
    <w:rsid w:val="00921207"/>
    <w:rsid w:val="009217A4"/>
    <w:rsid w:val="00921864"/>
    <w:rsid w:val="00921AA5"/>
    <w:rsid w:val="0092224D"/>
    <w:rsid w:val="0092243A"/>
    <w:rsid w:val="009224F2"/>
    <w:rsid w:val="0092280D"/>
    <w:rsid w:val="0092294C"/>
    <w:rsid w:val="00922BDE"/>
    <w:rsid w:val="00923189"/>
    <w:rsid w:val="00923464"/>
    <w:rsid w:val="00923568"/>
    <w:rsid w:val="0092364E"/>
    <w:rsid w:val="00923AB1"/>
    <w:rsid w:val="00923CB5"/>
    <w:rsid w:val="00923EE7"/>
    <w:rsid w:val="00923FDC"/>
    <w:rsid w:val="0092468A"/>
    <w:rsid w:val="009249B6"/>
    <w:rsid w:val="00924B1B"/>
    <w:rsid w:val="00924C6A"/>
    <w:rsid w:val="009251B9"/>
    <w:rsid w:val="00925290"/>
    <w:rsid w:val="00925308"/>
    <w:rsid w:val="009253B8"/>
    <w:rsid w:val="00925646"/>
    <w:rsid w:val="0092576A"/>
    <w:rsid w:val="00925A5A"/>
    <w:rsid w:val="00925F2C"/>
    <w:rsid w:val="009260B4"/>
    <w:rsid w:val="00927054"/>
    <w:rsid w:val="00927182"/>
    <w:rsid w:val="00927310"/>
    <w:rsid w:val="0092768F"/>
    <w:rsid w:val="009278DF"/>
    <w:rsid w:val="00927DA7"/>
    <w:rsid w:val="00927EE7"/>
    <w:rsid w:val="00930284"/>
    <w:rsid w:val="0093031E"/>
    <w:rsid w:val="009308DF"/>
    <w:rsid w:val="009309A6"/>
    <w:rsid w:val="00931426"/>
    <w:rsid w:val="00931530"/>
    <w:rsid w:val="00931723"/>
    <w:rsid w:val="00931990"/>
    <w:rsid w:val="009319F6"/>
    <w:rsid w:val="00931B57"/>
    <w:rsid w:val="00931B9C"/>
    <w:rsid w:val="00931ECE"/>
    <w:rsid w:val="009320BE"/>
    <w:rsid w:val="009322D3"/>
    <w:rsid w:val="0093262F"/>
    <w:rsid w:val="00932B73"/>
    <w:rsid w:val="009330D1"/>
    <w:rsid w:val="00933414"/>
    <w:rsid w:val="00933460"/>
    <w:rsid w:val="009337C2"/>
    <w:rsid w:val="00934521"/>
    <w:rsid w:val="00934526"/>
    <w:rsid w:val="009347FF"/>
    <w:rsid w:val="00934BE9"/>
    <w:rsid w:val="00934E1A"/>
    <w:rsid w:val="00935479"/>
    <w:rsid w:val="009356D2"/>
    <w:rsid w:val="00935797"/>
    <w:rsid w:val="0093599C"/>
    <w:rsid w:val="00935CC2"/>
    <w:rsid w:val="0093608B"/>
    <w:rsid w:val="00936373"/>
    <w:rsid w:val="00936874"/>
    <w:rsid w:val="00936AEB"/>
    <w:rsid w:val="00937511"/>
    <w:rsid w:val="00937B4F"/>
    <w:rsid w:val="00937D3D"/>
    <w:rsid w:val="009404C6"/>
    <w:rsid w:val="00940530"/>
    <w:rsid w:val="0094058D"/>
    <w:rsid w:val="0094068D"/>
    <w:rsid w:val="0094099E"/>
    <w:rsid w:val="00941544"/>
    <w:rsid w:val="009415E2"/>
    <w:rsid w:val="00941994"/>
    <w:rsid w:val="0094216E"/>
    <w:rsid w:val="009423E2"/>
    <w:rsid w:val="0094267D"/>
    <w:rsid w:val="009426B7"/>
    <w:rsid w:val="009428D6"/>
    <w:rsid w:val="00942DCD"/>
    <w:rsid w:val="00942DD3"/>
    <w:rsid w:val="00942FA7"/>
    <w:rsid w:val="009431A9"/>
    <w:rsid w:val="00943335"/>
    <w:rsid w:val="0094337D"/>
    <w:rsid w:val="0094347E"/>
    <w:rsid w:val="00943875"/>
    <w:rsid w:val="00943C29"/>
    <w:rsid w:val="00943E68"/>
    <w:rsid w:val="00944329"/>
    <w:rsid w:val="00944580"/>
    <w:rsid w:val="00944C32"/>
    <w:rsid w:val="0094565F"/>
    <w:rsid w:val="00945716"/>
    <w:rsid w:val="00945718"/>
    <w:rsid w:val="00945949"/>
    <w:rsid w:val="009459BD"/>
    <w:rsid w:val="00945B51"/>
    <w:rsid w:val="00946073"/>
    <w:rsid w:val="0094702D"/>
    <w:rsid w:val="0094768B"/>
    <w:rsid w:val="009477BD"/>
    <w:rsid w:val="00947C50"/>
    <w:rsid w:val="00950EE4"/>
    <w:rsid w:val="009510DF"/>
    <w:rsid w:val="009511E5"/>
    <w:rsid w:val="0095148D"/>
    <w:rsid w:val="009514FE"/>
    <w:rsid w:val="00951537"/>
    <w:rsid w:val="00951A9F"/>
    <w:rsid w:val="00952232"/>
    <w:rsid w:val="009523D6"/>
    <w:rsid w:val="00952DEF"/>
    <w:rsid w:val="00952EFE"/>
    <w:rsid w:val="00953C9A"/>
    <w:rsid w:val="0095440D"/>
    <w:rsid w:val="00954C00"/>
    <w:rsid w:val="00954D8E"/>
    <w:rsid w:val="00954E1D"/>
    <w:rsid w:val="00955840"/>
    <w:rsid w:val="009558C4"/>
    <w:rsid w:val="00955A1B"/>
    <w:rsid w:val="00955F2E"/>
    <w:rsid w:val="009562DF"/>
    <w:rsid w:val="00956FB2"/>
    <w:rsid w:val="00956FCC"/>
    <w:rsid w:val="00957067"/>
    <w:rsid w:val="0095710B"/>
    <w:rsid w:val="0095713C"/>
    <w:rsid w:val="009572CD"/>
    <w:rsid w:val="009573CE"/>
    <w:rsid w:val="00957658"/>
    <w:rsid w:val="0095779F"/>
    <w:rsid w:val="00957888"/>
    <w:rsid w:val="00957CAC"/>
    <w:rsid w:val="009601C0"/>
    <w:rsid w:val="009601E4"/>
    <w:rsid w:val="009607C3"/>
    <w:rsid w:val="00960C41"/>
    <w:rsid w:val="00961485"/>
    <w:rsid w:val="00961737"/>
    <w:rsid w:val="009629B7"/>
    <w:rsid w:val="00962BBB"/>
    <w:rsid w:val="009638A2"/>
    <w:rsid w:val="00963BA5"/>
    <w:rsid w:val="00963C94"/>
    <w:rsid w:val="00963D30"/>
    <w:rsid w:val="009645C6"/>
    <w:rsid w:val="00964643"/>
    <w:rsid w:val="009646C5"/>
    <w:rsid w:val="0096489D"/>
    <w:rsid w:val="00964A65"/>
    <w:rsid w:val="00964E89"/>
    <w:rsid w:val="00965523"/>
    <w:rsid w:val="009658FE"/>
    <w:rsid w:val="00966728"/>
    <w:rsid w:val="009673DD"/>
    <w:rsid w:val="00967E58"/>
    <w:rsid w:val="0097016F"/>
    <w:rsid w:val="0097034E"/>
    <w:rsid w:val="009704F8"/>
    <w:rsid w:val="00970752"/>
    <w:rsid w:val="0097081F"/>
    <w:rsid w:val="00970969"/>
    <w:rsid w:val="00971129"/>
    <w:rsid w:val="009711F5"/>
    <w:rsid w:val="0097120C"/>
    <w:rsid w:val="0097129F"/>
    <w:rsid w:val="00971578"/>
    <w:rsid w:val="00971927"/>
    <w:rsid w:val="009719B1"/>
    <w:rsid w:val="00972E88"/>
    <w:rsid w:val="00972E94"/>
    <w:rsid w:val="00972F7E"/>
    <w:rsid w:val="00973247"/>
    <w:rsid w:val="0097339E"/>
    <w:rsid w:val="00973BBD"/>
    <w:rsid w:val="00973D0D"/>
    <w:rsid w:val="009741B8"/>
    <w:rsid w:val="0097443B"/>
    <w:rsid w:val="0097492D"/>
    <w:rsid w:val="00974AA4"/>
    <w:rsid w:val="00974AF1"/>
    <w:rsid w:val="00974BEE"/>
    <w:rsid w:val="00974D68"/>
    <w:rsid w:val="00974E95"/>
    <w:rsid w:val="00974EC7"/>
    <w:rsid w:val="00975011"/>
    <w:rsid w:val="009757DB"/>
    <w:rsid w:val="00976867"/>
    <w:rsid w:val="00976CD7"/>
    <w:rsid w:val="00976D08"/>
    <w:rsid w:val="0097733A"/>
    <w:rsid w:val="0097735F"/>
    <w:rsid w:val="009775CB"/>
    <w:rsid w:val="00977E94"/>
    <w:rsid w:val="00977F85"/>
    <w:rsid w:val="009806E2"/>
    <w:rsid w:val="009806F6"/>
    <w:rsid w:val="009808DB"/>
    <w:rsid w:val="00980AF0"/>
    <w:rsid w:val="00980FB9"/>
    <w:rsid w:val="0098100E"/>
    <w:rsid w:val="009811DC"/>
    <w:rsid w:val="0098122A"/>
    <w:rsid w:val="00982197"/>
    <w:rsid w:val="0098227C"/>
    <w:rsid w:val="009824F9"/>
    <w:rsid w:val="0098263A"/>
    <w:rsid w:val="00982BC3"/>
    <w:rsid w:val="00982D96"/>
    <w:rsid w:val="009837AE"/>
    <w:rsid w:val="00983D8E"/>
    <w:rsid w:val="00984219"/>
    <w:rsid w:val="0098471A"/>
    <w:rsid w:val="009847EC"/>
    <w:rsid w:val="009848E1"/>
    <w:rsid w:val="00985225"/>
    <w:rsid w:val="00985254"/>
    <w:rsid w:val="009854DC"/>
    <w:rsid w:val="00985B11"/>
    <w:rsid w:val="00985E03"/>
    <w:rsid w:val="00986026"/>
    <w:rsid w:val="009861B4"/>
    <w:rsid w:val="00986497"/>
    <w:rsid w:val="009865B4"/>
    <w:rsid w:val="009871CD"/>
    <w:rsid w:val="0098723F"/>
    <w:rsid w:val="009875E3"/>
    <w:rsid w:val="009877F3"/>
    <w:rsid w:val="009879DD"/>
    <w:rsid w:val="00987B7E"/>
    <w:rsid w:val="009900BF"/>
    <w:rsid w:val="009906C0"/>
    <w:rsid w:val="009906D7"/>
    <w:rsid w:val="00990A97"/>
    <w:rsid w:val="00990AC0"/>
    <w:rsid w:val="009911DB"/>
    <w:rsid w:val="00991915"/>
    <w:rsid w:val="00991BE0"/>
    <w:rsid w:val="00992145"/>
    <w:rsid w:val="0099235D"/>
    <w:rsid w:val="0099279A"/>
    <w:rsid w:val="009929AB"/>
    <w:rsid w:val="00992D2F"/>
    <w:rsid w:val="00993469"/>
    <w:rsid w:val="00993CA1"/>
    <w:rsid w:val="009947BC"/>
    <w:rsid w:val="009949A3"/>
    <w:rsid w:val="009951F7"/>
    <w:rsid w:val="00995201"/>
    <w:rsid w:val="0099546C"/>
    <w:rsid w:val="009963BE"/>
    <w:rsid w:val="0099652A"/>
    <w:rsid w:val="00996553"/>
    <w:rsid w:val="00996BCC"/>
    <w:rsid w:val="00996CB1"/>
    <w:rsid w:val="00996D4E"/>
    <w:rsid w:val="00996F20"/>
    <w:rsid w:val="00996FA8"/>
    <w:rsid w:val="00997349"/>
    <w:rsid w:val="009979C1"/>
    <w:rsid w:val="00997FB3"/>
    <w:rsid w:val="009A029A"/>
    <w:rsid w:val="009A150B"/>
    <w:rsid w:val="009A151D"/>
    <w:rsid w:val="009A197F"/>
    <w:rsid w:val="009A1A4D"/>
    <w:rsid w:val="009A1EA0"/>
    <w:rsid w:val="009A2040"/>
    <w:rsid w:val="009A2060"/>
    <w:rsid w:val="009A2346"/>
    <w:rsid w:val="009A2537"/>
    <w:rsid w:val="009A2598"/>
    <w:rsid w:val="009A25B0"/>
    <w:rsid w:val="009A29E8"/>
    <w:rsid w:val="009A31A1"/>
    <w:rsid w:val="009A32E6"/>
    <w:rsid w:val="009A39B6"/>
    <w:rsid w:val="009A3B06"/>
    <w:rsid w:val="009A3C2D"/>
    <w:rsid w:val="009A3C51"/>
    <w:rsid w:val="009A3CE8"/>
    <w:rsid w:val="009A446C"/>
    <w:rsid w:val="009A4B43"/>
    <w:rsid w:val="009A50F1"/>
    <w:rsid w:val="009A5101"/>
    <w:rsid w:val="009A5405"/>
    <w:rsid w:val="009A575E"/>
    <w:rsid w:val="009A57C6"/>
    <w:rsid w:val="009A647D"/>
    <w:rsid w:val="009A656C"/>
    <w:rsid w:val="009A69AE"/>
    <w:rsid w:val="009A6E72"/>
    <w:rsid w:val="009A7036"/>
    <w:rsid w:val="009A7898"/>
    <w:rsid w:val="009A7DD7"/>
    <w:rsid w:val="009A7E64"/>
    <w:rsid w:val="009A7F9B"/>
    <w:rsid w:val="009A7FF6"/>
    <w:rsid w:val="009B0216"/>
    <w:rsid w:val="009B025B"/>
    <w:rsid w:val="009B0278"/>
    <w:rsid w:val="009B02A8"/>
    <w:rsid w:val="009B071A"/>
    <w:rsid w:val="009B0C29"/>
    <w:rsid w:val="009B0E42"/>
    <w:rsid w:val="009B0F24"/>
    <w:rsid w:val="009B1165"/>
    <w:rsid w:val="009B12BD"/>
    <w:rsid w:val="009B1605"/>
    <w:rsid w:val="009B18D6"/>
    <w:rsid w:val="009B1E62"/>
    <w:rsid w:val="009B1EBA"/>
    <w:rsid w:val="009B24F0"/>
    <w:rsid w:val="009B252B"/>
    <w:rsid w:val="009B28C5"/>
    <w:rsid w:val="009B2CF5"/>
    <w:rsid w:val="009B3131"/>
    <w:rsid w:val="009B3259"/>
    <w:rsid w:val="009B34AA"/>
    <w:rsid w:val="009B3AA9"/>
    <w:rsid w:val="009B3BF8"/>
    <w:rsid w:val="009B3CF3"/>
    <w:rsid w:val="009B3D3D"/>
    <w:rsid w:val="009B3D52"/>
    <w:rsid w:val="009B3FE7"/>
    <w:rsid w:val="009B4412"/>
    <w:rsid w:val="009B471F"/>
    <w:rsid w:val="009B472B"/>
    <w:rsid w:val="009B4912"/>
    <w:rsid w:val="009B4CC5"/>
    <w:rsid w:val="009B5A9B"/>
    <w:rsid w:val="009B5ABD"/>
    <w:rsid w:val="009B5B6B"/>
    <w:rsid w:val="009B6927"/>
    <w:rsid w:val="009B70FB"/>
    <w:rsid w:val="009B724E"/>
    <w:rsid w:val="009C0058"/>
    <w:rsid w:val="009C00EA"/>
    <w:rsid w:val="009C0B64"/>
    <w:rsid w:val="009C0CBA"/>
    <w:rsid w:val="009C0F05"/>
    <w:rsid w:val="009C0F74"/>
    <w:rsid w:val="009C1357"/>
    <w:rsid w:val="009C154B"/>
    <w:rsid w:val="009C1D00"/>
    <w:rsid w:val="009C1D71"/>
    <w:rsid w:val="009C1E94"/>
    <w:rsid w:val="009C2015"/>
    <w:rsid w:val="009C211B"/>
    <w:rsid w:val="009C2639"/>
    <w:rsid w:val="009C2CFD"/>
    <w:rsid w:val="009C3777"/>
    <w:rsid w:val="009C3981"/>
    <w:rsid w:val="009C406D"/>
    <w:rsid w:val="009C412E"/>
    <w:rsid w:val="009C4E91"/>
    <w:rsid w:val="009C4FFE"/>
    <w:rsid w:val="009C5069"/>
    <w:rsid w:val="009C59AA"/>
    <w:rsid w:val="009C5A15"/>
    <w:rsid w:val="009C5DBB"/>
    <w:rsid w:val="009C6034"/>
    <w:rsid w:val="009C6098"/>
    <w:rsid w:val="009C6969"/>
    <w:rsid w:val="009C766F"/>
    <w:rsid w:val="009C7D0A"/>
    <w:rsid w:val="009D01C8"/>
    <w:rsid w:val="009D061B"/>
    <w:rsid w:val="009D06F5"/>
    <w:rsid w:val="009D0B2D"/>
    <w:rsid w:val="009D0B59"/>
    <w:rsid w:val="009D1276"/>
    <w:rsid w:val="009D1317"/>
    <w:rsid w:val="009D1340"/>
    <w:rsid w:val="009D145F"/>
    <w:rsid w:val="009D1787"/>
    <w:rsid w:val="009D19D9"/>
    <w:rsid w:val="009D1C18"/>
    <w:rsid w:val="009D202B"/>
    <w:rsid w:val="009D2370"/>
    <w:rsid w:val="009D2453"/>
    <w:rsid w:val="009D266A"/>
    <w:rsid w:val="009D402D"/>
    <w:rsid w:val="009D41E1"/>
    <w:rsid w:val="009D46B2"/>
    <w:rsid w:val="009D47D9"/>
    <w:rsid w:val="009D4F0A"/>
    <w:rsid w:val="009D4FEF"/>
    <w:rsid w:val="009D530B"/>
    <w:rsid w:val="009D5536"/>
    <w:rsid w:val="009D55FA"/>
    <w:rsid w:val="009D584C"/>
    <w:rsid w:val="009D5BF4"/>
    <w:rsid w:val="009D5D8A"/>
    <w:rsid w:val="009D5DF9"/>
    <w:rsid w:val="009D6243"/>
    <w:rsid w:val="009D64C4"/>
    <w:rsid w:val="009D7423"/>
    <w:rsid w:val="009D7666"/>
    <w:rsid w:val="009D7821"/>
    <w:rsid w:val="009D7BE0"/>
    <w:rsid w:val="009D7ED2"/>
    <w:rsid w:val="009E043A"/>
    <w:rsid w:val="009E0B5E"/>
    <w:rsid w:val="009E148A"/>
    <w:rsid w:val="009E176D"/>
    <w:rsid w:val="009E191E"/>
    <w:rsid w:val="009E1CA1"/>
    <w:rsid w:val="009E1D2C"/>
    <w:rsid w:val="009E26D6"/>
    <w:rsid w:val="009E2767"/>
    <w:rsid w:val="009E2F00"/>
    <w:rsid w:val="009E34BC"/>
    <w:rsid w:val="009E3958"/>
    <w:rsid w:val="009E4686"/>
    <w:rsid w:val="009E53C6"/>
    <w:rsid w:val="009E5947"/>
    <w:rsid w:val="009E63E5"/>
    <w:rsid w:val="009E6AF8"/>
    <w:rsid w:val="009E6D37"/>
    <w:rsid w:val="009E6E40"/>
    <w:rsid w:val="009E732D"/>
    <w:rsid w:val="009E7698"/>
    <w:rsid w:val="009E7AFA"/>
    <w:rsid w:val="009E7F93"/>
    <w:rsid w:val="009F038D"/>
    <w:rsid w:val="009F04C9"/>
    <w:rsid w:val="009F1988"/>
    <w:rsid w:val="009F1B9D"/>
    <w:rsid w:val="009F1E07"/>
    <w:rsid w:val="009F2311"/>
    <w:rsid w:val="009F2385"/>
    <w:rsid w:val="009F2905"/>
    <w:rsid w:val="009F29A2"/>
    <w:rsid w:val="009F2E42"/>
    <w:rsid w:val="009F2F9C"/>
    <w:rsid w:val="009F3117"/>
    <w:rsid w:val="009F3157"/>
    <w:rsid w:val="009F3249"/>
    <w:rsid w:val="009F3467"/>
    <w:rsid w:val="009F3A81"/>
    <w:rsid w:val="009F3B16"/>
    <w:rsid w:val="009F3F43"/>
    <w:rsid w:val="009F43C0"/>
    <w:rsid w:val="009F43CA"/>
    <w:rsid w:val="009F43E8"/>
    <w:rsid w:val="009F473F"/>
    <w:rsid w:val="009F4987"/>
    <w:rsid w:val="009F4CA0"/>
    <w:rsid w:val="009F4DA2"/>
    <w:rsid w:val="009F586C"/>
    <w:rsid w:val="009F590E"/>
    <w:rsid w:val="009F5980"/>
    <w:rsid w:val="009F5A14"/>
    <w:rsid w:val="009F5DC4"/>
    <w:rsid w:val="009F62B1"/>
    <w:rsid w:val="009F641F"/>
    <w:rsid w:val="009F670F"/>
    <w:rsid w:val="009F6C9F"/>
    <w:rsid w:val="009F6E76"/>
    <w:rsid w:val="009F7167"/>
    <w:rsid w:val="009F72A9"/>
    <w:rsid w:val="009F73CA"/>
    <w:rsid w:val="009F7548"/>
    <w:rsid w:val="009F759A"/>
    <w:rsid w:val="009F7886"/>
    <w:rsid w:val="00A00472"/>
    <w:rsid w:val="00A0072A"/>
    <w:rsid w:val="00A008E5"/>
    <w:rsid w:val="00A00CD7"/>
    <w:rsid w:val="00A00EE6"/>
    <w:rsid w:val="00A01834"/>
    <w:rsid w:val="00A01D06"/>
    <w:rsid w:val="00A01D73"/>
    <w:rsid w:val="00A01D8C"/>
    <w:rsid w:val="00A020E3"/>
    <w:rsid w:val="00A020EC"/>
    <w:rsid w:val="00A02493"/>
    <w:rsid w:val="00A02960"/>
    <w:rsid w:val="00A029F3"/>
    <w:rsid w:val="00A03247"/>
    <w:rsid w:val="00A032F7"/>
    <w:rsid w:val="00A03422"/>
    <w:rsid w:val="00A03E36"/>
    <w:rsid w:val="00A03FAA"/>
    <w:rsid w:val="00A04198"/>
    <w:rsid w:val="00A04355"/>
    <w:rsid w:val="00A04418"/>
    <w:rsid w:val="00A047D3"/>
    <w:rsid w:val="00A0489E"/>
    <w:rsid w:val="00A04CA4"/>
    <w:rsid w:val="00A04E06"/>
    <w:rsid w:val="00A04E34"/>
    <w:rsid w:val="00A04F10"/>
    <w:rsid w:val="00A04F22"/>
    <w:rsid w:val="00A04F98"/>
    <w:rsid w:val="00A051B2"/>
    <w:rsid w:val="00A05522"/>
    <w:rsid w:val="00A057DF"/>
    <w:rsid w:val="00A05909"/>
    <w:rsid w:val="00A05EB6"/>
    <w:rsid w:val="00A05FDD"/>
    <w:rsid w:val="00A064A3"/>
    <w:rsid w:val="00A06F26"/>
    <w:rsid w:val="00A0721A"/>
    <w:rsid w:val="00A07EA7"/>
    <w:rsid w:val="00A103B4"/>
    <w:rsid w:val="00A103EB"/>
    <w:rsid w:val="00A10725"/>
    <w:rsid w:val="00A1083C"/>
    <w:rsid w:val="00A110BF"/>
    <w:rsid w:val="00A11504"/>
    <w:rsid w:val="00A116AB"/>
    <w:rsid w:val="00A12466"/>
    <w:rsid w:val="00A130BA"/>
    <w:rsid w:val="00A136A9"/>
    <w:rsid w:val="00A13BD5"/>
    <w:rsid w:val="00A13C84"/>
    <w:rsid w:val="00A13E09"/>
    <w:rsid w:val="00A1404D"/>
    <w:rsid w:val="00A1418F"/>
    <w:rsid w:val="00A146B9"/>
    <w:rsid w:val="00A14B5D"/>
    <w:rsid w:val="00A14CEB"/>
    <w:rsid w:val="00A14E75"/>
    <w:rsid w:val="00A14F3D"/>
    <w:rsid w:val="00A1512E"/>
    <w:rsid w:val="00A157D2"/>
    <w:rsid w:val="00A15BAA"/>
    <w:rsid w:val="00A16018"/>
    <w:rsid w:val="00A1672C"/>
    <w:rsid w:val="00A16F26"/>
    <w:rsid w:val="00A174E9"/>
    <w:rsid w:val="00A17785"/>
    <w:rsid w:val="00A17FE8"/>
    <w:rsid w:val="00A20A38"/>
    <w:rsid w:val="00A2170B"/>
    <w:rsid w:val="00A218AE"/>
    <w:rsid w:val="00A223E9"/>
    <w:rsid w:val="00A2289E"/>
    <w:rsid w:val="00A22902"/>
    <w:rsid w:val="00A22DCD"/>
    <w:rsid w:val="00A233A9"/>
    <w:rsid w:val="00A233C8"/>
    <w:rsid w:val="00A2348A"/>
    <w:rsid w:val="00A23880"/>
    <w:rsid w:val="00A23CC5"/>
    <w:rsid w:val="00A24118"/>
    <w:rsid w:val="00A245D2"/>
    <w:rsid w:val="00A2506C"/>
    <w:rsid w:val="00A25478"/>
    <w:rsid w:val="00A255FB"/>
    <w:rsid w:val="00A25FCF"/>
    <w:rsid w:val="00A26269"/>
    <w:rsid w:val="00A2636A"/>
    <w:rsid w:val="00A26D7F"/>
    <w:rsid w:val="00A26E18"/>
    <w:rsid w:val="00A27639"/>
    <w:rsid w:val="00A279A3"/>
    <w:rsid w:val="00A300F7"/>
    <w:rsid w:val="00A300FD"/>
    <w:rsid w:val="00A302C1"/>
    <w:rsid w:val="00A308F7"/>
    <w:rsid w:val="00A30958"/>
    <w:rsid w:val="00A3112C"/>
    <w:rsid w:val="00A31685"/>
    <w:rsid w:val="00A317F4"/>
    <w:rsid w:val="00A31D56"/>
    <w:rsid w:val="00A31E6A"/>
    <w:rsid w:val="00A31E97"/>
    <w:rsid w:val="00A32142"/>
    <w:rsid w:val="00A322C8"/>
    <w:rsid w:val="00A3252B"/>
    <w:rsid w:val="00A3270E"/>
    <w:rsid w:val="00A32850"/>
    <w:rsid w:val="00A328BD"/>
    <w:rsid w:val="00A335AF"/>
    <w:rsid w:val="00A338E8"/>
    <w:rsid w:val="00A33ED6"/>
    <w:rsid w:val="00A34979"/>
    <w:rsid w:val="00A355C8"/>
    <w:rsid w:val="00A35685"/>
    <w:rsid w:val="00A357CA"/>
    <w:rsid w:val="00A35A35"/>
    <w:rsid w:val="00A35D15"/>
    <w:rsid w:val="00A36DA5"/>
    <w:rsid w:val="00A36EC3"/>
    <w:rsid w:val="00A3714E"/>
    <w:rsid w:val="00A37160"/>
    <w:rsid w:val="00A37299"/>
    <w:rsid w:val="00A372B4"/>
    <w:rsid w:val="00A375EB"/>
    <w:rsid w:val="00A3760E"/>
    <w:rsid w:val="00A3774C"/>
    <w:rsid w:val="00A37C35"/>
    <w:rsid w:val="00A37E76"/>
    <w:rsid w:val="00A37F98"/>
    <w:rsid w:val="00A401EF"/>
    <w:rsid w:val="00A40223"/>
    <w:rsid w:val="00A404C7"/>
    <w:rsid w:val="00A407C5"/>
    <w:rsid w:val="00A407D0"/>
    <w:rsid w:val="00A41C96"/>
    <w:rsid w:val="00A41E41"/>
    <w:rsid w:val="00A4208A"/>
    <w:rsid w:val="00A4280B"/>
    <w:rsid w:val="00A4291E"/>
    <w:rsid w:val="00A42AEB"/>
    <w:rsid w:val="00A43CD9"/>
    <w:rsid w:val="00A43D30"/>
    <w:rsid w:val="00A43EE7"/>
    <w:rsid w:val="00A43F46"/>
    <w:rsid w:val="00A43FD0"/>
    <w:rsid w:val="00A44129"/>
    <w:rsid w:val="00A443B6"/>
    <w:rsid w:val="00A45296"/>
    <w:rsid w:val="00A45989"/>
    <w:rsid w:val="00A45A60"/>
    <w:rsid w:val="00A45B51"/>
    <w:rsid w:val="00A45D2F"/>
    <w:rsid w:val="00A45DF2"/>
    <w:rsid w:val="00A45F82"/>
    <w:rsid w:val="00A46875"/>
    <w:rsid w:val="00A46B3F"/>
    <w:rsid w:val="00A47386"/>
    <w:rsid w:val="00A47974"/>
    <w:rsid w:val="00A47A8B"/>
    <w:rsid w:val="00A50573"/>
    <w:rsid w:val="00A5061D"/>
    <w:rsid w:val="00A50AAB"/>
    <w:rsid w:val="00A50F08"/>
    <w:rsid w:val="00A511BC"/>
    <w:rsid w:val="00A515B8"/>
    <w:rsid w:val="00A516A8"/>
    <w:rsid w:val="00A5190D"/>
    <w:rsid w:val="00A51CFD"/>
    <w:rsid w:val="00A51CFF"/>
    <w:rsid w:val="00A52A62"/>
    <w:rsid w:val="00A52CF4"/>
    <w:rsid w:val="00A52EE2"/>
    <w:rsid w:val="00A53943"/>
    <w:rsid w:val="00A53C6C"/>
    <w:rsid w:val="00A53CD6"/>
    <w:rsid w:val="00A54177"/>
    <w:rsid w:val="00A547CC"/>
    <w:rsid w:val="00A54B1A"/>
    <w:rsid w:val="00A553CD"/>
    <w:rsid w:val="00A564E4"/>
    <w:rsid w:val="00A56755"/>
    <w:rsid w:val="00A56757"/>
    <w:rsid w:val="00A56B1A"/>
    <w:rsid w:val="00A56E4B"/>
    <w:rsid w:val="00A57019"/>
    <w:rsid w:val="00A5708E"/>
    <w:rsid w:val="00A576E1"/>
    <w:rsid w:val="00A577D6"/>
    <w:rsid w:val="00A57C7B"/>
    <w:rsid w:val="00A57E25"/>
    <w:rsid w:val="00A57F1C"/>
    <w:rsid w:val="00A6008D"/>
    <w:rsid w:val="00A601E6"/>
    <w:rsid w:val="00A60BDD"/>
    <w:rsid w:val="00A60FB4"/>
    <w:rsid w:val="00A611C9"/>
    <w:rsid w:val="00A61759"/>
    <w:rsid w:val="00A61942"/>
    <w:rsid w:val="00A61C92"/>
    <w:rsid w:val="00A6231F"/>
    <w:rsid w:val="00A624BB"/>
    <w:rsid w:val="00A62571"/>
    <w:rsid w:val="00A62591"/>
    <w:rsid w:val="00A635C6"/>
    <w:rsid w:val="00A636B7"/>
    <w:rsid w:val="00A636D5"/>
    <w:rsid w:val="00A63EF5"/>
    <w:rsid w:val="00A64513"/>
    <w:rsid w:val="00A6463A"/>
    <w:rsid w:val="00A64DEF"/>
    <w:rsid w:val="00A64E56"/>
    <w:rsid w:val="00A655A8"/>
    <w:rsid w:val="00A65729"/>
    <w:rsid w:val="00A65F3F"/>
    <w:rsid w:val="00A65F40"/>
    <w:rsid w:val="00A65FB2"/>
    <w:rsid w:val="00A66637"/>
    <w:rsid w:val="00A669E6"/>
    <w:rsid w:val="00A66A29"/>
    <w:rsid w:val="00A66D9F"/>
    <w:rsid w:val="00A6720D"/>
    <w:rsid w:val="00A67336"/>
    <w:rsid w:val="00A673A0"/>
    <w:rsid w:val="00A67AF4"/>
    <w:rsid w:val="00A67B24"/>
    <w:rsid w:val="00A67CAB"/>
    <w:rsid w:val="00A67DD2"/>
    <w:rsid w:val="00A67F2A"/>
    <w:rsid w:val="00A70275"/>
    <w:rsid w:val="00A703CA"/>
    <w:rsid w:val="00A7045D"/>
    <w:rsid w:val="00A7069D"/>
    <w:rsid w:val="00A707D3"/>
    <w:rsid w:val="00A70AFD"/>
    <w:rsid w:val="00A70B51"/>
    <w:rsid w:val="00A70B92"/>
    <w:rsid w:val="00A70C22"/>
    <w:rsid w:val="00A70E8C"/>
    <w:rsid w:val="00A70F00"/>
    <w:rsid w:val="00A7105B"/>
    <w:rsid w:val="00A7131C"/>
    <w:rsid w:val="00A71630"/>
    <w:rsid w:val="00A716D9"/>
    <w:rsid w:val="00A71D29"/>
    <w:rsid w:val="00A71DFE"/>
    <w:rsid w:val="00A720AA"/>
    <w:rsid w:val="00A7232C"/>
    <w:rsid w:val="00A724A9"/>
    <w:rsid w:val="00A728A7"/>
    <w:rsid w:val="00A72A55"/>
    <w:rsid w:val="00A72AA1"/>
    <w:rsid w:val="00A72EF7"/>
    <w:rsid w:val="00A72F4F"/>
    <w:rsid w:val="00A72F98"/>
    <w:rsid w:val="00A7321B"/>
    <w:rsid w:val="00A73583"/>
    <w:rsid w:val="00A73A32"/>
    <w:rsid w:val="00A73A88"/>
    <w:rsid w:val="00A73D39"/>
    <w:rsid w:val="00A73FD5"/>
    <w:rsid w:val="00A7413A"/>
    <w:rsid w:val="00A74502"/>
    <w:rsid w:val="00A754E0"/>
    <w:rsid w:val="00A754EA"/>
    <w:rsid w:val="00A756EB"/>
    <w:rsid w:val="00A7651F"/>
    <w:rsid w:val="00A765A2"/>
    <w:rsid w:val="00A7668D"/>
    <w:rsid w:val="00A770C5"/>
    <w:rsid w:val="00A772A5"/>
    <w:rsid w:val="00A773EB"/>
    <w:rsid w:val="00A77479"/>
    <w:rsid w:val="00A777D3"/>
    <w:rsid w:val="00A777E7"/>
    <w:rsid w:val="00A77C3E"/>
    <w:rsid w:val="00A8016D"/>
    <w:rsid w:val="00A804CF"/>
    <w:rsid w:val="00A8085E"/>
    <w:rsid w:val="00A808CB"/>
    <w:rsid w:val="00A8098D"/>
    <w:rsid w:val="00A80C29"/>
    <w:rsid w:val="00A80D4E"/>
    <w:rsid w:val="00A80F2C"/>
    <w:rsid w:val="00A81176"/>
    <w:rsid w:val="00A82DFE"/>
    <w:rsid w:val="00A82E0F"/>
    <w:rsid w:val="00A83337"/>
    <w:rsid w:val="00A83503"/>
    <w:rsid w:val="00A83EE1"/>
    <w:rsid w:val="00A83EE8"/>
    <w:rsid w:val="00A8454C"/>
    <w:rsid w:val="00A845C3"/>
    <w:rsid w:val="00A84721"/>
    <w:rsid w:val="00A84A90"/>
    <w:rsid w:val="00A84F9B"/>
    <w:rsid w:val="00A85109"/>
    <w:rsid w:val="00A85162"/>
    <w:rsid w:val="00A854F8"/>
    <w:rsid w:val="00A856F7"/>
    <w:rsid w:val="00A85FB5"/>
    <w:rsid w:val="00A869E5"/>
    <w:rsid w:val="00A86A0C"/>
    <w:rsid w:val="00A86CF6"/>
    <w:rsid w:val="00A87149"/>
    <w:rsid w:val="00A87178"/>
    <w:rsid w:val="00A87C7D"/>
    <w:rsid w:val="00A900BA"/>
    <w:rsid w:val="00A908E6"/>
    <w:rsid w:val="00A90982"/>
    <w:rsid w:val="00A90DBC"/>
    <w:rsid w:val="00A90E3F"/>
    <w:rsid w:val="00A91446"/>
    <w:rsid w:val="00A9205E"/>
    <w:rsid w:val="00A92577"/>
    <w:rsid w:val="00A9279F"/>
    <w:rsid w:val="00A92863"/>
    <w:rsid w:val="00A928A1"/>
    <w:rsid w:val="00A92B6F"/>
    <w:rsid w:val="00A92B7E"/>
    <w:rsid w:val="00A92F96"/>
    <w:rsid w:val="00A9315A"/>
    <w:rsid w:val="00A931DA"/>
    <w:rsid w:val="00A93754"/>
    <w:rsid w:val="00A93BB2"/>
    <w:rsid w:val="00A94A09"/>
    <w:rsid w:val="00A94A1A"/>
    <w:rsid w:val="00A94B1A"/>
    <w:rsid w:val="00A94BD1"/>
    <w:rsid w:val="00A95AA4"/>
    <w:rsid w:val="00A95ADF"/>
    <w:rsid w:val="00A95BF0"/>
    <w:rsid w:val="00A9687B"/>
    <w:rsid w:val="00A96A11"/>
    <w:rsid w:val="00A96F3D"/>
    <w:rsid w:val="00A96F51"/>
    <w:rsid w:val="00A970AE"/>
    <w:rsid w:val="00A9753F"/>
    <w:rsid w:val="00A978F4"/>
    <w:rsid w:val="00A97C6C"/>
    <w:rsid w:val="00A97C98"/>
    <w:rsid w:val="00AA0CB2"/>
    <w:rsid w:val="00AA0D0D"/>
    <w:rsid w:val="00AA0EE9"/>
    <w:rsid w:val="00AA0F27"/>
    <w:rsid w:val="00AA0F51"/>
    <w:rsid w:val="00AA0F6C"/>
    <w:rsid w:val="00AA0F80"/>
    <w:rsid w:val="00AA10B4"/>
    <w:rsid w:val="00AA120C"/>
    <w:rsid w:val="00AA1CAE"/>
    <w:rsid w:val="00AA2341"/>
    <w:rsid w:val="00AA2519"/>
    <w:rsid w:val="00AA3119"/>
    <w:rsid w:val="00AA355A"/>
    <w:rsid w:val="00AA3E41"/>
    <w:rsid w:val="00AA401F"/>
    <w:rsid w:val="00AA43C4"/>
    <w:rsid w:val="00AA463A"/>
    <w:rsid w:val="00AA4B44"/>
    <w:rsid w:val="00AA4E63"/>
    <w:rsid w:val="00AA4FC5"/>
    <w:rsid w:val="00AA5473"/>
    <w:rsid w:val="00AA57DB"/>
    <w:rsid w:val="00AA5E16"/>
    <w:rsid w:val="00AA6567"/>
    <w:rsid w:val="00AA6D44"/>
    <w:rsid w:val="00AA7083"/>
    <w:rsid w:val="00AA71A5"/>
    <w:rsid w:val="00AB0203"/>
    <w:rsid w:val="00AB0FE3"/>
    <w:rsid w:val="00AB162C"/>
    <w:rsid w:val="00AB1841"/>
    <w:rsid w:val="00AB1B47"/>
    <w:rsid w:val="00AB1D40"/>
    <w:rsid w:val="00AB2401"/>
    <w:rsid w:val="00AB27A5"/>
    <w:rsid w:val="00AB314F"/>
    <w:rsid w:val="00AB382E"/>
    <w:rsid w:val="00AB3B04"/>
    <w:rsid w:val="00AB3C1B"/>
    <w:rsid w:val="00AB3D9C"/>
    <w:rsid w:val="00AB3DC8"/>
    <w:rsid w:val="00AB434B"/>
    <w:rsid w:val="00AB5104"/>
    <w:rsid w:val="00AB51F4"/>
    <w:rsid w:val="00AB5375"/>
    <w:rsid w:val="00AB555E"/>
    <w:rsid w:val="00AB5702"/>
    <w:rsid w:val="00AB570D"/>
    <w:rsid w:val="00AB5764"/>
    <w:rsid w:val="00AB5795"/>
    <w:rsid w:val="00AB5908"/>
    <w:rsid w:val="00AB5BB7"/>
    <w:rsid w:val="00AB5F16"/>
    <w:rsid w:val="00AB5F8D"/>
    <w:rsid w:val="00AB679E"/>
    <w:rsid w:val="00AB6C1B"/>
    <w:rsid w:val="00AB6F43"/>
    <w:rsid w:val="00AB7024"/>
    <w:rsid w:val="00AB72AC"/>
    <w:rsid w:val="00AB735B"/>
    <w:rsid w:val="00AB7378"/>
    <w:rsid w:val="00AB7654"/>
    <w:rsid w:val="00AB777A"/>
    <w:rsid w:val="00AB789E"/>
    <w:rsid w:val="00AB795E"/>
    <w:rsid w:val="00AB7A48"/>
    <w:rsid w:val="00AB7F0D"/>
    <w:rsid w:val="00AC0332"/>
    <w:rsid w:val="00AC0375"/>
    <w:rsid w:val="00AC0B2E"/>
    <w:rsid w:val="00AC0CAD"/>
    <w:rsid w:val="00AC1E0D"/>
    <w:rsid w:val="00AC2069"/>
    <w:rsid w:val="00AC2080"/>
    <w:rsid w:val="00AC21BE"/>
    <w:rsid w:val="00AC22F7"/>
    <w:rsid w:val="00AC257D"/>
    <w:rsid w:val="00AC29D9"/>
    <w:rsid w:val="00AC2F84"/>
    <w:rsid w:val="00AC36DF"/>
    <w:rsid w:val="00AC3F79"/>
    <w:rsid w:val="00AC52FC"/>
    <w:rsid w:val="00AC5D96"/>
    <w:rsid w:val="00AC6A06"/>
    <w:rsid w:val="00AC6F2B"/>
    <w:rsid w:val="00AC759E"/>
    <w:rsid w:val="00AC7EA7"/>
    <w:rsid w:val="00AD0F08"/>
    <w:rsid w:val="00AD0F30"/>
    <w:rsid w:val="00AD1849"/>
    <w:rsid w:val="00AD19EE"/>
    <w:rsid w:val="00AD1F90"/>
    <w:rsid w:val="00AD20E7"/>
    <w:rsid w:val="00AD2461"/>
    <w:rsid w:val="00AD29B2"/>
    <w:rsid w:val="00AD2AEA"/>
    <w:rsid w:val="00AD2E61"/>
    <w:rsid w:val="00AD2EEF"/>
    <w:rsid w:val="00AD3108"/>
    <w:rsid w:val="00AD3418"/>
    <w:rsid w:val="00AD43B9"/>
    <w:rsid w:val="00AD48FC"/>
    <w:rsid w:val="00AD4992"/>
    <w:rsid w:val="00AD54B1"/>
    <w:rsid w:val="00AD54E8"/>
    <w:rsid w:val="00AD558A"/>
    <w:rsid w:val="00AD5619"/>
    <w:rsid w:val="00AD563D"/>
    <w:rsid w:val="00AD570F"/>
    <w:rsid w:val="00AD572F"/>
    <w:rsid w:val="00AD5DBD"/>
    <w:rsid w:val="00AD5E0E"/>
    <w:rsid w:val="00AD6346"/>
    <w:rsid w:val="00AD63A4"/>
    <w:rsid w:val="00AD642A"/>
    <w:rsid w:val="00AD6878"/>
    <w:rsid w:val="00AD6A72"/>
    <w:rsid w:val="00AD707F"/>
    <w:rsid w:val="00AD74D2"/>
    <w:rsid w:val="00AD775C"/>
    <w:rsid w:val="00AD795D"/>
    <w:rsid w:val="00AD7AC8"/>
    <w:rsid w:val="00AD7AD2"/>
    <w:rsid w:val="00AD7B43"/>
    <w:rsid w:val="00AE0471"/>
    <w:rsid w:val="00AE05DF"/>
    <w:rsid w:val="00AE0908"/>
    <w:rsid w:val="00AE09A5"/>
    <w:rsid w:val="00AE0CD6"/>
    <w:rsid w:val="00AE151C"/>
    <w:rsid w:val="00AE1C65"/>
    <w:rsid w:val="00AE1D82"/>
    <w:rsid w:val="00AE23CA"/>
    <w:rsid w:val="00AE2CC4"/>
    <w:rsid w:val="00AE2D96"/>
    <w:rsid w:val="00AE37C7"/>
    <w:rsid w:val="00AE3F7E"/>
    <w:rsid w:val="00AE46BE"/>
    <w:rsid w:val="00AE46C1"/>
    <w:rsid w:val="00AE49B1"/>
    <w:rsid w:val="00AE4CA2"/>
    <w:rsid w:val="00AE4E06"/>
    <w:rsid w:val="00AE4E9F"/>
    <w:rsid w:val="00AE56ED"/>
    <w:rsid w:val="00AE57A3"/>
    <w:rsid w:val="00AE5BA5"/>
    <w:rsid w:val="00AE5F61"/>
    <w:rsid w:val="00AE64F5"/>
    <w:rsid w:val="00AE6502"/>
    <w:rsid w:val="00AE7062"/>
    <w:rsid w:val="00AE70CA"/>
    <w:rsid w:val="00AE7832"/>
    <w:rsid w:val="00AE7F1D"/>
    <w:rsid w:val="00AF013A"/>
    <w:rsid w:val="00AF017A"/>
    <w:rsid w:val="00AF09C9"/>
    <w:rsid w:val="00AF0A77"/>
    <w:rsid w:val="00AF0C5A"/>
    <w:rsid w:val="00AF0F39"/>
    <w:rsid w:val="00AF10D7"/>
    <w:rsid w:val="00AF1555"/>
    <w:rsid w:val="00AF1DEF"/>
    <w:rsid w:val="00AF295D"/>
    <w:rsid w:val="00AF3088"/>
    <w:rsid w:val="00AF354A"/>
    <w:rsid w:val="00AF366E"/>
    <w:rsid w:val="00AF3A20"/>
    <w:rsid w:val="00AF3F6F"/>
    <w:rsid w:val="00AF40DB"/>
    <w:rsid w:val="00AF4C57"/>
    <w:rsid w:val="00AF4EE8"/>
    <w:rsid w:val="00AF506F"/>
    <w:rsid w:val="00AF5131"/>
    <w:rsid w:val="00AF5315"/>
    <w:rsid w:val="00AF552A"/>
    <w:rsid w:val="00AF56EA"/>
    <w:rsid w:val="00AF5F58"/>
    <w:rsid w:val="00AF6098"/>
    <w:rsid w:val="00AF61F9"/>
    <w:rsid w:val="00AF66F7"/>
    <w:rsid w:val="00AF69B5"/>
    <w:rsid w:val="00AF7166"/>
    <w:rsid w:val="00AF722F"/>
    <w:rsid w:val="00AF737F"/>
    <w:rsid w:val="00AF7619"/>
    <w:rsid w:val="00AF7A30"/>
    <w:rsid w:val="00B007FB"/>
    <w:rsid w:val="00B00D9D"/>
    <w:rsid w:val="00B01B27"/>
    <w:rsid w:val="00B01E52"/>
    <w:rsid w:val="00B02479"/>
    <w:rsid w:val="00B029BF"/>
    <w:rsid w:val="00B02A2D"/>
    <w:rsid w:val="00B02C2D"/>
    <w:rsid w:val="00B02CFE"/>
    <w:rsid w:val="00B03843"/>
    <w:rsid w:val="00B03A9D"/>
    <w:rsid w:val="00B03B31"/>
    <w:rsid w:val="00B03EBC"/>
    <w:rsid w:val="00B043C3"/>
    <w:rsid w:val="00B04B7D"/>
    <w:rsid w:val="00B04E87"/>
    <w:rsid w:val="00B04EE2"/>
    <w:rsid w:val="00B05222"/>
    <w:rsid w:val="00B054C6"/>
    <w:rsid w:val="00B05517"/>
    <w:rsid w:val="00B05B39"/>
    <w:rsid w:val="00B05D35"/>
    <w:rsid w:val="00B062F3"/>
    <w:rsid w:val="00B06404"/>
    <w:rsid w:val="00B069F0"/>
    <w:rsid w:val="00B06A7B"/>
    <w:rsid w:val="00B06CCD"/>
    <w:rsid w:val="00B1021F"/>
    <w:rsid w:val="00B102D7"/>
    <w:rsid w:val="00B10712"/>
    <w:rsid w:val="00B10B43"/>
    <w:rsid w:val="00B10E62"/>
    <w:rsid w:val="00B10EB2"/>
    <w:rsid w:val="00B10F56"/>
    <w:rsid w:val="00B10FE6"/>
    <w:rsid w:val="00B11971"/>
    <w:rsid w:val="00B12422"/>
    <w:rsid w:val="00B13208"/>
    <w:rsid w:val="00B137CF"/>
    <w:rsid w:val="00B145F3"/>
    <w:rsid w:val="00B14A2F"/>
    <w:rsid w:val="00B14AAA"/>
    <w:rsid w:val="00B14F46"/>
    <w:rsid w:val="00B15004"/>
    <w:rsid w:val="00B15C6B"/>
    <w:rsid w:val="00B15E64"/>
    <w:rsid w:val="00B15EF5"/>
    <w:rsid w:val="00B15FAA"/>
    <w:rsid w:val="00B164AB"/>
    <w:rsid w:val="00B167DB"/>
    <w:rsid w:val="00B16ABC"/>
    <w:rsid w:val="00B16DCC"/>
    <w:rsid w:val="00B174C1"/>
    <w:rsid w:val="00B1758D"/>
    <w:rsid w:val="00B177AF"/>
    <w:rsid w:val="00B17E38"/>
    <w:rsid w:val="00B202B8"/>
    <w:rsid w:val="00B20403"/>
    <w:rsid w:val="00B2063F"/>
    <w:rsid w:val="00B20A81"/>
    <w:rsid w:val="00B20BC8"/>
    <w:rsid w:val="00B20FAD"/>
    <w:rsid w:val="00B21519"/>
    <w:rsid w:val="00B21BB9"/>
    <w:rsid w:val="00B21CE6"/>
    <w:rsid w:val="00B22236"/>
    <w:rsid w:val="00B2226D"/>
    <w:rsid w:val="00B223D7"/>
    <w:rsid w:val="00B228AA"/>
    <w:rsid w:val="00B22EC8"/>
    <w:rsid w:val="00B2305E"/>
    <w:rsid w:val="00B23834"/>
    <w:rsid w:val="00B23E16"/>
    <w:rsid w:val="00B242B2"/>
    <w:rsid w:val="00B24990"/>
    <w:rsid w:val="00B25117"/>
    <w:rsid w:val="00B25224"/>
    <w:rsid w:val="00B25380"/>
    <w:rsid w:val="00B25645"/>
    <w:rsid w:val="00B257EE"/>
    <w:rsid w:val="00B25848"/>
    <w:rsid w:val="00B25E5D"/>
    <w:rsid w:val="00B2609D"/>
    <w:rsid w:val="00B261B0"/>
    <w:rsid w:val="00B26212"/>
    <w:rsid w:val="00B2663A"/>
    <w:rsid w:val="00B2696F"/>
    <w:rsid w:val="00B26CB8"/>
    <w:rsid w:val="00B274E6"/>
    <w:rsid w:val="00B2763E"/>
    <w:rsid w:val="00B276ED"/>
    <w:rsid w:val="00B27A6E"/>
    <w:rsid w:val="00B27CC3"/>
    <w:rsid w:val="00B30429"/>
    <w:rsid w:val="00B30587"/>
    <w:rsid w:val="00B307B6"/>
    <w:rsid w:val="00B30AFB"/>
    <w:rsid w:val="00B31071"/>
    <w:rsid w:val="00B3116C"/>
    <w:rsid w:val="00B314C9"/>
    <w:rsid w:val="00B316F1"/>
    <w:rsid w:val="00B320ED"/>
    <w:rsid w:val="00B3216D"/>
    <w:rsid w:val="00B32C83"/>
    <w:rsid w:val="00B3319A"/>
    <w:rsid w:val="00B3328A"/>
    <w:rsid w:val="00B33308"/>
    <w:rsid w:val="00B337CB"/>
    <w:rsid w:val="00B33D3C"/>
    <w:rsid w:val="00B34750"/>
    <w:rsid w:val="00B34B8A"/>
    <w:rsid w:val="00B351E5"/>
    <w:rsid w:val="00B35300"/>
    <w:rsid w:val="00B35375"/>
    <w:rsid w:val="00B353A6"/>
    <w:rsid w:val="00B3607E"/>
    <w:rsid w:val="00B36143"/>
    <w:rsid w:val="00B36160"/>
    <w:rsid w:val="00B36855"/>
    <w:rsid w:val="00B36928"/>
    <w:rsid w:val="00B36D62"/>
    <w:rsid w:val="00B36EE2"/>
    <w:rsid w:val="00B37574"/>
    <w:rsid w:val="00B37812"/>
    <w:rsid w:val="00B37B77"/>
    <w:rsid w:val="00B37CF1"/>
    <w:rsid w:val="00B40495"/>
    <w:rsid w:val="00B4064F"/>
    <w:rsid w:val="00B4079B"/>
    <w:rsid w:val="00B40C7A"/>
    <w:rsid w:val="00B41184"/>
    <w:rsid w:val="00B4118B"/>
    <w:rsid w:val="00B4163F"/>
    <w:rsid w:val="00B416E9"/>
    <w:rsid w:val="00B41B5B"/>
    <w:rsid w:val="00B41E64"/>
    <w:rsid w:val="00B41E8A"/>
    <w:rsid w:val="00B41FCC"/>
    <w:rsid w:val="00B42093"/>
    <w:rsid w:val="00B42364"/>
    <w:rsid w:val="00B42388"/>
    <w:rsid w:val="00B425F2"/>
    <w:rsid w:val="00B42D1E"/>
    <w:rsid w:val="00B42ECC"/>
    <w:rsid w:val="00B42F31"/>
    <w:rsid w:val="00B43161"/>
    <w:rsid w:val="00B43519"/>
    <w:rsid w:val="00B442B9"/>
    <w:rsid w:val="00B44F9D"/>
    <w:rsid w:val="00B4511A"/>
    <w:rsid w:val="00B45211"/>
    <w:rsid w:val="00B4598F"/>
    <w:rsid w:val="00B45AA0"/>
    <w:rsid w:val="00B45D0B"/>
    <w:rsid w:val="00B46514"/>
    <w:rsid w:val="00B46837"/>
    <w:rsid w:val="00B46876"/>
    <w:rsid w:val="00B47061"/>
    <w:rsid w:val="00B471EE"/>
    <w:rsid w:val="00B4735C"/>
    <w:rsid w:val="00B47477"/>
    <w:rsid w:val="00B476D7"/>
    <w:rsid w:val="00B50A74"/>
    <w:rsid w:val="00B50AC9"/>
    <w:rsid w:val="00B50B4D"/>
    <w:rsid w:val="00B50EA4"/>
    <w:rsid w:val="00B50ED7"/>
    <w:rsid w:val="00B5108B"/>
    <w:rsid w:val="00B51624"/>
    <w:rsid w:val="00B519D2"/>
    <w:rsid w:val="00B51A66"/>
    <w:rsid w:val="00B52C05"/>
    <w:rsid w:val="00B52E7B"/>
    <w:rsid w:val="00B53139"/>
    <w:rsid w:val="00B5334F"/>
    <w:rsid w:val="00B53436"/>
    <w:rsid w:val="00B53452"/>
    <w:rsid w:val="00B535BC"/>
    <w:rsid w:val="00B541FD"/>
    <w:rsid w:val="00B54EFE"/>
    <w:rsid w:val="00B55149"/>
    <w:rsid w:val="00B554D1"/>
    <w:rsid w:val="00B55F7E"/>
    <w:rsid w:val="00B56799"/>
    <w:rsid w:val="00B56AD9"/>
    <w:rsid w:val="00B56BB0"/>
    <w:rsid w:val="00B57290"/>
    <w:rsid w:val="00B572FA"/>
    <w:rsid w:val="00B5777F"/>
    <w:rsid w:val="00B57A44"/>
    <w:rsid w:val="00B57D09"/>
    <w:rsid w:val="00B57DE0"/>
    <w:rsid w:val="00B57EDA"/>
    <w:rsid w:val="00B57FAA"/>
    <w:rsid w:val="00B600C6"/>
    <w:rsid w:val="00B60AC0"/>
    <w:rsid w:val="00B60B10"/>
    <w:rsid w:val="00B60F2F"/>
    <w:rsid w:val="00B60FDB"/>
    <w:rsid w:val="00B61329"/>
    <w:rsid w:val="00B6164A"/>
    <w:rsid w:val="00B61707"/>
    <w:rsid w:val="00B61B35"/>
    <w:rsid w:val="00B6217F"/>
    <w:rsid w:val="00B624A4"/>
    <w:rsid w:val="00B62CC5"/>
    <w:rsid w:val="00B62CD5"/>
    <w:rsid w:val="00B62F58"/>
    <w:rsid w:val="00B63A17"/>
    <w:rsid w:val="00B63D03"/>
    <w:rsid w:val="00B640E5"/>
    <w:rsid w:val="00B6413F"/>
    <w:rsid w:val="00B645C0"/>
    <w:rsid w:val="00B64888"/>
    <w:rsid w:val="00B64A1D"/>
    <w:rsid w:val="00B64D87"/>
    <w:rsid w:val="00B64EAA"/>
    <w:rsid w:val="00B654D5"/>
    <w:rsid w:val="00B655F9"/>
    <w:rsid w:val="00B658C5"/>
    <w:rsid w:val="00B6642B"/>
    <w:rsid w:val="00B6643F"/>
    <w:rsid w:val="00B665FD"/>
    <w:rsid w:val="00B66BF9"/>
    <w:rsid w:val="00B66BFB"/>
    <w:rsid w:val="00B67056"/>
    <w:rsid w:val="00B67C91"/>
    <w:rsid w:val="00B67C96"/>
    <w:rsid w:val="00B67FD4"/>
    <w:rsid w:val="00B70672"/>
    <w:rsid w:val="00B70B4C"/>
    <w:rsid w:val="00B70B7F"/>
    <w:rsid w:val="00B70C5C"/>
    <w:rsid w:val="00B70F5F"/>
    <w:rsid w:val="00B712A9"/>
    <w:rsid w:val="00B7159B"/>
    <w:rsid w:val="00B71620"/>
    <w:rsid w:val="00B718B6"/>
    <w:rsid w:val="00B72193"/>
    <w:rsid w:val="00B721BE"/>
    <w:rsid w:val="00B72229"/>
    <w:rsid w:val="00B724C9"/>
    <w:rsid w:val="00B728F1"/>
    <w:rsid w:val="00B730CD"/>
    <w:rsid w:val="00B73148"/>
    <w:rsid w:val="00B7365F"/>
    <w:rsid w:val="00B73718"/>
    <w:rsid w:val="00B7382F"/>
    <w:rsid w:val="00B73CCB"/>
    <w:rsid w:val="00B73E9C"/>
    <w:rsid w:val="00B746BC"/>
    <w:rsid w:val="00B74CAE"/>
    <w:rsid w:val="00B74D62"/>
    <w:rsid w:val="00B74DC2"/>
    <w:rsid w:val="00B74F77"/>
    <w:rsid w:val="00B74FD0"/>
    <w:rsid w:val="00B75264"/>
    <w:rsid w:val="00B75587"/>
    <w:rsid w:val="00B75BD2"/>
    <w:rsid w:val="00B75E00"/>
    <w:rsid w:val="00B76885"/>
    <w:rsid w:val="00B76E3D"/>
    <w:rsid w:val="00B77142"/>
    <w:rsid w:val="00B77757"/>
    <w:rsid w:val="00B77808"/>
    <w:rsid w:val="00B77A5E"/>
    <w:rsid w:val="00B77D3A"/>
    <w:rsid w:val="00B77DCA"/>
    <w:rsid w:val="00B77F55"/>
    <w:rsid w:val="00B80480"/>
    <w:rsid w:val="00B806E9"/>
    <w:rsid w:val="00B80967"/>
    <w:rsid w:val="00B80DFD"/>
    <w:rsid w:val="00B80ED0"/>
    <w:rsid w:val="00B81410"/>
    <w:rsid w:val="00B8148A"/>
    <w:rsid w:val="00B81779"/>
    <w:rsid w:val="00B81A05"/>
    <w:rsid w:val="00B81F02"/>
    <w:rsid w:val="00B8200F"/>
    <w:rsid w:val="00B820B0"/>
    <w:rsid w:val="00B8243F"/>
    <w:rsid w:val="00B825EE"/>
    <w:rsid w:val="00B8270C"/>
    <w:rsid w:val="00B8313B"/>
    <w:rsid w:val="00B83649"/>
    <w:rsid w:val="00B836FD"/>
    <w:rsid w:val="00B83851"/>
    <w:rsid w:val="00B838A0"/>
    <w:rsid w:val="00B838B5"/>
    <w:rsid w:val="00B83D58"/>
    <w:rsid w:val="00B83F4C"/>
    <w:rsid w:val="00B83FCB"/>
    <w:rsid w:val="00B84218"/>
    <w:rsid w:val="00B84366"/>
    <w:rsid w:val="00B84880"/>
    <w:rsid w:val="00B84B7E"/>
    <w:rsid w:val="00B84EB0"/>
    <w:rsid w:val="00B855C8"/>
    <w:rsid w:val="00B857C1"/>
    <w:rsid w:val="00B85B2B"/>
    <w:rsid w:val="00B85FE8"/>
    <w:rsid w:val="00B8612C"/>
    <w:rsid w:val="00B865C7"/>
    <w:rsid w:val="00B866FC"/>
    <w:rsid w:val="00B8677D"/>
    <w:rsid w:val="00B87019"/>
    <w:rsid w:val="00B87565"/>
    <w:rsid w:val="00B87AB4"/>
    <w:rsid w:val="00B9040F"/>
    <w:rsid w:val="00B90720"/>
    <w:rsid w:val="00B90794"/>
    <w:rsid w:val="00B90C1A"/>
    <w:rsid w:val="00B90C24"/>
    <w:rsid w:val="00B90C94"/>
    <w:rsid w:val="00B90F11"/>
    <w:rsid w:val="00B90F1C"/>
    <w:rsid w:val="00B91334"/>
    <w:rsid w:val="00B9235B"/>
    <w:rsid w:val="00B92594"/>
    <w:rsid w:val="00B92AA2"/>
    <w:rsid w:val="00B930EE"/>
    <w:rsid w:val="00B93546"/>
    <w:rsid w:val="00B93737"/>
    <w:rsid w:val="00B93B6B"/>
    <w:rsid w:val="00B93BB0"/>
    <w:rsid w:val="00B93D2B"/>
    <w:rsid w:val="00B940CF"/>
    <w:rsid w:val="00B94A12"/>
    <w:rsid w:val="00B94A28"/>
    <w:rsid w:val="00B94AE9"/>
    <w:rsid w:val="00B94EEE"/>
    <w:rsid w:val="00B94FF5"/>
    <w:rsid w:val="00B95315"/>
    <w:rsid w:val="00B959BB"/>
    <w:rsid w:val="00B95BF1"/>
    <w:rsid w:val="00B9615C"/>
    <w:rsid w:val="00B96ACF"/>
    <w:rsid w:val="00B96F39"/>
    <w:rsid w:val="00B974D4"/>
    <w:rsid w:val="00B975A8"/>
    <w:rsid w:val="00B97B6B"/>
    <w:rsid w:val="00B97EF3"/>
    <w:rsid w:val="00BA0089"/>
    <w:rsid w:val="00BA092B"/>
    <w:rsid w:val="00BA0A44"/>
    <w:rsid w:val="00BA0AF5"/>
    <w:rsid w:val="00BA0D14"/>
    <w:rsid w:val="00BA1181"/>
    <w:rsid w:val="00BA19D0"/>
    <w:rsid w:val="00BA19DA"/>
    <w:rsid w:val="00BA1CB5"/>
    <w:rsid w:val="00BA1E3D"/>
    <w:rsid w:val="00BA24FB"/>
    <w:rsid w:val="00BA2EF4"/>
    <w:rsid w:val="00BA2F3B"/>
    <w:rsid w:val="00BA3694"/>
    <w:rsid w:val="00BA39C7"/>
    <w:rsid w:val="00BA3A13"/>
    <w:rsid w:val="00BA3E7A"/>
    <w:rsid w:val="00BA4071"/>
    <w:rsid w:val="00BA42FE"/>
    <w:rsid w:val="00BA44EA"/>
    <w:rsid w:val="00BA49C6"/>
    <w:rsid w:val="00BA50CB"/>
    <w:rsid w:val="00BA5136"/>
    <w:rsid w:val="00BA5389"/>
    <w:rsid w:val="00BA54AF"/>
    <w:rsid w:val="00BA5669"/>
    <w:rsid w:val="00BA5923"/>
    <w:rsid w:val="00BA6274"/>
    <w:rsid w:val="00BA65C9"/>
    <w:rsid w:val="00BA6BC0"/>
    <w:rsid w:val="00BA70FC"/>
    <w:rsid w:val="00BA74DA"/>
    <w:rsid w:val="00BA7765"/>
    <w:rsid w:val="00BB05D5"/>
    <w:rsid w:val="00BB08C9"/>
    <w:rsid w:val="00BB09A8"/>
    <w:rsid w:val="00BB17EA"/>
    <w:rsid w:val="00BB197E"/>
    <w:rsid w:val="00BB1B57"/>
    <w:rsid w:val="00BB1F12"/>
    <w:rsid w:val="00BB2038"/>
    <w:rsid w:val="00BB3174"/>
    <w:rsid w:val="00BB332D"/>
    <w:rsid w:val="00BB35FE"/>
    <w:rsid w:val="00BB3B3C"/>
    <w:rsid w:val="00BB3ECC"/>
    <w:rsid w:val="00BB3F2A"/>
    <w:rsid w:val="00BB4085"/>
    <w:rsid w:val="00BB447A"/>
    <w:rsid w:val="00BB4707"/>
    <w:rsid w:val="00BB4856"/>
    <w:rsid w:val="00BB51A4"/>
    <w:rsid w:val="00BB51AC"/>
    <w:rsid w:val="00BB535F"/>
    <w:rsid w:val="00BB5394"/>
    <w:rsid w:val="00BB586D"/>
    <w:rsid w:val="00BB5BDF"/>
    <w:rsid w:val="00BB63B0"/>
    <w:rsid w:val="00BB6416"/>
    <w:rsid w:val="00BB6505"/>
    <w:rsid w:val="00BB6C6E"/>
    <w:rsid w:val="00BB6FAA"/>
    <w:rsid w:val="00BB7028"/>
    <w:rsid w:val="00BB734E"/>
    <w:rsid w:val="00BB74EA"/>
    <w:rsid w:val="00BB7716"/>
    <w:rsid w:val="00BB78AF"/>
    <w:rsid w:val="00BB7D54"/>
    <w:rsid w:val="00BC03AE"/>
    <w:rsid w:val="00BC0646"/>
    <w:rsid w:val="00BC06B5"/>
    <w:rsid w:val="00BC08D9"/>
    <w:rsid w:val="00BC0A78"/>
    <w:rsid w:val="00BC0AE1"/>
    <w:rsid w:val="00BC0DE8"/>
    <w:rsid w:val="00BC0FF9"/>
    <w:rsid w:val="00BC1319"/>
    <w:rsid w:val="00BC13D8"/>
    <w:rsid w:val="00BC14C4"/>
    <w:rsid w:val="00BC19CD"/>
    <w:rsid w:val="00BC25C7"/>
    <w:rsid w:val="00BC27B1"/>
    <w:rsid w:val="00BC292E"/>
    <w:rsid w:val="00BC2A35"/>
    <w:rsid w:val="00BC2BAA"/>
    <w:rsid w:val="00BC2C0B"/>
    <w:rsid w:val="00BC2F93"/>
    <w:rsid w:val="00BC3176"/>
    <w:rsid w:val="00BC3673"/>
    <w:rsid w:val="00BC3901"/>
    <w:rsid w:val="00BC39A9"/>
    <w:rsid w:val="00BC3C28"/>
    <w:rsid w:val="00BC4015"/>
    <w:rsid w:val="00BC426D"/>
    <w:rsid w:val="00BC432F"/>
    <w:rsid w:val="00BC4523"/>
    <w:rsid w:val="00BC45C8"/>
    <w:rsid w:val="00BC4664"/>
    <w:rsid w:val="00BC4804"/>
    <w:rsid w:val="00BC4B00"/>
    <w:rsid w:val="00BC4EB7"/>
    <w:rsid w:val="00BC5D3C"/>
    <w:rsid w:val="00BC5F4F"/>
    <w:rsid w:val="00BC61CC"/>
    <w:rsid w:val="00BC6234"/>
    <w:rsid w:val="00BC671A"/>
    <w:rsid w:val="00BC6724"/>
    <w:rsid w:val="00BC68DD"/>
    <w:rsid w:val="00BC6962"/>
    <w:rsid w:val="00BC69DF"/>
    <w:rsid w:val="00BC6AA0"/>
    <w:rsid w:val="00BC6F3C"/>
    <w:rsid w:val="00BC7032"/>
    <w:rsid w:val="00BC73EE"/>
    <w:rsid w:val="00BC7576"/>
    <w:rsid w:val="00BC75F3"/>
    <w:rsid w:val="00BC7CFE"/>
    <w:rsid w:val="00BD004C"/>
    <w:rsid w:val="00BD0097"/>
    <w:rsid w:val="00BD0592"/>
    <w:rsid w:val="00BD07BE"/>
    <w:rsid w:val="00BD0ACA"/>
    <w:rsid w:val="00BD0B04"/>
    <w:rsid w:val="00BD0E1D"/>
    <w:rsid w:val="00BD1145"/>
    <w:rsid w:val="00BD1BEF"/>
    <w:rsid w:val="00BD2653"/>
    <w:rsid w:val="00BD26AD"/>
    <w:rsid w:val="00BD293B"/>
    <w:rsid w:val="00BD3135"/>
    <w:rsid w:val="00BD34F4"/>
    <w:rsid w:val="00BD3C77"/>
    <w:rsid w:val="00BD3CC0"/>
    <w:rsid w:val="00BD4721"/>
    <w:rsid w:val="00BD4AB6"/>
    <w:rsid w:val="00BD4AFC"/>
    <w:rsid w:val="00BD5010"/>
    <w:rsid w:val="00BD51E1"/>
    <w:rsid w:val="00BD549A"/>
    <w:rsid w:val="00BD5D78"/>
    <w:rsid w:val="00BD6208"/>
    <w:rsid w:val="00BD641C"/>
    <w:rsid w:val="00BD68E6"/>
    <w:rsid w:val="00BD6A7E"/>
    <w:rsid w:val="00BD6C01"/>
    <w:rsid w:val="00BD6D0E"/>
    <w:rsid w:val="00BD7054"/>
    <w:rsid w:val="00BD7263"/>
    <w:rsid w:val="00BD754A"/>
    <w:rsid w:val="00BD7B55"/>
    <w:rsid w:val="00BE01E4"/>
    <w:rsid w:val="00BE047D"/>
    <w:rsid w:val="00BE094A"/>
    <w:rsid w:val="00BE0A4D"/>
    <w:rsid w:val="00BE0B77"/>
    <w:rsid w:val="00BE1329"/>
    <w:rsid w:val="00BE1A91"/>
    <w:rsid w:val="00BE1E2C"/>
    <w:rsid w:val="00BE1E7B"/>
    <w:rsid w:val="00BE1E85"/>
    <w:rsid w:val="00BE1EFF"/>
    <w:rsid w:val="00BE2039"/>
    <w:rsid w:val="00BE204F"/>
    <w:rsid w:val="00BE20DA"/>
    <w:rsid w:val="00BE252D"/>
    <w:rsid w:val="00BE28BE"/>
    <w:rsid w:val="00BE32DD"/>
    <w:rsid w:val="00BE3FC5"/>
    <w:rsid w:val="00BE4781"/>
    <w:rsid w:val="00BE47BD"/>
    <w:rsid w:val="00BE4865"/>
    <w:rsid w:val="00BE48ED"/>
    <w:rsid w:val="00BE4A3F"/>
    <w:rsid w:val="00BE4CAA"/>
    <w:rsid w:val="00BE4DEC"/>
    <w:rsid w:val="00BE539A"/>
    <w:rsid w:val="00BE5573"/>
    <w:rsid w:val="00BE59DC"/>
    <w:rsid w:val="00BE5BD4"/>
    <w:rsid w:val="00BE5CBD"/>
    <w:rsid w:val="00BE5DF5"/>
    <w:rsid w:val="00BE5E75"/>
    <w:rsid w:val="00BE5F59"/>
    <w:rsid w:val="00BE62F9"/>
    <w:rsid w:val="00BE6442"/>
    <w:rsid w:val="00BE6779"/>
    <w:rsid w:val="00BE6CC6"/>
    <w:rsid w:val="00BE7434"/>
    <w:rsid w:val="00BE7714"/>
    <w:rsid w:val="00BE7918"/>
    <w:rsid w:val="00BF0188"/>
    <w:rsid w:val="00BF07D7"/>
    <w:rsid w:val="00BF0A88"/>
    <w:rsid w:val="00BF0E9D"/>
    <w:rsid w:val="00BF127A"/>
    <w:rsid w:val="00BF1674"/>
    <w:rsid w:val="00BF1AF4"/>
    <w:rsid w:val="00BF1BC8"/>
    <w:rsid w:val="00BF1C08"/>
    <w:rsid w:val="00BF1D4D"/>
    <w:rsid w:val="00BF1E63"/>
    <w:rsid w:val="00BF1F55"/>
    <w:rsid w:val="00BF1FFE"/>
    <w:rsid w:val="00BF2D8A"/>
    <w:rsid w:val="00BF2E63"/>
    <w:rsid w:val="00BF2E6A"/>
    <w:rsid w:val="00BF3975"/>
    <w:rsid w:val="00BF3C53"/>
    <w:rsid w:val="00BF3DFF"/>
    <w:rsid w:val="00BF40D3"/>
    <w:rsid w:val="00BF4329"/>
    <w:rsid w:val="00BF432B"/>
    <w:rsid w:val="00BF4D02"/>
    <w:rsid w:val="00BF5294"/>
    <w:rsid w:val="00BF6378"/>
    <w:rsid w:val="00BF68AD"/>
    <w:rsid w:val="00BF7C7F"/>
    <w:rsid w:val="00C00006"/>
    <w:rsid w:val="00C005ED"/>
    <w:rsid w:val="00C00684"/>
    <w:rsid w:val="00C0078C"/>
    <w:rsid w:val="00C007AD"/>
    <w:rsid w:val="00C01012"/>
    <w:rsid w:val="00C01862"/>
    <w:rsid w:val="00C01E25"/>
    <w:rsid w:val="00C0261B"/>
    <w:rsid w:val="00C029E2"/>
    <w:rsid w:val="00C02A4F"/>
    <w:rsid w:val="00C02E6A"/>
    <w:rsid w:val="00C03278"/>
    <w:rsid w:val="00C03953"/>
    <w:rsid w:val="00C03BD7"/>
    <w:rsid w:val="00C03CD7"/>
    <w:rsid w:val="00C044E3"/>
    <w:rsid w:val="00C0451C"/>
    <w:rsid w:val="00C04662"/>
    <w:rsid w:val="00C04934"/>
    <w:rsid w:val="00C04D7F"/>
    <w:rsid w:val="00C04FAB"/>
    <w:rsid w:val="00C0529A"/>
    <w:rsid w:val="00C05813"/>
    <w:rsid w:val="00C05904"/>
    <w:rsid w:val="00C064E1"/>
    <w:rsid w:val="00C06D01"/>
    <w:rsid w:val="00C074DE"/>
    <w:rsid w:val="00C075C5"/>
    <w:rsid w:val="00C07914"/>
    <w:rsid w:val="00C0795E"/>
    <w:rsid w:val="00C07A83"/>
    <w:rsid w:val="00C07FDF"/>
    <w:rsid w:val="00C1043D"/>
    <w:rsid w:val="00C10E91"/>
    <w:rsid w:val="00C1163C"/>
    <w:rsid w:val="00C1188E"/>
    <w:rsid w:val="00C11993"/>
    <w:rsid w:val="00C12073"/>
    <w:rsid w:val="00C131AC"/>
    <w:rsid w:val="00C13361"/>
    <w:rsid w:val="00C13C2D"/>
    <w:rsid w:val="00C13F70"/>
    <w:rsid w:val="00C1408F"/>
    <w:rsid w:val="00C143FB"/>
    <w:rsid w:val="00C147E3"/>
    <w:rsid w:val="00C14BD0"/>
    <w:rsid w:val="00C14D44"/>
    <w:rsid w:val="00C1541C"/>
    <w:rsid w:val="00C15917"/>
    <w:rsid w:val="00C159FD"/>
    <w:rsid w:val="00C15BD5"/>
    <w:rsid w:val="00C15F32"/>
    <w:rsid w:val="00C1658D"/>
    <w:rsid w:val="00C165E2"/>
    <w:rsid w:val="00C1688E"/>
    <w:rsid w:val="00C16998"/>
    <w:rsid w:val="00C16C96"/>
    <w:rsid w:val="00C17312"/>
    <w:rsid w:val="00C17678"/>
    <w:rsid w:val="00C1772A"/>
    <w:rsid w:val="00C17876"/>
    <w:rsid w:val="00C17AF8"/>
    <w:rsid w:val="00C17BEF"/>
    <w:rsid w:val="00C17F58"/>
    <w:rsid w:val="00C17F9B"/>
    <w:rsid w:val="00C2005B"/>
    <w:rsid w:val="00C2048A"/>
    <w:rsid w:val="00C2057F"/>
    <w:rsid w:val="00C207A0"/>
    <w:rsid w:val="00C208CD"/>
    <w:rsid w:val="00C20967"/>
    <w:rsid w:val="00C210C7"/>
    <w:rsid w:val="00C21399"/>
    <w:rsid w:val="00C214E0"/>
    <w:rsid w:val="00C216D2"/>
    <w:rsid w:val="00C218E8"/>
    <w:rsid w:val="00C21A93"/>
    <w:rsid w:val="00C226C4"/>
    <w:rsid w:val="00C22748"/>
    <w:rsid w:val="00C22971"/>
    <w:rsid w:val="00C23062"/>
    <w:rsid w:val="00C23ABB"/>
    <w:rsid w:val="00C24091"/>
    <w:rsid w:val="00C24574"/>
    <w:rsid w:val="00C24F41"/>
    <w:rsid w:val="00C251AE"/>
    <w:rsid w:val="00C253E0"/>
    <w:rsid w:val="00C25DAE"/>
    <w:rsid w:val="00C261B3"/>
    <w:rsid w:val="00C2635B"/>
    <w:rsid w:val="00C267E1"/>
    <w:rsid w:val="00C26C3C"/>
    <w:rsid w:val="00C26DBF"/>
    <w:rsid w:val="00C270D8"/>
    <w:rsid w:val="00C2725E"/>
    <w:rsid w:val="00C27C1D"/>
    <w:rsid w:val="00C27EFC"/>
    <w:rsid w:val="00C27FEA"/>
    <w:rsid w:val="00C300F4"/>
    <w:rsid w:val="00C30337"/>
    <w:rsid w:val="00C305D5"/>
    <w:rsid w:val="00C306A2"/>
    <w:rsid w:val="00C30BCD"/>
    <w:rsid w:val="00C30BDB"/>
    <w:rsid w:val="00C30C5B"/>
    <w:rsid w:val="00C30C78"/>
    <w:rsid w:val="00C313AE"/>
    <w:rsid w:val="00C31660"/>
    <w:rsid w:val="00C316C6"/>
    <w:rsid w:val="00C316FC"/>
    <w:rsid w:val="00C317A3"/>
    <w:rsid w:val="00C31BB2"/>
    <w:rsid w:val="00C32016"/>
    <w:rsid w:val="00C3247D"/>
    <w:rsid w:val="00C326A3"/>
    <w:rsid w:val="00C32985"/>
    <w:rsid w:val="00C33C4E"/>
    <w:rsid w:val="00C33E6A"/>
    <w:rsid w:val="00C33FE2"/>
    <w:rsid w:val="00C3403F"/>
    <w:rsid w:val="00C343BB"/>
    <w:rsid w:val="00C345A6"/>
    <w:rsid w:val="00C34B93"/>
    <w:rsid w:val="00C354DB"/>
    <w:rsid w:val="00C3557F"/>
    <w:rsid w:val="00C355F8"/>
    <w:rsid w:val="00C35E19"/>
    <w:rsid w:val="00C36369"/>
    <w:rsid w:val="00C36B1C"/>
    <w:rsid w:val="00C36B99"/>
    <w:rsid w:val="00C370C0"/>
    <w:rsid w:val="00C37134"/>
    <w:rsid w:val="00C375B8"/>
    <w:rsid w:val="00C375FB"/>
    <w:rsid w:val="00C37983"/>
    <w:rsid w:val="00C37A9D"/>
    <w:rsid w:val="00C37DDF"/>
    <w:rsid w:val="00C4005D"/>
    <w:rsid w:val="00C40F09"/>
    <w:rsid w:val="00C40FD6"/>
    <w:rsid w:val="00C410BB"/>
    <w:rsid w:val="00C41229"/>
    <w:rsid w:val="00C41B8E"/>
    <w:rsid w:val="00C41BCF"/>
    <w:rsid w:val="00C41EF2"/>
    <w:rsid w:val="00C42093"/>
    <w:rsid w:val="00C429C8"/>
    <w:rsid w:val="00C42C8C"/>
    <w:rsid w:val="00C42F07"/>
    <w:rsid w:val="00C4312D"/>
    <w:rsid w:val="00C4329F"/>
    <w:rsid w:val="00C43EE5"/>
    <w:rsid w:val="00C44070"/>
    <w:rsid w:val="00C44535"/>
    <w:rsid w:val="00C4466E"/>
    <w:rsid w:val="00C44A3A"/>
    <w:rsid w:val="00C44C1A"/>
    <w:rsid w:val="00C44DCC"/>
    <w:rsid w:val="00C44E5D"/>
    <w:rsid w:val="00C458EC"/>
    <w:rsid w:val="00C45BEC"/>
    <w:rsid w:val="00C45D0A"/>
    <w:rsid w:val="00C463AB"/>
    <w:rsid w:val="00C46512"/>
    <w:rsid w:val="00C466A6"/>
    <w:rsid w:val="00C46A5C"/>
    <w:rsid w:val="00C47374"/>
    <w:rsid w:val="00C473EF"/>
    <w:rsid w:val="00C47446"/>
    <w:rsid w:val="00C47477"/>
    <w:rsid w:val="00C4754A"/>
    <w:rsid w:val="00C47A6B"/>
    <w:rsid w:val="00C50041"/>
    <w:rsid w:val="00C50709"/>
    <w:rsid w:val="00C507BF"/>
    <w:rsid w:val="00C50997"/>
    <w:rsid w:val="00C50B11"/>
    <w:rsid w:val="00C51BFB"/>
    <w:rsid w:val="00C51E69"/>
    <w:rsid w:val="00C5236F"/>
    <w:rsid w:val="00C52491"/>
    <w:rsid w:val="00C529AC"/>
    <w:rsid w:val="00C532F5"/>
    <w:rsid w:val="00C5332F"/>
    <w:rsid w:val="00C53A6F"/>
    <w:rsid w:val="00C545A5"/>
    <w:rsid w:val="00C54A6A"/>
    <w:rsid w:val="00C550C8"/>
    <w:rsid w:val="00C552EE"/>
    <w:rsid w:val="00C553A8"/>
    <w:rsid w:val="00C5599C"/>
    <w:rsid w:val="00C55B31"/>
    <w:rsid w:val="00C56280"/>
    <w:rsid w:val="00C56B05"/>
    <w:rsid w:val="00C56B8F"/>
    <w:rsid w:val="00C5701D"/>
    <w:rsid w:val="00C5720B"/>
    <w:rsid w:val="00C573C8"/>
    <w:rsid w:val="00C57413"/>
    <w:rsid w:val="00C574B4"/>
    <w:rsid w:val="00C62EA9"/>
    <w:rsid w:val="00C6339C"/>
    <w:rsid w:val="00C63C1D"/>
    <w:rsid w:val="00C63C56"/>
    <w:rsid w:val="00C63DD6"/>
    <w:rsid w:val="00C64452"/>
    <w:rsid w:val="00C648FE"/>
    <w:rsid w:val="00C64BD1"/>
    <w:rsid w:val="00C657DF"/>
    <w:rsid w:val="00C65B94"/>
    <w:rsid w:val="00C65E48"/>
    <w:rsid w:val="00C66484"/>
    <w:rsid w:val="00C6723E"/>
    <w:rsid w:val="00C674DC"/>
    <w:rsid w:val="00C675CB"/>
    <w:rsid w:val="00C678F3"/>
    <w:rsid w:val="00C67DF9"/>
    <w:rsid w:val="00C701F1"/>
    <w:rsid w:val="00C70747"/>
    <w:rsid w:val="00C707D7"/>
    <w:rsid w:val="00C70858"/>
    <w:rsid w:val="00C70B1D"/>
    <w:rsid w:val="00C70DB8"/>
    <w:rsid w:val="00C710F3"/>
    <w:rsid w:val="00C715BA"/>
    <w:rsid w:val="00C71651"/>
    <w:rsid w:val="00C71693"/>
    <w:rsid w:val="00C718A8"/>
    <w:rsid w:val="00C71A98"/>
    <w:rsid w:val="00C71BBA"/>
    <w:rsid w:val="00C72AA5"/>
    <w:rsid w:val="00C72E5D"/>
    <w:rsid w:val="00C730E0"/>
    <w:rsid w:val="00C73A0C"/>
    <w:rsid w:val="00C743D0"/>
    <w:rsid w:val="00C747F7"/>
    <w:rsid w:val="00C74AAD"/>
    <w:rsid w:val="00C74C22"/>
    <w:rsid w:val="00C74CB1"/>
    <w:rsid w:val="00C74D92"/>
    <w:rsid w:val="00C75353"/>
    <w:rsid w:val="00C759C3"/>
    <w:rsid w:val="00C75CF6"/>
    <w:rsid w:val="00C75D93"/>
    <w:rsid w:val="00C76241"/>
    <w:rsid w:val="00C76646"/>
    <w:rsid w:val="00C76CB4"/>
    <w:rsid w:val="00C77476"/>
    <w:rsid w:val="00C778BB"/>
    <w:rsid w:val="00C77C9C"/>
    <w:rsid w:val="00C80056"/>
    <w:rsid w:val="00C809A9"/>
    <w:rsid w:val="00C80DDA"/>
    <w:rsid w:val="00C80E15"/>
    <w:rsid w:val="00C8102C"/>
    <w:rsid w:val="00C812DD"/>
    <w:rsid w:val="00C81406"/>
    <w:rsid w:val="00C814DC"/>
    <w:rsid w:val="00C8174E"/>
    <w:rsid w:val="00C81D72"/>
    <w:rsid w:val="00C82023"/>
    <w:rsid w:val="00C82C49"/>
    <w:rsid w:val="00C83222"/>
    <w:rsid w:val="00C835CE"/>
    <w:rsid w:val="00C83FF7"/>
    <w:rsid w:val="00C84D6D"/>
    <w:rsid w:val="00C84FFF"/>
    <w:rsid w:val="00C85533"/>
    <w:rsid w:val="00C855F3"/>
    <w:rsid w:val="00C85804"/>
    <w:rsid w:val="00C85AEF"/>
    <w:rsid w:val="00C85D6A"/>
    <w:rsid w:val="00C86277"/>
    <w:rsid w:val="00C862C5"/>
    <w:rsid w:val="00C863E0"/>
    <w:rsid w:val="00C86831"/>
    <w:rsid w:val="00C86D53"/>
    <w:rsid w:val="00C8725B"/>
    <w:rsid w:val="00C87549"/>
    <w:rsid w:val="00C879E8"/>
    <w:rsid w:val="00C906D7"/>
    <w:rsid w:val="00C90AF2"/>
    <w:rsid w:val="00C90B8B"/>
    <w:rsid w:val="00C90BEC"/>
    <w:rsid w:val="00C913B0"/>
    <w:rsid w:val="00C91595"/>
    <w:rsid w:val="00C919EE"/>
    <w:rsid w:val="00C91B04"/>
    <w:rsid w:val="00C91C18"/>
    <w:rsid w:val="00C91C6F"/>
    <w:rsid w:val="00C9253A"/>
    <w:rsid w:val="00C927C3"/>
    <w:rsid w:val="00C9288D"/>
    <w:rsid w:val="00C93091"/>
    <w:rsid w:val="00C930CF"/>
    <w:rsid w:val="00C93302"/>
    <w:rsid w:val="00C93498"/>
    <w:rsid w:val="00C937D2"/>
    <w:rsid w:val="00C93B23"/>
    <w:rsid w:val="00C94026"/>
    <w:rsid w:val="00C94160"/>
    <w:rsid w:val="00C9416D"/>
    <w:rsid w:val="00C94458"/>
    <w:rsid w:val="00C948DE"/>
    <w:rsid w:val="00C94A77"/>
    <w:rsid w:val="00C94B2A"/>
    <w:rsid w:val="00C94FDA"/>
    <w:rsid w:val="00C9587E"/>
    <w:rsid w:val="00C95C48"/>
    <w:rsid w:val="00C9601B"/>
    <w:rsid w:val="00C96BDC"/>
    <w:rsid w:val="00C96CE5"/>
    <w:rsid w:val="00C97C94"/>
    <w:rsid w:val="00CA0013"/>
    <w:rsid w:val="00CA0378"/>
    <w:rsid w:val="00CA03F3"/>
    <w:rsid w:val="00CA060F"/>
    <w:rsid w:val="00CA086E"/>
    <w:rsid w:val="00CA0DD9"/>
    <w:rsid w:val="00CA0EF9"/>
    <w:rsid w:val="00CA0FB5"/>
    <w:rsid w:val="00CA1501"/>
    <w:rsid w:val="00CA1F59"/>
    <w:rsid w:val="00CA22A4"/>
    <w:rsid w:val="00CA2460"/>
    <w:rsid w:val="00CA2489"/>
    <w:rsid w:val="00CA274A"/>
    <w:rsid w:val="00CA2A9B"/>
    <w:rsid w:val="00CA2DB8"/>
    <w:rsid w:val="00CA323D"/>
    <w:rsid w:val="00CA3566"/>
    <w:rsid w:val="00CA363B"/>
    <w:rsid w:val="00CA39C2"/>
    <w:rsid w:val="00CA3A0C"/>
    <w:rsid w:val="00CA3BD0"/>
    <w:rsid w:val="00CA419D"/>
    <w:rsid w:val="00CA4B79"/>
    <w:rsid w:val="00CA4CBF"/>
    <w:rsid w:val="00CA5375"/>
    <w:rsid w:val="00CA5428"/>
    <w:rsid w:val="00CA54D5"/>
    <w:rsid w:val="00CA58F1"/>
    <w:rsid w:val="00CA62CA"/>
    <w:rsid w:val="00CA6BBE"/>
    <w:rsid w:val="00CA6D2E"/>
    <w:rsid w:val="00CA7005"/>
    <w:rsid w:val="00CA7689"/>
    <w:rsid w:val="00CA7A68"/>
    <w:rsid w:val="00CB01A2"/>
    <w:rsid w:val="00CB0277"/>
    <w:rsid w:val="00CB0478"/>
    <w:rsid w:val="00CB058E"/>
    <w:rsid w:val="00CB05E6"/>
    <w:rsid w:val="00CB09B5"/>
    <w:rsid w:val="00CB1079"/>
    <w:rsid w:val="00CB146C"/>
    <w:rsid w:val="00CB1B58"/>
    <w:rsid w:val="00CB243C"/>
    <w:rsid w:val="00CB2703"/>
    <w:rsid w:val="00CB27F8"/>
    <w:rsid w:val="00CB281C"/>
    <w:rsid w:val="00CB285F"/>
    <w:rsid w:val="00CB29EB"/>
    <w:rsid w:val="00CB2DCD"/>
    <w:rsid w:val="00CB2E3E"/>
    <w:rsid w:val="00CB357C"/>
    <w:rsid w:val="00CB3B24"/>
    <w:rsid w:val="00CB3C79"/>
    <w:rsid w:val="00CB3D65"/>
    <w:rsid w:val="00CB3E8E"/>
    <w:rsid w:val="00CB3F97"/>
    <w:rsid w:val="00CB41F7"/>
    <w:rsid w:val="00CB42BF"/>
    <w:rsid w:val="00CB4576"/>
    <w:rsid w:val="00CB4666"/>
    <w:rsid w:val="00CB48CE"/>
    <w:rsid w:val="00CB4A25"/>
    <w:rsid w:val="00CB5019"/>
    <w:rsid w:val="00CB50A0"/>
    <w:rsid w:val="00CB5227"/>
    <w:rsid w:val="00CB603B"/>
    <w:rsid w:val="00CB61B3"/>
    <w:rsid w:val="00CB6CD7"/>
    <w:rsid w:val="00CB6E83"/>
    <w:rsid w:val="00CB785B"/>
    <w:rsid w:val="00CB791F"/>
    <w:rsid w:val="00CB7CA7"/>
    <w:rsid w:val="00CB7CC8"/>
    <w:rsid w:val="00CC00B6"/>
    <w:rsid w:val="00CC0930"/>
    <w:rsid w:val="00CC0B62"/>
    <w:rsid w:val="00CC0EB1"/>
    <w:rsid w:val="00CC11F5"/>
    <w:rsid w:val="00CC17DD"/>
    <w:rsid w:val="00CC24B2"/>
    <w:rsid w:val="00CC2A48"/>
    <w:rsid w:val="00CC2AD5"/>
    <w:rsid w:val="00CC311F"/>
    <w:rsid w:val="00CC3147"/>
    <w:rsid w:val="00CC33AD"/>
    <w:rsid w:val="00CC357E"/>
    <w:rsid w:val="00CC3755"/>
    <w:rsid w:val="00CC37B3"/>
    <w:rsid w:val="00CC3B86"/>
    <w:rsid w:val="00CC3D49"/>
    <w:rsid w:val="00CC3FBD"/>
    <w:rsid w:val="00CC4160"/>
    <w:rsid w:val="00CC4A68"/>
    <w:rsid w:val="00CC4ADA"/>
    <w:rsid w:val="00CC4AE5"/>
    <w:rsid w:val="00CC5568"/>
    <w:rsid w:val="00CC59F7"/>
    <w:rsid w:val="00CC5ADB"/>
    <w:rsid w:val="00CC617B"/>
    <w:rsid w:val="00CC61B5"/>
    <w:rsid w:val="00CC62E6"/>
    <w:rsid w:val="00CC646F"/>
    <w:rsid w:val="00CC667B"/>
    <w:rsid w:val="00CC6B08"/>
    <w:rsid w:val="00CC6F7E"/>
    <w:rsid w:val="00CC70A8"/>
    <w:rsid w:val="00CC7271"/>
    <w:rsid w:val="00CC769E"/>
    <w:rsid w:val="00CC7A9F"/>
    <w:rsid w:val="00CC7E1C"/>
    <w:rsid w:val="00CC7F3B"/>
    <w:rsid w:val="00CD02BB"/>
    <w:rsid w:val="00CD0883"/>
    <w:rsid w:val="00CD08E1"/>
    <w:rsid w:val="00CD0B7E"/>
    <w:rsid w:val="00CD15F9"/>
    <w:rsid w:val="00CD18E3"/>
    <w:rsid w:val="00CD1997"/>
    <w:rsid w:val="00CD1DDD"/>
    <w:rsid w:val="00CD1EC3"/>
    <w:rsid w:val="00CD206A"/>
    <w:rsid w:val="00CD2143"/>
    <w:rsid w:val="00CD229D"/>
    <w:rsid w:val="00CD230E"/>
    <w:rsid w:val="00CD298F"/>
    <w:rsid w:val="00CD2A98"/>
    <w:rsid w:val="00CD2D01"/>
    <w:rsid w:val="00CD2F85"/>
    <w:rsid w:val="00CD3051"/>
    <w:rsid w:val="00CD3122"/>
    <w:rsid w:val="00CD3222"/>
    <w:rsid w:val="00CD340C"/>
    <w:rsid w:val="00CD3AAC"/>
    <w:rsid w:val="00CD3DC8"/>
    <w:rsid w:val="00CD3FE5"/>
    <w:rsid w:val="00CD40C2"/>
    <w:rsid w:val="00CD43F6"/>
    <w:rsid w:val="00CD4658"/>
    <w:rsid w:val="00CD50C2"/>
    <w:rsid w:val="00CD5584"/>
    <w:rsid w:val="00CD6006"/>
    <w:rsid w:val="00CD6402"/>
    <w:rsid w:val="00CD651F"/>
    <w:rsid w:val="00CD6F56"/>
    <w:rsid w:val="00CD7084"/>
    <w:rsid w:val="00CD70AF"/>
    <w:rsid w:val="00CD72FC"/>
    <w:rsid w:val="00CD76C2"/>
    <w:rsid w:val="00CD77AA"/>
    <w:rsid w:val="00CE00D4"/>
    <w:rsid w:val="00CE03BE"/>
    <w:rsid w:val="00CE0613"/>
    <w:rsid w:val="00CE0CF2"/>
    <w:rsid w:val="00CE0D01"/>
    <w:rsid w:val="00CE10A2"/>
    <w:rsid w:val="00CE191C"/>
    <w:rsid w:val="00CE1B9F"/>
    <w:rsid w:val="00CE1DA9"/>
    <w:rsid w:val="00CE2205"/>
    <w:rsid w:val="00CE256A"/>
    <w:rsid w:val="00CE26F2"/>
    <w:rsid w:val="00CE2FE1"/>
    <w:rsid w:val="00CE3355"/>
    <w:rsid w:val="00CE3EB0"/>
    <w:rsid w:val="00CE40E1"/>
    <w:rsid w:val="00CE4E07"/>
    <w:rsid w:val="00CE5254"/>
    <w:rsid w:val="00CE5A73"/>
    <w:rsid w:val="00CE5D2C"/>
    <w:rsid w:val="00CE6368"/>
    <w:rsid w:val="00CE6578"/>
    <w:rsid w:val="00CE71A6"/>
    <w:rsid w:val="00CE7231"/>
    <w:rsid w:val="00CE73EF"/>
    <w:rsid w:val="00CE7627"/>
    <w:rsid w:val="00CE7F58"/>
    <w:rsid w:val="00CE7F9D"/>
    <w:rsid w:val="00CF0102"/>
    <w:rsid w:val="00CF066F"/>
    <w:rsid w:val="00CF06E3"/>
    <w:rsid w:val="00CF0775"/>
    <w:rsid w:val="00CF080D"/>
    <w:rsid w:val="00CF0815"/>
    <w:rsid w:val="00CF1185"/>
    <w:rsid w:val="00CF14C6"/>
    <w:rsid w:val="00CF15DF"/>
    <w:rsid w:val="00CF163D"/>
    <w:rsid w:val="00CF1705"/>
    <w:rsid w:val="00CF193B"/>
    <w:rsid w:val="00CF276D"/>
    <w:rsid w:val="00CF2EB9"/>
    <w:rsid w:val="00CF33A3"/>
    <w:rsid w:val="00CF36E8"/>
    <w:rsid w:val="00CF370E"/>
    <w:rsid w:val="00CF570D"/>
    <w:rsid w:val="00CF5745"/>
    <w:rsid w:val="00CF5E93"/>
    <w:rsid w:val="00CF610A"/>
    <w:rsid w:val="00CF66A3"/>
    <w:rsid w:val="00CF66BF"/>
    <w:rsid w:val="00CF68EF"/>
    <w:rsid w:val="00CF6AA9"/>
    <w:rsid w:val="00CF6CAD"/>
    <w:rsid w:val="00CF6FA9"/>
    <w:rsid w:val="00CF6FF4"/>
    <w:rsid w:val="00CF766E"/>
    <w:rsid w:val="00CF778F"/>
    <w:rsid w:val="00CF78C5"/>
    <w:rsid w:val="00CF78DC"/>
    <w:rsid w:val="00CF7DF2"/>
    <w:rsid w:val="00D006D7"/>
    <w:rsid w:val="00D0077B"/>
    <w:rsid w:val="00D00919"/>
    <w:rsid w:val="00D00943"/>
    <w:rsid w:val="00D00E6A"/>
    <w:rsid w:val="00D01445"/>
    <w:rsid w:val="00D014D6"/>
    <w:rsid w:val="00D014D9"/>
    <w:rsid w:val="00D0166F"/>
    <w:rsid w:val="00D01758"/>
    <w:rsid w:val="00D017B3"/>
    <w:rsid w:val="00D0180A"/>
    <w:rsid w:val="00D0181E"/>
    <w:rsid w:val="00D01ACC"/>
    <w:rsid w:val="00D01CBC"/>
    <w:rsid w:val="00D03366"/>
    <w:rsid w:val="00D0348A"/>
    <w:rsid w:val="00D03873"/>
    <w:rsid w:val="00D04704"/>
    <w:rsid w:val="00D04937"/>
    <w:rsid w:val="00D04EA4"/>
    <w:rsid w:val="00D05B51"/>
    <w:rsid w:val="00D05BD9"/>
    <w:rsid w:val="00D05F8A"/>
    <w:rsid w:val="00D06B65"/>
    <w:rsid w:val="00D06C36"/>
    <w:rsid w:val="00D0764F"/>
    <w:rsid w:val="00D07C4E"/>
    <w:rsid w:val="00D10547"/>
    <w:rsid w:val="00D109C6"/>
    <w:rsid w:val="00D10BDC"/>
    <w:rsid w:val="00D11110"/>
    <w:rsid w:val="00D11AD9"/>
    <w:rsid w:val="00D1223B"/>
    <w:rsid w:val="00D124B0"/>
    <w:rsid w:val="00D12540"/>
    <w:rsid w:val="00D12643"/>
    <w:rsid w:val="00D138D1"/>
    <w:rsid w:val="00D1392F"/>
    <w:rsid w:val="00D1393C"/>
    <w:rsid w:val="00D14771"/>
    <w:rsid w:val="00D14B41"/>
    <w:rsid w:val="00D14BCB"/>
    <w:rsid w:val="00D14EBA"/>
    <w:rsid w:val="00D15203"/>
    <w:rsid w:val="00D15720"/>
    <w:rsid w:val="00D15890"/>
    <w:rsid w:val="00D158A1"/>
    <w:rsid w:val="00D158A3"/>
    <w:rsid w:val="00D15E59"/>
    <w:rsid w:val="00D15EFE"/>
    <w:rsid w:val="00D15F78"/>
    <w:rsid w:val="00D1647F"/>
    <w:rsid w:val="00D164EB"/>
    <w:rsid w:val="00D16728"/>
    <w:rsid w:val="00D16A52"/>
    <w:rsid w:val="00D16B0E"/>
    <w:rsid w:val="00D171A1"/>
    <w:rsid w:val="00D175DC"/>
    <w:rsid w:val="00D1776D"/>
    <w:rsid w:val="00D17BEF"/>
    <w:rsid w:val="00D20060"/>
    <w:rsid w:val="00D200DE"/>
    <w:rsid w:val="00D20FB2"/>
    <w:rsid w:val="00D21420"/>
    <w:rsid w:val="00D21665"/>
    <w:rsid w:val="00D21720"/>
    <w:rsid w:val="00D21C95"/>
    <w:rsid w:val="00D21EF3"/>
    <w:rsid w:val="00D22212"/>
    <w:rsid w:val="00D22481"/>
    <w:rsid w:val="00D2264B"/>
    <w:rsid w:val="00D226FD"/>
    <w:rsid w:val="00D228ED"/>
    <w:rsid w:val="00D22D49"/>
    <w:rsid w:val="00D230D9"/>
    <w:rsid w:val="00D23251"/>
    <w:rsid w:val="00D24178"/>
    <w:rsid w:val="00D24381"/>
    <w:rsid w:val="00D244BF"/>
    <w:rsid w:val="00D24597"/>
    <w:rsid w:val="00D2491D"/>
    <w:rsid w:val="00D249A9"/>
    <w:rsid w:val="00D24EE4"/>
    <w:rsid w:val="00D2560F"/>
    <w:rsid w:val="00D2564C"/>
    <w:rsid w:val="00D2593A"/>
    <w:rsid w:val="00D25C30"/>
    <w:rsid w:val="00D26132"/>
    <w:rsid w:val="00D262F6"/>
    <w:rsid w:val="00D264E7"/>
    <w:rsid w:val="00D2681C"/>
    <w:rsid w:val="00D26898"/>
    <w:rsid w:val="00D26DA7"/>
    <w:rsid w:val="00D27B4C"/>
    <w:rsid w:val="00D3010F"/>
    <w:rsid w:val="00D30494"/>
    <w:rsid w:val="00D30877"/>
    <w:rsid w:val="00D3101C"/>
    <w:rsid w:val="00D310BA"/>
    <w:rsid w:val="00D310FA"/>
    <w:rsid w:val="00D314C3"/>
    <w:rsid w:val="00D31BDF"/>
    <w:rsid w:val="00D32834"/>
    <w:rsid w:val="00D3304A"/>
    <w:rsid w:val="00D34384"/>
    <w:rsid w:val="00D3449B"/>
    <w:rsid w:val="00D34607"/>
    <w:rsid w:val="00D34683"/>
    <w:rsid w:val="00D34C47"/>
    <w:rsid w:val="00D34C96"/>
    <w:rsid w:val="00D34D50"/>
    <w:rsid w:val="00D3541F"/>
    <w:rsid w:val="00D3544D"/>
    <w:rsid w:val="00D3596A"/>
    <w:rsid w:val="00D35A36"/>
    <w:rsid w:val="00D35D02"/>
    <w:rsid w:val="00D36217"/>
    <w:rsid w:val="00D3626D"/>
    <w:rsid w:val="00D3705A"/>
    <w:rsid w:val="00D377B5"/>
    <w:rsid w:val="00D37ACE"/>
    <w:rsid w:val="00D37F7D"/>
    <w:rsid w:val="00D40768"/>
    <w:rsid w:val="00D40918"/>
    <w:rsid w:val="00D41BCE"/>
    <w:rsid w:val="00D41D4C"/>
    <w:rsid w:val="00D41EC4"/>
    <w:rsid w:val="00D42052"/>
    <w:rsid w:val="00D42B64"/>
    <w:rsid w:val="00D42F44"/>
    <w:rsid w:val="00D4315A"/>
    <w:rsid w:val="00D432E3"/>
    <w:rsid w:val="00D4384A"/>
    <w:rsid w:val="00D438F1"/>
    <w:rsid w:val="00D43BD4"/>
    <w:rsid w:val="00D44242"/>
    <w:rsid w:val="00D445D5"/>
    <w:rsid w:val="00D44C52"/>
    <w:rsid w:val="00D4560E"/>
    <w:rsid w:val="00D46B87"/>
    <w:rsid w:val="00D4716F"/>
    <w:rsid w:val="00D47331"/>
    <w:rsid w:val="00D474DF"/>
    <w:rsid w:val="00D47BA8"/>
    <w:rsid w:val="00D508A5"/>
    <w:rsid w:val="00D50950"/>
    <w:rsid w:val="00D50AAD"/>
    <w:rsid w:val="00D510CF"/>
    <w:rsid w:val="00D51677"/>
    <w:rsid w:val="00D52327"/>
    <w:rsid w:val="00D526AC"/>
    <w:rsid w:val="00D52BDE"/>
    <w:rsid w:val="00D52EEF"/>
    <w:rsid w:val="00D53399"/>
    <w:rsid w:val="00D5368E"/>
    <w:rsid w:val="00D53837"/>
    <w:rsid w:val="00D54075"/>
    <w:rsid w:val="00D54235"/>
    <w:rsid w:val="00D54272"/>
    <w:rsid w:val="00D5505F"/>
    <w:rsid w:val="00D558F9"/>
    <w:rsid w:val="00D5591A"/>
    <w:rsid w:val="00D55A51"/>
    <w:rsid w:val="00D55CC2"/>
    <w:rsid w:val="00D55E0D"/>
    <w:rsid w:val="00D56209"/>
    <w:rsid w:val="00D56414"/>
    <w:rsid w:val="00D565CD"/>
    <w:rsid w:val="00D57419"/>
    <w:rsid w:val="00D57446"/>
    <w:rsid w:val="00D576CB"/>
    <w:rsid w:val="00D57BE4"/>
    <w:rsid w:val="00D57DD8"/>
    <w:rsid w:val="00D60234"/>
    <w:rsid w:val="00D604DC"/>
    <w:rsid w:val="00D6093D"/>
    <w:rsid w:val="00D61181"/>
    <w:rsid w:val="00D61195"/>
    <w:rsid w:val="00D612FD"/>
    <w:rsid w:val="00D61BFE"/>
    <w:rsid w:val="00D61D2A"/>
    <w:rsid w:val="00D6219A"/>
    <w:rsid w:val="00D6227A"/>
    <w:rsid w:val="00D6233F"/>
    <w:rsid w:val="00D62435"/>
    <w:rsid w:val="00D6249F"/>
    <w:rsid w:val="00D62524"/>
    <w:rsid w:val="00D63108"/>
    <w:rsid w:val="00D63C4E"/>
    <w:rsid w:val="00D64461"/>
    <w:rsid w:val="00D64700"/>
    <w:rsid w:val="00D648CF"/>
    <w:rsid w:val="00D64DE9"/>
    <w:rsid w:val="00D655C0"/>
    <w:rsid w:val="00D65EB0"/>
    <w:rsid w:val="00D663ED"/>
    <w:rsid w:val="00D66471"/>
    <w:rsid w:val="00D66814"/>
    <w:rsid w:val="00D669C6"/>
    <w:rsid w:val="00D66CCF"/>
    <w:rsid w:val="00D67689"/>
    <w:rsid w:val="00D6772E"/>
    <w:rsid w:val="00D7058C"/>
    <w:rsid w:val="00D7129A"/>
    <w:rsid w:val="00D71582"/>
    <w:rsid w:val="00D715FB"/>
    <w:rsid w:val="00D71788"/>
    <w:rsid w:val="00D71B62"/>
    <w:rsid w:val="00D72B50"/>
    <w:rsid w:val="00D731F4"/>
    <w:rsid w:val="00D73262"/>
    <w:rsid w:val="00D73587"/>
    <w:rsid w:val="00D73992"/>
    <w:rsid w:val="00D739F9"/>
    <w:rsid w:val="00D73CA4"/>
    <w:rsid w:val="00D73F23"/>
    <w:rsid w:val="00D73F81"/>
    <w:rsid w:val="00D7401B"/>
    <w:rsid w:val="00D74913"/>
    <w:rsid w:val="00D74EBA"/>
    <w:rsid w:val="00D74F22"/>
    <w:rsid w:val="00D75136"/>
    <w:rsid w:val="00D75218"/>
    <w:rsid w:val="00D75394"/>
    <w:rsid w:val="00D753E6"/>
    <w:rsid w:val="00D754C4"/>
    <w:rsid w:val="00D75639"/>
    <w:rsid w:val="00D7588C"/>
    <w:rsid w:val="00D758AB"/>
    <w:rsid w:val="00D75961"/>
    <w:rsid w:val="00D7688E"/>
    <w:rsid w:val="00D76A04"/>
    <w:rsid w:val="00D76E94"/>
    <w:rsid w:val="00D77780"/>
    <w:rsid w:val="00D77B36"/>
    <w:rsid w:val="00D77DF2"/>
    <w:rsid w:val="00D8018B"/>
    <w:rsid w:val="00D80257"/>
    <w:rsid w:val="00D80294"/>
    <w:rsid w:val="00D80647"/>
    <w:rsid w:val="00D80E93"/>
    <w:rsid w:val="00D8145D"/>
    <w:rsid w:val="00D814C0"/>
    <w:rsid w:val="00D81510"/>
    <w:rsid w:val="00D8261F"/>
    <w:rsid w:val="00D8294B"/>
    <w:rsid w:val="00D829D2"/>
    <w:rsid w:val="00D833A3"/>
    <w:rsid w:val="00D83702"/>
    <w:rsid w:val="00D83AA9"/>
    <w:rsid w:val="00D83E14"/>
    <w:rsid w:val="00D83E74"/>
    <w:rsid w:val="00D83F4F"/>
    <w:rsid w:val="00D843C6"/>
    <w:rsid w:val="00D84655"/>
    <w:rsid w:val="00D848F7"/>
    <w:rsid w:val="00D8491D"/>
    <w:rsid w:val="00D84F09"/>
    <w:rsid w:val="00D85588"/>
    <w:rsid w:val="00D85794"/>
    <w:rsid w:val="00D85826"/>
    <w:rsid w:val="00D859BC"/>
    <w:rsid w:val="00D85F9C"/>
    <w:rsid w:val="00D8625B"/>
    <w:rsid w:val="00D86719"/>
    <w:rsid w:val="00D867D2"/>
    <w:rsid w:val="00D86990"/>
    <w:rsid w:val="00D86B05"/>
    <w:rsid w:val="00D87C87"/>
    <w:rsid w:val="00D901ED"/>
    <w:rsid w:val="00D9082A"/>
    <w:rsid w:val="00D9088F"/>
    <w:rsid w:val="00D90BFB"/>
    <w:rsid w:val="00D90BFF"/>
    <w:rsid w:val="00D90F3D"/>
    <w:rsid w:val="00D90F43"/>
    <w:rsid w:val="00D911DD"/>
    <w:rsid w:val="00D91216"/>
    <w:rsid w:val="00D91504"/>
    <w:rsid w:val="00D915B8"/>
    <w:rsid w:val="00D91612"/>
    <w:rsid w:val="00D919DD"/>
    <w:rsid w:val="00D91A0C"/>
    <w:rsid w:val="00D91F4F"/>
    <w:rsid w:val="00D91FDE"/>
    <w:rsid w:val="00D920AD"/>
    <w:rsid w:val="00D9211B"/>
    <w:rsid w:val="00D92A8B"/>
    <w:rsid w:val="00D931E4"/>
    <w:rsid w:val="00D93526"/>
    <w:rsid w:val="00D93556"/>
    <w:rsid w:val="00D93563"/>
    <w:rsid w:val="00D93DC8"/>
    <w:rsid w:val="00D93F9E"/>
    <w:rsid w:val="00D94128"/>
    <w:rsid w:val="00D9454C"/>
    <w:rsid w:val="00D9482C"/>
    <w:rsid w:val="00D94CF7"/>
    <w:rsid w:val="00D950C8"/>
    <w:rsid w:val="00D9568A"/>
    <w:rsid w:val="00D95A0B"/>
    <w:rsid w:val="00D95AA3"/>
    <w:rsid w:val="00D95F99"/>
    <w:rsid w:val="00D96200"/>
    <w:rsid w:val="00D962E5"/>
    <w:rsid w:val="00D9696C"/>
    <w:rsid w:val="00D96FE2"/>
    <w:rsid w:val="00D96FEB"/>
    <w:rsid w:val="00D970E9"/>
    <w:rsid w:val="00D972AB"/>
    <w:rsid w:val="00D9743D"/>
    <w:rsid w:val="00D97C73"/>
    <w:rsid w:val="00D97E1D"/>
    <w:rsid w:val="00D97E25"/>
    <w:rsid w:val="00DA0384"/>
    <w:rsid w:val="00DA04A1"/>
    <w:rsid w:val="00DA0613"/>
    <w:rsid w:val="00DA07FC"/>
    <w:rsid w:val="00DA0820"/>
    <w:rsid w:val="00DA0958"/>
    <w:rsid w:val="00DA0C9E"/>
    <w:rsid w:val="00DA12FA"/>
    <w:rsid w:val="00DA1564"/>
    <w:rsid w:val="00DA189B"/>
    <w:rsid w:val="00DA1DBD"/>
    <w:rsid w:val="00DA2851"/>
    <w:rsid w:val="00DA2A5E"/>
    <w:rsid w:val="00DA2C17"/>
    <w:rsid w:val="00DA3591"/>
    <w:rsid w:val="00DA3633"/>
    <w:rsid w:val="00DA3D51"/>
    <w:rsid w:val="00DA40B7"/>
    <w:rsid w:val="00DA41F7"/>
    <w:rsid w:val="00DA4786"/>
    <w:rsid w:val="00DA583F"/>
    <w:rsid w:val="00DA59B8"/>
    <w:rsid w:val="00DA5A7E"/>
    <w:rsid w:val="00DA5C6D"/>
    <w:rsid w:val="00DA5E7E"/>
    <w:rsid w:val="00DA5F4F"/>
    <w:rsid w:val="00DA6125"/>
    <w:rsid w:val="00DA64D2"/>
    <w:rsid w:val="00DA663C"/>
    <w:rsid w:val="00DA6806"/>
    <w:rsid w:val="00DA6887"/>
    <w:rsid w:val="00DA6E9D"/>
    <w:rsid w:val="00DA7276"/>
    <w:rsid w:val="00DA73AF"/>
    <w:rsid w:val="00DA746F"/>
    <w:rsid w:val="00DA7596"/>
    <w:rsid w:val="00DA7B98"/>
    <w:rsid w:val="00DA7C34"/>
    <w:rsid w:val="00DA7CD7"/>
    <w:rsid w:val="00DB0DFE"/>
    <w:rsid w:val="00DB12BE"/>
    <w:rsid w:val="00DB17FD"/>
    <w:rsid w:val="00DB1887"/>
    <w:rsid w:val="00DB2079"/>
    <w:rsid w:val="00DB22C2"/>
    <w:rsid w:val="00DB2475"/>
    <w:rsid w:val="00DB2529"/>
    <w:rsid w:val="00DB2657"/>
    <w:rsid w:val="00DB267C"/>
    <w:rsid w:val="00DB2AB0"/>
    <w:rsid w:val="00DB2D38"/>
    <w:rsid w:val="00DB3223"/>
    <w:rsid w:val="00DB32F7"/>
    <w:rsid w:val="00DB3307"/>
    <w:rsid w:val="00DB3732"/>
    <w:rsid w:val="00DB3A3C"/>
    <w:rsid w:val="00DB4393"/>
    <w:rsid w:val="00DB4460"/>
    <w:rsid w:val="00DB4475"/>
    <w:rsid w:val="00DB4760"/>
    <w:rsid w:val="00DB4ABD"/>
    <w:rsid w:val="00DB556E"/>
    <w:rsid w:val="00DB573C"/>
    <w:rsid w:val="00DB5CEA"/>
    <w:rsid w:val="00DB63A2"/>
    <w:rsid w:val="00DB64B0"/>
    <w:rsid w:val="00DB7025"/>
    <w:rsid w:val="00DB7081"/>
    <w:rsid w:val="00DB741A"/>
    <w:rsid w:val="00DB74B8"/>
    <w:rsid w:val="00DB7826"/>
    <w:rsid w:val="00DB7ADB"/>
    <w:rsid w:val="00DC010F"/>
    <w:rsid w:val="00DC0738"/>
    <w:rsid w:val="00DC0779"/>
    <w:rsid w:val="00DC09FC"/>
    <w:rsid w:val="00DC0C22"/>
    <w:rsid w:val="00DC13F0"/>
    <w:rsid w:val="00DC1480"/>
    <w:rsid w:val="00DC17A3"/>
    <w:rsid w:val="00DC2586"/>
    <w:rsid w:val="00DC29A4"/>
    <w:rsid w:val="00DC301B"/>
    <w:rsid w:val="00DC32E6"/>
    <w:rsid w:val="00DC3373"/>
    <w:rsid w:val="00DC3428"/>
    <w:rsid w:val="00DC3C04"/>
    <w:rsid w:val="00DC3F74"/>
    <w:rsid w:val="00DC3FAD"/>
    <w:rsid w:val="00DC4824"/>
    <w:rsid w:val="00DC4C13"/>
    <w:rsid w:val="00DC511F"/>
    <w:rsid w:val="00DC5256"/>
    <w:rsid w:val="00DC54D4"/>
    <w:rsid w:val="00DC57D5"/>
    <w:rsid w:val="00DC593F"/>
    <w:rsid w:val="00DC59A1"/>
    <w:rsid w:val="00DC5BEC"/>
    <w:rsid w:val="00DC5E51"/>
    <w:rsid w:val="00DC5E7C"/>
    <w:rsid w:val="00DC62B7"/>
    <w:rsid w:val="00DC6B1F"/>
    <w:rsid w:val="00DC6DB4"/>
    <w:rsid w:val="00DC6F2A"/>
    <w:rsid w:val="00DC7016"/>
    <w:rsid w:val="00DC76A3"/>
    <w:rsid w:val="00DC7B84"/>
    <w:rsid w:val="00DD07AD"/>
    <w:rsid w:val="00DD0D77"/>
    <w:rsid w:val="00DD1835"/>
    <w:rsid w:val="00DD1C43"/>
    <w:rsid w:val="00DD1F79"/>
    <w:rsid w:val="00DD23C7"/>
    <w:rsid w:val="00DD2420"/>
    <w:rsid w:val="00DD28D6"/>
    <w:rsid w:val="00DD32D7"/>
    <w:rsid w:val="00DD331A"/>
    <w:rsid w:val="00DD3421"/>
    <w:rsid w:val="00DD3A99"/>
    <w:rsid w:val="00DD3F4C"/>
    <w:rsid w:val="00DD46B2"/>
    <w:rsid w:val="00DD499F"/>
    <w:rsid w:val="00DD5259"/>
    <w:rsid w:val="00DD56A5"/>
    <w:rsid w:val="00DD6A64"/>
    <w:rsid w:val="00DD6F11"/>
    <w:rsid w:val="00DD74E8"/>
    <w:rsid w:val="00DD7637"/>
    <w:rsid w:val="00DE0520"/>
    <w:rsid w:val="00DE055F"/>
    <w:rsid w:val="00DE0571"/>
    <w:rsid w:val="00DE134D"/>
    <w:rsid w:val="00DE16CD"/>
    <w:rsid w:val="00DE18E0"/>
    <w:rsid w:val="00DE1AEE"/>
    <w:rsid w:val="00DE1E6B"/>
    <w:rsid w:val="00DE21B5"/>
    <w:rsid w:val="00DE21F7"/>
    <w:rsid w:val="00DE2397"/>
    <w:rsid w:val="00DE2517"/>
    <w:rsid w:val="00DE25E4"/>
    <w:rsid w:val="00DE2613"/>
    <w:rsid w:val="00DE2B93"/>
    <w:rsid w:val="00DE2D78"/>
    <w:rsid w:val="00DE2EAC"/>
    <w:rsid w:val="00DE361C"/>
    <w:rsid w:val="00DE3717"/>
    <w:rsid w:val="00DE3731"/>
    <w:rsid w:val="00DE42F7"/>
    <w:rsid w:val="00DE4B2C"/>
    <w:rsid w:val="00DE4CC3"/>
    <w:rsid w:val="00DE4D06"/>
    <w:rsid w:val="00DE5479"/>
    <w:rsid w:val="00DE5614"/>
    <w:rsid w:val="00DE593F"/>
    <w:rsid w:val="00DE5973"/>
    <w:rsid w:val="00DE5E04"/>
    <w:rsid w:val="00DE650E"/>
    <w:rsid w:val="00DE6B92"/>
    <w:rsid w:val="00DE6EE5"/>
    <w:rsid w:val="00DE7A92"/>
    <w:rsid w:val="00DE7B7F"/>
    <w:rsid w:val="00DF00F4"/>
    <w:rsid w:val="00DF0585"/>
    <w:rsid w:val="00DF0621"/>
    <w:rsid w:val="00DF07FA"/>
    <w:rsid w:val="00DF18ED"/>
    <w:rsid w:val="00DF1BB9"/>
    <w:rsid w:val="00DF1E8B"/>
    <w:rsid w:val="00DF27E0"/>
    <w:rsid w:val="00DF2B06"/>
    <w:rsid w:val="00DF2BD4"/>
    <w:rsid w:val="00DF2C12"/>
    <w:rsid w:val="00DF2C88"/>
    <w:rsid w:val="00DF2E4E"/>
    <w:rsid w:val="00DF37FB"/>
    <w:rsid w:val="00DF3D96"/>
    <w:rsid w:val="00DF3DBB"/>
    <w:rsid w:val="00DF40F0"/>
    <w:rsid w:val="00DF4975"/>
    <w:rsid w:val="00DF578C"/>
    <w:rsid w:val="00DF578D"/>
    <w:rsid w:val="00DF5A95"/>
    <w:rsid w:val="00DF61E6"/>
    <w:rsid w:val="00DF63AC"/>
    <w:rsid w:val="00DF6500"/>
    <w:rsid w:val="00DF6CA8"/>
    <w:rsid w:val="00DF6DF8"/>
    <w:rsid w:val="00DF6F10"/>
    <w:rsid w:val="00DF7318"/>
    <w:rsid w:val="00DF7A4E"/>
    <w:rsid w:val="00DF7BA5"/>
    <w:rsid w:val="00DF7D2B"/>
    <w:rsid w:val="00DF7ED6"/>
    <w:rsid w:val="00E00322"/>
    <w:rsid w:val="00E00F60"/>
    <w:rsid w:val="00E0133B"/>
    <w:rsid w:val="00E0195B"/>
    <w:rsid w:val="00E02361"/>
    <w:rsid w:val="00E02397"/>
    <w:rsid w:val="00E02445"/>
    <w:rsid w:val="00E026AB"/>
    <w:rsid w:val="00E02B92"/>
    <w:rsid w:val="00E02C97"/>
    <w:rsid w:val="00E02D71"/>
    <w:rsid w:val="00E02D94"/>
    <w:rsid w:val="00E02EA9"/>
    <w:rsid w:val="00E036FD"/>
    <w:rsid w:val="00E039E0"/>
    <w:rsid w:val="00E03A8F"/>
    <w:rsid w:val="00E03E2E"/>
    <w:rsid w:val="00E04821"/>
    <w:rsid w:val="00E05128"/>
    <w:rsid w:val="00E057BD"/>
    <w:rsid w:val="00E05DD7"/>
    <w:rsid w:val="00E06981"/>
    <w:rsid w:val="00E06BF9"/>
    <w:rsid w:val="00E06F3E"/>
    <w:rsid w:val="00E07434"/>
    <w:rsid w:val="00E07AC9"/>
    <w:rsid w:val="00E10404"/>
    <w:rsid w:val="00E108F9"/>
    <w:rsid w:val="00E10A41"/>
    <w:rsid w:val="00E11235"/>
    <w:rsid w:val="00E1147E"/>
    <w:rsid w:val="00E1153C"/>
    <w:rsid w:val="00E11FC6"/>
    <w:rsid w:val="00E121AF"/>
    <w:rsid w:val="00E12379"/>
    <w:rsid w:val="00E1239A"/>
    <w:rsid w:val="00E124DB"/>
    <w:rsid w:val="00E127D9"/>
    <w:rsid w:val="00E12E93"/>
    <w:rsid w:val="00E1336A"/>
    <w:rsid w:val="00E1350A"/>
    <w:rsid w:val="00E13B15"/>
    <w:rsid w:val="00E13F13"/>
    <w:rsid w:val="00E13F70"/>
    <w:rsid w:val="00E13FD1"/>
    <w:rsid w:val="00E147AA"/>
    <w:rsid w:val="00E14ADC"/>
    <w:rsid w:val="00E14D65"/>
    <w:rsid w:val="00E14FC9"/>
    <w:rsid w:val="00E154E3"/>
    <w:rsid w:val="00E15D9A"/>
    <w:rsid w:val="00E163E7"/>
    <w:rsid w:val="00E168B7"/>
    <w:rsid w:val="00E16B56"/>
    <w:rsid w:val="00E16CD1"/>
    <w:rsid w:val="00E16DC4"/>
    <w:rsid w:val="00E16F95"/>
    <w:rsid w:val="00E1709B"/>
    <w:rsid w:val="00E17DDA"/>
    <w:rsid w:val="00E17FB8"/>
    <w:rsid w:val="00E20105"/>
    <w:rsid w:val="00E209D2"/>
    <w:rsid w:val="00E214B3"/>
    <w:rsid w:val="00E21C2F"/>
    <w:rsid w:val="00E21E96"/>
    <w:rsid w:val="00E2214D"/>
    <w:rsid w:val="00E223D9"/>
    <w:rsid w:val="00E22660"/>
    <w:rsid w:val="00E2270A"/>
    <w:rsid w:val="00E229A8"/>
    <w:rsid w:val="00E22A97"/>
    <w:rsid w:val="00E22CA7"/>
    <w:rsid w:val="00E230AC"/>
    <w:rsid w:val="00E23412"/>
    <w:rsid w:val="00E2358C"/>
    <w:rsid w:val="00E2393D"/>
    <w:rsid w:val="00E23B7B"/>
    <w:rsid w:val="00E2439A"/>
    <w:rsid w:val="00E243B1"/>
    <w:rsid w:val="00E243D5"/>
    <w:rsid w:val="00E247B0"/>
    <w:rsid w:val="00E24AEF"/>
    <w:rsid w:val="00E25542"/>
    <w:rsid w:val="00E25719"/>
    <w:rsid w:val="00E257F1"/>
    <w:rsid w:val="00E25AAE"/>
    <w:rsid w:val="00E26604"/>
    <w:rsid w:val="00E273C0"/>
    <w:rsid w:val="00E2763D"/>
    <w:rsid w:val="00E27F55"/>
    <w:rsid w:val="00E27F71"/>
    <w:rsid w:val="00E30416"/>
    <w:rsid w:val="00E30971"/>
    <w:rsid w:val="00E31165"/>
    <w:rsid w:val="00E311FC"/>
    <w:rsid w:val="00E3125B"/>
    <w:rsid w:val="00E31B13"/>
    <w:rsid w:val="00E31B7C"/>
    <w:rsid w:val="00E31E8B"/>
    <w:rsid w:val="00E326C1"/>
    <w:rsid w:val="00E3287D"/>
    <w:rsid w:val="00E329A2"/>
    <w:rsid w:val="00E32B17"/>
    <w:rsid w:val="00E33168"/>
    <w:rsid w:val="00E34706"/>
    <w:rsid w:val="00E349FA"/>
    <w:rsid w:val="00E34D31"/>
    <w:rsid w:val="00E34F54"/>
    <w:rsid w:val="00E351D9"/>
    <w:rsid w:val="00E35242"/>
    <w:rsid w:val="00E35A22"/>
    <w:rsid w:val="00E364E4"/>
    <w:rsid w:val="00E3686D"/>
    <w:rsid w:val="00E36DA6"/>
    <w:rsid w:val="00E3744C"/>
    <w:rsid w:val="00E374E6"/>
    <w:rsid w:val="00E37872"/>
    <w:rsid w:val="00E40668"/>
    <w:rsid w:val="00E40873"/>
    <w:rsid w:val="00E40BCD"/>
    <w:rsid w:val="00E41277"/>
    <w:rsid w:val="00E414AD"/>
    <w:rsid w:val="00E4163C"/>
    <w:rsid w:val="00E41D60"/>
    <w:rsid w:val="00E42558"/>
    <w:rsid w:val="00E42BE7"/>
    <w:rsid w:val="00E42E00"/>
    <w:rsid w:val="00E43CBF"/>
    <w:rsid w:val="00E442B2"/>
    <w:rsid w:val="00E44428"/>
    <w:rsid w:val="00E44795"/>
    <w:rsid w:val="00E44827"/>
    <w:rsid w:val="00E44A1C"/>
    <w:rsid w:val="00E44C42"/>
    <w:rsid w:val="00E45067"/>
    <w:rsid w:val="00E4507D"/>
    <w:rsid w:val="00E4512D"/>
    <w:rsid w:val="00E45CEC"/>
    <w:rsid w:val="00E45E22"/>
    <w:rsid w:val="00E45EE1"/>
    <w:rsid w:val="00E45F7B"/>
    <w:rsid w:val="00E46056"/>
    <w:rsid w:val="00E46391"/>
    <w:rsid w:val="00E46400"/>
    <w:rsid w:val="00E46434"/>
    <w:rsid w:val="00E46647"/>
    <w:rsid w:val="00E46BAA"/>
    <w:rsid w:val="00E46C31"/>
    <w:rsid w:val="00E47345"/>
    <w:rsid w:val="00E47D1E"/>
    <w:rsid w:val="00E47E58"/>
    <w:rsid w:val="00E50469"/>
    <w:rsid w:val="00E507BD"/>
    <w:rsid w:val="00E507F9"/>
    <w:rsid w:val="00E50C94"/>
    <w:rsid w:val="00E51375"/>
    <w:rsid w:val="00E51B2D"/>
    <w:rsid w:val="00E51CF8"/>
    <w:rsid w:val="00E51EEC"/>
    <w:rsid w:val="00E5201A"/>
    <w:rsid w:val="00E52229"/>
    <w:rsid w:val="00E52389"/>
    <w:rsid w:val="00E52606"/>
    <w:rsid w:val="00E532BE"/>
    <w:rsid w:val="00E53733"/>
    <w:rsid w:val="00E5378F"/>
    <w:rsid w:val="00E53DAF"/>
    <w:rsid w:val="00E54293"/>
    <w:rsid w:val="00E54486"/>
    <w:rsid w:val="00E5499D"/>
    <w:rsid w:val="00E54A4A"/>
    <w:rsid w:val="00E54C14"/>
    <w:rsid w:val="00E55077"/>
    <w:rsid w:val="00E558AC"/>
    <w:rsid w:val="00E559B2"/>
    <w:rsid w:val="00E55FD6"/>
    <w:rsid w:val="00E5698A"/>
    <w:rsid w:val="00E56D23"/>
    <w:rsid w:val="00E57601"/>
    <w:rsid w:val="00E57843"/>
    <w:rsid w:val="00E57C44"/>
    <w:rsid w:val="00E57FEA"/>
    <w:rsid w:val="00E600CC"/>
    <w:rsid w:val="00E6033A"/>
    <w:rsid w:val="00E6044E"/>
    <w:rsid w:val="00E60922"/>
    <w:rsid w:val="00E609FC"/>
    <w:rsid w:val="00E60DD1"/>
    <w:rsid w:val="00E60EE3"/>
    <w:rsid w:val="00E61DED"/>
    <w:rsid w:val="00E622C2"/>
    <w:rsid w:val="00E629A5"/>
    <w:rsid w:val="00E62FE3"/>
    <w:rsid w:val="00E6300F"/>
    <w:rsid w:val="00E6311C"/>
    <w:rsid w:val="00E63313"/>
    <w:rsid w:val="00E6350A"/>
    <w:rsid w:val="00E64437"/>
    <w:rsid w:val="00E644A1"/>
    <w:rsid w:val="00E6480D"/>
    <w:rsid w:val="00E64A10"/>
    <w:rsid w:val="00E64BDB"/>
    <w:rsid w:val="00E64D7F"/>
    <w:rsid w:val="00E6578B"/>
    <w:rsid w:val="00E65AF8"/>
    <w:rsid w:val="00E65B37"/>
    <w:rsid w:val="00E66337"/>
    <w:rsid w:val="00E6662A"/>
    <w:rsid w:val="00E666F1"/>
    <w:rsid w:val="00E67389"/>
    <w:rsid w:val="00E67666"/>
    <w:rsid w:val="00E67965"/>
    <w:rsid w:val="00E70254"/>
    <w:rsid w:val="00E708F3"/>
    <w:rsid w:val="00E70CCC"/>
    <w:rsid w:val="00E714C2"/>
    <w:rsid w:val="00E7163C"/>
    <w:rsid w:val="00E716E0"/>
    <w:rsid w:val="00E72B62"/>
    <w:rsid w:val="00E738B8"/>
    <w:rsid w:val="00E73CBE"/>
    <w:rsid w:val="00E73D3A"/>
    <w:rsid w:val="00E73E00"/>
    <w:rsid w:val="00E744DF"/>
    <w:rsid w:val="00E7481A"/>
    <w:rsid w:val="00E74C99"/>
    <w:rsid w:val="00E74F8F"/>
    <w:rsid w:val="00E75779"/>
    <w:rsid w:val="00E75FDB"/>
    <w:rsid w:val="00E761E1"/>
    <w:rsid w:val="00E76798"/>
    <w:rsid w:val="00E767BC"/>
    <w:rsid w:val="00E769FC"/>
    <w:rsid w:val="00E76CE7"/>
    <w:rsid w:val="00E76D57"/>
    <w:rsid w:val="00E76FBE"/>
    <w:rsid w:val="00E771BE"/>
    <w:rsid w:val="00E77344"/>
    <w:rsid w:val="00E779AA"/>
    <w:rsid w:val="00E77B0B"/>
    <w:rsid w:val="00E77D2E"/>
    <w:rsid w:val="00E80275"/>
    <w:rsid w:val="00E8030C"/>
    <w:rsid w:val="00E8031E"/>
    <w:rsid w:val="00E803C2"/>
    <w:rsid w:val="00E804A4"/>
    <w:rsid w:val="00E807A7"/>
    <w:rsid w:val="00E80A65"/>
    <w:rsid w:val="00E80A9F"/>
    <w:rsid w:val="00E80B75"/>
    <w:rsid w:val="00E80D06"/>
    <w:rsid w:val="00E8113D"/>
    <w:rsid w:val="00E81BD3"/>
    <w:rsid w:val="00E81DB4"/>
    <w:rsid w:val="00E82072"/>
    <w:rsid w:val="00E822C0"/>
    <w:rsid w:val="00E8235D"/>
    <w:rsid w:val="00E82438"/>
    <w:rsid w:val="00E826D9"/>
    <w:rsid w:val="00E82D15"/>
    <w:rsid w:val="00E82E4B"/>
    <w:rsid w:val="00E8371E"/>
    <w:rsid w:val="00E837DC"/>
    <w:rsid w:val="00E8395E"/>
    <w:rsid w:val="00E83969"/>
    <w:rsid w:val="00E83FC2"/>
    <w:rsid w:val="00E84F2F"/>
    <w:rsid w:val="00E85058"/>
    <w:rsid w:val="00E8563B"/>
    <w:rsid w:val="00E859BE"/>
    <w:rsid w:val="00E85D12"/>
    <w:rsid w:val="00E85DE5"/>
    <w:rsid w:val="00E861EF"/>
    <w:rsid w:val="00E871E0"/>
    <w:rsid w:val="00E87381"/>
    <w:rsid w:val="00E87AA1"/>
    <w:rsid w:val="00E87E4B"/>
    <w:rsid w:val="00E900F7"/>
    <w:rsid w:val="00E902E5"/>
    <w:rsid w:val="00E903A1"/>
    <w:rsid w:val="00E903A7"/>
    <w:rsid w:val="00E90526"/>
    <w:rsid w:val="00E9098C"/>
    <w:rsid w:val="00E90C05"/>
    <w:rsid w:val="00E91286"/>
    <w:rsid w:val="00E91354"/>
    <w:rsid w:val="00E9145E"/>
    <w:rsid w:val="00E915FF"/>
    <w:rsid w:val="00E91885"/>
    <w:rsid w:val="00E91F15"/>
    <w:rsid w:val="00E921EA"/>
    <w:rsid w:val="00E923C8"/>
    <w:rsid w:val="00E923EE"/>
    <w:rsid w:val="00E92421"/>
    <w:rsid w:val="00E92450"/>
    <w:rsid w:val="00E928F0"/>
    <w:rsid w:val="00E92E85"/>
    <w:rsid w:val="00E9314C"/>
    <w:rsid w:val="00E93587"/>
    <w:rsid w:val="00E938B9"/>
    <w:rsid w:val="00E93981"/>
    <w:rsid w:val="00E93DA5"/>
    <w:rsid w:val="00E94139"/>
    <w:rsid w:val="00E94540"/>
    <w:rsid w:val="00E94C2B"/>
    <w:rsid w:val="00E94E56"/>
    <w:rsid w:val="00E95557"/>
    <w:rsid w:val="00E95B4D"/>
    <w:rsid w:val="00E95CCE"/>
    <w:rsid w:val="00E95EB2"/>
    <w:rsid w:val="00E95F07"/>
    <w:rsid w:val="00E96186"/>
    <w:rsid w:val="00E9795B"/>
    <w:rsid w:val="00E97C83"/>
    <w:rsid w:val="00E97D36"/>
    <w:rsid w:val="00E97FC8"/>
    <w:rsid w:val="00EA012B"/>
    <w:rsid w:val="00EA01B0"/>
    <w:rsid w:val="00EA048D"/>
    <w:rsid w:val="00EA0A6B"/>
    <w:rsid w:val="00EA1296"/>
    <w:rsid w:val="00EA12DF"/>
    <w:rsid w:val="00EA161B"/>
    <w:rsid w:val="00EA1B05"/>
    <w:rsid w:val="00EA1B09"/>
    <w:rsid w:val="00EA205E"/>
    <w:rsid w:val="00EA2082"/>
    <w:rsid w:val="00EA2925"/>
    <w:rsid w:val="00EA2C26"/>
    <w:rsid w:val="00EA3722"/>
    <w:rsid w:val="00EA3BBB"/>
    <w:rsid w:val="00EA40B9"/>
    <w:rsid w:val="00EA4273"/>
    <w:rsid w:val="00EA4599"/>
    <w:rsid w:val="00EA4F03"/>
    <w:rsid w:val="00EA53EF"/>
    <w:rsid w:val="00EA5971"/>
    <w:rsid w:val="00EA5A3F"/>
    <w:rsid w:val="00EA5A53"/>
    <w:rsid w:val="00EA5F56"/>
    <w:rsid w:val="00EA6731"/>
    <w:rsid w:val="00EA6FED"/>
    <w:rsid w:val="00EA7347"/>
    <w:rsid w:val="00EA7561"/>
    <w:rsid w:val="00EA79ED"/>
    <w:rsid w:val="00EB0024"/>
    <w:rsid w:val="00EB0252"/>
    <w:rsid w:val="00EB054F"/>
    <w:rsid w:val="00EB05BD"/>
    <w:rsid w:val="00EB0E6E"/>
    <w:rsid w:val="00EB0FA5"/>
    <w:rsid w:val="00EB12D8"/>
    <w:rsid w:val="00EB12F8"/>
    <w:rsid w:val="00EB16F4"/>
    <w:rsid w:val="00EB1942"/>
    <w:rsid w:val="00EB1C1E"/>
    <w:rsid w:val="00EB1CA8"/>
    <w:rsid w:val="00EB214A"/>
    <w:rsid w:val="00EB21E0"/>
    <w:rsid w:val="00EB258B"/>
    <w:rsid w:val="00EB271F"/>
    <w:rsid w:val="00EB3504"/>
    <w:rsid w:val="00EB3515"/>
    <w:rsid w:val="00EB35F4"/>
    <w:rsid w:val="00EB382C"/>
    <w:rsid w:val="00EB3A90"/>
    <w:rsid w:val="00EB3B15"/>
    <w:rsid w:val="00EB3C75"/>
    <w:rsid w:val="00EB457A"/>
    <w:rsid w:val="00EB4893"/>
    <w:rsid w:val="00EB5287"/>
    <w:rsid w:val="00EB5298"/>
    <w:rsid w:val="00EB56AB"/>
    <w:rsid w:val="00EB5ADA"/>
    <w:rsid w:val="00EB6147"/>
    <w:rsid w:val="00EB76F3"/>
    <w:rsid w:val="00EB793D"/>
    <w:rsid w:val="00EC0116"/>
    <w:rsid w:val="00EC02CA"/>
    <w:rsid w:val="00EC0471"/>
    <w:rsid w:val="00EC047A"/>
    <w:rsid w:val="00EC076B"/>
    <w:rsid w:val="00EC0A86"/>
    <w:rsid w:val="00EC0C90"/>
    <w:rsid w:val="00EC1105"/>
    <w:rsid w:val="00EC1422"/>
    <w:rsid w:val="00EC1631"/>
    <w:rsid w:val="00EC1A17"/>
    <w:rsid w:val="00EC1B5E"/>
    <w:rsid w:val="00EC1B6D"/>
    <w:rsid w:val="00EC2170"/>
    <w:rsid w:val="00EC21F6"/>
    <w:rsid w:val="00EC2419"/>
    <w:rsid w:val="00EC25B3"/>
    <w:rsid w:val="00EC25F0"/>
    <w:rsid w:val="00EC26F1"/>
    <w:rsid w:val="00EC293E"/>
    <w:rsid w:val="00EC2CEA"/>
    <w:rsid w:val="00EC32B6"/>
    <w:rsid w:val="00EC3B07"/>
    <w:rsid w:val="00EC4379"/>
    <w:rsid w:val="00EC4673"/>
    <w:rsid w:val="00EC46E5"/>
    <w:rsid w:val="00EC47CD"/>
    <w:rsid w:val="00EC49BA"/>
    <w:rsid w:val="00EC4D2B"/>
    <w:rsid w:val="00EC4F33"/>
    <w:rsid w:val="00EC590D"/>
    <w:rsid w:val="00EC5B4A"/>
    <w:rsid w:val="00EC5FC5"/>
    <w:rsid w:val="00EC6274"/>
    <w:rsid w:val="00EC6B6B"/>
    <w:rsid w:val="00EC7482"/>
    <w:rsid w:val="00EC75BD"/>
    <w:rsid w:val="00EC7A39"/>
    <w:rsid w:val="00EC7B68"/>
    <w:rsid w:val="00EC7FE0"/>
    <w:rsid w:val="00ED03CD"/>
    <w:rsid w:val="00ED0884"/>
    <w:rsid w:val="00ED1D22"/>
    <w:rsid w:val="00ED217E"/>
    <w:rsid w:val="00ED2648"/>
    <w:rsid w:val="00ED2A6D"/>
    <w:rsid w:val="00ED3F0F"/>
    <w:rsid w:val="00ED4011"/>
    <w:rsid w:val="00ED40A3"/>
    <w:rsid w:val="00ED482A"/>
    <w:rsid w:val="00ED4AB1"/>
    <w:rsid w:val="00ED54BC"/>
    <w:rsid w:val="00ED56A5"/>
    <w:rsid w:val="00ED61AA"/>
    <w:rsid w:val="00ED636C"/>
    <w:rsid w:val="00ED65DF"/>
    <w:rsid w:val="00ED671D"/>
    <w:rsid w:val="00ED6B71"/>
    <w:rsid w:val="00ED6D32"/>
    <w:rsid w:val="00ED6F27"/>
    <w:rsid w:val="00ED7899"/>
    <w:rsid w:val="00EE0189"/>
    <w:rsid w:val="00EE062C"/>
    <w:rsid w:val="00EE069F"/>
    <w:rsid w:val="00EE110B"/>
    <w:rsid w:val="00EE1200"/>
    <w:rsid w:val="00EE135A"/>
    <w:rsid w:val="00EE1511"/>
    <w:rsid w:val="00EE155F"/>
    <w:rsid w:val="00EE15C7"/>
    <w:rsid w:val="00EE1FAF"/>
    <w:rsid w:val="00EE1FB5"/>
    <w:rsid w:val="00EE2358"/>
    <w:rsid w:val="00EE2EEA"/>
    <w:rsid w:val="00EE3249"/>
    <w:rsid w:val="00EE324C"/>
    <w:rsid w:val="00EE382F"/>
    <w:rsid w:val="00EE3A44"/>
    <w:rsid w:val="00EE3BB7"/>
    <w:rsid w:val="00EE3CCD"/>
    <w:rsid w:val="00EE3E17"/>
    <w:rsid w:val="00EE41BE"/>
    <w:rsid w:val="00EE460C"/>
    <w:rsid w:val="00EE480F"/>
    <w:rsid w:val="00EE5016"/>
    <w:rsid w:val="00EE5AF4"/>
    <w:rsid w:val="00EE5B5D"/>
    <w:rsid w:val="00EE656E"/>
    <w:rsid w:val="00EE668E"/>
    <w:rsid w:val="00EE6D58"/>
    <w:rsid w:val="00EE7463"/>
    <w:rsid w:val="00EE775F"/>
    <w:rsid w:val="00EF017B"/>
    <w:rsid w:val="00EF027A"/>
    <w:rsid w:val="00EF0A71"/>
    <w:rsid w:val="00EF0CF7"/>
    <w:rsid w:val="00EF13CF"/>
    <w:rsid w:val="00EF19E8"/>
    <w:rsid w:val="00EF1AE2"/>
    <w:rsid w:val="00EF1D6C"/>
    <w:rsid w:val="00EF25DB"/>
    <w:rsid w:val="00EF2814"/>
    <w:rsid w:val="00EF2AA1"/>
    <w:rsid w:val="00EF2BC0"/>
    <w:rsid w:val="00EF2DED"/>
    <w:rsid w:val="00EF35C0"/>
    <w:rsid w:val="00EF36DD"/>
    <w:rsid w:val="00EF385F"/>
    <w:rsid w:val="00EF3883"/>
    <w:rsid w:val="00EF3A4E"/>
    <w:rsid w:val="00EF3D9E"/>
    <w:rsid w:val="00EF4817"/>
    <w:rsid w:val="00EF4898"/>
    <w:rsid w:val="00EF4EAB"/>
    <w:rsid w:val="00EF4FC6"/>
    <w:rsid w:val="00EF5128"/>
    <w:rsid w:val="00EF5BAD"/>
    <w:rsid w:val="00EF699A"/>
    <w:rsid w:val="00EF70E2"/>
    <w:rsid w:val="00EF7149"/>
    <w:rsid w:val="00EF714F"/>
    <w:rsid w:val="00EF732D"/>
    <w:rsid w:val="00EF73B2"/>
    <w:rsid w:val="00EF761C"/>
    <w:rsid w:val="00EF79E6"/>
    <w:rsid w:val="00EF7AF4"/>
    <w:rsid w:val="00EF7BE2"/>
    <w:rsid w:val="00F00164"/>
    <w:rsid w:val="00F003A0"/>
    <w:rsid w:val="00F00798"/>
    <w:rsid w:val="00F00B55"/>
    <w:rsid w:val="00F00D98"/>
    <w:rsid w:val="00F0128F"/>
    <w:rsid w:val="00F012D0"/>
    <w:rsid w:val="00F014C0"/>
    <w:rsid w:val="00F01697"/>
    <w:rsid w:val="00F017AD"/>
    <w:rsid w:val="00F01820"/>
    <w:rsid w:val="00F020D9"/>
    <w:rsid w:val="00F02C91"/>
    <w:rsid w:val="00F02E1A"/>
    <w:rsid w:val="00F02F70"/>
    <w:rsid w:val="00F0315D"/>
    <w:rsid w:val="00F03192"/>
    <w:rsid w:val="00F03196"/>
    <w:rsid w:val="00F031D5"/>
    <w:rsid w:val="00F037F9"/>
    <w:rsid w:val="00F0391C"/>
    <w:rsid w:val="00F03A64"/>
    <w:rsid w:val="00F03B01"/>
    <w:rsid w:val="00F03FBA"/>
    <w:rsid w:val="00F044E1"/>
    <w:rsid w:val="00F0450A"/>
    <w:rsid w:val="00F04BBC"/>
    <w:rsid w:val="00F04DA4"/>
    <w:rsid w:val="00F04DBC"/>
    <w:rsid w:val="00F04EA6"/>
    <w:rsid w:val="00F050D6"/>
    <w:rsid w:val="00F0532E"/>
    <w:rsid w:val="00F058F1"/>
    <w:rsid w:val="00F05A18"/>
    <w:rsid w:val="00F05DD4"/>
    <w:rsid w:val="00F0603D"/>
    <w:rsid w:val="00F0612B"/>
    <w:rsid w:val="00F065D6"/>
    <w:rsid w:val="00F067E2"/>
    <w:rsid w:val="00F06AC4"/>
    <w:rsid w:val="00F074D6"/>
    <w:rsid w:val="00F07560"/>
    <w:rsid w:val="00F07916"/>
    <w:rsid w:val="00F07B2C"/>
    <w:rsid w:val="00F07CB4"/>
    <w:rsid w:val="00F07F52"/>
    <w:rsid w:val="00F10081"/>
    <w:rsid w:val="00F104DB"/>
    <w:rsid w:val="00F10A27"/>
    <w:rsid w:val="00F10C12"/>
    <w:rsid w:val="00F10EE0"/>
    <w:rsid w:val="00F11010"/>
    <w:rsid w:val="00F12359"/>
    <w:rsid w:val="00F12496"/>
    <w:rsid w:val="00F12736"/>
    <w:rsid w:val="00F130D5"/>
    <w:rsid w:val="00F13253"/>
    <w:rsid w:val="00F13273"/>
    <w:rsid w:val="00F13694"/>
    <w:rsid w:val="00F13B4C"/>
    <w:rsid w:val="00F13E34"/>
    <w:rsid w:val="00F1409D"/>
    <w:rsid w:val="00F145D8"/>
    <w:rsid w:val="00F148A0"/>
    <w:rsid w:val="00F148F7"/>
    <w:rsid w:val="00F1508D"/>
    <w:rsid w:val="00F15332"/>
    <w:rsid w:val="00F157DA"/>
    <w:rsid w:val="00F15878"/>
    <w:rsid w:val="00F15AFF"/>
    <w:rsid w:val="00F15D26"/>
    <w:rsid w:val="00F15E16"/>
    <w:rsid w:val="00F162F2"/>
    <w:rsid w:val="00F168C8"/>
    <w:rsid w:val="00F16E88"/>
    <w:rsid w:val="00F17886"/>
    <w:rsid w:val="00F17B84"/>
    <w:rsid w:val="00F2007D"/>
    <w:rsid w:val="00F203CB"/>
    <w:rsid w:val="00F20489"/>
    <w:rsid w:val="00F20E9A"/>
    <w:rsid w:val="00F212FD"/>
    <w:rsid w:val="00F2160C"/>
    <w:rsid w:val="00F21E19"/>
    <w:rsid w:val="00F221B3"/>
    <w:rsid w:val="00F223DC"/>
    <w:rsid w:val="00F2265B"/>
    <w:rsid w:val="00F22F57"/>
    <w:rsid w:val="00F23059"/>
    <w:rsid w:val="00F23BAA"/>
    <w:rsid w:val="00F23C29"/>
    <w:rsid w:val="00F24060"/>
    <w:rsid w:val="00F24102"/>
    <w:rsid w:val="00F24C6C"/>
    <w:rsid w:val="00F24FDD"/>
    <w:rsid w:val="00F2513C"/>
    <w:rsid w:val="00F2539E"/>
    <w:rsid w:val="00F255AF"/>
    <w:rsid w:val="00F25A65"/>
    <w:rsid w:val="00F25C1E"/>
    <w:rsid w:val="00F26523"/>
    <w:rsid w:val="00F2652A"/>
    <w:rsid w:val="00F26582"/>
    <w:rsid w:val="00F276B5"/>
    <w:rsid w:val="00F276B7"/>
    <w:rsid w:val="00F27A3F"/>
    <w:rsid w:val="00F27BDC"/>
    <w:rsid w:val="00F301F4"/>
    <w:rsid w:val="00F30B5C"/>
    <w:rsid w:val="00F31309"/>
    <w:rsid w:val="00F31356"/>
    <w:rsid w:val="00F31DD2"/>
    <w:rsid w:val="00F31E27"/>
    <w:rsid w:val="00F31FFC"/>
    <w:rsid w:val="00F32190"/>
    <w:rsid w:val="00F3234D"/>
    <w:rsid w:val="00F3255B"/>
    <w:rsid w:val="00F32582"/>
    <w:rsid w:val="00F325C1"/>
    <w:rsid w:val="00F32897"/>
    <w:rsid w:val="00F32D89"/>
    <w:rsid w:val="00F32DDE"/>
    <w:rsid w:val="00F32E19"/>
    <w:rsid w:val="00F33187"/>
    <w:rsid w:val="00F332A1"/>
    <w:rsid w:val="00F33619"/>
    <w:rsid w:val="00F3373E"/>
    <w:rsid w:val="00F33AFE"/>
    <w:rsid w:val="00F33B67"/>
    <w:rsid w:val="00F33DE1"/>
    <w:rsid w:val="00F33ECB"/>
    <w:rsid w:val="00F3407C"/>
    <w:rsid w:val="00F345B6"/>
    <w:rsid w:val="00F34685"/>
    <w:rsid w:val="00F3471C"/>
    <w:rsid w:val="00F34BD9"/>
    <w:rsid w:val="00F34C17"/>
    <w:rsid w:val="00F34C7E"/>
    <w:rsid w:val="00F34CD4"/>
    <w:rsid w:val="00F34E3B"/>
    <w:rsid w:val="00F34F90"/>
    <w:rsid w:val="00F35C9E"/>
    <w:rsid w:val="00F35FF8"/>
    <w:rsid w:val="00F362AD"/>
    <w:rsid w:val="00F362C5"/>
    <w:rsid w:val="00F368FA"/>
    <w:rsid w:val="00F36B60"/>
    <w:rsid w:val="00F36CE3"/>
    <w:rsid w:val="00F36DDC"/>
    <w:rsid w:val="00F4022A"/>
    <w:rsid w:val="00F402AA"/>
    <w:rsid w:val="00F40644"/>
    <w:rsid w:val="00F408EB"/>
    <w:rsid w:val="00F40CDF"/>
    <w:rsid w:val="00F4100B"/>
    <w:rsid w:val="00F410E0"/>
    <w:rsid w:val="00F41296"/>
    <w:rsid w:val="00F419B1"/>
    <w:rsid w:val="00F41A65"/>
    <w:rsid w:val="00F423EC"/>
    <w:rsid w:val="00F42518"/>
    <w:rsid w:val="00F43188"/>
    <w:rsid w:val="00F432C5"/>
    <w:rsid w:val="00F43437"/>
    <w:rsid w:val="00F439E8"/>
    <w:rsid w:val="00F442EC"/>
    <w:rsid w:val="00F444B0"/>
    <w:rsid w:val="00F44A4F"/>
    <w:rsid w:val="00F45235"/>
    <w:rsid w:val="00F45278"/>
    <w:rsid w:val="00F45671"/>
    <w:rsid w:val="00F45848"/>
    <w:rsid w:val="00F45920"/>
    <w:rsid w:val="00F45E2D"/>
    <w:rsid w:val="00F460A0"/>
    <w:rsid w:val="00F4633E"/>
    <w:rsid w:val="00F471D7"/>
    <w:rsid w:val="00F47A57"/>
    <w:rsid w:val="00F47AC6"/>
    <w:rsid w:val="00F47F05"/>
    <w:rsid w:val="00F50530"/>
    <w:rsid w:val="00F506DB"/>
    <w:rsid w:val="00F50A3D"/>
    <w:rsid w:val="00F50FFC"/>
    <w:rsid w:val="00F51EC1"/>
    <w:rsid w:val="00F52236"/>
    <w:rsid w:val="00F522B6"/>
    <w:rsid w:val="00F5246E"/>
    <w:rsid w:val="00F52478"/>
    <w:rsid w:val="00F52484"/>
    <w:rsid w:val="00F52664"/>
    <w:rsid w:val="00F5275B"/>
    <w:rsid w:val="00F531B7"/>
    <w:rsid w:val="00F5371B"/>
    <w:rsid w:val="00F540BA"/>
    <w:rsid w:val="00F542A4"/>
    <w:rsid w:val="00F547CB"/>
    <w:rsid w:val="00F54AFF"/>
    <w:rsid w:val="00F54D7E"/>
    <w:rsid w:val="00F54FE1"/>
    <w:rsid w:val="00F55180"/>
    <w:rsid w:val="00F55884"/>
    <w:rsid w:val="00F55973"/>
    <w:rsid w:val="00F55B46"/>
    <w:rsid w:val="00F56050"/>
    <w:rsid w:val="00F56468"/>
    <w:rsid w:val="00F56F40"/>
    <w:rsid w:val="00F5700E"/>
    <w:rsid w:val="00F5732F"/>
    <w:rsid w:val="00F5767C"/>
    <w:rsid w:val="00F579AC"/>
    <w:rsid w:val="00F57AB1"/>
    <w:rsid w:val="00F57C0A"/>
    <w:rsid w:val="00F57CAA"/>
    <w:rsid w:val="00F57F51"/>
    <w:rsid w:val="00F6009A"/>
    <w:rsid w:val="00F609CB"/>
    <w:rsid w:val="00F60DE1"/>
    <w:rsid w:val="00F61CED"/>
    <w:rsid w:val="00F6238E"/>
    <w:rsid w:val="00F62950"/>
    <w:rsid w:val="00F62E96"/>
    <w:rsid w:val="00F62F1F"/>
    <w:rsid w:val="00F630C2"/>
    <w:rsid w:val="00F6321F"/>
    <w:rsid w:val="00F63547"/>
    <w:rsid w:val="00F63755"/>
    <w:rsid w:val="00F63801"/>
    <w:rsid w:val="00F63BC1"/>
    <w:rsid w:val="00F64685"/>
    <w:rsid w:val="00F64ABD"/>
    <w:rsid w:val="00F64BF5"/>
    <w:rsid w:val="00F659BF"/>
    <w:rsid w:val="00F65C5C"/>
    <w:rsid w:val="00F65DA3"/>
    <w:rsid w:val="00F65E39"/>
    <w:rsid w:val="00F66458"/>
    <w:rsid w:val="00F66820"/>
    <w:rsid w:val="00F671BD"/>
    <w:rsid w:val="00F67267"/>
    <w:rsid w:val="00F67933"/>
    <w:rsid w:val="00F67B55"/>
    <w:rsid w:val="00F67CC6"/>
    <w:rsid w:val="00F7054B"/>
    <w:rsid w:val="00F709E1"/>
    <w:rsid w:val="00F70A05"/>
    <w:rsid w:val="00F70E0D"/>
    <w:rsid w:val="00F70F4C"/>
    <w:rsid w:val="00F71AFC"/>
    <w:rsid w:val="00F71BA9"/>
    <w:rsid w:val="00F71DB9"/>
    <w:rsid w:val="00F71EC4"/>
    <w:rsid w:val="00F71EED"/>
    <w:rsid w:val="00F71F01"/>
    <w:rsid w:val="00F723A2"/>
    <w:rsid w:val="00F72515"/>
    <w:rsid w:val="00F725F8"/>
    <w:rsid w:val="00F72890"/>
    <w:rsid w:val="00F72E58"/>
    <w:rsid w:val="00F72E77"/>
    <w:rsid w:val="00F73085"/>
    <w:rsid w:val="00F731BD"/>
    <w:rsid w:val="00F73A56"/>
    <w:rsid w:val="00F73AC2"/>
    <w:rsid w:val="00F73AF6"/>
    <w:rsid w:val="00F73FB2"/>
    <w:rsid w:val="00F746DA"/>
    <w:rsid w:val="00F74C8A"/>
    <w:rsid w:val="00F750C3"/>
    <w:rsid w:val="00F7553E"/>
    <w:rsid w:val="00F755A3"/>
    <w:rsid w:val="00F755E3"/>
    <w:rsid w:val="00F7591D"/>
    <w:rsid w:val="00F759B2"/>
    <w:rsid w:val="00F75BC6"/>
    <w:rsid w:val="00F7652C"/>
    <w:rsid w:val="00F7661C"/>
    <w:rsid w:val="00F76791"/>
    <w:rsid w:val="00F769DF"/>
    <w:rsid w:val="00F76B4E"/>
    <w:rsid w:val="00F76C9B"/>
    <w:rsid w:val="00F76E52"/>
    <w:rsid w:val="00F771D2"/>
    <w:rsid w:val="00F7731F"/>
    <w:rsid w:val="00F773AB"/>
    <w:rsid w:val="00F77A04"/>
    <w:rsid w:val="00F77D3C"/>
    <w:rsid w:val="00F77D64"/>
    <w:rsid w:val="00F77EE2"/>
    <w:rsid w:val="00F8005B"/>
    <w:rsid w:val="00F80288"/>
    <w:rsid w:val="00F80497"/>
    <w:rsid w:val="00F808E0"/>
    <w:rsid w:val="00F81521"/>
    <w:rsid w:val="00F81535"/>
    <w:rsid w:val="00F81766"/>
    <w:rsid w:val="00F817BA"/>
    <w:rsid w:val="00F817F5"/>
    <w:rsid w:val="00F81C84"/>
    <w:rsid w:val="00F81D26"/>
    <w:rsid w:val="00F81D5E"/>
    <w:rsid w:val="00F82628"/>
    <w:rsid w:val="00F8272F"/>
    <w:rsid w:val="00F827AE"/>
    <w:rsid w:val="00F8288B"/>
    <w:rsid w:val="00F82D5C"/>
    <w:rsid w:val="00F82FBE"/>
    <w:rsid w:val="00F83287"/>
    <w:rsid w:val="00F835F1"/>
    <w:rsid w:val="00F84186"/>
    <w:rsid w:val="00F841DE"/>
    <w:rsid w:val="00F84223"/>
    <w:rsid w:val="00F84350"/>
    <w:rsid w:val="00F84D08"/>
    <w:rsid w:val="00F85319"/>
    <w:rsid w:val="00F85902"/>
    <w:rsid w:val="00F85A55"/>
    <w:rsid w:val="00F85DC2"/>
    <w:rsid w:val="00F864B9"/>
    <w:rsid w:val="00F87105"/>
    <w:rsid w:val="00F87283"/>
    <w:rsid w:val="00F87854"/>
    <w:rsid w:val="00F879F9"/>
    <w:rsid w:val="00F87E92"/>
    <w:rsid w:val="00F87FF4"/>
    <w:rsid w:val="00F9047F"/>
    <w:rsid w:val="00F90523"/>
    <w:rsid w:val="00F9100C"/>
    <w:rsid w:val="00F91231"/>
    <w:rsid w:val="00F913B0"/>
    <w:rsid w:val="00F91B31"/>
    <w:rsid w:val="00F91CB1"/>
    <w:rsid w:val="00F91F50"/>
    <w:rsid w:val="00F9202F"/>
    <w:rsid w:val="00F92336"/>
    <w:rsid w:val="00F924AB"/>
    <w:rsid w:val="00F9269F"/>
    <w:rsid w:val="00F928A9"/>
    <w:rsid w:val="00F9341D"/>
    <w:rsid w:val="00F9394B"/>
    <w:rsid w:val="00F93FBE"/>
    <w:rsid w:val="00F941E0"/>
    <w:rsid w:val="00F94545"/>
    <w:rsid w:val="00F94930"/>
    <w:rsid w:val="00F94CB0"/>
    <w:rsid w:val="00F95248"/>
    <w:rsid w:val="00F952AE"/>
    <w:rsid w:val="00F954DC"/>
    <w:rsid w:val="00F957EB"/>
    <w:rsid w:val="00F95996"/>
    <w:rsid w:val="00F95A07"/>
    <w:rsid w:val="00F95A0C"/>
    <w:rsid w:val="00F968B4"/>
    <w:rsid w:val="00F974FB"/>
    <w:rsid w:val="00F97C2C"/>
    <w:rsid w:val="00F97F4E"/>
    <w:rsid w:val="00FA080E"/>
    <w:rsid w:val="00FA0880"/>
    <w:rsid w:val="00FA096F"/>
    <w:rsid w:val="00FA0B39"/>
    <w:rsid w:val="00FA0FF8"/>
    <w:rsid w:val="00FA1439"/>
    <w:rsid w:val="00FA17F1"/>
    <w:rsid w:val="00FA19F8"/>
    <w:rsid w:val="00FA1A9C"/>
    <w:rsid w:val="00FA1B67"/>
    <w:rsid w:val="00FA2A12"/>
    <w:rsid w:val="00FA2C9A"/>
    <w:rsid w:val="00FA2D73"/>
    <w:rsid w:val="00FA42C0"/>
    <w:rsid w:val="00FA455B"/>
    <w:rsid w:val="00FA45A0"/>
    <w:rsid w:val="00FA49D6"/>
    <w:rsid w:val="00FA4EF8"/>
    <w:rsid w:val="00FA4FD4"/>
    <w:rsid w:val="00FA4FF9"/>
    <w:rsid w:val="00FA5564"/>
    <w:rsid w:val="00FA57E3"/>
    <w:rsid w:val="00FA5A69"/>
    <w:rsid w:val="00FA5C26"/>
    <w:rsid w:val="00FA5CE4"/>
    <w:rsid w:val="00FA617B"/>
    <w:rsid w:val="00FA67DB"/>
    <w:rsid w:val="00FA7528"/>
    <w:rsid w:val="00FA7566"/>
    <w:rsid w:val="00FA77D3"/>
    <w:rsid w:val="00FA7D5B"/>
    <w:rsid w:val="00FB0326"/>
    <w:rsid w:val="00FB0659"/>
    <w:rsid w:val="00FB075F"/>
    <w:rsid w:val="00FB08C1"/>
    <w:rsid w:val="00FB0D41"/>
    <w:rsid w:val="00FB0DD4"/>
    <w:rsid w:val="00FB131C"/>
    <w:rsid w:val="00FB2429"/>
    <w:rsid w:val="00FB286A"/>
    <w:rsid w:val="00FB2EE3"/>
    <w:rsid w:val="00FB2FD4"/>
    <w:rsid w:val="00FB3508"/>
    <w:rsid w:val="00FB3988"/>
    <w:rsid w:val="00FB593A"/>
    <w:rsid w:val="00FB5F1A"/>
    <w:rsid w:val="00FB5F34"/>
    <w:rsid w:val="00FB60DE"/>
    <w:rsid w:val="00FB64B2"/>
    <w:rsid w:val="00FB7710"/>
    <w:rsid w:val="00FB7837"/>
    <w:rsid w:val="00FC018E"/>
    <w:rsid w:val="00FC0AB5"/>
    <w:rsid w:val="00FC0B07"/>
    <w:rsid w:val="00FC0D05"/>
    <w:rsid w:val="00FC15C5"/>
    <w:rsid w:val="00FC1B31"/>
    <w:rsid w:val="00FC1BDE"/>
    <w:rsid w:val="00FC1F32"/>
    <w:rsid w:val="00FC23FF"/>
    <w:rsid w:val="00FC2A19"/>
    <w:rsid w:val="00FC2AAD"/>
    <w:rsid w:val="00FC32B6"/>
    <w:rsid w:val="00FC36BA"/>
    <w:rsid w:val="00FC3777"/>
    <w:rsid w:val="00FC3B0B"/>
    <w:rsid w:val="00FC3CF1"/>
    <w:rsid w:val="00FC3E29"/>
    <w:rsid w:val="00FC3E96"/>
    <w:rsid w:val="00FC43EB"/>
    <w:rsid w:val="00FC47E1"/>
    <w:rsid w:val="00FC4B6C"/>
    <w:rsid w:val="00FC5025"/>
    <w:rsid w:val="00FC5349"/>
    <w:rsid w:val="00FC53A0"/>
    <w:rsid w:val="00FC5899"/>
    <w:rsid w:val="00FC5FF3"/>
    <w:rsid w:val="00FC6398"/>
    <w:rsid w:val="00FC6582"/>
    <w:rsid w:val="00FC66F1"/>
    <w:rsid w:val="00FC71FC"/>
    <w:rsid w:val="00FC791C"/>
    <w:rsid w:val="00FC7D6C"/>
    <w:rsid w:val="00FD0010"/>
    <w:rsid w:val="00FD0B13"/>
    <w:rsid w:val="00FD13F0"/>
    <w:rsid w:val="00FD144A"/>
    <w:rsid w:val="00FD1654"/>
    <w:rsid w:val="00FD1702"/>
    <w:rsid w:val="00FD19CE"/>
    <w:rsid w:val="00FD1B3C"/>
    <w:rsid w:val="00FD1E31"/>
    <w:rsid w:val="00FD20C1"/>
    <w:rsid w:val="00FD21E0"/>
    <w:rsid w:val="00FD2497"/>
    <w:rsid w:val="00FD273C"/>
    <w:rsid w:val="00FD2861"/>
    <w:rsid w:val="00FD2ABC"/>
    <w:rsid w:val="00FD2EEE"/>
    <w:rsid w:val="00FD31BD"/>
    <w:rsid w:val="00FD3610"/>
    <w:rsid w:val="00FD3920"/>
    <w:rsid w:val="00FD3DFE"/>
    <w:rsid w:val="00FD3F02"/>
    <w:rsid w:val="00FD4021"/>
    <w:rsid w:val="00FD414F"/>
    <w:rsid w:val="00FD417C"/>
    <w:rsid w:val="00FD41DC"/>
    <w:rsid w:val="00FD453D"/>
    <w:rsid w:val="00FD48AB"/>
    <w:rsid w:val="00FD55E7"/>
    <w:rsid w:val="00FD59E8"/>
    <w:rsid w:val="00FD5AFF"/>
    <w:rsid w:val="00FD6775"/>
    <w:rsid w:val="00FD7124"/>
    <w:rsid w:val="00FD79AE"/>
    <w:rsid w:val="00FD7DC6"/>
    <w:rsid w:val="00FD7FF6"/>
    <w:rsid w:val="00FE0207"/>
    <w:rsid w:val="00FE0418"/>
    <w:rsid w:val="00FE0AA0"/>
    <w:rsid w:val="00FE0D2B"/>
    <w:rsid w:val="00FE0D9C"/>
    <w:rsid w:val="00FE0DFA"/>
    <w:rsid w:val="00FE0F53"/>
    <w:rsid w:val="00FE1102"/>
    <w:rsid w:val="00FE1377"/>
    <w:rsid w:val="00FE13DF"/>
    <w:rsid w:val="00FE1736"/>
    <w:rsid w:val="00FE18FD"/>
    <w:rsid w:val="00FE1F71"/>
    <w:rsid w:val="00FE2578"/>
    <w:rsid w:val="00FE26D6"/>
    <w:rsid w:val="00FE2D10"/>
    <w:rsid w:val="00FE2D46"/>
    <w:rsid w:val="00FE3079"/>
    <w:rsid w:val="00FE33E0"/>
    <w:rsid w:val="00FE36A9"/>
    <w:rsid w:val="00FE3A17"/>
    <w:rsid w:val="00FE3BF0"/>
    <w:rsid w:val="00FE449A"/>
    <w:rsid w:val="00FE4D58"/>
    <w:rsid w:val="00FE4E3E"/>
    <w:rsid w:val="00FE5ABD"/>
    <w:rsid w:val="00FE5D0C"/>
    <w:rsid w:val="00FE5F76"/>
    <w:rsid w:val="00FE6A87"/>
    <w:rsid w:val="00FE6E41"/>
    <w:rsid w:val="00FE6F77"/>
    <w:rsid w:val="00FE708C"/>
    <w:rsid w:val="00FE7371"/>
    <w:rsid w:val="00FE789B"/>
    <w:rsid w:val="00FE7D98"/>
    <w:rsid w:val="00FF0077"/>
    <w:rsid w:val="00FF0212"/>
    <w:rsid w:val="00FF02CE"/>
    <w:rsid w:val="00FF05C0"/>
    <w:rsid w:val="00FF07B4"/>
    <w:rsid w:val="00FF0D46"/>
    <w:rsid w:val="00FF0F4F"/>
    <w:rsid w:val="00FF16B0"/>
    <w:rsid w:val="00FF16D9"/>
    <w:rsid w:val="00FF17E7"/>
    <w:rsid w:val="00FF18D7"/>
    <w:rsid w:val="00FF1EB2"/>
    <w:rsid w:val="00FF1EB6"/>
    <w:rsid w:val="00FF1F3B"/>
    <w:rsid w:val="00FF20F4"/>
    <w:rsid w:val="00FF24E4"/>
    <w:rsid w:val="00FF26CE"/>
    <w:rsid w:val="00FF2780"/>
    <w:rsid w:val="00FF28CC"/>
    <w:rsid w:val="00FF2D96"/>
    <w:rsid w:val="00FF3009"/>
    <w:rsid w:val="00FF3905"/>
    <w:rsid w:val="00FF3D5A"/>
    <w:rsid w:val="00FF447B"/>
    <w:rsid w:val="00FF4668"/>
    <w:rsid w:val="00FF471C"/>
    <w:rsid w:val="00FF481D"/>
    <w:rsid w:val="00FF4A81"/>
    <w:rsid w:val="00FF4C2D"/>
    <w:rsid w:val="00FF4CA8"/>
    <w:rsid w:val="00FF51E9"/>
    <w:rsid w:val="00FF5263"/>
    <w:rsid w:val="00FF557B"/>
    <w:rsid w:val="00FF571A"/>
    <w:rsid w:val="00FF5A87"/>
    <w:rsid w:val="00FF5AA9"/>
    <w:rsid w:val="00FF6719"/>
    <w:rsid w:val="00FF7024"/>
    <w:rsid w:val="00FF70BC"/>
    <w:rsid w:val="00FF76FA"/>
    <w:rsid w:val="00FF7C20"/>
    <w:rsid w:val="00FF7CF4"/>
    <w:rsid w:val="00FF7F78"/>
    <w:rsid w:val="0BFD9621"/>
    <w:rsid w:val="12C3F283"/>
    <w:rsid w:val="5F53318A"/>
    <w:rsid w:val="6C551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C13AD"/>
  <w15:chartTrackingRefBased/>
  <w15:docId w15:val="{A253A467-BCA9-425C-90D5-9A9D891C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538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03B3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03B3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03B3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E72"/>
    <w:pPr>
      <w:tabs>
        <w:tab w:val="center" w:pos="4680"/>
        <w:tab w:val="right" w:pos="9360"/>
      </w:tabs>
    </w:pPr>
  </w:style>
  <w:style w:type="character" w:customStyle="1" w:styleId="HeaderChar">
    <w:name w:val="Header Char"/>
    <w:basedOn w:val="DefaultParagraphFont"/>
    <w:link w:val="Header"/>
    <w:uiPriority w:val="99"/>
    <w:rsid w:val="009A6E72"/>
  </w:style>
  <w:style w:type="paragraph" w:styleId="Footer">
    <w:name w:val="footer"/>
    <w:basedOn w:val="Normal"/>
    <w:link w:val="FooterChar"/>
    <w:uiPriority w:val="99"/>
    <w:unhideWhenUsed/>
    <w:rsid w:val="009A6E72"/>
    <w:pPr>
      <w:tabs>
        <w:tab w:val="center" w:pos="4680"/>
        <w:tab w:val="right" w:pos="9360"/>
      </w:tabs>
    </w:pPr>
  </w:style>
  <w:style w:type="character" w:customStyle="1" w:styleId="FooterChar">
    <w:name w:val="Footer Char"/>
    <w:basedOn w:val="DefaultParagraphFont"/>
    <w:link w:val="Footer"/>
    <w:uiPriority w:val="99"/>
    <w:rsid w:val="009A6E72"/>
  </w:style>
  <w:style w:type="paragraph" w:styleId="ListParagraph">
    <w:name w:val="List Paragraph"/>
    <w:basedOn w:val="Normal"/>
    <w:uiPriority w:val="34"/>
    <w:qFormat/>
    <w:rsid w:val="004D4F2B"/>
    <w:pPr>
      <w:ind w:left="720"/>
      <w:contextualSpacing/>
    </w:pPr>
  </w:style>
  <w:style w:type="paragraph" w:customStyle="1" w:styleId="Style1">
    <w:name w:val="Style1"/>
    <w:next w:val="NoSpacing"/>
    <w:link w:val="Style1Char"/>
    <w:autoRedefine/>
    <w:qFormat/>
    <w:rsid w:val="000E0867"/>
    <w:pPr>
      <w:pBdr>
        <w:bottom w:val="single" w:sz="4" w:space="1" w:color="D9D9D9" w:themeColor="background1" w:themeShade="D9"/>
      </w:pBdr>
      <w:jc w:val="right"/>
    </w:pPr>
    <w:rPr>
      <w:rFonts w:ascii="Bookman Old Style" w:hAnsi="Bookman Old Style"/>
      <w:spacing w:val="60"/>
      <w:szCs w:val="24"/>
    </w:rPr>
  </w:style>
  <w:style w:type="character" w:customStyle="1" w:styleId="Style1Char">
    <w:name w:val="Style1 Char"/>
    <w:basedOn w:val="HeaderChar"/>
    <w:link w:val="Style1"/>
    <w:rsid w:val="000E0867"/>
    <w:rPr>
      <w:rFonts w:ascii="Bookman Old Style" w:hAnsi="Bookman Old Style"/>
      <w:spacing w:val="60"/>
      <w:szCs w:val="24"/>
    </w:rPr>
  </w:style>
  <w:style w:type="paragraph" w:styleId="NoSpacing">
    <w:name w:val="No Spacing"/>
    <w:uiPriority w:val="1"/>
    <w:qFormat/>
    <w:rsid w:val="008B2612"/>
  </w:style>
  <w:style w:type="paragraph" w:styleId="FootnoteText">
    <w:name w:val="footnote text"/>
    <w:basedOn w:val="Normal"/>
    <w:link w:val="FootnoteTextChar"/>
    <w:uiPriority w:val="99"/>
    <w:semiHidden/>
    <w:unhideWhenUsed/>
    <w:rsid w:val="008D03A1"/>
    <w:rPr>
      <w:sz w:val="20"/>
      <w:szCs w:val="20"/>
    </w:rPr>
  </w:style>
  <w:style w:type="character" w:customStyle="1" w:styleId="FootnoteTextChar">
    <w:name w:val="Footnote Text Char"/>
    <w:basedOn w:val="DefaultParagraphFont"/>
    <w:link w:val="FootnoteText"/>
    <w:uiPriority w:val="99"/>
    <w:semiHidden/>
    <w:rsid w:val="008D03A1"/>
    <w:rPr>
      <w:sz w:val="20"/>
      <w:szCs w:val="20"/>
    </w:rPr>
  </w:style>
  <w:style w:type="character" w:styleId="FootnoteReference">
    <w:name w:val="footnote reference"/>
    <w:basedOn w:val="DefaultParagraphFont"/>
    <w:uiPriority w:val="99"/>
    <w:semiHidden/>
    <w:unhideWhenUsed/>
    <w:rsid w:val="008D03A1"/>
    <w:rPr>
      <w:vertAlign w:val="superscript"/>
    </w:rPr>
  </w:style>
  <w:style w:type="character" w:styleId="EndnoteReference">
    <w:name w:val="endnote reference"/>
    <w:basedOn w:val="DefaultParagraphFont"/>
    <w:uiPriority w:val="99"/>
    <w:semiHidden/>
    <w:unhideWhenUsed/>
    <w:rsid w:val="00BE5F59"/>
    <w:rPr>
      <w:vertAlign w:val="superscript"/>
    </w:rPr>
  </w:style>
  <w:style w:type="character" w:styleId="Hyperlink">
    <w:name w:val="Hyperlink"/>
    <w:basedOn w:val="DefaultParagraphFont"/>
    <w:uiPriority w:val="99"/>
    <w:unhideWhenUsed/>
    <w:rsid w:val="00D76E94"/>
    <w:rPr>
      <w:color w:val="0563C1" w:themeColor="hyperlink"/>
      <w:u w:val="single"/>
    </w:rPr>
  </w:style>
  <w:style w:type="character" w:customStyle="1" w:styleId="UnresolvedMention1">
    <w:name w:val="Unresolved Mention1"/>
    <w:basedOn w:val="DefaultParagraphFont"/>
    <w:uiPriority w:val="99"/>
    <w:semiHidden/>
    <w:unhideWhenUsed/>
    <w:rsid w:val="002141CF"/>
    <w:rPr>
      <w:color w:val="605E5C"/>
      <w:shd w:val="clear" w:color="auto" w:fill="E1DFDD"/>
    </w:rPr>
  </w:style>
  <w:style w:type="paragraph" w:styleId="BalloonText">
    <w:name w:val="Balloon Text"/>
    <w:basedOn w:val="Normal"/>
    <w:link w:val="BalloonTextChar"/>
    <w:uiPriority w:val="99"/>
    <w:semiHidden/>
    <w:unhideWhenUsed/>
    <w:rsid w:val="00662B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B56"/>
    <w:rPr>
      <w:rFonts w:ascii="Segoe UI" w:hAnsi="Segoe UI" w:cs="Segoe UI"/>
      <w:sz w:val="18"/>
      <w:szCs w:val="18"/>
    </w:rPr>
  </w:style>
  <w:style w:type="paragraph" w:customStyle="1" w:styleId="THESISLVL1">
    <w:name w:val="THESIS LVL1"/>
    <w:basedOn w:val="TOC1"/>
    <w:link w:val="THESISLVL1Char"/>
    <w:qFormat/>
    <w:rsid w:val="00B93546"/>
    <w:pPr>
      <w:spacing w:line="480" w:lineRule="auto"/>
      <w:jc w:val="center"/>
    </w:pPr>
    <w:rPr>
      <w:b/>
      <w:bCs/>
      <w:noProof/>
      <w:szCs w:val="24"/>
    </w:rPr>
  </w:style>
  <w:style w:type="paragraph" w:customStyle="1" w:styleId="THESISLVL2">
    <w:name w:val="THESIS LVL2"/>
    <w:basedOn w:val="Normal"/>
    <w:link w:val="THESISLVL2Char"/>
    <w:qFormat/>
    <w:rsid w:val="00B93546"/>
    <w:pPr>
      <w:spacing w:line="480" w:lineRule="auto"/>
      <w:jc w:val="center"/>
    </w:pPr>
    <w:rPr>
      <w:rFonts w:ascii="Bookman Old Style" w:hAnsi="Bookman Old Style"/>
      <w:bCs/>
      <w:sz w:val="24"/>
      <w:szCs w:val="24"/>
    </w:rPr>
  </w:style>
  <w:style w:type="character" w:customStyle="1" w:styleId="THESISLVL1Char">
    <w:name w:val="THESIS LVL1 Char"/>
    <w:basedOn w:val="DefaultParagraphFont"/>
    <w:link w:val="THESISLVL1"/>
    <w:rsid w:val="003111C7"/>
    <w:rPr>
      <w:rFonts w:ascii="Bookman Old Style" w:eastAsiaTheme="minorEastAsia" w:hAnsi="Bookman Old Style" w:cs="Times New Roman"/>
      <w:b/>
      <w:bCs/>
      <w:noProof/>
      <w:sz w:val="24"/>
      <w:szCs w:val="24"/>
    </w:rPr>
  </w:style>
  <w:style w:type="paragraph" w:customStyle="1" w:styleId="THESISLVL3">
    <w:name w:val="THESIS LVL3"/>
    <w:basedOn w:val="Normal"/>
    <w:link w:val="THESISLVL3Char"/>
    <w:qFormat/>
    <w:rsid w:val="00B93546"/>
    <w:pPr>
      <w:spacing w:line="480" w:lineRule="auto"/>
    </w:pPr>
    <w:rPr>
      <w:rFonts w:ascii="Bookman Old Style" w:hAnsi="Bookman Old Style"/>
      <w:b/>
      <w:sz w:val="24"/>
      <w:szCs w:val="24"/>
    </w:rPr>
  </w:style>
  <w:style w:type="character" w:customStyle="1" w:styleId="THESISLVL2Char">
    <w:name w:val="THESIS LVL2 Char"/>
    <w:basedOn w:val="DefaultParagraphFont"/>
    <w:link w:val="THESISLVL2"/>
    <w:rsid w:val="00B93546"/>
    <w:rPr>
      <w:rFonts w:ascii="Bookman Old Style" w:hAnsi="Bookman Old Style"/>
      <w:bCs/>
      <w:sz w:val="24"/>
      <w:szCs w:val="24"/>
    </w:rPr>
  </w:style>
  <w:style w:type="paragraph" w:customStyle="1" w:styleId="THESISLVL4">
    <w:name w:val="THESIS LVL4"/>
    <w:basedOn w:val="Normal"/>
    <w:link w:val="THESISLVL4Char"/>
    <w:qFormat/>
    <w:rsid w:val="00B93546"/>
    <w:pPr>
      <w:spacing w:line="480" w:lineRule="auto"/>
      <w:ind w:firstLine="720"/>
    </w:pPr>
    <w:rPr>
      <w:rFonts w:ascii="Bookman Old Style" w:hAnsi="Bookman Old Style"/>
      <w:sz w:val="24"/>
      <w:szCs w:val="24"/>
      <w:u w:val="single"/>
    </w:rPr>
  </w:style>
  <w:style w:type="character" w:customStyle="1" w:styleId="THESISLVL3Char">
    <w:name w:val="THESIS LVL3 Char"/>
    <w:basedOn w:val="DefaultParagraphFont"/>
    <w:link w:val="THESISLVL3"/>
    <w:rsid w:val="00B93546"/>
    <w:rPr>
      <w:rFonts w:ascii="Bookman Old Style" w:hAnsi="Bookman Old Style"/>
      <w:b/>
      <w:sz w:val="24"/>
      <w:szCs w:val="24"/>
    </w:rPr>
  </w:style>
  <w:style w:type="character" w:customStyle="1" w:styleId="Heading1Char">
    <w:name w:val="Heading 1 Char"/>
    <w:basedOn w:val="DefaultParagraphFont"/>
    <w:link w:val="Heading1"/>
    <w:uiPriority w:val="9"/>
    <w:rsid w:val="00BA5389"/>
    <w:rPr>
      <w:rFonts w:asciiTheme="majorHAnsi" w:eastAsiaTheme="majorEastAsia" w:hAnsiTheme="majorHAnsi" w:cstheme="majorBidi"/>
      <w:color w:val="2F5496" w:themeColor="accent1" w:themeShade="BF"/>
      <w:sz w:val="32"/>
      <w:szCs w:val="32"/>
    </w:rPr>
  </w:style>
  <w:style w:type="character" w:customStyle="1" w:styleId="THESISLVL4Char">
    <w:name w:val="THESIS LVL4 Char"/>
    <w:basedOn w:val="DefaultParagraphFont"/>
    <w:link w:val="THESISLVL4"/>
    <w:rsid w:val="00B93546"/>
    <w:rPr>
      <w:rFonts w:ascii="Bookman Old Style" w:hAnsi="Bookman Old Style"/>
      <w:sz w:val="24"/>
      <w:szCs w:val="24"/>
      <w:u w:val="single"/>
    </w:rPr>
  </w:style>
  <w:style w:type="paragraph" w:styleId="TOCHeading">
    <w:name w:val="TOC Heading"/>
    <w:basedOn w:val="Heading1"/>
    <w:next w:val="Normal"/>
    <w:uiPriority w:val="39"/>
    <w:unhideWhenUsed/>
    <w:qFormat/>
    <w:rsid w:val="00BA5389"/>
    <w:pPr>
      <w:spacing w:line="259" w:lineRule="auto"/>
      <w:outlineLvl w:val="9"/>
    </w:pPr>
  </w:style>
  <w:style w:type="paragraph" w:styleId="TOC2">
    <w:name w:val="toc 2"/>
    <w:basedOn w:val="Normal"/>
    <w:next w:val="Normal"/>
    <w:autoRedefine/>
    <w:uiPriority w:val="39"/>
    <w:unhideWhenUsed/>
    <w:rsid w:val="00E928F0"/>
    <w:pPr>
      <w:tabs>
        <w:tab w:val="right" w:leader="dot" w:pos="9350"/>
      </w:tabs>
      <w:spacing w:after="100" w:line="259" w:lineRule="auto"/>
      <w:ind w:left="220"/>
    </w:pPr>
    <w:rPr>
      <w:rFonts w:ascii="Bookman Old Style" w:eastAsiaTheme="minorEastAsia" w:hAnsi="Bookman Old Style" w:cs="Times New Roman"/>
    </w:rPr>
  </w:style>
  <w:style w:type="paragraph" w:styleId="TOC1">
    <w:name w:val="toc 1"/>
    <w:basedOn w:val="Normal"/>
    <w:next w:val="Normal"/>
    <w:autoRedefine/>
    <w:uiPriority w:val="39"/>
    <w:unhideWhenUsed/>
    <w:rsid w:val="001F4ED5"/>
    <w:pPr>
      <w:tabs>
        <w:tab w:val="right" w:leader="dot" w:pos="9350"/>
      </w:tabs>
      <w:spacing w:after="100" w:line="259" w:lineRule="auto"/>
    </w:pPr>
    <w:rPr>
      <w:rFonts w:ascii="Bookman Old Style" w:eastAsiaTheme="minorEastAsia" w:hAnsi="Bookman Old Style" w:cs="Times New Roman"/>
      <w:sz w:val="24"/>
    </w:rPr>
  </w:style>
  <w:style w:type="paragraph" w:styleId="TOC3">
    <w:name w:val="toc 3"/>
    <w:basedOn w:val="Normal"/>
    <w:next w:val="Normal"/>
    <w:autoRedefine/>
    <w:uiPriority w:val="39"/>
    <w:unhideWhenUsed/>
    <w:rsid w:val="002A3AAF"/>
    <w:pPr>
      <w:spacing w:after="100" w:line="259" w:lineRule="auto"/>
      <w:ind w:left="440"/>
    </w:pPr>
    <w:rPr>
      <w:rFonts w:ascii="Bookman Old Style" w:eastAsiaTheme="minorEastAsia" w:hAnsi="Bookman Old Style" w:cs="Times New Roman"/>
    </w:rPr>
  </w:style>
  <w:style w:type="character" w:customStyle="1" w:styleId="Heading2Char">
    <w:name w:val="Heading 2 Char"/>
    <w:basedOn w:val="DefaultParagraphFont"/>
    <w:link w:val="Heading2"/>
    <w:uiPriority w:val="9"/>
    <w:semiHidden/>
    <w:rsid w:val="00B03B3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03B3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03B31"/>
    <w:rPr>
      <w:rFonts w:asciiTheme="majorHAnsi" w:eastAsiaTheme="majorEastAsia" w:hAnsiTheme="majorHAnsi" w:cstheme="majorBidi"/>
      <w:i/>
      <w:iCs/>
      <w:color w:val="2F5496" w:themeColor="accent1" w:themeShade="BF"/>
    </w:rPr>
  </w:style>
  <w:style w:type="paragraph" w:styleId="TOC4">
    <w:name w:val="toc 4"/>
    <w:basedOn w:val="Normal"/>
    <w:next w:val="Normal"/>
    <w:autoRedefine/>
    <w:uiPriority w:val="39"/>
    <w:unhideWhenUsed/>
    <w:rsid w:val="002A3AAF"/>
    <w:pPr>
      <w:spacing w:after="100"/>
      <w:ind w:left="660"/>
    </w:pPr>
    <w:rPr>
      <w:rFonts w:ascii="Bookman Old Style" w:hAnsi="Bookman Old Style"/>
    </w:rPr>
  </w:style>
  <w:style w:type="paragraph" w:customStyle="1" w:styleId="THESISFigureHead">
    <w:name w:val="THESIS Figure Head"/>
    <w:basedOn w:val="Normal"/>
    <w:link w:val="THESISFigureHeadChar"/>
    <w:qFormat/>
    <w:rsid w:val="00B03B31"/>
    <w:pPr>
      <w:spacing w:line="480" w:lineRule="auto"/>
    </w:pPr>
    <w:rPr>
      <w:rFonts w:ascii="Bookman Old Style" w:hAnsi="Bookman Old Style"/>
      <w:sz w:val="24"/>
      <w:szCs w:val="24"/>
    </w:rPr>
  </w:style>
  <w:style w:type="paragraph" w:styleId="Revision">
    <w:name w:val="Revision"/>
    <w:hidden/>
    <w:uiPriority w:val="99"/>
    <w:semiHidden/>
    <w:rsid w:val="00306A0E"/>
  </w:style>
  <w:style w:type="character" w:customStyle="1" w:styleId="THESISFigureHeadChar">
    <w:name w:val="THESIS Figure Head Char"/>
    <w:basedOn w:val="DefaultParagraphFont"/>
    <w:link w:val="THESISFigureHead"/>
    <w:rsid w:val="00B03B31"/>
    <w:rPr>
      <w:rFonts w:ascii="Bookman Old Style" w:hAnsi="Bookman Old Style"/>
      <w:sz w:val="24"/>
      <w:szCs w:val="24"/>
    </w:rPr>
  </w:style>
  <w:style w:type="paragraph" w:styleId="TableofFigures">
    <w:name w:val="table of figures"/>
    <w:basedOn w:val="THESISFigureHead"/>
    <w:next w:val="Normal"/>
    <w:uiPriority w:val="99"/>
    <w:unhideWhenUsed/>
    <w:rsid w:val="002F6EA8"/>
  </w:style>
  <w:style w:type="paragraph" w:customStyle="1" w:styleId="Footie">
    <w:name w:val="Footie"/>
    <w:basedOn w:val="Footer"/>
    <w:next w:val="Footer"/>
    <w:link w:val="FootieChar"/>
    <w:qFormat/>
    <w:rsid w:val="00351CA0"/>
    <w:pPr>
      <w:jc w:val="center"/>
    </w:pPr>
    <w:rPr>
      <w:rFonts w:ascii="Bookman Old Style" w:hAnsi="Bookman Old Style"/>
      <w:sz w:val="24"/>
    </w:rPr>
  </w:style>
  <w:style w:type="character" w:styleId="LineNumber">
    <w:name w:val="line number"/>
    <w:basedOn w:val="DefaultParagraphFont"/>
    <w:uiPriority w:val="99"/>
    <w:semiHidden/>
    <w:unhideWhenUsed/>
    <w:rsid w:val="001A2FAD"/>
  </w:style>
  <w:style w:type="character" w:customStyle="1" w:styleId="FootieChar">
    <w:name w:val="Footie Char"/>
    <w:basedOn w:val="FooterChar"/>
    <w:link w:val="Footie"/>
    <w:rsid w:val="00351CA0"/>
    <w:rPr>
      <w:rFonts w:ascii="Bookman Old Style" w:hAnsi="Bookman Old Style"/>
      <w:sz w:val="24"/>
    </w:rPr>
  </w:style>
  <w:style w:type="paragraph" w:customStyle="1" w:styleId="THESISbody">
    <w:name w:val="THESIS body"/>
    <w:basedOn w:val="Normal"/>
    <w:link w:val="THESISbodyChar"/>
    <w:qFormat/>
    <w:rsid w:val="006B3D3F"/>
    <w:pPr>
      <w:spacing w:line="480" w:lineRule="auto"/>
    </w:pPr>
    <w:rPr>
      <w:rFonts w:ascii="Bookman Old Style" w:hAnsi="Bookman Old Style"/>
      <w:sz w:val="24"/>
      <w:szCs w:val="24"/>
    </w:rPr>
  </w:style>
  <w:style w:type="character" w:customStyle="1" w:styleId="THESISbodyChar">
    <w:name w:val="THESIS body Char"/>
    <w:basedOn w:val="DefaultParagraphFont"/>
    <w:link w:val="THESISbody"/>
    <w:rsid w:val="006B3D3F"/>
    <w:rPr>
      <w:rFonts w:ascii="Bookman Old Style" w:hAnsi="Bookman Old Styl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0573505">
      <w:bodyDiv w:val="1"/>
      <w:marLeft w:val="0"/>
      <w:marRight w:val="0"/>
      <w:marTop w:val="0"/>
      <w:marBottom w:val="0"/>
      <w:divBdr>
        <w:top w:val="none" w:sz="0" w:space="0" w:color="auto"/>
        <w:left w:val="none" w:sz="0" w:space="0" w:color="auto"/>
        <w:bottom w:val="none" w:sz="0" w:space="0" w:color="auto"/>
        <w:right w:val="none" w:sz="0" w:space="0" w:color="auto"/>
      </w:divBdr>
    </w:div>
    <w:div w:id="1209294593">
      <w:bodyDiv w:val="1"/>
      <w:marLeft w:val="0"/>
      <w:marRight w:val="0"/>
      <w:marTop w:val="0"/>
      <w:marBottom w:val="0"/>
      <w:divBdr>
        <w:top w:val="none" w:sz="0" w:space="0" w:color="auto"/>
        <w:left w:val="none" w:sz="0" w:space="0" w:color="auto"/>
        <w:bottom w:val="none" w:sz="0" w:space="0" w:color="auto"/>
        <w:right w:val="none" w:sz="0" w:space="0" w:color="auto"/>
      </w:divBdr>
    </w:div>
    <w:div w:id="1259020489">
      <w:bodyDiv w:val="1"/>
      <w:marLeft w:val="0"/>
      <w:marRight w:val="0"/>
      <w:marTop w:val="0"/>
      <w:marBottom w:val="0"/>
      <w:divBdr>
        <w:top w:val="none" w:sz="0" w:space="0" w:color="auto"/>
        <w:left w:val="none" w:sz="0" w:space="0" w:color="auto"/>
        <w:bottom w:val="none" w:sz="0" w:space="0" w:color="auto"/>
        <w:right w:val="none" w:sz="0" w:space="0" w:color="auto"/>
      </w:divBdr>
      <w:divsChild>
        <w:div w:id="260115539">
          <w:marLeft w:val="0"/>
          <w:marRight w:val="0"/>
          <w:marTop w:val="0"/>
          <w:marBottom w:val="0"/>
          <w:divBdr>
            <w:top w:val="none" w:sz="0" w:space="0" w:color="auto"/>
            <w:left w:val="none" w:sz="0" w:space="0" w:color="auto"/>
            <w:bottom w:val="none" w:sz="0" w:space="0" w:color="auto"/>
            <w:right w:val="none" w:sz="0" w:space="0" w:color="auto"/>
          </w:divBdr>
        </w:div>
        <w:div w:id="929582076">
          <w:marLeft w:val="0"/>
          <w:marRight w:val="0"/>
          <w:marTop w:val="0"/>
          <w:marBottom w:val="0"/>
          <w:divBdr>
            <w:top w:val="none" w:sz="0" w:space="0" w:color="auto"/>
            <w:left w:val="none" w:sz="0" w:space="0" w:color="auto"/>
            <w:bottom w:val="none" w:sz="0" w:space="0" w:color="auto"/>
            <w:right w:val="none" w:sz="0" w:space="0" w:color="auto"/>
          </w:divBdr>
        </w:div>
      </w:divsChild>
    </w:div>
    <w:div w:id="1276908744">
      <w:bodyDiv w:val="1"/>
      <w:marLeft w:val="0"/>
      <w:marRight w:val="0"/>
      <w:marTop w:val="0"/>
      <w:marBottom w:val="0"/>
      <w:divBdr>
        <w:top w:val="none" w:sz="0" w:space="0" w:color="auto"/>
        <w:left w:val="none" w:sz="0" w:space="0" w:color="auto"/>
        <w:bottom w:val="none" w:sz="0" w:space="0" w:color="auto"/>
        <w:right w:val="none" w:sz="0" w:space="0" w:color="auto"/>
      </w:divBdr>
    </w:div>
    <w:div w:id="1417896583">
      <w:bodyDiv w:val="1"/>
      <w:marLeft w:val="0"/>
      <w:marRight w:val="0"/>
      <w:marTop w:val="0"/>
      <w:marBottom w:val="0"/>
      <w:divBdr>
        <w:top w:val="none" w:sz="0" w:space="0" w:color="auto"/>
        <w:left w:val="none" w:sz="0" w:space="0" w:color="auto"/>
        <w:bottom w:val="none" w:sz="0" w:space="0" w:color="auto"/>
        <w:right w:val="none" w:sz="0" w:space="0" w:color="auto"/>
      </w:divBdr>
    </w:div>
    <w:div w:id="1717731075">
      <w:bodyDiv w:val="1"/>
      <w:marLeft w:val="0"/>
      <w:marRight w:val="0"/>
      <w:marTop w:val="0"/>
      <w:marBottom w:val="0"/>
      <w:divBdr>
        <w:top w:val="none" w:sz="0" w:space="0" w:color="auto"/>
        <w:left w:val="none" w:sz="0" w:space="0" w:color="auto"/>
        <w:bottom w:val="none" w:sz="0" w:space="0" w:color="auto"/>
        <w:right w:val="none" w:sz="0" w:space="0" w:color="auto"/>
      </w:divBdr>
    </w:div>
    <w:div w:id="179478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EE8F7-A968-4AD2-B561-BE20AAF31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137</Pages>
  <Words>26079</Words>
  <Characters>148653</Characters>
  <Application>Microsoft Office Word</Application>
  <DocSecurity>0</DocSecurity>
  <Lines>1238</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Hamel, Jenny L.</dc:creator>
  <cp:keywords/>
  <dc:description/>
  <cp:lastModifiedBy>Hamel, Jenny L.</cp:lastModifiedBy>
  <cp:revision>8</cp:revision>
  <cp:lastPrinted>2019-02-03T17:28:00Z</cp:lastPrinted>
  <dcterms:created xsi:type="dcterms:W3CDTF">2019-05-02T12:35:00Z</dcterms:created>
  <dcterms:modified xsi:type="dcterms:W3CDTF">2019-05-08T21:51:00Z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3e50968f-c5e3-322e-9eda-181e8ba79599</vt:lpwstr>
  </property>
  <property fmtid="{D5CDD505-2E9C-101B-9397-08002B2CF9AE}" pid="24" name="Mendeley Citation Style_1">
    <vt:lpwstr>http://www.zotero.org/styles/chicago-fullnote-bibliography</vt:lpwstr>
  </property>
</Properties>
</file>